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chart35.xml" ContentType="application/vnd.openxmlformats-officedocument.drawingml.chart+xml"/>
  <Override PartName="/word/charts/chart36.xml" ContentType="application/vnd.openxmlformats-officedocument.drawingml.chart+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47.xml" ContentType="application/vnd.openxmlformats-officedocument.drawingml.chart+xml"/>
  <Override PartName="/word/drawings/drawing2.xml" ContentType="application/vnd.openxmlformats-officedocument.drawingml.chartshapes+xml"/>
  <Override PartName="/word/footer4.xml" ContentType="application/vnd.openxmlformats-officedocument.wordprocessingml.footer+xml"/>
  <Override PartName="/word/charts/chart48.xml" ContentType="application/vnd.openxmlformats-officedocument.drawingml.chart+xml"/>
  <Override PartName="/word/theme/themeOverride2.xml" ContentType="application/vnd.openxmlformats-officedocument.themeOverride+xml"/>
  <Override PartName="/word/drawings/drawing3.xml" ContentType="application/vnd.openxmlformats-officedocument.drawingml.chartshapes+xml"/>
  <Override PartName="/word/charts/chart49.xml" ContentType="application/vnd.openxmlformats-officedocument.drawingml.chart+xml"/>
  <Override PartName="/word/drawings/drawing4.xml" ContentType="application/vnd.openxmlformats-officedocument.drawingml.chartshapes+xml"/>
  <Override PartName="/word/charts/chart50.xml" ContentType="application/vnd.openxmlformats-officedocument.drawingml.chart+xml"/>
  <Override PartName="/word/drawings/drawing5.xml" ContentType="application/vnd.openxmlformats-officedocument.drawingml.chartshapes+xml"/>
  <Override PartName="/word/charts/chart51.xml" ContentType="application/vnd.openxmlformats-officedocument.drawingml.chart+xml"/>
  <Override PartName="/word/drawings/drawing6.xml" ContentType="application/vnd.openxmlformats-officedocument.drawingml.chartshapes+xml"/>
  <Override PartName="/word/charts/chart52.xml" ContentType="application/vnd.openxmlformats-officedocument.drawingml.chart+xml"/>
  <Override PartName="/word/theme/themeOverride3.xml" ContentType="application/vnd.openxmlformats-officedocument.themeOverride+xml"/>
  <Override PartName="/word/drawings/drawing7.xml" ContentType="application/vnd.openxmlformats-officedocument.drawingml.chartshapes+xml"/>
  <Override PartName="/word/charts/chart53.xml" ContentType="application/vnd.openxmlformats-officedocument.drawingml.chart+xml"/>
  <Override PartName="/word/theme/themeOverride4.xml" ContentType="application/vnd.openxmlformats-officedocument.themeOverride+xml"/>
  <Override PartName="/word/drawings/drawing8.xml" ContentType="application/vnd.openxmlformats-officedocument.drawingml.chartshapes+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theme/themeOverride5.xml" ContentType="application/vnd.openxmlformats-officedocument.themeOverride+xml"/>
  <Override PartName="/word/charts/chart57.xml" ContentType="application/vnd.openxmlformats-officedocument.drawingml.chart+xml"/>
  <Override PartName="/word/theme/themeOverride6.xml" ContentType="application/vnd.openxmlformats-officedocument.themeOverride+xml"/>
  <Override PartName="/word/charts/chart58.xml" ContentType="application/vnd.openxmlformats-officedocument.drawingml.chart+xml"/>
  <Override PartName="/word/theme/themeOverride7.xml" ContentType="application/vnd.openxmlformats-officedocument.themeOverride+xml"/>
  <Override PartName="/word/drawings/drawing9.xml" ContentType="application/vnd.openxmlformats-officedocument.drawingml.chartshapes+xml"/>
  <Override PartName="/word/charts/chart59.xml" ContentType="application/vnd.openxmlformats-officedocument.drawingml.chart+xml"/>
  <Override PartName="/word/charts/chart60.xml" ContentType="application/vnd.openxmlformats-officedocument.drawingml.chart+xml"/>
  <Override PartName="/word/charts/chart61.xml" ContentType="application/vnd.openxmlformats-officedocument.drawingml.chart+xml"/>
  <Override PartName="/word/charts/chart62.xml" ContentType="application/vnd.openxmlformats-officedocument.drawingml.chart+xml"/>
  <Override PartName="/word/charts/chart63.xml" ContentType="application/vnd.openxmlformats-officedocument.drawingml.chart+xml"/>
  <Override PartName="/word/charts/chart64.xml" ContentType="application/vnd.openxmlformats-officedocument.drawingml.chart+xml"/>
  <Override PartName="/word/charts/chart65.xml" ContentType="application/vnd.openxmlformats-officedocument.drawingml.chart+xml"/>
  <Override PartName="/word/theme/themeOverride8.xml" ContentType="application/vnd.openxmlformats-officedocument.themeOverride+xml"/>
  <Override PartName="/word/charts/chart66.xml" ContentType="application/vnd.openxmlformats-officedocument.drawingml.chart+xml"/>
  <Override PartName="/word/theme/themeOverride9.xml" ContentType="application/vnd.openxmlformats-officedocument.themeOverride+xml"/>
  <Override PartName="/word/drawings/drawing10.xml" ContentType="application/vnd.openxmlformats-officedocument.drawingml.chartshapes+xml"/>
  <Override PartName="/word/charts/chart67.xml" ContentType="application/vnd.openxmlformats-officedocument.drawingml.chart+xml"/>
  <Override PartName="/word/theme/themeOverride10.xml" ContentType="application/vnd.openxmlformats-officedocument.themeOverride+xml"/>
  <Override PartName="/word/charts/chart68.xml" ContentType="application/vnd.openxmlformats-officedocument.drawingml.chart+xml"/>
  <Override PartName="/word/drawings/drawing11.xml" ContentType="application/vnd.openxmlformats-officedocument.drawingml.chartshapes+xml"/>
  <Override PartName="/word/charts/chart69.xml" ContentType="application/vnd.openxmlformats-officedocument.drawingml.chart+xml"/>
  <Override PartName="/word/drawings/drawing12.xml" ContentType="application/vnd.openxmlformats-officedocument.drawingml.chartshapes+xml"/>
  <Override PartName="/word/charts/chart70.xml" ContentType="application/vnd.openxmlformats-officedocument.drawingml.chart+xml"/>
  <Override PartName="/word/charts/chart71.xml" ContentType="application/vnd.openxmlformats-officedocument.drawingml.chart+xml"/>
  <Override PartName="/word/theme/themeOverride11.xml" ContentType="application/vnd.openxmlformats-officedocument.themeOverride+xml"/>
  <Override PartName="/word/drawings/drawing13.xml" ContentType="application/vnd.openxmlformats-officedocument.drawingml.chartshapes+xml"/>
  <Override PartName="/word/charts/chart72.xml" ContentType="application/vnd.openxmlformats-officedocument.drawingml.chart+xml"/>
  <Override PartName="/word/drawings/drawing14.xml" ContentType="application/vnd.openxmlformats-officedocument.drawingml.chartshapes+xml"/>
  <Override PartName="/word/charts/chart73.xml" ContentType="application/vnd.openxmlformats-officedocument.drawingml.chart+xml"/>
  <Override PartName="/word/theme/themeOverride12.xml" ContentType="application/vnd.openxmlformats-officedocument.themeOverride+xml"/>
  <Override PartName="/word/charts/chart74.xml" ContentType="application/vnd.openxmlformats-officedocument.drawingml.chart+xml"/>
  <Override PartName="/word/theme/themeOverride13.xml" ContentType="application/vnd.openxmlformats-officedocument.themeOverride+xml"/>
  <Override PartName="/word/charts/chart75.xml" ContentType="application/vnd.openxmlformats-officedocument.drawingml.chart+xml"/>
  <Override PartName="/word/theme/themeOverride14.xml" ContentType="application/vnd.openxmlformats-officedocument.themeOverride+xml"/>
  <Override PartName="/word/drawings/drawing15.xml" ContentType="application/vnd.openxmlformats-officedocument.drawingml.chartshapes+xml"/>
  <Override PartName="/word/charts/chart76.xml" ContentType="application/vnd.openxmlformats-officedocument.drawingml.chart+xml"/>
  <Override PartName="/word/theme/themeOverride15.xml" ContentType="application/vnd.openxmlformats-officedocument.themeOverride+xml"/>
  <Override PartName="/word/drawings/drawing16.xml" ContentType="application/vnd.openxmlformats-officedocument.drawingml.chartshapes+xml"/>
  <Override PartName="/word/charts/chart77.xml" ContentType="application/vnd.openxmlformats-officedocument.drawingml.chart+xml"/>
  <Override PartName="/word/theme/themeOverride16.xml" ContentType="application/vnd.openxmlformats-officedocument.themeOverride+xml"/>
  <Override PartName="/word/drawings/drawing17.xml" ContentType="application/vnd.openxmlformats-officedocument.drawingml.chartshapes+xml"/>
  <Override PartName="/word/charts/chart78.xml" ContentType="application/vnd.openxmlformats-officedocument.drawingml.chart+xml"/>
  <Override PartName="/word/charts/chart79.xml" ContentType="application/vnd.openxmlformats-officedocument.drawingml.chart+xml"/>
  <Override PartName="/word/charts/chart80.xml" ContentType="application/vnd.openxmlformats-officedocument.drawingml.chart+xml"/>
  <Override PartName="/word/theme/themeOverride17.xml" ContentType="application/vnd.openxmlformats-officedocument.themeOverride+xml"/>
  <Override PartName="/word/drawings/drawing18.xml" ContentType="application/vnd.openxmlformats-officedocument.drawingml.chartshapes+xml"/>
  <Override PartName="/word/charts/chart81.xml" ContentType="application/vnd.openxmlformats-officedocument.drawingml.chart+xml"/>
  <Override PartName="/word/theme/themeOverride18.xml" ContentType="application/vnd.openxmlformats-officedocument.themeOverride+xml"/>
  <Override PartName="/word/drawings/drawing19.xml" ContentType="application/vnd.openxmlformats-officedocument.drawingml.chartshapes+xml"/>
  <Override PartName="/word/charts/chart82.xml" ContentType="application/vnd.openxmlformats-officedocument.drawingml.chart+xml"/>
  <Override PartName="/word/theme/themeOverride19.xml" ContentType="application/vnd.openxmlformats-officedocument.themeOverride+xml"/>
  <Override PartName="/word/drawings/drawing20.xml" ContentType="application/vnd.openxmlformats-officedocument.drawingml.chartshapes+xml"/>
  <Override PartName="/word/charts/chart83.xml" ContentType="application/vnd.openxmlformats-officedocument.drawingml.chart+xml"/>
  <Override PartName="/word/theme/themeOverride20.xml" ContentType="application/vnd.openxmlformats-officedocument.themeOverride+xml"/>
  <Override PartName="/word/drawings/drawing21.xml" ContentType="application/vnd.openxmlformats-officedocument.drawingml.chartshapes+xml"/>
  <Override PartName="/word/charts/chart84.xml" ContentType="application/vnd.openxmlformats-officedocument.drawingml.chart+xml"/>
  <Override PartName="/word/theme/themeOverride21.xml" ContentType="application/vnd.openxmlformats-officedocument.themeOverride+xml"/>
  <Override PartName="/word/drawings/drawing22.xml" ContentType="application/vnd.openxmlformats-officedocument.drawingml.chartshapes+xml"/>
  <Override PartName="/word/charts/chart85.xml" ContentType="application/vnd.openxmlformats-officedocument.drawingml.chart+xml"/>
  <Override PartName="/word/theme/themeOverride22.xml" ContentType="application/vnd.openxmlformats-officedocument.themeOverride+xml"/>
  <Override PartName="/word/charts/chart86.xml" ContentType="application/vnd.openxmlformats-officedocument.drawingml.chart+xml"/>
  <Override PartName="/word/drawings/drawing23.xml" ContentType="application/vnd.openxmlformats-officedocument.drawingml.chartshapes+xml"/>
  <Override PartName="/word/charts/chart87.xml" ContentType="application/vnd.openxmlformats-officedocument.drawingml.chart+xml"/>
  <Override PartName="/word/drawings/drawing24.xml" ContentType="application/vnd.openxmlformats-officedocument.drawingml.chartshapes+xml"/>
  <Override PartName="/word/charts/chart88.xml" ContentType="application/vnd.openxmlformats-officedocument.drawingml.chart+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charts/chart89.xml" ContentType="application/vnd.openxmlformats-officedocument.drawingml.chart+xml"/>
  <Override PartName="/word/theme/themeOverride23.xml" ContentType="application/vnd.openxmlformats-officedocument.themeOverride+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62F2" w:rsidRPr="00131B9D" w:rsidRDefault="009B62F2" w:rsidP="006100CB">
      <w:pPr>
        <w:pStyle w:val="3"/>
        <w:rPr>
          <w:rFonts w:ascii="Times New Roman" w:hAnsi="Times New Roman"/>
        </w:rPr>
      </w:pPr>
    </w:p>
    <w:p w:rsidR="00131B9D" w:rsidRPr="00131B9D" w:rsidRDefault="00131B9D" w:rsidP="00131B9D">
      <w:pPr>
        <w:pStyle w:val="aff7"/>
        <w:spacing w:line="600" w:lineRule="exact"/>
        <w:ind w:leftChars="-295" w:left="-708" w:rightChars="-319" w:right="-766" w:firstLine="0"/>
        <w:rPr>
          <w:rFonts w:ascii="Times New Roman" w:eastAsia="標楷體" w:cs="Times New Roman"/>
        </w:rPr>
      </w:pPr>
    </w:p>
    <w:p w:rsidR="00131B9D" w:rsidRPr="00131B9D" w:rsidRDefault="00131B9D" w:rsidP="00131B9D">
      <w:pPr>
        <w:pStyle w:val="aff7"/>
        <w:spacing w:line="600" w:lineRule="exact"/>
        <w:ind w:leftChars="-295" w:left="-708" w:rightChars="-319" w:right="-766" w:firstLine="0"/>
        <w:rPr>
          <w:rFonts w:ascii="Times New Roman" w:eastAsia="標楷體" w:cs="Times New Roman"/>
          <w:b/>
          <w:sz w:val="44"/>
          <w:szCs w:val="44"/>
        </w:rPr>
      </w:pPr>
      <w:r w:rsidRPr="00131B9D">
        <w:rPr>
          <w:rFonts w:ascii="Times New Roman" w:eastAsia="標楷體" w:cs="Times New Roman"/>
          <w:b/>
          <w:sz w:val="44"/>
          <w:szCs w:val="44"/>
        </w:rPr>
        <w:t>104</w:t>
      </w:r>
      <w:r w:rsidRPr="00131B9D">
        <w:rPr>
          <w:rFonts w:ascii="Times New Roman" w:eastAsia="標楷體" w:cs="Times New Roman"/>
          <w:b/>
          <w:sz w:val="44"/>
          <w:szCs w:val="44"/>
        </w:rPr>
        <w:t>年度</w:t>
      </w:r>
    </w:p>
    <w:p w:rsidR="00131B9D" w:rsidRPr="00131B9D" w:rsidRDefault="00131B9D" w:rsidP="00131B9D">
      <w:pPr>
        <w:pStyle w:val="aff7"/>
        <w:spacing w:line="600" w:lineRule="exact"/>
        <w:ind w:leftChars="-295" w:left="-708" w:rightChars="-319" w:right="-766" w:firstLine="0"/>
        <w:rPr>
          <w:rFonts w:ascii="Times New Roman" w:eastAsia="標楷體" w:cs="Times New Roman"/>
          <w:b/>
          <w:sz w:val="44"/>
          <w:szCs w:val="44"/>
        </w:rPr>
      </w:pPr>
      <w:r w:rsidRPr="00131B9D">
        <w:rPr>
          <w:rFonts w:ascii="Times New Roman" w:eastAsia="標楷體" w:cs="Times New Roman"/>
          <w:b/>
          <w:sz w:val="44"/>
          <w:szCs w:val="44"/>
        </w:rPr>
        <w:t>「重要原物料國內外市場情勢分析及研究」</w:t>
      </w:r>
    </w:p>
    <w:p w:rsidR="00131B9D" w:rsidRPr="00131B9D" w:rsidRDefault="00131B9D" w:rsidP="00131B9D">
      <w:pPr>
        <w:jc w:val="center"/>
        <w:rPr>
          <w:rFonts w:eastAsia="標楷體"/>
          <w:b/>
          <w:sz w:val="44"/>
          <w:szCs w:val="44"/>
        </w:rPr>
      </w:pPr>
      <w:r w:rsidRPr="00131B9D">
        <w:rPr>
          <w:rFonts w:eastAsia="標楷體"/>
          <w:b/>
          <w:sz w:val="44"/>
          <w:szCs w:val="44"/>
        </w:rPr>
        <w:t>執行成果總報告書（</w:t>
      </w:r>
      <w:r w:rsidRPr="00131B9D">
        <w:rPr>
          <w:rFonts w:eastAsia="標楷體"/>
          <w:b/>
          <w:sz w:val="44"/>
          <w:szCs w:val="44"/>
        </w:rPr>
        <w:t>1/2</w:t>
      </w:r>
      <w:r w:rsidRPr="00131B9D">
        <w:rPr>
          <w:rFonts w:eastAsia="標楷體"/>
          <w:b/>
          <w:sz w:val="44"/>
          <w:szCs w:val="44"/>
        </w:rPr>
        <w:t>）</w:t>
      </w:r>
    </w:p>
    <w:p w:rsidR="00131B9D" w:rsidRPr="00131B9D" w:rsidRDefault="00131B9D" w:rsidP="00131B9D">
      <w:pPr>
        <w:jc w:val="center"/>
        <w:rPr>
          <w:rFonts w:eastAsia="標楷體"/>
          <w:b/>
          <w:sz w:val="26"/>
          <w:szCs w:val="26"/>
        </w:rPr>
      </w:pPr>
      <w:r w:rsidRPr="00131B9D">
        <w:rPr>
          <w:rFonts w:eastAsia="標楷體"/>
          <w:b/>
          <w:sz w:val="44"/>
          <w:szCs w:val="44"/>
        </w:rPr>
        <w:br/>
      </w:r>
      <w:r w:rsidRPr="00131B9D">
        <w:rPr>
          <w:rFonts w:eastAsia="標楷體"/>
          <w:b/>
          <w:sz w:val="26"/>
          <w:szCs w:val="26"/>
        </w:rPr>
        <w:t>（本報告內容係受託單位之觀點，不代表委託單位之意見）</w:t>
      </w:r>
    </w:p>
    <w:p w:rsidR="00131B9D" w:rsidRPr="00131B9D" w:rsidRDefault="00131B9D" w:rsidP="00131B9D">
      <w:pPr>
        <w:jc w:val="center"/>
        <w:rPr>
          <w:rFonts w:eastAsia="標楷體"/>
        </w:rPr>
      </w:pPr>
    </w:p>
    <w:p w:rsidR="00131B9D" w:rsidRPr="00131B9D" w:rsidRDefault="00131B9D" w:rsidP="00131B9D">
      <w:pPr>
        <w:jc w:val="cente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p w:rsidR="00131B9D" w:rsidRPr="00131B9D" w:rsidRDefault="00131B9D" w:rsidP="00131B9D">
      <w:pPr>
        <w:rPr>
          <w:rFonts w:eastAsia="標楷體"/>
        </w:rPr>
      </w:pPr>
    </w:p>
    <w:tbl>
      <w:tblPr>
        <w:tblW w:w="6237" w:type="dxa"/>
        <w:tblInd w:w="1101" w:type="dxa"/>
        <w:tblLook w:val="01E0" w:firstRow="1" w:lastRow="1" w:firstColumn="1" w:lastColumn="1" w:noHBand="0" w:noVBand="0"/>
      </w:tblPr>
      <w:tblGrid>
        <w:gridCol w:w="1984"/>
        <w:gridCol w:w="4253"/>
      </w:tblGrid>
      <w:tr w:rsidR="00131B9D" w:rsidRPr="00131B9D" w:rsidTr="0052212B">
        <w:tc>
          <w:tcPr>
            <w:tcW w:w="1984" w:type="dxa"/>
          </w:tcPr>
          <w:p w:rsidR="00131B9D" w:rsidRPr="00131B9D" w:rsidRDefault="00131B9D" w:rsidP="0052212B">
            <w:pPr>
              <w:pStyle w:val="afff9"/>
              <w:jc w:val="distribute"/>
              <w:rPr>
                <w:szCs w:val="36"/>
              </w:rPr>
            </w:pPr>
            <w:r w:rsidRPr="00131B9D">
              <w:rPr>
                <w:szCs w:val="36"/>
              </w:rPr>
              <w:t>委託單位：</w:t>
            </w:r>
          </w:p>
        </w:tc>
        <w:tc>
          <w:tcPr>
            <w:tcW w:w="4253" w:type="dxa"/>
          </w:tcPr>
          <w:p w:rsidR="00131B9D" w:rsidRPr="00131B9D" w:rsidRDefault="00131B9D" w:rsidP="0052212B">
            <w:pPr>
              <w:pStyle w:val="afff9"/>
              <w:jc w:val="distribute"/>
              <w:rPr>
                <w:szCs w:val="36"/>
              </w:rPr>
            </w:pPr>
            <w:r w:rsidRPr="00131B9D">
              <w:rPr>
                <w:szCs w:val="36"/>
              </w:rPr>
              <w:t>經濟部</w:t>
            </w:r>
          </w:p>
        </w:tc>
      </w:tr>
      <w:tr w:rsidR="00131B9D" w:rsidRPr="00131B9D" w:rsidTr="0052212B">
        <w:tc>
          <w:tcPr>
            <w:tcW w:w="1984" w:type="dxa"/>
          </w:tcPr>
          <w:p w:rsidR="00131B9D" w:rsidRPr="00131B9D" w:rsidRDefault="00131B9D" w:rsidP="0052212B">
            <w:pPr>
              <w:pStyle w:val="afff9"/>
              <w:jc w:val="distribute"/>
              <w:rPr>
                <w:szCs w:val="36"/>
              </w:rPr>
            </w:pPr>
            <w:r w:rsidRPr="00131B9D">
              <w:rPr>
                <w:szCs w:val="36"/>
              </w:rPr>
              <w:t>執行單位：</w:t>
            </w:r>
          </w:p>
        </w:tc>
        <w:tc>
          <w:tcPr>
            <w:tcW w:w="4253" w:type="dxa"/>
          </w:tcPr>
          <w:p w:rsidR="00131B9D" w:rsidRPr="00131B9D" w:rsidRDefault="00131B9D" w:rsidP="0052212B">
            <w:pPr>
              <w:pStyle w:val="afff9"/>
              <w:jc w:val="distribute"/>
              <w:rPr>
                <w:szCs w:val="36"/>
              </w:rPr>
            </w:pPr>
            <w:r w:rsidRPr="00131B9D">
              <w:rPr>
                <w:szCs w:val="36"/>
              </w:rPr>
              <w:t>財團法人中華經濟研究院</w:t>
            </w:r>
          </w:p>
        </w:tc>
      </w:tr>
    </w:tbl>
    <w:p w:rsidR="009B62F2" w:rsidRPr="00131B9D" w:rsidRDefault="00131B9D" w:rsidP="008D393E">
      <w:pPr>
        <w:pStyle w:val="aff7"/>
        <w:spacing w:line="600" w:lineRule="exact"/>
        <w:ind w:leftChars="-50" w:left="-120" w:rightChars="-55" w:right="-132" w:firstLine="0"/>
        <w:rPr>
          <w:rFonts w:ascii="Times New Roman" w:eastAsia="標楷體" w:cs="Times New Roman"/>
        </w:rPr>
      </w:pPr>
      <w:r w:rsidRPr="00131B9D">
        <w:rPr>
          <w:rFonts w:ascii="Times New Roman" w:eastAsia="標楷體" w:cs="Times New Roman"/>
          <w:sz w:val="30"/>
          <w:szCs w:val="30"/>
        </w:rPr>
        <w:t>中華民國</w:t>
      </w:r>
      <w:r w:rsidRPr="00131B9D">
        <w:rPr>
          <w:rFonts w:ascii="Times New Roman" w:eastAsia="標楷體" w:cs="Times New Roman"/>
          <w:sz w:val="30"/>
          <w:szCs w:val="30"/>
        </w:rPr>
        <w:t xml:space="preserve"> 104 </w:t>
      </w:r>
      <w:r w:rsidRPr="00131B9D">
        <w:rPr>
          <w:rFonts w:ascii="Times New Roman" w:eastAsia="標楷體" w:cs="Times New Roman"/>
          <w:sz w:val="30"/>
          <w:szCs w:val="30"/>
        </w:rPr>
        <w:t>年</w:t>
      </w:r>
      <w:r w:rsidRPr="00131B9D">
        <w:rPr>
          <w:rFonts w:ascii="Times New Roman" w:eastAsia="標楷體" w:cs="Times New Roman"/>
          <w:sz w:val="30"/>
          <w:szCs w:val="30"/>
        </w:rPr>
        <w:t xml:space="preserve"> 12 </w:t>
      </w:r>
      <w:r w:rsidRPr="00131B9D">
        <w:rPr>
          <w:rFonts w:ascii="Times New Roman" w:eastAsia="標楷體" w:cs="Times New Roman"/>
          <w:sz w:val="30"/>
          <w:szCs w:val="30"/>
        </w:rPr>
        <w:t>月</w:t>
      </w:r>
      <w:r w:rsidR="009B62F2" w:rsidRPr="00131B9D">
        <w:rPr>
          <w:rFonts w:ascii="Times New Roman" w:eastAsia="標楷體" w:cs="Times New Roman"/>
        </w:rPr>
        <w:br w:type="page"/>
      </w:r>
    </w:p>
    <w:p w:rsidR="00131B9D" w:rsidRPr="00131B9D" w:rsidRDefault="00131B9D" w:rsidP="00131B9D">
      <w:pPr>
        <w:pStyle w:val="aff7"/>
        <w:spacing w:line="600" w:lineRule="exact"/>
        <w:ind w:leftChars="-295" w:left="-708" w:rightChars="-319" w:right="-766" w:firstLine="0"/>
        <w:rPr>
          <w:rFonts w:ascii="Times New Roman" w:eastAsia="標楷體" w:cs="Times New Roman"/>
        </w:rPr>
      </w:pPr>
    </w:p>
    <w:p w:rsidR="00131B9D" w:rsidRPr="00131B9D" w:rsidRDefault="00131B9D" w:rsidP="00131B9D">
      <w:pPr>
        <w:pStyle w:val="aff7"/>
        <w:spacing w:line="600" w:lineRule="exact"/>
        <w:ind w:leftChars="-295" w:left="-708" w:rightChars="-319" w:right="-766" w:firstLine="0"/>
        <w:rPr>
          <w:rFonts w:ascii="Times New Roman" w:eastAsia="標楷體" w:cs="Times New Roman"/>
        </w:rPr>
      </w:pPr>
      <w:r w:rsidRPr="00131B9D">
        <w:rPr>
          <w:rFonts w:ascii="Times New Roman" w:eastAsia="標楷體" w:cs="Times New Roman"/>
          <w:b/>
          <w:sz w:val="44"/>
          <w:szCs w:val="44"/>
        </w:rPr>
        <w:t>104</w:t>
      </w:r>
      <w:r w:rsidRPr="00131B9D">
        <w:rPr>
          <w:rFonts w:ascii="Times New Roman" w:eastAsia="標楷體" w:cs="Times New Roman"/>
          <w:b/>
          <w:sz w:val="44"/>
          <w:szCs w:val="44"/>
        </w:rPr>
        <w:t>年度</w:t>
      </w:r>
    </w:p>
    <w:p w:rsidR="00131B9D" w:rsidRPr="00131B9D" w:rsidRDefault="00131B9D" w:rsidP="00131B9D">
      <w:pPr>
        <w:pStyle w:val="aff7"/>
        <w:spacing w:line="600" w:lineRule="exact"/>
        <w:ind w:leftChars="-295" w:left="-708" w:rightChars="-319" w:right="-766" w:firstLine="0"/>
        <w:rPr>
          <w:rFonts w:ascii="Times New Roman" w:eastAsia="標楷體" w:cs="Times New Roman"/>
          <w:b/>
          <w:sz w:val="44"/>
          <w:szCs w:val="44"/>
        </w:rPr>
      </w:pPr>
      <w:r w:rsidRPr="00131B9D">
        <w:rPr>
          <w:rFonts w:ascii="Times New Roman" w:eastAsia="標楷體" w:cs="Times New Roman"/>
          <w:b/>
          <w:sz w:val="44"/>
          <w:szCs w:val="44"/>
        </w:rPr>
        <w:t>「重要原物料國內外市場情勢分析及研究」</w:t>
      </w:r>
    </w:p>
    <w:p w:rsidR="00131B9D" w:rsidRPr="00131B9D" w:rsidRDefault="00131B9D" w:rsidP="00131B9D">
      <w:pPr>
        <w:jc w:val="center"/>
        <w:rPr>
          <w:rFonts w:eastAsia="標楷體"/>
          <w:b/>
          <w:sz w:val="44"/>
          <w:szCs w:val="44"/>
        </w:rPr>
      </w:pPr>
      <w:r w:rsidRPr="00131B9D">
        <w:rPr>
          <w:rFonts w:eastAsia="標楷體"/>
          <w:b/>
          <w:sz w:val="44"/>
          <w:szCs w:val="44"/>
        </w:rPr>
        <w:t>執行成果總報告書（</w:t>
      </w:r>
      <w:r w:rsidRPr="00131B9D">
        <w:rPr>
          <w:rFonts w:eastAsia="標楷體"/>
          <w:b/>
          <w:sz w:val="44"/>
          <w:szCs w:val="44"/>
        </w:rPr>
        <w:t>1/2</w:t>
      </w:r>
      <w:r w:rsidRPr="00131B9D">
        <w:rPr>
          <w:rFonts w:eastAsia="標楷體"/>
          <w:b/>
          <w:sz w:val="44"/>
          <w:szCs w:val="44"/>
        </w:rPr>
        <w:t>）</w:t>
      </w:r>
    </w:p>
    <w:p w:rsidR="00131B9D" w:rsidRPr="00131B9D" w:rsidRDefault="00131B9D" w:rsidP="00131B9D">
      <w:pPr>
        <w:jc w:val="center"/>
        <w:rPr>
          <w:rFonts w:eastAsia="標楷體"/>
          <w:b/>
          <w:sz w:val="26"/>
          <w:szCs w:val="26"/>
        </w:rPr>
      </w:pPr>
      <w:r w:rsidRPr="00131B9D">
        <w:rPr>
          <w:rFonts w:eastAsia="標楷體"/>
          <w:b/>
          <w:sz w:val="44"/>
          <w:szCs w:val="44"/>
        </w:rPr>
        <w:br/>
      </w:r>
      <w:r w:rsidRPr="00131B9D">
        <w:rPr>
          <w:rFonts w:eastAsia="標楷體"/>
          <w:b/>
          <w:sz w:val="26"/>
          <w:szCs w:val="26"/>
        </w:rPr>
        <w:t>（本報告內容係受託單位之觀點，不代表委託單位之意見）</w:t>
      </w:r>
    </w:p>
    <w:p w:rsidR="00131B9D" w:rsidRPr="00131B9D" w:rsidRDefault="00131B9D" w:rsidP="00131B9D">
      <w:pPr>
        <w:jc w:val="center"/>
        <w:rPr>
          <w:rFonts w:eastAsia="文鼎標準楷體"/>
          <w:b/>
          <w:sz w:val="26"/>
          <w:szCs w:val="26"/>
        </w:rPr>
      </w:pPr>
    </w:p>
    <w:p w:rsidR="00131B9D" w:rsidRPr="00131B9D" w:rsidRDefault="00131B9D" w:rsidP="00131B9D">
      <w:pPr>
        <w:jc w:val="center"/>
        <w:rPr>
          <w:rFonts w:eastAsia="標楷體"/>
        </w:rPr>
      </w:pPr>
    </w:p>
    <w:tbl>
      <w:tblPr>
        <w:tblW w:w="6120" w:type="dxa"/>
        <w:tblInd w:w="1368" w:type="dxa"/>
        <w:tblLook w:val="01E0" w:firstRow="1" w:lastRow="1" w:firstColumn="1" w:lastColumn="1" w:noHBand="0" w:noVBand="0"/>
      </w:tblPr>
      <w:tblGrid>
        <w:gridCol w:w="2700"/>
        <w:gridCol w:w="3420"/>
      </w:tblGrid>
      <w:tr w:rsidR="00131B9D" w:rsidRPr="00131B9D" w:rsidTr="0052212B">
        <w:tc>
          <w:tcPr>
            <w:tcW w:w="2700" w:type="dxa"/>
          </w:tcPr>
          <w:p w:rsidR="00131B9D" w:rsidRPr="00131B9D" w:rsidRDefault="00131B9D" w:rsidP="0052212B">
            <w:pPr>
              <w:pStyle w:val="afff9"/>
              <w:jc w:val="distribute"/>
            </w:pPr>
            <w:r w:rsidRPr="00131B9D">
              <w:t>計畫主持人：</w:t>
            </w:r>
          </w:p>
        </w:tc>
        <w:tc>
          <w:tcPr>
            <w:tcW w:w="3420" w:type="dxa"/>
          </w:tcPr>
          <w:p w:rsidR="00131B9D" w:rsidRPr="00131B9D" w:rsidRDefault="00131B9D" w:rsidP="0052212B">
            <w:pPr>
              <w:pStyle w:val="afff9"/>
            </w:pPr>
            <w:r w:rsidRPr="00131B9D">
              <w:t>陳馨蕙</w:t>
            </w:r>
          </w:p>
        </w:tc>
      </w:tr>
      <w:tr w:rsidR="00131B9D" w:rsidRPr="00131B9D" w:rsidTr="0052212B">
        <w:tc>
          <w:tcPr>
            <w:tcW w:w="2700" w:type="dxa"/>
          </w:tcPr>
          <w:p w:rsidR="00131B9D" w:rsidRPr="00131B9D" w:rsidRDefault="00131B9D" w:rsidP="0052212B">
            <w:pPr>
              <w:pStyle w:val="afff9"/>
              <w:jc w:val="distribute"/>
            </w:pPr>
            <w:r w:rsidRPr="00131B9D">
              <w:t>協同主持人：</w:t>
            </w:r>
          </w:p>
        </w:tc>
        <w:tc>
          <w:tcPr>
            <w:tcW w:w="3420" w:type="dxa"/>
          </w:tcPr>
          <w:p w:rsidR="00131B9D" w:rsidRPr="00131B9D" w:rsidRDefault="00131B9D" w:rsidP="0052212B">
            <w:pPr>
              <w:pStyle w:val="afff9"/>
            </w:pPr>
            <w:r w:rsidRPr="00131B9D">
              <w:t>郭箴誠</w:t>
            </w:r>
          </w:p>
        </w:tc>
      </w:tr>
      <w:tr w:rsidR="00131B9D" w:rsidRPr="00131B9D" w:rsidTr="0052212B">
        <w:tc>
          <w:tcPr>
            <w:tcW w:w="2700" w:type="dxa"/>
          </w:tcPr>
          <w:p w:rsidR="00131B9D" w:rsidRPr="00131B9D" w:rsidRDefault="00131B9D" w:rsidP="0052212B">
            <w:pPr>
              <w:pStyle w:val="afff9"/>
              <w:jc w:val="distribute"/>
            </w:pPr>
            <w:r w:rsidRPr="00131B9D">
              <w:t>研究人員：</w:t>
            </w:r>
          </w:p>
        </w:tc>
        <w:tc>
          <w:tcPr>
            <w:tcW w:w="3420" w:type="dxa"/>
          </w:tcPr>
          <w:p w:rsidR="00131B9D" w:rsidRPr="00131B9D" w:rsidRDefault="00131B9D" w:rsidP="0052212B">
            <w:pPr>
              <w:pStyle w:val="afff9"/>
            </w:pPr>
            <w:r w:rsidRPr="00131B9D">
              <w:t>郭博堯、鄭睿合</w:t>
            </w:r>
          </w:p>
        </w:tc>
      </w:tr>
      <w:tr w:rsidR="00131B9D" w:rsidRPr="00131B9D" w:rsidTr="0052212B">
        <w:tc>
          <w:tcPr>
            <w:tcW w:w="2700" w:type="dxa"/>
          </w:tcPr>
          <w:p w:rsidR="00131B9D" w:rsidRPr="00131B9D" w:rsidRDefault="00131B9D" w:rsidP="0052212B">
            <w:pPr>
              <w:pStyle w:val="afff9"/>
              <w:jc w:val="distribute"/>
            </w:pPr>
            <w:r w:rsidRPr="00131B9D">
              <w:t>研究助理：</w:t>
            </w:r>
          </w:p>
        </w:tc>
        <w:tc>
          <w:tcPr>
            <w:tcW w:w="3420" w:type="dxa"/>
          </w:tcPr>
          <w:p w:rsidR="00131B9D" w:rsidRPr="00131B9D" w:rsidRDefault="00131B9D" w:rsidP="0052212B">
            <w:pPr>
              <w:pStyle w:val="afff9"/>
            </w:pPr>
            <w:r w:rsidRPr="00131B9D">
              <w:t>蘇桓陞、呂易恂、</w:t>
            </w:r>
          </w:p>
          <w:p w:rsidR="00131B9D" w:rsidRPr="00131B9D" w:rsidRDefault="00131B9D" w:rsidP="0052212B">
            <w:pPr>
              <w:pStyle w:val="afff9"/>
            </w:pPr>
            <w:r w:rsidRPr="00131B9D">
              <w:t>陳冠翰</w:t>
            </w:r>
          </w:p>
          <w:p w:rsidR="00131B9D" w:rsidRPr="00131B9D" w:rsidRDefault="00131B9D" w:rsidP="0052212B">
            <w:pPr>
              <w:pStyle w:val="afff9"/>
            </w:pPr>
          </w:p>
        </w:tc>
      </w:tr>
    </w:tbl>
    <w:p w:rsidR="00131B9D" w:rsidRPr="00131B9D" w:rsidRDefault="00131B9D" w:rsidP="00131B9D">
      <w:pPr>
        <w:rPr>
          <w:rFonts w:eastAsia="標楷體"/>
        </w:rPr>
      </w:pPr>
    </w:p>
    <w:p w:rsidR="00131B9D" w:rsidRPr="00131B9D" w:rsidRDefault="00131B9D" w:rsidP="00131B9D">
      <w:pPr>
        <w:rPr>
          <w:rFonts w:eastAsia="標楷體"/>
        </w:rPr>
      </w:pPr>
    </w:p>
    <w:tbl>
      <w:tblPr>
        <w:tblW w:w="6237" w:type="dxa"/>
        <w:tblInd w:w="1101" w:type="dxa"/>
        <w:tblLook w:val="01E0" w:firstRow="1" w:lastRow="1" w:firstColumn="1" w:lastColumn="1" w:noHBand="0" w:noVBand="0"/>
      </w:tblPr>
      <w:tblGrid>
        <w:gridCol w:w="1984"/>
        <w:gridCol w:w="4253"/>
      </w:tblGrid>
      <w:tr w:rsidR="00131B9D" w:rsidRPr="00131B9D" w:rsidTr="0052212B">
        <w:tc>
          <w:tcPr>
            <w:tcW w:w="1984" w:type="dxa"/>
          </w:tcPr>
          <w:p w:rsidR="00131B9D" w:rsidRPr="00131B9D" w:rsidRDefault="00131B9D" w:rsidP="0052212B">
            <w:pPr>
              <w:pStyle w:val="afff9"/>
              <w:jc w:val="distribute"/>
              <w:rPr>
                <w:szCs w:val="36"/>
              </w:rPr>
            </w:pPr>
            <w:r w:rsidRPr="00131B9D">
              <w:rPr>
                <w:szCs w:val="36"/>
              </w:rPr>
              <w:t>委託單位：</w:t>
            </w:r>
          </w:p>
        </w:tc>
        <w:tc>
          <w:tcPr>
            <w:tcW w:w="4253" w:type="dxa"/>
          </w:tcPr>
          <w:p w:rsidR="00131B9D" w:rsidRPr="00131B9D" w:rsidRDefault="00131B9D" w:rsidP="0052212B">
            <w:pPr>
              <w:pStyle w:val="afff9"/>
              <w:jc w:val="distribute"/>
              <w:rPr>
                <w:szCs w:val="36"/>
              </w:rPr>
            </w:pPr>
            <w:r w:rsidRPr="00131B9D">
              <w:rPr>
                <w:szCs w:val="36"/>
              </w:rPr>
              <w:t>經濟部</w:t>
            </w:r>
          </w:p>
        </w:tc>
      </w:tr>
      <w:tr w:rsidR="00131B9D" w:rsidRPr="00131B9D" w:rsidTr="0052212B">
        <w:tc>
          <w:tcPr>
            <w:tcW w:w="1984" w:type="dxa"/>
          </w:tcPr>
          <w:p w:rsidR="00131B9D" w:rsidRPr="00131B9D" w:rsidRDefault="00131B9D" w:rsidP="0052212B">
            <w:pPr>
              <w:pStyle w:val="afff9"/>
              <w:jc w:val="distribute"/>
              <w:rPr>
                <w:szCs w:val="36"/>
              </w:rPr>
            </w:pPr>
            <w:r w:rsidRPr="00131B9D">
              <w:rPr>
                <w:szCs w:val="36"/>
              </w:rPr>
              <w:t>執行單位：</w:t>
            </w:r>
          </w:p>
        </w:tc>
        <w:tc>
          <w:tcPr>
            <w:tcW w:w="4253" w:type="dxa"/>
          </w:tcPr>
          <w:p w:rsidR="00131B9D" w:rsidRPr="00131B9D" w:rsidRDefault="00131B9D" w:rsidP="0052212B">
            <w:pPr>
              <w:pStyle w:val="afff9"/>
              <w:jc w:val="distribute"/>
              <w:rPr>
                <w:szCs w:val="36"/>
              </w:rPr>
            </w:pPr>
            <w:r w:rsidRPr="00131B9D">
              <w:rPr>
                <w:szCs w:val="36"/>
              </w:rPr>
              <w:t>財團法人中華經濟研究院</w:t>
            </w:r>
          </w:p>
        </w:tc>
      </w:tr>
    </w:tbl>
    <w:p w:rsidR="009B62F2" w:rsidRPr="00131B9D" w:rsidRDefault="00131B9D" w:rsidP="00A114D4">
      <w:pPr>
        <w:pStyle w:val="aff7"/>
        <w:spacing w:line="600" w:lineRule="exact"/>
        <w:ind w:leftChars="-50" w:left="-120" w:rightChars="-55" w:right="-132" w:firstLine="0"/>
        <w:rPr>
          <w:rFonts w:ascii="Times New Roman" w:eastAsia="標楷體" w:cs="Times New Roman"/>
        </w:rPr>
      </w:pPr>
      <w:r w:rsidRPr="00131B9D">
        <w:rPr>
          <w:rFonts w:ascii="Times New Roman" w:eastAsia="標楷體" w:cs="Times New Roman"/>
          <w:sz w:val="30"/>
          <w:szCs w:val="30"/>
        </w:rPr>
        <w:t>中華民國</w:t>
      </w:r>
      <w:r w:rsidRPr="00131B9D">
        <w:rPr>
          <w:rFonts w:ascii="Times New Roman" w:eastAsia="標楷體" w:cs="Times New Roman"/>
          <w:sz w:val="30"/>
          <w:szCs w:val="30"/>
        </w:rPr>
        <w:t xml:space="preserve"> 104 </w:t>
      </w:r>
      <w:r w:rsidRPr="00131B9D">
        <w:rPr>
          <w:rFonts w:ascii="Times New Roman" w:eastAsia="標楷體" w:cs="Times New Roman"/>
          <w:sz w:val="30"/>
          <w:szCs w:val="30"/>
        </w:rPr>
        <w:t>年</w:t>
      </w:r>
      <w:r w:rsidRPr="00131B9D">
        <w:rPr>
          <w:rFonts w:ascii="Times New Roman" w:eastAsia="標楷體" w:cs="Times New Roman"/>
          <w:sz w:val="30"/>
          <w:szCs w:val="30"/>
        </w:rPr>
        <w:t xml:space="preserve"> 12 </w:t>
      </w:r>
      <w:r w:rsidRPr="00131B9D">
        <w:rPr>
          <w:rFonts w:ascii="Times New Roman" w:eastAsia="標楷體" w:cs="Times New Roman"/>
          <w:sz w:val="30"/>
          <w:szCs w:val="30"/>
        </w:rPr>
        <w:t>月</w:t>
      </w:r>
    </w:p>
    <w:p w:rsidR="009B62F2" w:rsidRPr="00131B9D" w:rsidRDefault="009B62F2" w:rsidP="004F7CEF">
      <w:pPr>
        <w:pStyle w:val="-2"/>
        <w:rPr>
          <w:rFonts w:ascii="Times New Roman" w:hAnsi="Times New Roman"/>
        </w:rPr>
        <w:sectPr w:rsidR="009B62F2" w:rsidRPr="00131B9D" w:rsidSect="00573C21">
          <w:footerReference w:type="even" r:id="rId9"/>
          <w:footerReference w:type="default" r:id="rId10"/>
          <w:type w:val="oddPage"/>
          <w:pgSz w:w="11906" w:h="16838"/>
          <w:pgMar w:top="1418" w:right="1418" w:bottom="1418" w:left="1418" w:header="851" w:footer="992" w:gutter="0"/>
          <w:pgNumType w:fmt="upperRoman"/>
          <w:cols w:space="425"/>
          <w:docGrid w:type="lines" w:linePitch="360"/>
        </w:sectPr>
      </w:pPr>
    </w:p>
    <w:p w:rsidR="009B62F2" w:rsidRPr="00131B9D" w:rsidRDefault="009B62F2" w:rsidP="00A502F0">
      <w:pPr>
        <w:jc w:val="center"/>
        <w:rPr>
          <w:rFonts w:eastAsia="標楷體"/>
          <w:b/>
          <w:sz w:val="36"/>
          <w:szCs w:val="36"/>
        </w:rPr>
      </w:pPr>
      <w:bookmarkStart w:id="0" w:name="_Toc373760876"/>
      <w:bookmarkStart w:id="1" w:name="_Toc373761066"/>
      <w:bookmarkStart w:id="2" w:name="_Toc373761933"/>
      <w:r w:rsidRPr="00131B9D">
        <w:rPr>
          <w:rFonts w:eastAsia="標楷體"/>
          <w:b/>
          <w:sz w:val="36"/>
          <w:szCs w:val="36"/>
        </w:rPr>
        <w:lastRenderedPageBreak/>
        <w:t>摘　要</w:t>
      </w:r>
    </w:p>
    <w:p w:rsidR="000370BE" w:rsidRPr="00131B9D" w:rsidRDefault="000370BE" w:rsidP="000370BE">
      <w:pPr>
        <w:pStyle w:val="-"/>
        <w:spacing w:before="72" w:after="72"/>
        <w:ind w:firstLine="560"/>
      </w:pPr>
      <w:r w:rsidRPr="00131B9D">
        <w:t>由於臺灣天然資源稀少，原物料及糧食高度仰賴進口，使得國內民生必需品價格與國際情勢息息相關。本研究持續觀察重要農工原物料進口價格及民生物資價格變化，並蒐集整理相關國際情勢，分析全球原物料價格走勢及變動因素，藉以協助政府及早規劃因應措施，避免國內產業及民生受到物資價格波動的衝擊。此外，亦根據國際時事或委託單位需求，提供相關重要議題分析，掌握未來物價趨勢。</w:t>
      </w:r>
    </w:p>
    <w:p w:rsidR="00EB7665" w:rsidRPr="00131B9D" w:rsidRDefault="00EB7665" w:rsidP="000370BE">
      <w:pPr>
        <w:pStyle w:val="-"/>
        <w:spacing w:before="72" w:after="72"/>
        <w:ind w:firstLine="560"/>
      </w:pPr>
      <w:r w:rsidRPr="00131B9D">
        <w:t>2015</w:t>
      </w:r>
      <w:r w:rsidRPr="00131B9D">
        <w:t>上半年美國景氣逐漸恢復成長動能，歐元區景氣持續擴張，中國大陸雖有止跌回穩跡象，惟整體經濟仍疲弱。</w:t>
      </w:r>
      <w:r w:rsidRPr="00131B9D">
        <w:t>2</w:t>
      </w:r>
      <w:r w:rsidR="000370BE" w:rsidRPr="00131B9D">
        <w:t>015</w:t>
      </w:r>
      <w:r w:rsidR="000370BE" w:rsidRPr="00131B9D">
        <w:t>年</w:t>
      </w:r>
      <w:r w:rsidRPr="00131B9D">
        <w:t>間</w:t>
      </w:r>
      <w:r w:rsidR="000370BE" w:rsidRPr="00131B9D">
        <w:t>國際主要預測機構紛紛下調今年全球經濟成長率，</w:t>
      </w:r>
      <w:r w:rsidRPr="00131B9D">
        <w:t>根據經濟合作暨發展組織（</w:t>
      </w:r>
      <w:r w:rsidRPr="00131B9D">
        <w:t>OECD</w:t>
      </w:r>
      <w:r w:rsidRPr="00131B9D">
        <w:t>）於</w:t>
      </w:r>
      <w:r w:rsidRPr="00131B9D">
        <w:t>2015</w:t>
      </w:r>
      <w:r w:rsidRPr="00131B9D">
        <w:t>年</w:t>
      </w:r>
      <w:r w:rsidRPr="00131B9D">
        <w:t>9</w:t>
      </w:r>
      <w:r w:rsidRPr="00131B9D">
        <w:t>月</w:t>
      </w:r>
      <w:r w:rsidRPr="00131B9D">
        <w:t>16</w:t>
      </w:r>
      <w:r w:rsidRPr="00131B9D">
        <w:t>日發布之《中期經濟評估（</w:t>
      </w:r>
      <w:r w:rsidRPr="00131B9D">
        <w:t>Interim Economic Assessment</w:t>
      </w:r>
      <w:r w:rsidRPr="00131B9D">
        <w:t>）》報告，下修</w:t>
      </w:r>
      <w:r w:rsidRPr="00131B9D">
        <w:t>2015-16</w:t>
      </w:r>
      <w:r w:rsidRPr="00131B9D">
        <w:t>年全球經濟成長率分別為</w:t>
      </w:r>
      <w:r w:rsidRPr="00131B9D">
        <w:t>3.0</w:t>
      </w:r>
      <w:r w:rsidRPr="00131B9D">
        <w:t>％與</w:t>
      </w:r>
      <w:r w:rsidRPr="00131B9D">
        <w:t>3.6</w:t>
      </w:r>
      <w:r w:rsidRPr="00131B9D">
        <w:t>％，</w:t>
      </w:r>
      <w:r w:rsidRPr="00131B9D">
        <w:t>2015</w:t>
      </w:r>
      <w:r w:rsidRPr="00131B9D">
        <w:t>下半年全球經濟前景略有減弱，主要原因為中國大陸與新興市場國家經濟持續放緩。而亞洲開發銀行（</w:t>
      </w:r>
      <w:r w:rsidRPr="00131B9D">
        <w:t>ADB</w:t>
      </w:r>
      <w:r w:rsidRPr="00131B9D">
        <w:t>）則預估開發中亞洲國家</w:t>
      </w:r>
      <w:r w:rsidRPr="00131B9D">
        <w:t>2015-16</w:t>
      </w:r>
      <w:r w:rsidRPr="00131B9D">
        <w:t>年經濟成長率分別</w:t>
      </w:r>
      <w:r w:rsidRPr="00131B9D">
        <w:t>5.8</w:t>
      </w:r>
      <w:r w:rsidRPr="00131B9D">
        <w:t>％和</w:t>
      </w:r>
      <w:r w:rsidRPr="00131B9D">
        <w:t>6.0</w:t>
      </w:r>
      <w:r w:rsidRPr="00131B9D">
        <w:t>％，開發中亞洲國家成長轉為新常態。觀察下半年主要區域國家景氣動向，美國景氣擴張力道轉弱、歐元區溫和擴張，中國大陸景氣則趨緩。</w:t>
      </w:r>
    </w:p>
    <w:p w:rsidR="000370BE" w:rsidRPr="00131B9D" w:rsidRDefault="000370BE" w:rsidP="000370BE">
      <w:pPr>
        <w:pStyle w:val="-"/>
        <w:numPr>
          <w:ilvl w:val="0"/>
          <w:numId w:val="3"/>
        </w:numPr>
        <w:spacing w:before="72" w:after="72"/>
        <w:ind w:firstLineChars="0"/>
      </w:pPr>
      <w:r w:rsidRPr="00131B9D">
        <w:t>大宗物資：食品價格指數自</w:t>
      </w:r>
      <w:r w:rsidRPr="00131B9D">
        <w:t>2014</w:t>
      </w:r>
      <w:r w:rsidRPr="00131B9D">
        <w:t>年</w:t>
      </w:r>
      <w:r w:rsidRPr="00131B9D">
        <w:t>6</w:t>
      </w:r>
      <w:r w:rsidRPr="00131B9D">
        <w:t>月開始走跌，至</w:t>
      </w:r>
      <w:r w:rsidRPr="00131B9D">
        <w:t>2015</w:t>
      </w:r>
      <w:r w:rsidRPr="00131B9D">
        <w:t>年</w:t>
      </w:r>
      <w:r w:rsidRPr="00131B9D">
        <w:t>6</w:t>
      </w:r>
      <w:r w:rsidRPr="00131B9D">
        <w:t>月已下跌了</w:t>
      </w:r>
      <w:r w:rsidRPr="00131B9D">
        <w:t>21%</w:t>
      </w:r>
      <w:r w:rsidRPr="00131B9D">
        <w:t>，各商品的走勢不同，其中糖及奶類價格下跌最多；穀物方面，雖然六月中旬後，美國產地因氣候不佳，為價格提供一些支撐，但由於結轉庫存充足，生產前景普遍良好，使價格的上漲受到限制，下半年大致上持續上半年的跌勢，惟糖因供需基本面明顯改善而大幅回升。</w:t>
      </w:r>
      <w:r w:rsidRPr="00131B9D">
        <w:t xml:space="preserve"> </w:t>
      </w:r>
    </w:p>
    <w:p w:rsidR="000370BE" w:rsidRPr="00131B9D" w:rsidRDefault="000370BE" w:rsidP="000370BE">
      <w:pPr>
        <w:pStyle w:val="-"/>
        <w:numPr>
          <w:ilvl w:val="0"/>
          <w:numId w:val="3"/>
        </w:numPr>
        <w:spacing w:before="72" w:after="72"/>
        <w:ind w:firstLineChars="0"/>
      </w:pPr>
      <w:r w:rsidRPr="00131B9D">
        <w:t>基本金屬：大部分基本金屬仍生產過剩，且中國大陸的需求放緩，雖有關當局進行一些經濟刺激措施，但成效並不顯著，此外，包括市場普遍預期美國可能在今年內升息，以及希臘債務問題等，也都是拖累金屬價格的重要因素，而下半年金屬價格大多仍呈弱勢格局。</w:t>
      </w:r>
    </w:p>
    <w:p w:rsidR="000370BE" w:rsidRPr="00131B9D" w:rsidRDefault="000370BE" w:rsidP="000370BE">
      <w:pPr>
        <w:pStyle w:val="-"/>
        <w:numPr>
          <w:ilvl w:val="0"/>
          <w:numId w:val="3"/>
        </w:numPr>
        <w:spacing w:before="72" w:after="72"/>
        <w:ind w:firstLineChars="0"/>
      </w:pPr>
      <w:r w:rsidRPr="00131B9D">
        <w:lastRenderedPageBreak/>
        <w:t>原油：今年雖然美國鑽油井持續下降、且低油價造成原油需求增速創</w:t>
      </w:r>
      <w:r w:rsidRPr="00131B9D">
        <w:t>5</w:t>
      </w:r>
      <w:r w:rsidRPr="00131B9D">
        <w:t>年新高，加上預期未來非</w:t>
      </w:r>
      <w:r w:rsidRPr="00131B9D">
        <w:t>OPEC</w:t>
      </w:r>
      <w:r w:rsidRPr="00131B9D">
        <w:t>國家原油產量將下降等因素，對油價形成支持。但美國、</w:t>
      </w:r>
      <w:r w:rsidRPr="00131B9D">
        <w:t>OPEC</w:t>
      </w:r>
      <w:r w:rsidRPr="00131B9D">
        <w:t>及俄羅斯油產量都位於高點，原油基本面仍呈現供過於求，且</w:t>
      </w:r>
      <w:r w:rsidRPr="00131B9D">
        <w:t>OECD</w:t>
      </w:r>
      <w:r w:rsidRPr="00131B9D">
        <w:t>國家原油庫存創歷史新高，加之伊朗與</w:t>
      </w:r>
      <w:r w:rsidRPr="00131B9D">
        <w:t>6</w:t>
      </w:r>
      <w:r w:rsidRPr="00131B9D">
        <w:t>國達成核武協議，正逐步解除制裁，若未來原油出口增加將近一步壓低國際油價。因此預期未來原油價格將仍然疲弱。</w:t>
      </w:r>
    </w:p>
    <w:p w:rsidR="000370BE" w:rsidRPr="00131B9D" w:rsidRDefault="000370BE" w:rsidP="000370BE">
      <w:pPr>
        <w:pStyle w:val="-"/>
        <w:numPr>
          <w:ilvl w:val="0"/>
          <w:numId w:val="3"/>
        </w:numPr>
        <w:spacing w:before="72" w:after="72"/>
        <w:ind w:firstLineChars="0"/>
      </w:pPr>
      <w:r w:rsidRPr="00131B9D">
        <w:t>金屬工業原料：中國大陸粗鋼產量出現</w:t>
      </w:r>
      <w:r w:rsidRPr="00131B9D">
        <w:t>20</w:t>
      </w:r>
      <w:r w:rsidRPr="00131B9D">
        <w:t>年來首次下降，惟其產量仍高，且中國大陸國內鋼鐵需求不足，不僅造成其國內鋼品價格下跌，更利用低價優勢，大量外銷鋼鐵製品，將其國內鋼價下跌之態勢擴散到國外，因而造成</w:t>
      </w:r>
      <w:r w:rsidRPr="00131B9D">
        <w:t>7</w:t>
      </w:r>
      <w:r w:rsidRPr="00131B9D">
        <w:t>月亞洲鋼價創</w:t>
      </w:r>
      <w:r w:rsidRPr="00131B9D">
        <w:t>9</w:t>
      </w:r>
      <w:r w:rsidRPr="00131B9D">
        <w:t>年新低。鋼鐵供過於求之局勢嚴重，且鋼鐵上游原料鐵礦石價格也未有回穩之勢，國際鐵礦石大廠第</w:t>
      </w:r>
      <w:r w:rsidRPr="00131B9D">
        <w:t>3</w:t>
      </w:r>
      <w:r w:rsidRPr="00131B9D">
        <w:t>季產量呈持續成長，更加深鋼鐵之跌勢，預期未來鋼鐵價格仍不樂觀。</w:t>
      </w:r>
    </w:p>
    <w:p w:rsidR="00E36FF0" w:rsidRPr="00131B9D" w:rsidRDefault="009B62F2" w:rsidP="00E36FF0">
      <w:pPr>
        <w:pStyle w:val="-"/>
        <w:spacing w:before="72" w:after="72"/>
        <w:ind w:firstLine="560"/>
      </w:pPr>
      <w:r w:rsidRPr="00131B9D">
        <w:t>至於國內民生物價方面，</w:t>
      </w:r>
      <w:r w:rsidR="001A2935" w:rsidRPr="00131B9D">
        <w:t>2015</w:t>
      </w:r>
      <w:r w:rsidR="00E36FF0" w:rsidRPr="00131B9D">
        <w:t>上半年以米、蛋、麵粉、奶粉、乳品以及吐司之價格波動最為明顯，其中，米主要受到氣候、供需、節慶以及政策等因素影響，蛋則受到禽流感衝擊</w:t>
      </w:r>
      <w:r w:rsidR="00081A62" w:rsidRPr="00131B9D">
        <w:t>最甚</w:t>
      </w:r>
      <w:r w:rsidR="00E36FF0" w:rsidRPr="00131B9D">
        <w:t>，此外上半年適逢農曆春節以及傳統節慶</w:t>
      </w:r>
      <w:r w:rsidR="00081A62" w:rsidRPr="00131B9D">
        <w:t>使得價格持續震盪，</w:t>
      </w:r>
      <w:r w:rsidR="00E36FF0" w:rsidRPr="00131B9D">
        <w:t>麵粉之價格波動則可歸納為匯率、國際小麥價格以及其他國內因素等三大類</w:t>
      </w:r>
      <w:r w:rsidR="00081A62" w:rsidRPr="00131B9D">
        <w:t>。</w:t>
      </w:r>
      <w:r w:rsidR="001A2935" w:rsidRPr="00131B9D">
        <w:t>2015</w:t>
      </w:r>
      <w:r w:rsidR="006B4392" w:rsidRPr="00131B9D">
        <w:t>下半年</w:t>
      </w:r>
      <w:r w:rsidR="000370BE" w:rsidRPr="00131B9D">
        <w:t>由於進入秋冬交替之際，氣溫下降，候鳥大舉來臺過冬，屬禽流感好發季節，全臺各地出現零星確診案例，影響國內蛋價走勢</w:t>
      </w:r>
      <w:r w:rsidR="00215C53" w:rsidRPr="00131B9D">
        <w:t>。其餘品項價格偶有波動，主因多為各通路採取促銷活動所致。</w:t>
      </w:r>
      <w:r w:rsidR="005C4854" w:rsidRPr="00131B9D">
        <w:t>本研究針對</w:t>
      </w:r>
      <w:r w:rsidR="003852AA" w:rsidRPr="00131B9D">
        <w:t>14</w:t>
      </w:r>
      <w:r w:rsidR="00E36FF0" w:rsidRPr="00131B9D">
        <w:t>大類</w:t>
      </w:r>
      <w:r w:rsidR="005C4854" w:rsidRPr="00131B9D">
        <w:t>品項進行監控與調查</w:t>
      </w:r>
      <w:r w:rsidR="00E36FF0" w:rsidRPr="00131B9D">
        <w:t>，</w:t>
      </w:r>
      <w:r w:rsidR="003852AA" w:rsidRPr="00131B9D">
        <w:t>其中，</w:t>
      </w:r>
      <w:r w:rsidR="00E36FF0" w:rsidRPr="00131B9D">
        <w:t>於</w:t>
      </w:r>
      <w:r w:rsidR="00215C53" w:rsidRPr="00131B9D">
        <w:t>2015</w:t>
      </w:r>
      <w:r w:rsidR="00E36FF0" w:rsidRPr="00131B9D">
        <w:t>年間出現價格調整之品項</w:t>
      </w:r>
      <w:r w:rsidR="00215C53" w:rsidRPr="00131B9D">
        <w:t>則</w:t>
      </w:r>
      <w:r w:rsidR="00E36FF0" w:rsidRPr="00131B9D">
        <w:t>包括米、</w:t>
      </w:r>
      <w:r w:rsidRPr="00131B9D">
        <w:t>蛋</w:t>
      </w:r>
      <w:r w:rsidR="00E36FF0" w:rsidRPr="00131B9D">
        <w:t>、醬油、糖、乳品、奶粉、麵食、洗衣粉、衛生紙、洗髮精及吐司等</w:t>
      </w:r>
      <w:r w:rsidR="00081A62" w:rsidRPr="00131B9D">
        <w:t>。</w:t>
      </w:r>
    </w:p>
    <w:p w:rsidR="00D5489A" w:rsidRPr="00131B9D" w:rsidRDefault="00D5489A" w:rsidP="00EC170C"/>
    <w:p w:rsidR="00D5489A" w:rsidRPr="00131B9D" w:rsidRDefault="00D5489A" w:rsidP="00D5489A"/>
    <w:p w:rsidR="00D5489A" w:rsidRPr="00131B9D" w:rsidRDefault="00D5489A" w:rsidP="00D5489A">
      <w:pPr>
        <w:pStyle w:val="-"/>
        <w:spacing w:before="72" w:after="72"/>
        <w:ind w:firstLine="560"/>
        <w:sectPr w:rsidR="00D5489A" w:rsidRPr="00131B9D" w:rsidSect="002D6CE3">
          <w:footerReference w:type="default" r:id="rId11"/>
          <w:pgSz w:w="11906" w:h="16838"/>
          <w:pgMar w:top="1418" w:right="1418" w:bottom="1418" w:left="1418" w:header="851" w:footer="992" w:gutter="0"/>
          <w:pgNumType w:fmt="upperRoman" w:start="1"/>
          <w:cols w:space="425"/>
          <w:docGrid w:type="lines" w:linePitch="360"/>
        </w:sectPr>
      </w:pPr>
    </w:p>
    <w:p w:rsidR="009B62F2" w:rsidRPr="00131B9D" w:rsidRDefault="009B62F2" w:rsidP="0031547A">
      <w:pPr>
        <w:jc w:val="center"/>
        <w:rPr>
          <w:rFonts w:eastAsia="標楷體"/>
          <w:b/>
          <w:sz w:val="36"/>
          <w:szCs w:val="36"/>
        </w:rPr>
      </w:pPr>
      <w:r w:rsidRPr="00131B9D">
        <w:rPr>
          <w:rFonts w:eastAsia="標楷體"/>
          <w:b/>
          <w:sz w:val="36"/>
          <w:szCs w:val="36"/>
        </w:rPr>
        <w:lastRenderedPageBreak/>
        <w:t>目　次</w:t>
      </w:r>
      <w:bookmarkEnd w:id="0"/>
      <w:bookmarkEnd w:id="1"/>
      <w:bookmarkEnd w:id="2"/>
    </w:p>
    <w:p w:rsidR="00EC0D9A" w:rsidRDefault="002F5B6D">
      <w:pPr>
        <w:pStyle w:val="13"/>
        <w:spacing w:before="180" w:after="180"/>
        <w:rPr>
          <w:rFonts w:asciiTheme="minorHAnsi" w:eastAsiaTheme="minorEastAsia" w:hAnsiTheme="minorHAnsi" w:cstheme="minorBidi"/>
          <w:b w:val="0"/>
          <w:sz w:val="24"/>
          <w:szCs w:val="22"/>
        </w:rPr>
      </w:pPr>
      <w:r w:rsidRPr="00131B9D">
        <w:rPr>
          <w:rStyle w:val="afe"/>
          <w:color w:val="auto"/>
          <w:szCs w:val="36"/>
        </w:rPr>
        <w:fldChar w:fldCharType="begin"/>
      </w:r>
      <w:r w:rsidR="009B62F2" w:rsidRPr="00131B9D">
        <w:rPr>
          <w:rStyle w:val="afe"/>
          <w:color w:val="auto"/>
          <w:szCs w:val="36"/>
        </w:rPr>
        <w:instrText xml:space="preserve"> TOC \o "1-2" \h \z \t "</w:instrText>
      </w:r>
      <w:r w:rsidR="009B62F2" w:rsidRPr="00131B9D">
        <w:rPr>
          <w:rStyle w:val="afe"/>
          <w:color w:val="auto"/>
          <w:szCs w:val="36"/>
        </w:rPr>
        <w:instrText>附件題</w:instrText>
      </w:r>
      <w:r w:rsidR="009B62F2" w:rsidRPr="00131B9D">
        <w:rPr>
          <w:rStyle w:val="afe"/>
          <w:color w:val="auto"/>
          <w:szCs w:val="36"/>
        </w:rPr>
        <w:instrText xml:space="preserve">,3" </w:instrText>
      </w:r>
      <w:r w:rsidRPr="00131B9D">
        <w:rPr>
          <w:rStyle w:val="afe"/>
          <w:color w:val="auto"/>
          <w:szCs w:val="36"/>
        </w:rPr>
        <w:fldChar w:fldCharType="separate"/>
      </w:r>
      <w:hyperlink w:anchor="_Toc439162944" w:history="1">
        <w:r w:rsidR="00EC0D9A" w:rsidRPr="002A5F11">
          <w:rPr>
            <w:rStyle w:val="afe"/>
            <w:rFonts w:hint="eastAsia"/>
          </w:rPr>
          <w:t>壹、前言</w:t>
        </w:r>
        <w:r w:rsidR="00EC0D9A" w:rsidRPr="00EC0D9A">
          <w:rPr>
            <w:rStyle w:val="afe"/>
            <w:webHidden/>
          </w:rPr>
          <w:tab/>
        </w:r>
        <w:r w:rsidR="00EC0D9A">
          <w:rPr>
            <w:webHidden/>
          </w:rPr>
          <w:tab/>
        </w:r>
        <w:r w:rsidR="00EC0D9A">
          <w:rPr>
            <w:webHidden/>
          </w:rPr>
          <w:fldChar w:fldCharType="begin"/>
        </w:r>
        <w:r w:rsidR="00EC0D9A">
          <w:rPr>
            <w:webHidden/>
          </w:rPr>
          <w:instrText xml:space="preserve"> PAGEREF _Toc439162944 \h </w:instrText>
        </w:r>
        <w:r w:rsidR="00EC0D9A">
          <w:rPr>
            <w:webHidden/>
          </w:rPr>
        </w:r>
        <w:r w:rsidR="00EC0D9A">
          <w:rPr>
            <w:webHidden/>
          </w:rPr>
          <w:fldChar w:fldCharType="separate"/>
        </w:r>
        <w:r w:rsidR="001641D3">
          <w:rPr>
            <w:webHidden/>
          </w:rPr>
          <w:t>1</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45" w:history="1">
        <w:r w:rsidR="00EC0D9A" w:rsidRPr="002A5F11">
          <w:rPr>
            <w:rStyle w:val="afe"/>
            <w:rFonts w:hint="eastAsia"/>
          </w:rPr>
          <w:t>一、本計畫需求要項</w:t>
        </w:r>
        <w:r w:rsidR="00EC0D9A">
          <w:rPr>
            <w:webHidden/>
          </w:rPr>
          <w:tab/>
        </w:r>
        <w:r w:rsidR="00EC0D9A">
          <w:rPr>
            <w:webHidden/>
          </w:rPr>
          <w:fldChar w:fldCharType="begin"/>
        </w:r>
        <w:r w:rsidR="00EC0D9A">
          <w:rPr>
            <w:webHidden/>
          </w:rPr>
          <w:instrText xml:space="preserve"> PAGEREF _Toc439162945 \h </w:instrText>
        </w:r>
        <w:r w:rsidR="00EC0D9A">
          <w:rPr>
            <w:webHidden/>
          </w:rPr>
        </w:r>
        <w:r w:rsidR="00EC0D9A">
          <w:rPr>
            <w:webHidden/>
          </w:rPr>
          <w:fldChar w:fldCharType="separate"/>
        </w:r>
        <w:r w:rsidR="001641D3">
          <w:rPr>
            <w:webHidden/>
          </w:rPr>
          <w:t>2</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46" w:history="1">
        <w:r w:rsidR="00EC0D9A" w:rsidRPr="002A5F11">
          <w:rPr>
            <w:rStyle w:val="afe"/>
            <w:rFonts w:hint="eastAsia"/>
          </w:rPr>
          <w:t>二、</w:t>
        </w:r>
        <w:r w:rsidR="00EC0D9A" w:rsidRPr="002A5F11">
          <w:rPr>
            <w:rStyle w:val="afe"/>
          </w:rPr>
          <w:t>2015</w:t>
        </w:r>
        <w:r w:rsidR="00EC0D9A" w:rsidRPr="002A5F11">
          <w:rPr>
            <w:rStyle w:val="afe"/>
            <w:rFonts w:hint="eastAsia"/>
          </w:rPr>
          <w:t>全年執行成果</w:t>
        </w:r>
        <w:r w:rsidR="00EC0D9A">
          <w:rPr>
            <w:webHidden/>
          </w:rPr>
          <w:tab/>
        </w:r>
        <w:r w:rsidR="00EC0D9A">
          <w:rPr>
            <w:webHidden/>
          </w:rPr>
          <w:fldChar w:fldCharType="begin"/>
        </w:r>
        <w:r w:rsidR="00EC0D9A">
          <w:rPr>
            <w:webHidden/>
          </w:rPr>
          <w:instrText xml:space="preserve"> PAGEREF _Toc439162946 \h </w:instrText>
        </w:r>
        <w:r w:rsidR="00EC0D9A">
          <w:rPr>
            <w:webHidden/>
          </w:rPr>
        </w:r>
        <w:r w:rsidR="00EC0D9A">
          <w:rPr>
            <w:webHidden/>
          </w:rPr>
          <w:fldChar w:fldCharType="separate"/>
        </w:r>
        <w:r w:rsidR="001641D3">
          <w:rPr>
            <w:webHidden/>
          </w:rPr>
          <w:t>3</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47" w:history="1">
        <w:r w:rsidR="00EC0D9A" w:rsidRPr="002A5F11">
          <w:rPr>
            <w:rStyle w:val="afe"/>
            <w:rFonts w:hint="eastAsia"/>
          </w:rPr>
          <w:t>貮、總體金融暨相關指數分析</w:t>
        </w:r>
        <w:r w:rsidR="00EC0D9A">
          <w:rPr>
            <w:webHidden/>
          </w:rPr>
          <w:tab/>
        </w:r>
        <w:r w:rsidR="00EC0D9A">
          <w:rPr>
            <w:webHidden/>
          </w:rPr>
          <w:fldChar w:fldCharType="begin"/>
        </w:r>
        <w:r w:rsidR="00EC0D9A">
          <w:rPr>
            <w:webHidden/>
          </w:rPr>
          <w:instrText xml:space="preserve"> PAGEREF _Toc439162947 \h </w:instrText>
        </w:r>
        <w:r w:rsidR="00EC0D9A">
          <w:rPr>
            <w:webHidden/>
          </w:rPr>
        </w:r>
        <w:r w:rsidR="00EC0D9A">
          <w:rPr>
            <w:webHidden/>
          </w:rPr>
          <w:fldChar w:fldCharType="separate"/>
        </w:r>
        <w:r w:rsidR="001641D3">
          <w:rPr>
            <w:webHidden/>
          </w:rPr>
          <w:t>5</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48" w:history="1">
        <w:r w:rsidR="00EC0D9A" w:rsidRPr="002A5F11">
          <w:rPr>
            <w:rStyle w:val="afe"/>
            <w:rFonts w:hint="eastAsia"/>
          </w:rPr>
          <w:t>一、</w:t>
        </w:r>
        <w:r w:rsidR="00EC0D9A" w:rsidRPr="002A5F11">
          <w:rPr>
            <w:rStyle w:val="afe"/>
          </w:rPr>
          <w:t>2015</w:t>
        </w:r>
        <w:r w:rsidR="00EC0D9A" w:rsidRPr="002A5F11">
          <w:rPr>
            <w:rStyle w:val="afe"/>
            <w:rFonts w:hint="eastAsia"/>
          </w:rPr>
          <w:t>全年金融情勢分析</w:t>
        </w:r>
        <w:r w:rsidR="00EC0D9A">
          <w:rPr>
            <w:webHidden/>
          </w:rPr>
          <w:tab/>
        </w:r>
        <w:r w:rsidR="00EC0D9A">
          <w:rPr>
            <w:webHidden/>
          </w:rPr>
          <w:fldChar w:fldCharType="begin"/>
        </w:r>
        <w:r w:rsidR="00EC0D9A">
          <w:rPr>
            <w:webHidden/>
          </w:rPr>
          <w:instrText xml:space="preserve"> PAGEREF _Toc439162948 \h </w:instrText>
        </w:r>
        <w:r w:rsidR="00EC0D9A">
          <w:rPr>
            <w:webHidden/>
          </w:rPr>
        </w:r>
        <w:r w:rsidR="00EC0D9A">
          <w:rPr>
            <w:webHidden/>
          </w:rPr>
          <w:fldChar w:fldCharType="separate"/>
        </w:r>
        <w:r w:rsidR="001641D3">
          <w:rPr>
            <w:webHidden/>
          </w:rPr>
          <w:t>5</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49" w:history="1">
        <w:r w:rsidR="00EC0D9A" w:rsidRPr="002A5F11">
          <w:rPr>
            <w:rStyle w:val="afe"/>
            <w:rFonts w:hint="eastAsia"/>
          </w:rPr>
          <w:t>二、相關經濟指數</w:t>
        </w:r>
        <w:r w:rsidR="00EC0D9A">
          <w:rPr>
            <w:webHidden/>
          </w:rPr>
          <w:tab/>
        </w:r>
        <w:r w:rsidR="00EC0D9A">
          <w:rPr>
            <w:webHidden/>
          </w:rPr>
          <w:fldChar w:fldCharType="begin"/>
        </w:r>
        <w:r w:rsidR="00EC0D9A">
          <w:rPr>
            <w:webHidden/>
          </w:rPr>
          <w:instrText xml:space="preserve"> PAGEREF _Toc439162949 \h </w:instrText>
        </w:r>
        <w:r w:rsidR="00EC0D9A">
          <w:rPr>
            <w:webHidden/>
          </w:rPr>
        </w:r>
        <w:r w:rsidR="00EC0D9A">
          <w:rPr>
            <w:webHidden/>
          </w:rPr>
          <w:fldChar w:fldCharType="separate"/>
        </w:r>
        <w:r w:rsidR="001641D3">
          <w:rPr>
            <w:webHidden/>
          </w:rPr>
          <w:t>14</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50" w:history="1">
        <w:r w:rsidR="00EC0D9A" w:rsidRPr="002A5F11">
          <w:rPr>
            <w:rStyle w:val="afe"/>
            <w:rFonts w:hint="eastAsia"/>
          </w:rPr>
          <w:t>參、</w:t>
        </w:r>
        <w:r w:rsidR="00EC0D9A" w:rsidRPr="002A5F11">
          <w:rPr>
            <w:rStyle w:val="afe"/>
          </w:rPr>
          <w:t>2015</w:t>
        </w:r>
        <w:r w:rsidR="00EC0D9A" w:rsidRPr="002A5F11">
          <w:rPr>
            <w:rStyle w:val="afe"/>
            <w:rFonts w:hint="eastAsia"/>
          </w:rPr>
          <w:t>年重要原物料整體價格情勢</w:t>
        </w:r>
        <w:r w:rsidR="00EC0D9A">
          <w:rPr>
            <w:webHidden/>
          </w:rPr>
          <w:tab/>
        </w:r>
        <w:r w:rsidR="00EC0D9A">
          <w:rPr>
            <w:webHidden/>
          </w:rPr>
          <w:fldChar w:fldCharType="begin"/>
        </w:r>
        <w:r w:rsidR="00EC0D9A">
          <w:rPr>
            <w:webHidden/>
          </w:rPr>
          <w:instrText xml:space="preserve"> PAGEREF _Toc439162950 \h </w:instrText>
        </w:r>
        <w:r w:rsidR="00EC0D9A">
          <w:rPr>
            <w:webHidden/>
          </w:rPr>
        </w:r>
        <w:r w:rsidR="00EC0D9A">
          <w:rPr>
            <w:webHidden/>
          </w:rPr>
          <w:fldChar w:fldCharType="separate"/>
        </w:r>
        <w:r w:rsidR="001641D3">
          <w:rPr>
            <w:webHidden/>
          </w:rPr>
          <w:t>18</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51" w:history="1">
        <w:r w:rsidR="00EC0D9A" w:rsidRPr="002A5F11">
          <w:rPr>
            <w:rStyle w:val="afe"/>
            <w:rFonts w:hint="eastAsia"/>
          </w:rPr>
          <w:t>一、整體摘要</w:t>
        </w:r>
        <w:r w:rsidR="00EC0D9A">
          <w:rPr>
            <w:webHidden/>
          </w:rPr>
          <w:tab/>
        </w:r>
        <w:r w:rsidR="00EC0D9A">
          <w:rPr>
            <w:webHidden/>
          </w:rPr>
          <w:fldChar w:fldCharType="begin"/>
        </w:r>
        <w:r w:rsidR="00EC0D9A">
          <w:rPr>
            <w:webHidden/>
          </w:rPr>
          <w:instrText xml:space="preserve"> PAGEREF _Toc439162951 \h </w:instrText>
        </w:r>
        <w:r w:rsidR="00EC0D9A">
          <w:rPr>
            <w:webHidden/>
          </w:rPr>
        </w:r>
        <w:r w:rsidR="00EC0D9A">
          <w:rPr>
            <w:webHidden/>
          </w:rPr>
          <w:fldChar w:fldCharType="separate"/>
        </w:r>
        <w:r w:rsidR="001641D3">
          <w:rPr>
            <w:webHidden/>
          </w:rPr>
          <w:t>18</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52" w:history="1">
        <w:r w:rsidR="00EC0D9A" w:rsidRPr="002A5F11">
          <w:rPr>
            <w:rStyle w:val="afe"/>
            <w:rFonts w:hint="eastAsia"/>
          </w:rPr>
          <w:t>二、大宗物資</w:t>
        </w:r>
        <w:r w:rsidR="00EC0D9A">
          <w:rPr>
            <w:webHidden/>
          </w:rPr>
          <w:tab/>
        </w:r>
        <w:r w:rsidR="00EC0D9A">
          <w:rPr>
            <w:webHidden/>
          </w:rPr>
          <w:fldChar w:fldCharType="begin"/>
        </w:r>
        <w:r w:rsidR="00EC0D9A">
          <w:rPr>
            <w:webHidden/>
          </w:rPr>
          <w:instrText xml:space="preserve"> PAGEREF _Toc439162952 \h </w:instrText>
        </w:r>
        <w:r w:rsidR="00EC0D9A">
          <w:rPr>
            <w:webHidden/>
          </w:rPr>
        </w:r>
        <w:r w:rsidR="00EC0D9A">
          <w:rPr>
            <w:webHidden/>
          </w:rPr>
          <w:fldChar w:fldCharType="separate"/>
        </w:r>
        <w:r w:rsidR="001641D3">
          <w:rPr>
            <w:webHidden/>
          </w:rPr>
          <w:t>22</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53" w:history="1">
        <w:r w:rsidR="00EC0D9A" w:rsidRPr="002A5F11">
          <w:rPr>
            <w:rStyle w:val="afe"/>
            <w:rFonts w:hint="eastAsia"/>
          </w:rPr>
          <w:t>三、基本金屬</w:t>
        </w:r>
        <w:r w:rsidR="00EC0D9A">
          <w:rPr>
            <w:webHidden/>
          </w:rPr>
          <w:tab/>
        </w:r>
        <w:r w:rsidR="00EC0D9A">
          <w:rPr>
            <w:webHidden/>
          </w:rPr>
          <w:fldChar w:fldCharType="begin"/>
        </w:r>
        <w:r w:rsidR="00EC0D9A">
          <w:rPr>
            <w:webHidden/>
          </w:rPr>
          <w:instrText xml:space="preserve"> PAGEREF _Toc439162953 \h </w:instrText>
        </w:r>
        <w:r w:rsidR="00EC0D9A">
          <w:rPr>
            <w:webHidden/>
          </w:rPr>
        </w:r>
        <w:r w:rsidR="00EC0D9A">
          <w:rPr>
            <w:webHidden/>
          </w:rPr>
          <w:fldChar w:fldCharType="separate"/>
        </w:r>
        <w:r w:rsidR="001641D3">
          <w:rPr>
            <w:webHidden/>
          </w:rPr>
          <w:t>44</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54" w:history="1">
        <w:r w:rsidR="00EC0D9A" w:rsidRPr="002A5F11">
          <w:rPr>
            <w:rStyle w:val="afe"/>
            <w:rFonts w:hint="eastAsia"/>
          </w:rPr>
          <w:t>四、金屬工業原料</w:t>
        </w:r>
        <w:r w:rsidR="00EC0D9A">
          <w:rPr>
            <w:webHidden/>
          </w:rPr>
          <w:tab/>
        </w:r>
        <w:r w:rsidR="00EC0D9A">
          <w:rPr>
            <w:webHidden/>
          </w:rPr>
          <w:fldChar w:fldCharType="begin"/>
        </w:r>
        <w:r w:rsidR="00EC0D9A">
          <w:rPr>
            <w:webHidden/>
          </w:rPr>
          <w:instrText xml:space="preserve"> PAGEREF _Toc439162954 \h </w:instrText>
        </w:r>
        <w:r w:rsidR="00EC0D9A">
          <w:rPr>
            <w:webHidden/>
          </w:rPr>
        </w:r>
        <w:r w:rsidR="00EC0D9A">
          <w:rPr>
            <w:webHidden/>
          </w:rPr>
          <w:fldChar w:fldCharType="separate"/>
        </w:r>
        <w:r w:rsidR="001641D3">
          <w:rPr>
            <w:webHidden/>
          </w:rPr>
          <w:t>75</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55" w:history="1">
        <w:r w:rsidR="00EC0D9A" w:rsidRPr="002A5F11">
          <w:rPr>
            <w:rStyle w:val="afe"/>
            <w:rFonts w:hint="eastAsia"/>
          </w:rPr>
          <w:t>五、石化</w:t>
        </w:r>
        <w:r w:rsidR="00EC0D9A">
          <w:rPr>
            <w:webHidden/>
          </w:rPr>
          <w:tab/>
        </w:r>
        <w:r w:rsidR="00EC0D9A">
          <w:rPr>
            <w:webHidden/>
          </w:rPr>
          <w:fldChar w:fldCharType="begin"/>
        </w:r>
        <w:r w:rsidR="00EC0D9A">
          <w:rPr>
            <w:webHidden/>
          </w:rPr>
          <w:instrText xml:space="preserve"> PAGEREF _Toc439162955 \h </w:instrText>
        </w:r>
        <w:r w:rsidR="00EC0D9A">
          <w:rPr>
            <w:webHidden/>
          </w:rPr>
        </w:r>
        <w:r w:rsidR="00EC0D9A">
          <w:rPr>
            <w:webHidden/>
          </w:rPr>
          <w:fldChar w:fldCharType="separate"/>
        </w:r>
        <w:r w:rsidR="001641D3">
          <w:rPr>
            <w:webHidden/>
          </w:rPr>
          <w:t>88</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56" w:history="1">
        <w:r w:rsidR="00EC0D9A" w:rsidRPr="002A5F11">
          <w:rPr>
            <w:rStyle w:val="afe"/>
            <w:rFonts w:hint="eastAsia"/>
          </w:rPr>
          <w:t>六、紙</w:t>
        </w:r>
        <w:r w:rsidR="00EC0D9A">
          <w:rPr>
            <w:webHidden/>
          </w:rPr>
          <w:tab/>
        </w:r>
        <w:r w:rsidR="00EC0D9A">
          <w:rPr>
            <w:webHidden/>
          </w:rPr>
          <w:fldChar w:fldCharType="begin"/>
        </w:r>
        <w:r w:rsidR="00EC0D9A">
          <w:rPr>
            <w:webHidden/>
          </w:rPr>
          <w:instrText xml:space="preserve"> PAGEREF _Toc439162956 \h </w:instrText>
        </w:r>
        <w:r w:rsidR="00EC0D9A">
          <w:rPr>
            <w:webHidden/>
          </w:rPr>
        </w:r>
        <w:r w:rsidR="00EC0D9A">
          <w:rPr>
            <w:webHidden/>
          </w:rPr>
          <w:fldChar w:fldCharType="separate"/>
        </w:r>
        <w:r w:rsidR="001641D3">
          <w:rPr>
            <w:webHidden/>
          </w:rPr>
          <w:t>108</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57" w:history="1">
        <w:r w:rsidR="00EC0D9A" w:rsidRPr="002A5F11">
          <w:rPr>
            <w:rStyle w:val="afe"/>
            <w:rFonts w:hint="eastAsia"/>
          </w:rPr>
          <w:t>七、其他</w:t>
        </w:r>
        <w:r w:rsidR="00EC0D9A">
          <w:rPr>
            <w:webHidden/>
          </w:rPr>
          <w:tab/>
        </w:r>
        <w:r w:rsidR="00EC0D9A">
          <w:rPr>
            <w:webHidden/>
          </w:rPr>
          <w:fldChar w:fldCharType="begin"/>
        </w:r>
        <w:r w:rsidR="00EC0D9A">
          <w:rPr>
            <w:webHidden/>
          </w:rPr>
          <w:instrText xml:space="preserve"> PAGEREF _Toc439162957 \h </w:instrText>
        </w:r>
        <w:r w:rsidR="00EC0D9A">
          <w:rPr>
            <w:webHidden/>
          </w:rPr>
        </w:r>
        <w:r w:rsidR="00EC0D9A">
          <w:rPr>
            <w:webHidden/>
          </w:rPr>
          <w:fldChar w:fldCharType="separate"/>
        </w:r>
        <w:r w:rsidR="001641D3">
          <w:rPr>
            <w:webHidden/>
          </w:rPr>
          <w:t>113</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58" w:history="1">
        <w:r w:rsidR="00EC0D9A" w:rsidRPr="002A5F11">
          <w:rPr>
            <w:rStyle w:val="afe"/>
            <w:rFonts w:hint="eastAsia"/>
          </w:rPr>
          <w:t>八、小結</w:t>
        </w:r>
        <w:r w:rsidR="00EC0D9A">
          <w:rPr>
            <w:webHidden/>
          </w:rPr>
          <w:tab/>
        </w:r>
        <w:r w:rsidR="00EC0D9A">
          <w:rPr>
            <w:webHidden/>
          </w:rPr>
          <w:fldChar w:fldCharType="begin"/>
        </w:r>
        <w:r w:rsidR="00EC0D9A">
          <w:rPr>
            <w:webHidden/>
          </w:rPr>
          <w:instrText xml:space="preserve"> PAGEREF _Toc439162958 \h </w:instrText>
        </w:r>
        <w:r w:rsidR="00EC0D9A">
          <w:rPr>
            <w:webHidden/>
          </w:rPr>
        </w:r>
        <w:r w:rsidR="00EC0D9A">
          <w:rPr>
            <w:webHidden/>
          </w:rPr>
          <w:fldChar w:fldCharType="separate"/>
        </w:r>
        <w:r w:rsidR="001641D3">
          <w:rPr>
            <w:webHidden/>
          </w:rPr>
          <w:t>120</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59" w:history="1">
        <w:r w:rsidR="00EC0D9A" w:rsidRPr="002A5F11">
          <w:rPr>
            <w:rStyle w:val="afe"/>
            <w:rFonts w:hint="eastAsia"/>
          </w:rPr>
          <w:t>肆、民生物資價格變動說明</w:t>
        </w:r>
        <w:r w:rsidR="00EC0D9A">
          <w:rPr>
            <w:webHidden/>
          </w:rPr>
          <w:tab/>
        </w:r>
        <w:r w:rsidR="00EC0D9A">
          <w:rPr>
            <w:webHidden/>
          </w:rPr>
          <w:fldChar w:fldCharType="begin"/>
        </w:r>
        <w:r w:rsidR="00EC0D9A">
          <w:rPr>
            <w:webHidden/>
          </w:rPr>
          <w:instrText xml:space="preserve"> PAGEREF _Toc439162959 \h </w:instrText>
        </w:r>
        <w:r w:rsidR="00EC0D9A">
          <w:rPr>
            <w:webHidden/>
          </w:rPr>
        </w:r>
        <w:r w:rsidR="00EC0D9A">
          <w:rPr>
            <w:webHidden/>
          </w:rPr>
          <w:fldChar w:fldCharType="separate"/>
        </w:r>
        <w:r w:rsidR="001641D3">
          <w:rPr>
            <w:webHidden/>
          </w:rPr>
          <w:t>125</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0" w:history="1">
        <w:r w:rsidR="00EC0D9A" w:rsidRPr="002A5F11">
          <w:rPr>
            <w:rStyle w:val="afe"/>
            <w:rFonts w:hint="eastAsia"/>
          </w:rPr>
          <w:t>一、米</w:t>
        </w:r>
        <w:r w:rsidR="00EC0D9A">
          <w:rPr>
            <w:webHidden/>
          </w:rPr>
          <w:tab/>
        </w:r>
        <w:r w:rsidR="00EC0D9A">
          <w:rPr>
            <w:webHidden/>
          </w:rPr>
          <w:fldChar w:fldCharType="begin"/>
        </w:r>
        <w:r w:rsidR="00EC0D9A">
          <w:rPr>
            <w:webHidden/>
          </w:rPr>
          <w:instrText xml:space="preserve"> PAGEREF _Toc439162960 \h </w:instrText>
        </w:r>
        <w:r w:rsidR="00EC0D9A">
          <w:rPr>
            <w:webHidden/>
          </w:rPr>
        </w:r>
        <w:r w:rsidR="00EC0D9A">
          <w:rPr>
            <w:webHidden/>
          </w:rPr>
          <w:fldChar w:fldCharType="separate"/>
        </w:r>
        <w:r w:rsidR="001641D3">
          <w:rPr>
            <w:webHidden/>
          </w:rPr>
          <w:t>126</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1" w:history="1">
        <w:r w:rsidR="00EC0D9A" w:rsidRPr="002A5F11">
          <w:rPr>
            <w:rStyle w:val="afe"/>
            <w:rFonts w:hint="eastAsia"/>
          </w:rPr>
          <w:t>二、蛋</w:t>
        </w:r>
        <w:r w:rsidR="00EC0D9A">
          <w:rPr>
            <w:webHidden/>
          </w:rPr>
          <w:tab/>
        </w:r>
        <w:r w:rsidR="00EC0D9A">
          <w:rPr>
            <w:webHidden/>
          </w:rPr>
          <w:fldChar w:fldCharType="begin"/>
        </w:r>
        <w:r w:rsidR="00EC0D9A">
          <w:rPr>
            <w:webHidden/>
          </w:rPr>
          <w:instrText xml:space="preserve"> PAGEREF _Toc439162961 \h </w:instrText>
        </w:r>
        <w:r w:rsidR="00EC0D9A">
          <w:rPr>
            <w:webHidden/>
          </w:rPr>
        </w:r>
        <w:r w:rsidR="00EC0D9A">
          <w:rPr>
            <w:webHidden/>
          </w:rPr>
          <w:fldChar w:fldCharType="separate"/>
        </w:r>
        <w:r w:rsidR="001641D3">
          <w:rPr>
            <w:webHidden/>
          </w:rPr>
          <w:t>129</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2" w:history="1">
        <w:r w:rsidR="00EC0D9A" w:rsidRPr="002A5F11">
          <w:rPr>
            <w:rStyle w:val="afe"/>
            <w:rFonts w:hint="eastAsia"/>
          </w:rPr>
          <w:t>三、麵粉及衍生商品類</w:t>
        </w:r>
        <w:r w:rsidR="00EC0D9A">
          <w:rPr>
            <w:webHidden/>
          </w:rPr>
          <w:tab/>
        </w:r>
        <w:r w:rsidR="00EC0D9A">
          <w:rPr>
            <w:webHidden/>
          </w:rPr>
          <w:fldChar w:fldCharType="begin"/>
        </w:r>
        <w:r w:rsidR="00EC0D9A">
          <w:rPr>
            <w:webHidden/>
          </w:rPr>
          <w:instrText xml:space="preserve"> PAGEREF _Toc439162962 \h </w:instrText>
        </w:r>
        <w:r w:rsidR="00EC0D9A">
          <w:rPr>
            <w:webHidden/>
          </w:rPr>
        </w:r>
        <w:r w:rsidR="00EC0D9A">
          <w:rPr>
            <w:webHidden/>
          </w:rPr>
          <w:fldChar w:fldCharType="separate"/>
        </w:r>
        <w:r w:rsidR="001641D3">
          <w:rPr>
            <w:webHidden/>
          </w:rPr>
          <w:t>134</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3" w:history="1">
        <w:r w:rsidR="00EC0D9A" w:rsidRPr="002A5F11">
          <w:rPr>
            <w:rStyle w:val="afe"/>
            <w:rFonts w:hint="eastAsia"/>
          </w:rPr>
          <w:t>四、加工肉品類</w:t>
        </w:r>
        <w:r w:rsidR="00EC0D9A">
          <w:rPr>
            <w:webHidden/>
          </w:rPr>
          <w:tab/>
        </w:r>
        <w:r w:rsidR="00EC0D9A">
          <w:rPr>
            <w:webHidden/>
          </w:rPr>
          <w:fldChar w:fldCharType="begin"/>
        </w:r>
        <w:r w:rsidR="00EC0D9A">
          <w:rPr>
            <w:webHidden/>
          </w:rPr>
          <w:instrText xml:space="preserve"> PAGEREF _Toc439162963 \h </w:instrText>
        </w:r>
        <w:r w:rsidR="00EC0D9A">
          <w:rPr>
            <w:webHidden/>
          </w:rPr>
        </w:r>
        <w:r w:rsidR="00EC0D9A">
          <w:rPr>
            <w:webHidden/>
          </w:rPr>
          <w:fldChar w:fldCharType="separate"/>
        </w:r>
        <w:r w:rsidR="001641D3">
          <w:rPr>
            <w:webHidden/>
          </w:rPr>
          <w:t>138</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4" w:history="1">
        <w:r w:rsidR="00EC0D9A" w:rsidRPr="002A5F11">
          <w:rPr>
            <w:rStyle w:val="afe"/>
            <w:rFonts w:hint="eastAsia"/>
          </w:rPr>
          <w:t>五、罐頭類</w:t>
        </w:r>
        <w:r w:rsidR="00EC0D9A">
          <w:rPr>
            <w:webHidden/>
          </w:rPr>
          <w:tab/>
        </w:r>
        <w:r w:rsidR="00EC0D9A">
          <w:rPr>
            <w:webHidden/>
          </w:rPr>
          <w:fldChar w:fldCharType="begin"/>
        </w:r>
        <w:r w:rsidR="00EC0D9A">
          <w:rPr>
            <w:webHidden/>
          </w:rPr>
          <w:instrText xml:space="preserve"> PAGEREF _Toc439162964 \h </w:instrText>
        </w:r>
        <w:r w:rsidR="00EC0D9A">
          <w:rPr>
            <w:webHidden/>
          </w:rPr>
        </w:r>
        <w:r w:rsidR="00EC0D9A">
          <w:rPr>
            <w:webHidden/>
          </w:rPr>
          <w:fldChar w:fldCharType="separate"/>
        </w:r>
        <w:r w:rsidR="001641D3">
          <w:rPr>
            <w:webHidden/>
          </w:rPr>
          <w:t>140</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5" w:history="1">
        <w:r w:rsidR="00EC0D9A" w:rsidRPr="002A5F11">
          <w:rPr>
            <w:rStyle w:val="afe"/>
            <w:rFonts w:hint="eastAsia"/>
          </w:rPr>
          <w:t>六、乳製品類</w:t>
        </w:r>
        <w:r w:rsidR="00EC0D9A">
          <w:rPr>
            <w:webHidden/>
          </w:rPr>
          <w:tab/>
        </w:r>
        <w:r w:rsidR="00EC0D9A">
          <w:rPr>
            <w:webHidden/>
          </w:rPr>
          <w:fldChar w:fldCharType="begin"/>
        </w:r>
        <w:r w:rsidR="00EC0D9A">
          <w:rPr>
            <w:webHidden/>
          </w:rPr>
          <w:instrText xml:space="preserve"> PAGEREF _Toc439162965 \h </w:instrText>
        </w:r>
        <w:r w:rsidR="00EC0D9A">
          <w:rPr>
            <w:webHidden/>
          </w:rPr>
        </w:r>
        <w:r w:rsidR="00EC0D9A">
          <w:rPr>
            <w:webHidden/>
          </w:rPr>
          <w:fldChar w:fldCharType="separate"/>
        </w:r>
        <w:r w:rsidR="001641D3">
          <w:rPr>
            <w:webHidden/>
          </w:rPr>
          <w:t>142</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6" w:history="1">
        <w:r w:rsidR="00EC0D9A" w:rsidRPr="002A5F11">
          <w:rPr>
            <w:rStyle w:val="afe"/>
            <w:rFonts w:hint="eastAsia"/>
          </w:rPr>
          <w:t>七、食用油類</w:t>
        </w:r>
        <w:r w:rsidR="00EC0D9A">
          <w:rPr>
            <w:webHidden/>
          </w:rPr>
          <w:tab/>
        </w:r>
        <w:r w:rsidR="00EC0D9A">
          <w:rPr>
            <w:webHidden/>
          </w:rPr>
          <w:fldChar w:fldCharType="begin"/>
        </w:r>
        <w:r w:rsidR="00EC0D9A">
          <w:rPr>
            <w:webHidden/>
          </w:rPr>
          <w:instrText xml:space="preserve"> PAGEREF _Toc439162966 \h </w:instrText>
        </w:r>
        <w:r w:rsidR="00EC0D9A">
          <w:rPr>
            <w:webHidden/>
          </w:rPr>
        </w:r>
        <w:r w:rsidR="00EC0D9A">
          <w:rPr>
            <w:webHidden/>
          </w:rPr>
          <w:fldChar w:fldCharType="separate"/>
        </w:r>
        <w:r w:rsidR="001641D3">
          <w:rPr>
            <w:webHidden/>
          </w:rPr>
          <w:t>145</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7" w:history="1">
        <w:r w:rsidR="00EC0D9A" w:rsidRPr="002A5F11">
          <w:rPr>
            <w:rStyle w:val="afe"/>
            <w:rFonts w:hint="eastAsia"/>
          </w:rPr>
          <w:t>八、調味料類</w:t>
        </w:r>
        <w:r w:rsidR="00EC0D9A">
          <w:rPr>
            <w:webHidden/>
          </w:rPr>
          <w:tab/>
        </w:r>
        <w:r w:rsidR="00EC0D9A">
          <w:rPr>
            <w:webHidden/>
          </w:rPr>
          <w:fldChar w:fldCharType="begin"/>
        </w:r>
        <w:r w:rsidR="00EC0D9A">
          <w:rPr>
            <w:webHidden/>
          </w:rPr>
          <w:instrText xml:space="preserve"> PAGEREF _Toc439162967 \h </w:instrText>
        </w:r>
        <w:r w:rsidR="00EC0D9A">
          <w:rPr>
            <w:webHidden/>
          </w:rPr>
        </w:r>
        <w:r w:rsidR="00EC0D9A">
          <w:rPr>
            <w:webHidden/>
          </w:rPr>
          <w:fldChar w:fldCharType="separate"/>
        </w:r>
        <w:r w:rsidR="001641D3">
          <w:rPr>
            <w:webHidden/>
          </w:rPr>
          <w:t>146</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8" w:history="1">
        <w:r w:rsidR="00EC0D9A" w:rsidRPr="002A5F11">
          <w:rPr>
            <w:rStyle w:val="afe"/>
            <w:rFonts w:hint="eastAsia"/>
          </w:rPr>
          <w:t>九、飲料類</w:t>
        </w:r>
        <w:r w:rsidR="00EC0D9A">
          <w:rPr>
            <w:webHidden/>
          </w:rPr>
          <w:tab/>
        </w:r>
        <w:r w:rsidR="00EC0D9A">
          <w:rPr>
            <w:webHidden/>
          </w:rPr>
          <w:fldChar w:fldCharType="begin"/>
        </w:r>
        <w:r w:rsidR="00EC0D9A">
          <w:rPr>
            <w:webHidden/>
          </w:rPr>
          <w:instrText xml:space="preserve"> PAGEREF _Toc439162968 \h </w:instrText>
        </w:r>
        <w:r w:rsidR="00EC0D9A">
          <w:rPr>
            <w:webHidden/>
          </w:rPr>
        </w:r>
        <w:r w:rsidR="00EC0D9A">
          <w:rPr>
            <w:webHidden/>
          </w:rPr>
          <w:fldChar w:fldCharType="separate"/>
        </w:r>
        <w:r w:rsidR="001641D3">
          <w:rPr>
            <w:webHidden/>
          </w:rPr>
          <w:t>149</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69" w:history="1">
        <w:r w:rsidR="00EC0D9A" w:rsidRPr="002A5F11">
          <w:rPr>
            <w:rStyle w:val="afe"/>
            <w:rFonts w:hint="eastAsia"/>
          </w:rPr>
          <w:t>十、冷凍食品類</w:t>
        </w:r>
        <w:r w:rsidR="00EC0D9A">
          <w:rPr>
            <w:webHidden/>
          </w:rPr>
          <w:tab/>
        </w:r>
        <w:r w:rsidR="00EC0D9A">
          <w:rPr>
            <w:webHidden/>
          </w:rPr>
          <w:fldChar w:fldCharType="begin"/>
        </w:r>
        <w:r w:rsidR="00EC0D9A">
          <w:rPr>
            <w:webHidden/>
          </w:rPr>
          <w:instrText xml:space="preserve"> PAGEREF _Toc439162969 \h </w:instrText>
        </w:r>
        <w:r w:rsidR="00EC0D9A">
          <w:rPr>
            <w:webHidden/>
          </w:rPr>
        </w:r>
        <w:r w:rsidR="00EC0D9A">
          <w:rPr>
            <w:webHidden/>
          </w:rPr>
          <w:fldChar w:fldCharType="separate"/>
        </w:r>
        <w:r w:rsidR="001641D3">
          <w:rPr>
            <w:webHidden/>
          </w:rPr>
          <w:t>150</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70" w:history="1">
        <w:r w:rsidR="00EC0D9A" w:rsidRPr="002A5F11">
          <w:rPr>
            <w:rStyle w:val="afe"/>
            <w:rFonts w:hint="eastAsia"/>
          </w:rPr>
          <w:t>十一、生活用品類</w:t>
        </w:r>
        <w:r w:rsidR="00EC0D9A">
          <w:rPr>
            <w:webHidden/>
          </w:rPr>
          <w:tab/>
        </w:r>
        <w:r w:rsidR="00EC0D9A">
          <w:rPr>
            <w:webHidden/>
          </w:rPr>
          <w:fldChar w:fldCharType="begin"/>
        </w:r>
        <w:r w:rsidR="00EC0D9A">
          <w:rPr>
            <w:webHidden/>
          </w:rPr>
          <w:instrText xml:space="preserve"> PAGEREF _Toc439162970 \h </w:instrText>
        </w:r>
        <w:r w:rsidR="00EC0D9A">
          <w:rPr>
            <w:webHidden/>
          </w:rPr>
        </w:r>
        <w:r w:rsidR="00EC0D9A">
          <w:rPr>
            <w:webHidden/>
          </w:rPr>
          <w:fldChar w:fldCharType="separate"/>
        </w:r>
        <w:r w:rsidR="001641D3">
          <w:rPr>
            <w:webHidden/>
          </w:rPr>
          <w:t>152</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71" w:history="1">
        <w:r w:rsidR="00EC0D9A" w:rsidRPr="002A5F11">
          <w:rPr>
            <w:rStyle w:val="afe"/>
            <w:rFonts w:hint="eastAsia"/>
          </w:rPr>
          <w:t>十二、身體清潔用品纇</w:t>
        </w:r>
        <w:r w:rsidR="00EC0D9A">
          <w:rPr>
            <w:webHidden/>
          </w:rPr>
          <w:tab/>
        </w:r>
        <w:r w:rsidR="00EC0D9A">
          <w:rPr>
            <w:webHidden/>
          </w:rPr>
          <w:fldChar w:fldCharType="begin"/>
        </w:r>
        <w:r w:rsidR="00EC0D9A">
          <w:rPr>
            <w:webHidden/>
          </w:rPr>
          <w:instrText xml:space="preserve"> PAGEREF _Toc439162971 \h </w:instrText>
        </w:r>
        <w:r w:rsidR="00EC0D9A">
          <w:rPr>
            <w:webHidden/>
          </w:rPr>
        </w:r>
        <w:r w:rsidR="00EC0D9A">
          <w:rPr>
            <w:webHidden/>
          </w:rPr>
          <w:fldChar w:fldCharType="separate"/>
        </w:r>
        <w:r w:rsidR="001641D3">
          <w:rPr>
            <w:webHidden/>
          </w:rPr>
          <w:t>155</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72" w:history="1">
        <w:r w:rsidR="00EC0D9A" w:rsidRPr="002A5F11">
          <w:rPr>
            <w:rStyle w:val="afe"/>
            <w:rFonts w:hint="eastAsia"/>
          </w:rPr>
          <w:t>十三、豆製品類</w:t>
        </w:r>
        <w:r w:rsidR="00EC0D9A">
          <w:rPr>
            <w:webHidden/>
          </w:rPr>
          <w:tab/>
        </w:r>
        <w:r w:rsidR="00EC0D9A">
          <w:rPr>
            <w:webHidden/>
          </w:rPr>
          <w:fldChar w:fldCharType="begin"/>
        </w:r>
        <w:r w:rsidR="00EC0D9A">
          <w:rPr>
            <w:webHidden/>
          </w:rPr>
          <w:instrText xml:space="preserve"> PAGEREF _Toc439162972 \h </w:instrText>
        </w:r>
        <w:r w:rsidR="00EC0D9A">
          <w:rPr>
            <w:webHidden/>
          </w:rPr>
        </w:r>
        <w:r w:rsidR="00EC0D9A">
          <w:rPr>
            <w:webHidden/>
          </w:rPr>
          <w:fldChar w:fldCharType="separate"/>
        </w:r>
        <w:r w:rsidR="001641D3">
          <w:rPr>
            <w:webHidden/>
          </w:rPr>
          <w:t>157</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73" w:history="1">
        <w:r w:rsidR="00EC0D9A" w:rsidRPr="002A5F11">
          <w:rPr>
            <w:rStyle w:val="afe"/>
            <w:rFonts w:hint="eastAsia"/>
          </w:rPr>
          <w:t>十四、紐西蘭肉品類</w:t>
        </w:r>
        <w:r w:rsidR="00EC0D9A">
          <w:rPr>
            <w:webHidden/>
          </w:rPr>
          <w:tab/>
        </w:r>
        <w:r w:rsidR="00EC0D9A">
          <w:rPr>
            <w:webHidden/>
          </w:rPr>
          <w:fldChar w:fldCharType="begin"/>
        </w:r>
        <w:r w:rsidR="00EC0D9A">
          <w:rPr>
            <w:webHidden/>
          </w:rPr>
          <w:instrText xml:space="preserve"> PAGEREF _Toc439162973 \h </w:instrText>
        </w:r>
        <w:r w:rsidR="00EC0D9A">
          <w:rPr>
            <w:webHidden/>
          </w:rPr>
        </w:r>
        <w:r w:rsidR="00EC0D9A">
          <w:rPr>
            <w:webHidden/>
          </w:rPr>
          <w:fldChar w:fldCharType="separate"/>
        </w:r>
        <w:r w:rsidR="001641D3">
          <w:rPr>
            <w:webHidden/>
          </w:rPr>
          <w:t>158</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74" w:history="1">
        <w:r w:rsidR="00EC0D9A" w:rsidRPr="002A5F11">
          <w:rPr>
            <w:rStyle w:val="afe"/>
            <w:rFonts w:hint="eastAsia"/>
          </w:rPr>
          <w:t>伍、政策建議說明</w:t>
        </w:r>
        <w:r w:rsidR="00EC0D9A">
          <w:rPr>
            <w:webHidden/>
          </w:rPr>
          <w:tab/>
        </w:r>
        <w:r w:rsidR="00EC0D9A">
          <w:rPr>
            <w:webHidden/>
          </w:rPr>
          <w:fldChar w:fldCharType="begin"/>
        </w:r>
        <w:r w:rsidR="00EC0D9A">
          <w:rPr>
            <w:webHidden/>
          </w:rPr>
          <w:instrText xml:space="preserve"> PAGEREF _Toc439162974 \h </w:instrText>
        </w:r>
        <w:r w:rsidR="00EC0D9A">
          <w:rPr>
            <w:webHidden/>
          </w:rPr>
        </w:r>
        <w:r w:rsidR="00EC0D9A">
          <w:rPr>
            <w:webHidden/>
          </w:rPr>
          <w:fldChar w:fldCharType="separate"/>
        </w:r>
        <w:r w:rsidR="001641D3">
          <w:rPr>
            <w:webHidden/>
          </w:rPr>
          <w:t>159</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75" w:history="1">
        <w:r w:rsidR="00EC0D9A" w:rsidRPr="002A5F11">
          <w:rPr>
            <w:rStyle w:val="afe"/>
            <w:rFonts w:hint="eastAsia"/>
          </w:rPr>
          <w:t>一、重要農工原物料</w:t>
        </w:r>
        <w:r w:rsidR="00EC0D9A">
          <w:rPr>
            <w:webHidden/>
          </w:rPr>
          <w:tab/>
        </w:r>
        <w:r w:rsidR="00EC0D9A">
          <w:rPr>
            <w:webHidden/>
          </w:rPr>
          <w:fldChar w:fldCharType="begin"/>
        </w:r>
        <w:r w:rsidR="00EC0D9A">
          <w:rPr>
            <w:webHidden/>
          </w:rPr>
          <w:instrText xml:space="preserve"> PAGEREF _Toc439162975 \h </w:instrText>
        </w:r>
        <w:r w:rsidR="00EC0D9A">
          <w:rPr>
            <w:webHidden/>
          </w:rPr>
        </w:r>
        <w:r w:rsidR="00EC0D9A">
          <w:rPr>
            <w:webHidden/>
          </w:rPr>
          <w:fldChar w:fldCharType="separate"/>
        </w:r>
        <w:r w:rsidR="001641D3">
          <w:rPr>
            <w:webHidden/>
          </w:rPr>
          <w:t>159</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76" w:history="1">
        <w:r w:rsidR="00EC0D9A" w:rsidRPr="002A5F11">
          <w:rPr>
            <w:rStyle w:val="afe"/>
            <w:rFonts w:hint="eastAsia"/>
          </w:rPr>
          <w:t>二、民生物資</w:t>
        </w:r>
        <w:r w:rsidR="00EC0D9A">
          <w:rPr>
            <w:webHidden/>
          </w:rPr>
          <w:tab/>
        </w:r>
        <w:r w:rsidR="00EC0D9A">
          <w:rPr>
            <w:webHidden/>
          </w:rPr>
          <w:fldChar w:fldCharType="begin"/>
        </w:r>
        <w:r w:rsidR="00EC0D9A">
          <w:rPr>
            <w:webHidden/>
          </w:rPr>
          <w:instrText xml:space="preserve"> PAGEREF _Toc439162976 \h </w:instrText>
        </w:r>
        <w:r w:rsidR="00EC0D9A">
          <w:rPr>
            <w:webHidden/>
          </w:rPr>
        </w:r>
        <w:r w:rsidR="00EC0D9A">
          <w:rPr>
            <w:webHidden/>
          </w:rPr>
          <w:fldChar w:fldCharType="separate"/>
        </w:r>
        <w:r w:rsidR="001641D3">
          <w:rPr>
            <w:webHidden/>
          </w:rPr>
          <w:t>159</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77" w:history="1">
        <w:r w:rsidR="00EC0D9A" w:rsidRPr="002A5F11">
          <w:rPr>
            <w:rStyle w:val="afe"/>
            <w:rFonts w:hint="eastAsia"/>
          </w:rPr>
          <w:t>陸、參考文獻</w:t>
        </w:r>
        <w:r w:rsidR="00EC0D9A">
          <w:rPr>
            <w:webHidden/>
          </w:rPr>
          <w:tab/>
        </w:r>
        <w:r w:rsidR="00EC0D9A">
          <w:rPr>
            <w:webHidden/>
          </w:rPr>
          <w:fldChar w:fldCharType="begin"/>
        </w:r>
        <w:r w:rsidR="00EC0D9A">
          <w:rPr>
            <w:webHidden/>
          </w:rPr>
          <w:instrText xml:space="preserve"> PAGEREF _Toc439162977 \h </w:instrText>
        </w:r>
        <w:r w:rsidR="00EC0D9A">
          <w:rPr>
            <w:webHidden/>
          </w:rPr>
        </w:r>
        <w:r w:rsidR="00EC0D9A">
          <w:rPr>
            <w:webHidden/>
          </w:rPr>
          <w:fldChar w:fldCharType="separate"/>
        </w:r>
        <w:r w:rsidR="001641D3">
          <w:rPr>
            <w:webHidden/>
          </w:rPr>
          <w:t>162</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78" w:history="1">
        <w:r w:rsidR="00EC0D9A" w:rsidRPr="002A5F11">
          <w:rPr>
            <w:rStyle w:val="afe"/>
            <w:rFonts w:hint="eastAsia"/>
          </w:rPr>
          <w:t>附件一、原物料各項價格變動附表</w:t>
        </w:r>
        <w:r w:rsidR="00EC0D9A">
          <w:rPr>
            <w:webHidden/>
          </w:rPr>
          <w:tab/>
        </w:r>
        <w:r w:rsidR="00EC0D9A">
          <w:rPr>
            <w:webHidden/>
          </w:rPr>
          <w:fldChar w:fldCharType="begin"/>
        </w:r>
        <w:r w:rsidR="00EC0D9A">
          <w:rPr>
            <w:webHidden/>
          </w:rPr>
          <w:instrText xml:space="preserve"> PAGEREF _Toc439162978 \h </w:instrText>
        </w:r>
        <w:r w:rsidR="00EC0D9A">
          <w:rPr>
            <w:webHidden/>
          </w:rPr>
        </w:r>
        <w:r w:rsidR="00EC0D9A">
          <w:rPr>
            <w:webHidden/>
          </w:rPr>
          <w:fldChar w:fldCharType="separate"/>
        </w:r>
        <w:r w:rsidR="001641D3">
          <w:rPr>
            <w:webHidden/>
          </w:rPr>
          <w:t>163</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79" w:history="1">
        <w:r w:rsidR="00EC0D9A" w:rsidRPr="002A5F11">
          <w:rPr>
            <w:rStyle w:val="afe"/>
            <w:rFonts w:hint="eastAsia"/>
          </w:rPr>
          <w:t>附件二、</w:t>
        </w:r>
        <w:r w:rsidR="00EC0D9A" w:rsidRPr="002A5F11">
          <w:rPr>
            <w:rStyle w:val="afe"/>
          </w:rPr>
          <w:t>2015</w:t>
        </w:r>
        <w:r w:rsidR="00EC0D9A" w:rsidRPr="002A5F11">
          <w:rPr>
            <w:rStyle w:val="afe"/>
            <w:rFonts w:hint="eastAsia"/>
          </w:rPr>
          <w:t>年臨時交辦事項</w:t>
        </w:r>
        <w:r w:rsidR="00EC0D9A">
          <w:rPr>
            <w:webHidden/>
          </w:rPr>
          <w:tab/>
        </w:r>
        <w:r w:rsidR="00EC0D9A">
          <w:rPr>
            <w:webHidden/>
          </w:rPr>
          <w:fldChar w:fldCharType="begin"/>
        </w:r>
        <w:r w:rsidR="00EC0D9A">
          <w:rPr>
            <w:webHidden/>
          </w:rPr>
          <w:instrText xml:space="preserve"> PAGEREF _Toc439162979 \h </w:instrText>
        </w:r>
        <w:r w:rsidR="00EC0D9A">
          <w:rPr>
            <w:webHidden/>
          </w:rPr>
        </w:r>
        <w:r w:rsidR="00EC0D9A">
          <w:rPr>
            <w:webHidden/>
          </w:rPr>
          <w:fldChar w:fldCharType="separate"/>
        </w:r>
        <w:r w:rsidR="001641D3">
          <w:rPr>
            <w:webHidden/>
          </w:rPr>
          <w:t>167</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80" w:history="1">
        <w:r w:rsidR="00EC0D9A" w:rsidRPr="002A5F11">
          <w:rPr>
            <w:rStyle w:val="afe"/>
            <w:rFonts w:hint="eastAsia"/>
          </w:rPr>
          <w:t>一、文稿形式</w:t>
        </w:r>
        <w:r w:rsidR="00EC0D9A">
          <w:rPr>
            <w:webHidden/>
          </w:rPr>
          <w:tab/>
        </w:r>
        <w:r w:rsidR="00EC0D9A">
          <w:rPr>
            <w:webHidden/>
          </w:rPr>
          <w:fldChar w:fldCharType="begin"/>
        </w:r>
        <w:r w:rsidR="00EC0D9A">
          <w:rPr>
            <w:webHidden/>
          </w:rPr>
          <w:instrText xml:space="preserve"> PAGEREF _Toc439162980 \h </w:instrText>
        </w:r>
        <w:r w:rsidR="00EC0D9A">
          <w:rPr>
            <w:webHidden/>
          </w:rPr>
        </w:r>
        <w:r w:rsidR="00EC0D9A">
          <w:rPr>
            <w:webHidden/>
          </w:rPr>
          <w:fldChar w:fldCharType="separate"/>
        </w:r>
        <w:r w:rsidR="001641D3">
          <w:rPr>
            <w:webHidden/>
          </w:rPr>
          <w:t>169</w:t>
        </w:r>
        <w:r w:rsidR="00EC0D9A">
          <w:rPr>
            <w:webHidden/>
          </w:rPr>
          <w:fldChar w:fldCharType="end"/>
        </w:r>
      </w:hyperlink>
    </w:p>
    <w:p w:rsidR="00EC0D9A" w:rsidRDefault="00610F41">
      <w:pPr>
        <w:pStyle w:val="22"/>
        <w:rPr>
          <w:rFonts w:asciiTheme="minorHAnsi" w:eastAsiaTheme="minorEastAsia" w:hAnsiTheme="minorHAnsi" w:cstheme="minorBidi"/>
          <w:bCs w:val="0"/>
          <w:sz w:val="24"/>
          <w:szCs w:val="22"/>
        </w:rPr>
      </w:pPr>
      <w:hyperlink w:anchor="_Toc439162981" w:history="1">
        <w:r w:rsidR="00EC0D9A" w:rsidRPr="002A5F11">
          <w:rPr>
            <w:rStyle w:val="afe"/>
            <w:rFonts w:hint="eastAsia"/>
          </w:rPr>
          <w:t>二、簡報形式</w:t>
        </w:r>
        <w:r w:rsidR="00EC0D9A">
          <w:rPr>
            <w:webHidden/>
          </w:rPr>
          <w:tab/>
        </w:r>
        <w:r w:rsidR="00EC0D9A">
          <w:rPr>
            <w:webHidden/>
          </w:rPr>
          <w:fldChar w:fldCharType="begin"/>
        </w:r>
        <w:r w:rsidR="00EC0D9A">
          <w:rPr>
            <w:webHidden/>
          </w:rPr>
          <w:instrText xml:space="preserve"> PAGEREF _Toc439162981 \h </w:instrText>
        </w:r>
        <w:r w:rsidR="00EC0D9A">
          <w:rPr>
            <w:webHidden/>
          </w:rPr>
        </w:r>
        <w:r w:rsidR="00EC0D9A">
          <w:rPr>
            <w:webHidden/>
          </w:rPr>
          <w:fldChar w:fldCharType="separate"/>
        </w:r>
        <w:r w:rsidR="001641D3">
          <w:rPr>
            <w:webHidden/>
          </w:rPr>
          <w:t>187</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82" w:history="1">
        <w:r w:rsidR="00EC0D9A" w:rsidRPr="002A5F11">
          <w:rPr>
            <w:rStyle w:val="afe"/>
            <w:rFonts w:hint="eastAsia"/>
          </w:rPr>
          <w:t>附件三、</w:t>
        </w:r>
        <w:r w:rsidR="00EC0D9A" w:rsidRPr="002A5F11">
          <w:rPr>
            <w:rStyle w:val="afe"/>
          </w:rPr>
          <w:t>2015</w:t>
        </w:r>
        <w:r w:rsidR="00EC0D9A" w:rsidRPr="002A5F11">
          <w:rPr>
            <w:rStyle w:val="afe"/>
            <w:rFonts w:hint="eastAsia"/>
          </w:rPr>
          <w:t>年</w:t>
        </w:r>
        <w:r w:rsidR="00EC0D9A" w:rsidRPr="002A5F11">
          <w:rPr>
            <w:rStyle w:val="afe"/>
          </w:rPr>
          <w:t>1-11</w:t>
        </w:r>
        <w:r w:rsidR="00EC0D9A" w:rsidRPr="002A5F11">
          <w:rPr>
            <w:rStyle w:val="afe"/>
            <w:rFonts w:hint="eastAsia"/>
          </w:rPr>
          <w:t>月重要國際事件總述</w:t>
        </w:r>
        <w:r w:rsidR="00EC0D9A">
          <w:rPr>
            <w:webHidden/>
          </w:rPr>
          <w:tab/>
        </w:r>
        <w:r w:rsidR="00EC0D9A">
          <w:rPr>
            <w:webHidden/>
          </w:rPr>
          <w:fldChar w:fldCharType="begin"/>
        </w:r>
        <w:r w:rsidR="00EC0D9A">
          <w:rPr>
            <w:webHidden/>
          </w:rPr>
          <w:instrText xml:space="preserve"> PAGEREF _Toc439162982 \h </w:instrText>
        </w:r>
        <w:r w:rsidR="00EC0D9A">
          <w:rPr>
            <w:webHidden/>
          </w:rPr>
        </w:r>
        <w:r w:rsidR="00EC0D9A">
          <w:rPr>
            <w:webHidden/>
          </w:rPr>
          <w:fldChar w:fldCharType="separate"/>
        </w:r>
        <w:r w:rsidR="001641D3">
          <w:rPr>
            <w:webHidden/>
          </w:rPr>
          <w:t>197</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83" w:history="1">
        <w:r w:rsidR="00EC0D9A" w:rsidRPr="002A5F11">
          <w:rPr>
            <w:rStyle w:val="afe"/>
            <w:rFonts w:hint="eastAsia"/>
          </w:rPr>
          <w:t>附件四、各項指數摘錄說明彙總</w:t>
        </w:r>
        <w:r w:rsidR="00EC0D9A">
          <w:rPr>
            <w:webHidden/>
          </w:rPr>
          <w:tab/>
        </w:r>
        <w:r w:rsidR="00EC0D9A">
          <w:rPr>
            <w:webHidden/>
          </w:rPr>
          <w:fldChar w:fldCharType="begin"/>
        </w:r>
        <w:r w:rsidR="00EC0D9A">
          <w:rPr>
            <w:webHidden/>
          </w:rPr>
          <w:instrText xml:space="preserve"> PAGEREF _Toc439162983 \h </w:instrText>
        </w:r>
        <w:r w:rsidR="00EC0D9A">
          <w:rPr>
            <w:webHidden/>
          </w:rPr>
        </w:r>
        <w:r w:rsidR="00EC0D9A">
          <w:rPr>
            <w:webHidden/>
          </w:rPr>
          <w:fldChar w:fldCharType="separate"/>
        </w:r>
        <w:r w:rsidR="001641D3">
          <w:rPr>
            <w:webHidden/>
          </w:rPr>
          <w:t>201</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84" w:history="1">
        <w:r w:rsidR="00EC0D9A" w:rsidRPr="002A5F11">
          <w:rPr>
            <w:rStyle w:val="afe"/>
            <w:rFonts w:hint="eastAsia"/>
          </w:rPr>
          <w:t>附件五、期中報告審查意見回覆表</w:t>
        </w:r>
        <w:r w:rsidR="00EC0D9A">
          <w:rPr>
            <w:webHidden/>
          </w:rPr>
          <w:tab/>
        </w:r>
        <w:r w:rsidR="00EC0D9A">
          <w:rPr>
            <w:webHidden/>
          </w:rPr>
          <w:fldChar w:fldCharType="begin"/>
        </w:r>
        <w:r w:rsidR="00EC0D9A">
          <w:rPr>
            <w:webHidden/>
          </w:rPr>
          <w:instrText xml:space="preserve"> PAGEREF _Toc439162984 \h </w:instrText>
        </w:r>
        <w:r w:rsidR="00EC0D9A">
          <w:rPr>
            <w:webHidden/>
          </w:rPr>
        </w:r>
        <w:r w:rsidR="00EC0D9A">
          <w:rPr>
            <w:webHidden/>
          </w:rPr>
          <w:fldChar w:fldCharType="separate"/>
        </w:r>
        <w:r w:rsidR="001641D3">
          <w:rPr>
            <w:webHidden/>
          </w:rPr>
          <w:t>205</w:t>
        </w:r>
        <w:r w:rsidR="00EC0D9A">
          <w:rPr>
            <w:webHidden/>
          </w:rPr>
          <w:fldChar w:fldCharType="end"/>
        </w:r>
      </w:hyperlink>
    </w:p>
    <w:p w:rsidR="00EC0D9A" w:rsidRDefault="00610F41">
      <w:pPr>
        <w:pStyle w:val="13"/>
        <w:spacing w:before="180" w:after="180"/>
        <w:rPr>
          <w:rFonts w:asciiTheme="minorHAnsi" w:eastAsiaTheme="minorEastAsia" w:hAnsiTheme="minorHAnsi" w:cstheme="minorBidi"/>
          <w:b w:val="0"/>
          <w:sz w:val="24"/>
          <w:szCs w:val="22"/>
        </w:rPr>
      </w:pPr>
      <w:hyperlink w:anchor="_Toc439162985" w:history="1">
        <w:r w:rsidR="00EC0D9A" w:rsidRPr="002A5F11">
          <w:rPr>
            <w:rStyle w:val="afe"/>
            <w:rFonts w:hint="eastAsia"/>
          </w:rPr>
          <w:t>附件六、期末報告審查意見回覆表</w:t>
        </w:r>
        <w:r w:rsidR="00EC0D9A">
          <w:rPr>
            <w:webHidden/>
          </w:rPr>
          <w:tab/>
        </w:r>
        <w:r w:rsidR="00EC0D9A">
          <w:rPr>
            <w:webHidden/>
          </w:rPr>
          <w:fldChar w:fldCharType="begin"/>
        </w:r>
        <w:r w:rsidR="00EC0D9A">
          <w:rPr>
            <w:webHidden/>
          </w:rPr>
          <w:instrText xml:space="preserve"> PAGEREF _Toc439162985 \h </w:instrText>
        </w:r>
        <w:r w:rsidR="00EC0D9A">
          <w:rPr>
            <w:webHidden/>
          </w:rPr>
        </w:r>
        <w:r w:rsidR="00EC0D9A">
          <w:rPr>
            <w:webHidden/>
          </w:rPr>
          <w:fldChar w:fldCharType="separate"/>
        </w:r>
        <w:r w:rsidR="001641D3">
          <w:rPr>
            <w:webHidden/>
          </w:rPr>
          <w:t>211</w:t>
        </w:r>
        <w:r w:rsidR="00EC0D9A">
          <w:rPr>
            <w:webHidden/>
          </w:rPr>
          <w:fldChar w:fldCharType="end"/>
        </w:r>
      </w:hyperlink>
    </w:p>
    <w:p w:rsidR="009B62F2" w:rsidRPr="00131B9D" w:rsidRDefault="002F5B6D" w:rsidP="008635E4">
      <w:pPr>
        <w:pStyle w:val="13"/>
        <w:spacing w:before="180" w:after="180"/>
        <w:rPr>
          <w:rStyle w:val="afe"/>
          <w:b w:val="0"/>
          <w:color w:val="auto"/>
          <w:sz w:val="26"/>
          <w:szCs w:val="26"/>
          <w:u w:val="none"/>
        </w:rPr>
      </w:pPr>
      <w:r w:rsidRPr="00131B9D">
        <w:rPr>
          <w:rStyle w:val="afe"/>
          <w:color w:val="auto"/>
          <w:szCs w:val="36"/>
        </w:rPr>
        <w:fldChar w:fldCharType="end"/>
      </w:r>
    </w:p>
    <w:p w:rsidR="009B62F2" w:rsidRPr="00131B9D" w:rsidRDefault="009B62F2" w:rsidP="00D46F4F">
      <w:pPr>
        <w:jc w:val="center"/>
        <w:rPr>
          <w:rFonts w:eastAsia="標楷體"/>
          <w:b/>
          <w:sz w:val="36"/>
          <w:szCs w:val="36"/>
        </w:rPr>
        <w:sectPr w:rsidR="009B62F2" w:rsidRPr="00131B9D" w:rsidSect="00E36FF0">
          <w:type w:val="oddPage"/>
          <w:pgSz w:w="11906" w:h="16838"/>
          <w:pgMar w:top="1418" w:right="1418" w:bottom="1418" w:left="1418" w:header="851" w:footer="992" w:gutter="0"/>
          <w:pgNumType w:fmt="upperRoman"/>
          <w:cols w:space="425"/>
          <w:docGrid w:type="lines" w:linePitch="360"/>
        </w:sectPr>
      </w:pPr>
    </w:p>
    <w:p w:rsidR="009B62F2" w:rsidRPr="00131B9D" w:rsidRDefault="009B62F2" w:rsidP="00D46F4F">
      <w:pPr>
        <w:jc w:val="center"/>
        <w:rPr>
          <w:rFonts w:eastAsia="標楷體"/>
          <w:b/>
          <w:sz w:val="36"/>
          <w:szCs w:val="36"/>
        </w:rPr>
      </w:pPr>
      <w:r w:rsidRPr="00131B9D">
        <w:rPr>
          <w:rFonts w:eastAsia="標楷體"/>
          <w:b/>
          <w:sz w:val="36"/>
          <w:szCs w:val="36"/>
        </w:rPr>
        <w:lastRenderedPageBreak/>
        <w:t>表　次</w:t>
      </w:r>
    </w:p>
    <w:p w:rsidR="00EC0D9A" w:rsidRPr="00EC0D9A" w:rsidRDefault="002F5B6D">
      <w:pPr>
        <w:pStyle w:val="13"/>
        <w:spacing w:before="180" w:after="180"/>
        <w:rPr>
          <w:rFonts w:asciiTheme="minorHAnsi" w:eastAsiaTheme="minorEastAsia" w:hAnsiTheme="minorHAnsi" w:cstheme="minorBidi"/>
          <w:b w:val="0"/>
          <w:sz w:val="24"/>
          <w:szCs w:val="22"/>
        </w:rPr>
      </w:pPr>
      <w:r w:rsidRPr="00EC0D9A">
        <w:rPr>
          <w:rStyle w:val="afe"/>
          <w:b w:val="0"/>
          <w:bCs/>
          <w:kern w:val="52"/>
        </w:rPr>
        <w:fldChar w:fldCharType="begin"/>
      </w:r>
      <w:r w:rsidR="009A3049" w:rsidRPr="00EC0D9A">
        <w:rPr>
          <w:rStyle w:val="afe"/>
          <w:b w:val="0"/>
          <w:bCs/>
          <w:kern w:val="52"/>
        </w:rPr>
        <w:instrText xml:space="preserve"> TOC \h \z \t "</w:instrText>
      </w:r>
      <w:r w:rsidR="009A3049" w:rsidRPr="00EC0D9A">
        <w:rPr>
          <w:rStyle w:val="afe"/>
          <w:b w:val="0"/>
          <w:bCs/>
          <w:kern w:val="52"/>
        </w:rPr>
        <w:instrText>表次</w:instrText>
      </w:r>
      <w:r w:rsidR="009A3049" w:rsidRPr="00EC0D9A">
        <w:rPr>
          <w:rStyle w:val="afe"/>
          <w:b w:val="0"/>
          <w:bCs/>
          <w:kern w:val="52"/>
        </w:rPr>
        <w:instrText xml:space="preserve">,1" </w:instrText>
      </w:r>
      <w:r w:rsidRPr="00EC0D9A">
        <w:rPr>
          <w:rStyle w:val="afe"/>
          <w:b w:val="0"/>
          <w:bCs/>
          <w:kern w:val="52"/>
        </w:rPr>
        <w:fldChar w:fldCharType="separate"/>
      </w:r>
      <w:hyperlink w:anchor="_Toc439162987" w:history="1">
        <w:r w:rsidR="00EC0D9A" w:rsidRPr="00EC0D9A">
          <w:rPr>
            <w:rStyle w:val="afe"/>
            <w:rFonts w:hint="eastAsia"/>
            <w:b w:val="0"/>
          </w:rPr>
          <w:t>表</w:t>
        </w:r>
        <w:r w:rsidR="00EC0D9A" w:rsidRPr="00EC0D9A">
          <w:rPr>
            <w:rStyle w:val="afe"/>
            <w:b w:val="0"/>
          </w:rPr>
          <w:t>2- 1</w:t>
        </w:r>
        <w:r w:rsidR="00EC0D9A" w:rsidRPr="00EC0D9A">
          <w:rPr>
            <w:rStyle w:val="afe"/>
            <w:rFonts w:hint="eastAsia"/>
            <w:b w:val="0"/>
          </w:rPr>
          <w:t xml:space="preserve">　世界重要國家貨幣市場利率、物價與經濟成長率彙整表</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_Toc439162987 \h </w:instrText>
        </w:r>
        <w:r w:rsidR="00EC0D9A" w:rsidRPr="00EC0D9A">
          <w:rPr>
            <w:b w:val="0"/>
            <w:webHidden/>
          </w:rPr>
        </w:r>
        <w:r w:rsidR="00EC0D9A" w:rsidRPr="00EC0D9A">
          <w:rPr>
            <w:b w:val="0"/>
            <w:webHidden/>
          </w:rPr>
          <w:fldChar w:fldCharType="separate"/>
        </w:r>
        <w:r w:rsidR="001641D3">
          <w:rPr>
            <w:b w:val="0"/>
            <w:webHidden/>
          </w:rPr>
          <w:t>9</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88" w:history="1">
        <w:r w:rsidR="00EC0D9A" w:rsidRPr="00EC0D9A">
          <w:rPr>
            <w:rStyle w:val="afe"/>
            <w:rFonts w:hint="eastAsia"/>
            <w:b w:val="0"/>
          </w:rPr>
          <w:t>表</w:t>
        </w:r>
        <w:r w:rsidR="00EC0D9A" w:rsidRPr="00EC0D9A">
          <w:rPr>
            <w:rStyle w:val="afe"/>
            <w:b w:val="0"/>
          </w:rPr>
          <w:t>2- 2</w:t>
        </w:r>
        <w:r w:rsidR="00EC0D9A" w:rsidRPr="00EC0D9A">
          <w:rPr>
            <w:rStyle w:val="afe"/>
            <w:rFonts w:hint="eastAsia"/>
            <w:b w:val="0"/>
          </w:rPr>
          <w:t xml:space="preserve">　臺灣營造暨不動産業</w:t>
        </w:r>
        <w:r w:rsidR="00EC0D9A" w:rsidRPr="00EC0D9A">
          <w:rPr>
            <w:rStyle w:val="afe"/>
            <w:b w:val="0"/>
          </w:rPr>
          <w:t>NMI</w:t>
        </w:r>
        <w:r w:rsidR="00EC0D9A" w:rsidRPr="00EC0D9A">
          <w:rPr>
            <w:rStyle w:val="afe"/>
            <w:rFonts w:hint="eastAsia"/>
            <w:b w:val="0"/>
          </w:rPr>
          <w:t>指數彙整表</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_Toc439162988 \h </w:instrText>
        </w:r>
        <w:r w:rsidR="00EC0D9A" w:rsidRPr="00EC0D9A">
          <w:rPr>
            <w:b w:val="0"/>
            <w:webHidden/>
          </w:rPr>
        </w:r>
        <w:r w:rsidR="00EC0D9A" w:rsidRPr="00EC0D9A">
          <w:rPr>
            <w:b w:val="0"/>
            <w:webHidden/>
          </w:rPr>
          <w:fldChar w:fldCharType="separate"/>
        </w:r>
        <w:r w:rsidR="001641D3">
          <w:rPr>
            <w:b w:val="0"/>
            <w:webHidden/>
          </w:rPr>
          <w:t>13</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89" w:history="1">
        <w:r w:rsidR="00EC0D9A" w:rsidRPr="00EC0D9A">
          <w:rPr>
            <w:rStyle w:val="afe"/>
            <w:rFonts w:hint="eastAsia"/>
            <w:b w:val="0"/>
          </w:rPr>
          <w:t>表</w:t>
        </w:r>
        <w:r w:rsidR="00EC0D9A" w:rsidRPr="00EC0D9A">
          <w:rPr>
            <w:rStyle w:val="afe"/>
            <w:b w:val="0"/>
          </w:rPr>
          <w:t>2- 3</w:t>
        </w:r>
        <w:r w:rsidR="00EC0D9A" w:rsidRPr="00EC0D9A">
          <w:rPr>
            <w:rStyle w:val="afe"/>
            <w:rFonts w:hint="eastAsia"/>
            <w:b w:val="0"/>
          </w:rPr>
          <w:t xml:space="preserve">　主要區域國家製造業</w:t>
        </w:r>
        <w:r w:rsidR="00EC0D9A" w:rsidRPr="00EC0D9A">
          <w:rPr>
            <w:rStyle w:val="afe"/>
            <w:b w:val="0"/>
          </w:rPr>
          <w:t>2015</w:t>
        </w:r>
        <w:r w:rsidR="00EC0D9A" w:rsidRPr="00EC0D9A">
          <w:rPr>
            <w:rStyle w:val="afe"/>
            <w:rFonts w:hint="eastAsia"/>
            <w:b w:val="0"/>
          </w:rPr>
          <w:t>年</w:t>
        </w:r>
        <w:r w:rsidR="00EC0D9A" w:rsidRPr="00EC0D9A">
          <w:rPr>
            <w:rStyle w:val="afe"/>
            <w:b w:val="0"/>
          </w:rPr>
          <w:t>PMI</w:t>
        </w:r>
        <w:r w:rsidR="00EC0D9A" w:rsidRPr="00EC0D9A">
          <w:rPr>
            <w:rStyle w:val="afe"/>
            <w:rFonts w:hint="eastAsia"/>
            <w:b w:val="0"/>
          </w:rPr>
          <w:t>變動</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_Toc439162989 \h </w:instrText>
        </w:r>
        <w:r w:rsidR="00EC0D9A" w:rsidRPr="00EC0D9A">
          <w:rPr>
            <w:b w:val="0"/>
            <w:webHidden/>
          </w:rPr>
        </w:r>
        <w:r w:rsidR="00EC0D9A" w:rsidRPr="00EC0D9A">
          <w:rPr>
            <w:b w:val="0"/>
            <w:webHidden/>
          </w:rPr>
          <w:fldChar w:fldCharType="separate"/>
        </w:r>
        <w:r w:rsidR="001641D3">
          <w:rPr>
            <w:b w:val="0"/>
            <w:webHidden/>
          </w:rPr>
          <w:t>15</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0" w:history="1">
        <w:r w:rsidR="00EC0D9A" w:rsidRPr="00EC0D9A">
          <w:rPr>
            <w:rStyle w:val="afe"/>
            <w:rFonts w:hint="eastAsia"/>
            <w:b w:val="0"/>
          </w:rPr>
          <w:t>表</w:t>
        </w:r>
        <w:r w:rsidR="00EC0D9A" w:rsidRPr="00EC0D9A">
          <w:rPr>
            <w:rStyle w:val="afe"/>
            <w:b w:val="0"/>
          </w:rPr>
          <w:t>3- 1</w:t>
        </w:r>
        <w:r w:rsidR="00EC0D9A" w:rsidRPr="00EC0D9A">
          <w:rPr>
            <w:rStyle w:val="afe"/>
            <w:rFonts w:hint="eastAsia"/>
            <w:b w:val="0"/>
          </w:rPr>
          <w:t xml:space="preserve">　重要原物料市場情勢分析綜合說明表</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_Toc439162990 \h </w:instrText>
        </w:r>
        <w:r w:rsidR="00EC0D9A" w:rsidRPr="00EC0D9A">
          <w:rPr>
            <w:b w:val="0"/>
            <w:webHidden/>
          </w:rPr>
        </w:r>
        <w:r w:rsidR="00EC0D9A" w:rsidRPr="00EC0D9A">
          <w:rPr>
            <w:b w:val="0"/>
            <w:webHidden/>
          </w:rPr>
          <w:fldChar w:fldCharType="separate"/>
        </w:r>
        <w:r w:rsidR="001641D3">
          <w:rPr>
            <w:b w:val="0"/>
            <w:webHidden/>
          </w:rPr>
          <w:t>18</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1" w:history="1">
        <w:r w:rsidR="00EC0D9A" w:rsidRPr="00EC0D9A">
          <w:rPr>
            <w:rStyle w:val="afe"/>
            <w:rFonts w:hint="eastAsia"/>
            <w:b w:val="0"/>
            <w:bCs/>
            <w:kern w:val="52"/>
          </w:rPr>
          <w:t>表</w:t>
        </w:r>
        <w:r w:rsidR="00EC0D9A" w:rsidRPr="00EC0D9A">
          <w:rPr>
            <w:rStyle w:val="afe"/>
            <w:b w:val="0"/>
            <w:bCs/>
            <w:kern w:val="52"/>
          </w:rPr>
          <w:t>3- 2</w:t>
        </w:r>
        <w:r w:rsidR="00EC0D9A" w:rsidRPr="00EC0D9A">
          <w:rPr>
            <w:rStyle w:val="afe"/>
            <w:rFonts w:hint="eastAsia"/>
            <w:b w:val="0"/>
            <w:bCs/>
            <w:kern w:val="52"/>
          </w:rPr>
          <w:t xml:space="preserve">　全球</w:t>
        </w:r>
        <w:r w:rsidR="00EC0D9A" w:rsidRPr="00EC0D9A">
          <w:rPr>
            <w:rStyle w:val="afe"/>
            <w:rFonts w:hint="eastAsia"/>
            <w:b w:val="0"/>
          </w:rPr>
          <w:t>黃豆</w:t>
        </w:r>
        <w:r w:rsidR="00EC0D9A" w:rsidRPr="00EC0D9A">
          <w:rPr>
            <w:rStyle w:val="afe"/>
            <w:rFonts w:hint="eastAsia"/>
            <w:b w:val="0"/>
            <w:bCs/>
            <w:kern w:val="52"/>
          </w:rPr>
          <w:t>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_Toc439162991 \h </w:instrText>
        </w:r>
        <w:r w:rsidR="00EC0D9A" w:rsidRPr="00EC0D9A">
          <w:rPr>
            <w:b w:val="0"/>
            <w:webHidden/>
          </w:rPr>
        </w:r>
        <w:r w:rsidR="00EC0D9A" w:rsidRPr="00EC0D9A">
          <w:rPr>
            <w:b w:val="0"/>
            <w:webHidden/>
          </w:rPr>
          <w:fldChar w:fldCharType="separate"/>
        </w:r>
        <w:r w:rsidR="001641D3">
          <w:rPr>
            <w:b w:val="0"/>
            <w:webHidden/>
          </w:rPr>
          <w:t>28</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2" w:history="1">
        <w:r w:rsidR="00EC0D9A" w:rsidRPr="00EC0D9A">
          <w:rPr>
            <w:rStyle w:val="afe"/>
            <w:rFonts w:hint="eastAsia"/>
            <w:b w:val="0"/>
            <w:bCs/>
            <w:kern w:val="52"/>
          </w:rPr>
          <w:t>表</w:t>
        </w:r>
        <w:r w:rsidR="00EC0D9A" w:rsidRPr="00EC0D9A">
          <w:rPr>
            <w:rStyle w:val="afe"/>
            <w:b w:val="0"/>
            <w:bCs/>
            <w:kern w:val="52"/>
          </w:rPr>
          <w:t>3- 3</w:t>
        </w:r>
        <w:r w:rsidR="00EC0D9A" w:rsidRPr="00EC0D9A">
          <w:rPr>
            <w:rStyle w:val="afe"/>
            <w:rFonts w:hint="eastAsia"/>
            <w:b w:val="0"/>
            <w:bCs/>
            <w:kern w:val="52"/>
          </w:rPr>
          <w:t xml:space="preserve">　全球小麥供需</w:t>
        </w:r>
        <w:r w:rsidR="00EC0D9A" w:rsidRPr="00EC0D9A">
          <w:rPr>
            <w:rStyle w:val="afe"/>
            <w:rFonts w:hint="eastAsia"/>
            <w:b w:val="0"/>
          </w:rPr>
          <w:t>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_Toc439162992 \h </w:instrText>
        </w:r>
        <w:r w:rsidR="00EC0D9A" w:rsidRPr="00EC0D9A">
          <w:rPr>
            <w:b w:val="0"/>
            <w:webHidden/>
          </w:rPr>
        </w:r>
        <w:r w:rsidR="00EC0D9A" w:rsidRPr="00EC0D9A">
          <w:rPr>
            <w:b w:val="0"/>
            <w:webHidden/>
          </w:rPr>
          <w:fldChar w:fldCharType="separate"/>
        </w:r>
        <w:r w:rsidR="001641D3">
          <w:rPr>
            <w:b w:val="0"/>
            <w:webHidden/>
          </w:rPr>
          <w:t>33</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3" w:history="1">
        <w:r w:rsidR="00EC0D9A" w:rsidRPr="00EC0D9A">
          <w:rPr>
            <w:rStyle w:val="afe"/>
            <w:rFonts w:hint="eastAsia"/>
            <w:b w:val="0"/>
          </w:rPr>
          <w:t>表</w:t>
        </w:r>
        <w:r w:rsidR="00EC0D9A" w:rsidRPr="00EC0D9A">
          <w:rPr>
            <w:rStyle w:val="afe"/>
            <w:b w:val="0"/>
          </w:rPr>
          <w:t>3- 4</w:t>
        </w:r>
        <w:r w:rsidR="00EC0D9A" w:rsidRPr="00EC0D9A">
          <w:rPr>
            <w:rStyle w:val="afe"/>
            <w:rFonts w:hint="eastAsia"/>
            <w:b w:val="0"/>
          </w:rPr>
          <w:t xml:space="preserve">　全球玉米供需概況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_Toc439162993 \h </w:instrText>
        </w:r>
        <w:r w:rsidR="00EC0D9A" w:rsidRPr="00EC0D9A">
          <w:rPr>
            <w:b w:val="0"/>
            <w:webHidden/>
          </w:rPr>
        </w:r>
        <w:r w:rsidR="00EC0D9A" w:rsidRPr="00EC0D9A">
          <w:rPr>
            <w:b w:val="0"/>
            <w:webHidden/>
          </w:rPr>
          <w:fldChar w:fldCharType="separate"/>
        </w:r>
        <w:r w:rsidR="001641D3">
          <w:rPr>
            <w:b w:val="0"/>
            <w:webHidden/>
          </w:rPr>
          <w:t>38</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4" w:history="1">
        <w:r w:rsidR="00EC0D9A" w:rsidRPr="00EC0D9A">
          <w:rPr>
            <w:rStyle w:val="afe"/>
            <w:rFonts w:hint="eastAsia"/>
            <w:b w:val="0"/>
            <w:bCs/>
            <w:kern w:val="52"/>
          </w:rPr>
          <w:t>表</w:t>
        </w:r>
        <w:r w:rsidR="00EC0D9A" w:rsidRPr="00EC0D9A">
          <w:rPr>
            <w:rStyle w:val="afe"/>
            <w:b w:val="0"/>
            <w:bCs/>
            <w:kern w:val="52"/>
          </w:rPr>
          <w:t>3- 5</w:t>
        </w:r>
        <w:r w:rsidR="00EC0D9A" w:rsidRPr="00EC0D9A">
          <w:rPr>
            <w:rStyle w:val="afe"/>
            <w:rFonts w:hint="eastAsia"/>
            <w:b w:val="0"/>
            <w:bCs/>
            <w:kern w:val="52"/>
          </w:rPr>
          <w:t xml:space="preserve">　全球糖供需概況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_Toc439162994 \h </w:instrText>
        </w:r>
        <w:r w:rsidR="00EC0D9A" w:rsidRPr="00EC0D9A">
          <w:rPr>
            <w:b w:val="0"/>
            <w:webHidden/>
          </w:rPr>
        </w:r>
        <w:r w:rsidR="00EC0D9A" w:rsidRPr="00EC0D9A">
          <w:rPr>
            <w:b w:val="0"/>
            <w:webHidden/>
          </w:rPr>
          <w:fldChar w:fldCharType="separate"/>
        </w:r>
        <w:r w:rsidR="001641D3">
          <w:rPr>
            <w:b w:val="0"/>
            <w:webHidden/>
          </w:rPr>
          <w:t>43</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5" w:history="1">
        <w:r w:rsidR="00EC0D9A" w:rsidRPr="00EC0D9A">
          <w:rPr>
            <w:rStyle w:val="afe"/>
            <w:rFonts w:hint="eastAsia"/>
            <w:b w:val="0"/>
            <w:bCs/>
            <w:kern w:val="52"/>
          </w:rPr>
          <w:t>表</w:t>
        </w:r>
        <w:r w:rsidR="00EC0D9A" w:rsidRPr="00EC0D9A">
          <w:rPr>
            <w:rStyle w:val="afe"/>
            <w:b w:val="0"/>
            <w:bCs/>
            <w:kern w:val="52"/>
          </w:rPr>
          <w:t>3- 6</w:t>
        </w:r>
        <w:r w:rsidR="00EC0D9A" w:rsidRPr="00EC0D9A">
          <w:rPr>
            <w:rStyle w:val="afe"/>
            <w:rFonts w:hint="eastAsia"/>
            <w:b w:val="0"/>
            <w:bCs/>
            <w:kern w:val="52"/>
          </w:rPr>
          <w:t xml:space="preserve">　全球銅市供需概況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_Toc439162995 \h </w:instrText>
        </w:r>
        <w:r w:rsidR="00EC0D9A" w:rsidRPr="00EC0D9A">
          <w:rPr>
            <w:b w:val="0"/>
            <w:webHidden/>
          </w:rPr>
        </w:r>
        <w:r w:rsidR="00EC0D9A" w:rsidRPr="00EC0D9A">
          <w:rPr>
            <w:b w:val="0"/>
            <w:webHidden/>
          </w:rPr>
          <w:fldChar w:fldCharType="separate"/>
        </w:r>
        <w:r w:rsidR="001641D3">
          <w:rPr>
            <w:b w:val="0"/>
            <w:webHidden/>
          </w:rPr>
          <w:t>47</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6" w:history="1">
        <w:r w:rsidR="00EC0D9A" w:rsidRPr="00EC0D9A">
          <w:rPr>
            <w:rStyle w:val="afe"/>
            <w:rFonts w:hint="eastAsia"/>
            <w:b w:val="0"/>
            <w:bCs/>
            <w:kern w:val="52"/>
          </w:rPr>
          <w:t>表</w:t>
        </w:r>
        <w:r w:rsidR="00EC0D9A" w:rsidRPr="00EC0D9A">
          <w:rPr>
            <w:rStyle w:val="afe"/>
            <w:b w:val="0"/>
            <w:bCs/>
            <w:kern w:val="52"/>
          </w:rPr>
          <w:t>3- 7</w:t>
        </w:r>
        <w:r w:rsidR="00EC0D9A" w:rsidRPr="00EC0D9A">
          <w:rPr>
            <w:rStyle w:val="afe"/>
            <w:rFonts w:hint="eastAsia"/>
            <w:b w:val="0"/>
            <w:bCs/>
            <w:kern w:val="52"/>
          </w:rPr>
          <w:t xml:space="preserve">　全球鋁市供需概況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_Toc439162996 \h </w:instrText>
        </w:r>
        <w:r w:rsidR="00EC0D9A" w:rsidRPr="00EC0D9A">
          <w:rPr>
            <w:b w:val="0"/>
            <w:webHidden/>
          </w:rPr>
        </w:r>
        <w:r w:rsidR="00EC0D9A" w:rsidRPr="00EC0D9A">
          <w:rPr>
            <w:b w:val="0"/>
            <w:webHidden/>
          </w:rPr>
          <w:fldChar w:fldCharType="separate"/>
        </w:r>
        <w:r w:rsidR="001641D3">
          <w:rPr>
            <w:b w:val="0"/>
            <w:webHidden/>
          </w:rPr>
          <w:t>51</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7" w:history="1">
        <w:r w:rsidR="00EC0D9A" w:rsidRPr="00EC0D9A">
          <w:rPr>
            <w:rStyle w:val="afe"/>
            <w:rFonts w:hint="eastAsia"/>
            <w:b w:val="0"/>
            <w:bCs/>
            <w:kern w:val="52"/>
          </w:rPr>
          <w:t>表</w:t>
        </w:r>
        <w:r w:rsidR="00EC0D9A" w:rsidRPr="00EC0D9A">
          <w:rPr>
            <w:rStyle w:val="afe"/>
            <w:b w:val="0"/>
            <w:bCs/>
            <w:kern w:val="52"/>
          </w:rPr>
          <w:t>3- 8</w:t>
        </w:r>
        <w:r w:rsidR="00EC0D9A" w:rsidRPr="00EC0D9A">
          <w:rPr>
            <w:rStyle w:val="afe"/>
            <w:rFonts w:hint="eastAsia"/>
            <w:b w:val="0"/>
            <w:bCs/>
            <w:kern w:val="52"/>
          </w:rPr>
          <w:t xml:space="preserve">　全球鎳市供需概況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_Toc439162997 \h </w:instrText>
        </w:r>
        <w:r w:rsidR="00EC0D9A" w:rsidRPr="00EC0D9A">
          <w:rPr>
            <w:b w:val="0"/>
            <w:webHidden/>
          </w:rPr>
        </w:r>
        <w:r w:rsidR="00EC0D9A" w:rsidRPr="00EC0D9A">
          <w:rPr>
            <w:b w:val="0"/>
            <w:webHidden/>
          </w:rPr>
          <w:fldChar w:fldCharType="separate"/>
        </w:r>
        <w:r w:rsidR="001641D3">
          <w:rPr>
            <w:b w:val="0"/>
            <w:webHidden/>
          </w:rPr>
          <w:t>54</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8" w:history="1">
        <w:r w:rsidR="00EC0D9A" w:rsidRPr="00EC0D9A">
          <w:rPr>
            <w:rStyle w:val="afe"/>
            <w:rFonts w:hint="eastAsia"/>
            <w:b w:val="0"/>
            <w:bCs/>
            <w:kern w:val="52"/>
          </w:rPr>
          <w:t>表</w:t>
        </w:r>
        <w:r w:rsidR="00EC0D9A" w:rsidRPr="00EC0D9A">
          <w:rPr>
            <w:rStyle w:val="afe"/>
            <w:b w:val="0"/>
            <w:bCs/>
            <w:kern w:val="52"/>
          </w:rPr>
          <w:t>3- 9</w:t>
        </w:r>
        <w:r w:rsidR="00EC0D9A" w:rsidRPr="00EC0D9A">
          <w:rPr>
            <w:rStyle w:val="afe"/>
            <w:rFonts w:hint="eastAsia"/>
            <w:b w:val="0"/>
            <w:bCs/>
            <w:kern w:val="52"/>
          </w:rPr>
          <w:t xml:space="preserve">　全球鋅市供需概況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_Toc439162998 \h </w:instrText>
        </w:r>
        <w:r w:rsidR="00EC0D9A" w:rsidRPr="00EC0D9A">
          <w:rPr>
            <w:b w:val="0"/>
            <w:webHidden/>
          </w:rPr>
        </w:r>
        <w:r w:rsidR="00EC0D9A" w:rsidRPr="00EC0D9A">
          <w:rPr>
            <w:b w:val="0"/>
            <w:webHidden/>
          </w:rPr>
          <w:fldChar w:fldCharType="separate"/>
        </w:r>
        <w:r w:rsidR="001641D3">
          <w:rPr>
            <w:b w:val="0"/>
            <w:webHidden/>
          </w:rPr>
          <w:t>59</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2999" w:history="1">
        <w:r w:rsidR="00EC0D9A" w:rsidRPr="00EC0D9A">
          <w:rPr>
            <w:rStyle w:val="afe"/>
            <w:rFonts w:hint="eastAsia"/>
            <w:b w:val="0"/>
          </w:rPr>
          <w:t>表</w:t>
        </w:r>
        <w:r w:rsidR="00EC0D9A" w:rsidRPr="00EC0D9A">
          <w:rPr>
            <w:rStyle w:val="afe"/>
            <w:b w:val="0"/>
          </w:rPr>
          <w:t>3- 10</w:t>
        </w:r>
        <w:r w:rsidR="00EC0D9A" w:rsidRPr="00EC0D9A">
          <w:rPr>
            <w:rStyle w:val="afe"/>
            <w:rFonts w:hint="eastAsia"/>
            <w:b w:val="0"/>
          </w:rPr>
          <w:t xml:space="preserve">　全球鉛市供需概況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_Toc439162999 \h </w:instrText>
        </w:r>
        <w:r w:rsidR="00EC0D9A" w:rsidRPr="00EC0D9A">
          <w:rPr>
            <w:b w:val="0"/>
            <w:webHidden/>
          </w:rPr>
        </w:r>
        <w:r w:rsidR="00EC0D9A" w:rsidRPr="00EC0D9A">
          <w:rPr>
            <w:b w:val="0"/>
            <w:webHidden/>
          </w:rPr>
          <w:fldChar w:fldCharType="separate"/>
        </w:r>
        <w:r w:rsidR="001641D3">
          <w:rPr>
            <w:b w:val="0"/>
            <w:webHidden/>
          </w:rPr>
          <w:t>62</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0" w:history="1">
        <w:r w:rsidR="00EC0D9A" w:rsidRPr="00EC0D9A">
          <w:rPr>
            <w:rStyle w:val="afe"/>
            <w:rFonts w:hint="eastAsia"/>
            <w:b w:val="0"/>
          </w:rPr>
          <w:t>表</w:t>
        </w:r>
        <w:r w:rsidR="00EC0D9A" w:rsidRPr="00EC0D9A">
          <w:rPr>
            <w:rStyle w:val="afe"/>
            <w:b w:val="0"/>
          </w:rPr>
          <w:t>3- 11</w:t>
        </w:r>
        <w:r w:rsidR="00EC0D9A" w:rsidRPr="00EC0D9A">
          <w:rPr>
            <w:rStyle w:val="afe"/>
            <w:rFonts w:hint="eastAsia"/>
            <w:b w:val="0"/>
          </w:rPr>
          <w:t xml:space="preserve">　全球錫市供需概況</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_Toc439163000 \h </w:instrText>
        </w:r>
        <w:r w:rsidR="00EC0D9A" w:rsidRPr="00EC0D9A">
          <w:rPr>
            <w:b w:val="0"/>
            <w:webHidden/>
          </w:rPr>
        </w:r>
        <w:r w:rsidR="00EC0D9A" w:rsidRPr="00EC0D9A">
          <w:rPr>
            <w:b w:val="0"/>
            <w:webHidden/>
          </w:rPr>
          <w:fldChar w:fldCharType="separate"/>
        </w:r>
        <w:r w:rsidR="001641D3">
          <w:rPr>
            <w:b w:val="0"/>
            <w:webHidden/>
          </w:rPr>
          <w:t>66</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1" w:history="1">
        <w:r w:rsidR="00EC0D9A" w:rsidRPr="00EC0D9A">
          <w:rPr>
            <w:rStyle w:val="afe"/>
            <w:rFonts w:hint="eastAsia"/>
            <w:b w:val="0"/>
            <w:bCs/>
            <w:kern w:val="52"/>
          </w:rPr>
          <w:t>表</w:t>
        </w:r>
        <w:r w:rsidR="00EC0D9A" w:rsidRPr="00EC0D9A">
          <w:rPr>
            <w:rStyle w:val="afe"/>
            <w:b w:val="0"/>
            <w:bCs/>
            <w:kern w:val="52"/>
          </w:rPr>
          <w:t>3- 12</w:t>
        </w:r>
        <w:r w:rsidR="00EC0D9A" w:rsidRPr="00EC0D9A">
          <w:rPr>
            <w:rStyle w:val="afe"/>
            <w:rFonts w:hint="eastAsia"/>
            <w:b w:val="0"/>
            <w:bCs/>
            <w:kern w:val="52"/>
          </w:rPr>
          <w:t xml:space="preserve">　國際糧食價格預測</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_Toc439163001 \h </w:instrText>
        </w:r>
        <w:r w:rsidR="00EC0D9A" w:rsidRPr="00EC0D9A">
          <w:rPr>
            <w:b w:val="0"/>
            <w:webHidden/>
          </w:rPr>
        </w:r>
        <w:r w:rsidR="00EC0D9A" w:rsidRPr="00EC0D9A">
          <w:rPr>
            <w:b w:val="0"/>
            <w:webHidden/>
          </w:rPr>
          <w:fldChar w:fldCharType="separate"/>
        </w:r>
        <w:r w:rsidR="001641D3">
          <w:rPr>
            <w:b w:val="0"/>
            <w:webHidden/>
          </w:rPr>
          <w:t>120</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2" w:history="1">
        <w:r w:rsidR="00EC0D9A" w:rsidRPr="00EC0D9A">
          <w:rPr>
            <w:rStyle w:val="afe"/>
            <w:rFonts w:hint="eastAsia"/>
            <w:b w:val="0"/>
            <w:bCs/>
            <w:kern w:val="52"/>
          </w:rPr>
          <w:t>表</w:t>
        </w:r>
        <w:r w:rsidR="00EC0D9A" w:rsidRPr="00EC0D9A">
          <w:rPr>
            <w:rStyle w:val="afe"/>
            <w:b w:val="0"/>
            <w:bCs/>
            <w:kern w:val="52"/>
          </w:rPr>
          <w:t>3- 13</w:t>
        </w:r>
        <w:r w:rsidR="00EC0D9A" w:rsidRPr="00EC0D9A">
          <w:rPr>
            <w:rStyle w:val="afe"/>
            <w:rFonts w:hint="eastAsia"/>
            <w:b w:val="0"/>
            <w:bCs/>
            <w:kern w:val="52"/>
          </w:rPr>
          <w:t xml:space="preserve">　國際基本</w:t>
        </w:r>
        <w:r w:rsidR="00EC0D9A" w:rsidRPr="00EC0D9A">
          <w:rPr>
            <w:rStyle w:val="afe"/>
            <w:rFonts w:hint="eastAsia"/>
            <w:b w:val="0"/>
          </w:rPr>
          <w:t>金屬</w:t>
        </w:r>
        <w:r w:rsidR="00EC0D9A" w:rsidRPr="00EC0D9A">
          <w:rPr>
            <w:rStyle w:val="afe"/>
            <w:rFonts w:hint="eastAsia"/>
            <w:b w:val="0"/>
            <w:bCs/>
            <w:kern w:val="52"/>
          </w:rPr>
          <w:t>價格預測</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_Toc439163002 \h </w:instrText>
        </w:r>
        <w:r w:rsidR="00EC0D9A" w:rsidRPr="00EC0D9A">
          <w:rPr>
            <w:b w:val="0"/>
            <w:webHidden/>
          </w:rPr>
        </w:r>
        <w:r w:rsidR="00EC0D9A" w:rsidRPr="00EC0D9A">
          <w:rPr>
            <w:b w:val="0"/>
            <w:webHidden/>
          </w:rPr>
          <w:fldChar w:fldCharType="separate"/>
        </w:r>
        <w:r w:rsidR="001641D3">
          <w:rPr>
            <w:b w:val="0"/>
            <w:webHidden/>
          </w:rPr>
          <w:t>121</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3" w:history="1">
        <w:r w:rsidR="00EC0D9A" w:rsidRPr="00EC0D9A">
          <w:rPr>
            <w:rStyle w:val="afe"/>
            <w:rFonts w:hint="eastAsia"/>
            <w:b w:val="0"/>
            <w:bCs/>
            <w:kern w:val="52"/>
          </w:rPr>
          <w:t>表</w:t>
        </w:r>
        <w:r w:rsidR="00EC0D9A" w:rsidRPr="00EC0D9A">
          <w:rPr>
            <w:rStyle w:val="afe"/>
            <w:b w:val="0"/>
            <w:bCs/>
            <w:kern w:val="52"/>
          </w:rPr>
          <w:t>3- 14</w:t>
        </w:r>
        <w:r w:rsidR="00EC0D9A" w:rsidRPr="00EC0D9A">
          <w:rPr>
            <w:rStyle w:val="afe"/>
            <w:rFonts w:hint="eastAsia"/>
            <w:b w:val="0"/>
            <w:bCs/>
            <w:kern w:val="52"/>
          </w:rPr>
          <w:t xml:space="preserve">　</w:t>
        </w:r>
        <w:r w:rsidR="00EC0D9A" w:rsidRPr="00EC0D9A">
          <w:rPr>
            <w:rStyle w:val="afe"/>
            <w:rFonts w:hint="eastAsia"/>
            <w:b w:val="0"/>
          </w:rPr>
          <w:t>國際</w:t>
        </w:r>
        <w:r w:rsidR="00EC0D9A" w:rsidRPr="00EC0D9A">
          <w:rPr>
            <w:rStyle w:val="afe"/>
            <w:rFonts w:hint="eastAsia"/>
            <w:b w:val="0"/>
            <w:bCs/>
            <w:kern w:val="52"/>
          </w:rPr>
          <w:t>油價預測</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_Toc439163003 \h </w:instrText>
        </w:r>
        <w:r w:rsidR="00EC0D9A" w:rsidRPr="00EC0D9A">
          <w:rPr>
            <w:b w:val="0"/>
            <w:webHidden/>
          </w:rPr>
        </w:r>
        <w:r w:rsidR="00EC0D9A" w:rsidRPr="00EC0D9A">
          <w:rPr>
            <w:b w:val="0"/>
            <w:webHidden/>
          </w:rPr>
          <w:fldChar w:fldCharType="separate"/>
        </w:r>
        <w:r w:rsidR="001641D3">
          <w:rPr>
            <w:b w:val="0"/>
            <w:webHidden/>
          </w:rPr>
          <w:t>123</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4" w:history="1">
        <w:r w:rsidR="00EC0D9A" w:rsidRPr="00EC0D9A">
          <w:rPr>
            <w:rStyle w:val="afe"/>
            <w:rFonts w:hint="eastAsia"/>
            <w:b w:val="0"/>
          </w:rPr>
          <w:t>表</w:t>
        </w:r>
        <w:r w:rsidR="00EC0D9A" w:rsidRPr="00EC0D9A">
          <w:rPr>
            <w:rStyle w:val="afe"/>
            <w:b w:val="0"/>
          </w:rPr>
          <w:t>3- 15</w:t>
        </w:r>
        <w:r w:rsidR="00EC0D9A" w:rsidRPr="00EC0D9A">
          <w:rPr>
            <w:rStyle w:val="afe"/>
            <w:rFonts w:hint="eastAsia"/>
            <w:b w:val="0"/>
          </w:rPr>
          <w:t xml:space="preserve">　國際紙漿價格預測</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_Toc439163004 \h </w:instrText>
        </w:r>
        <w:r w:rsidR="00EC0D9A" w:rsidRPr="00EC0D9A">
          <w:rPr>
            <w:b w:val="0"/>
            <w:webHidden/>
          </w:rPr>
        </w:r>
        <w:r w:rsidR="00EC0D9A" w:rsidRPr="00EC0D9A">
          <w:rPr>
            <w:b w:val="0"/>
            <w:webHidden/>
          </w:rPr>
          <w:fldChar w:fldCharType="separate"/>
        </w:r>
        <w:r w:rsidR="001641D3">
          <w:rPr>
            <w:b w:val="0"/>
            <w:webHidden/>
          </w:rPr>
          <w:t>124</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5" w:history="1">
        <w:r w:rsidR="00EC0D9A" w:rsidRPr="00EC0D9A">
          <w:rPr>
            <w:rStyle w:val="afe"/>
            <w:rFonts w:hint="eastAsia"/>
            <w:b w:val="0"/>
          </w:rPr>
          <w:t>表</w:t>
        </w:r>
        <w:r w:rsidR="00EC0D9A" w:rsidRPr="00EC0D9A">
          <w:rPr>
            <w:rStyle w:val="afe"/>
            <w:b w:val="0"/>
          </w:rPr>
          <w:t>4- 1</w:t>
        </w:r>
        <w:r w:rsidR="00EC0D9A" w:rsidRPr="00EC0D9A">
          <w:rPr>
            <w:rStyle w:val="afe"/>
            <w:rFonts w:hint="eastAsia"/>
            <w:b w:val="0"/>
          </w:rPr>
          <w:t xml:space="preserve">　</w:t>
        </w:r>
        <w:r w:rsidR="00EC0D9A" w:rsidRPr="00EC0D9A">
          <w:rPr>
            <w:rStyle w:val="afe"/>
            <w:b w:val="0"/>
          </w:rPr>
          <w:t>2015</w:t>
        </w:r>
        <w:r w:rsidR="00EC0D9A" w:rsidRPr="00EC0D9A">
          <w:rPr>
            <w:rStyle w:val="afe"/>
            <w:rFonts w:hint="eastAsia"/>
            <w:b w:val="0"/>
          </w:rPr>
          <w:t>年價格調整之品項彙整</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_Toc439163005 \h </w:instrText>
        </w:r>
        <w:r w:rsidR="00EC0D9A" w:rsidRPr="00EC0D9A">
          <w:rPr>
            <w:b w:val="0"/>
            <w:webHidden/>
          </w:rPr>
        </w:r>
        <w:r w:rsidR="00EC0D9A" w:rsidRPr="00EC0D9A">
          <w:rPr>
            <w:b w:val="0"/>
            <w:webHidden/>
          </w:rPr>
          <w:fldChar w:fldCharType="separate"/>
        </w:r>
        <w:r w:rsidR="001641D3">
          <w:rPr>
            <w:b w:val="0"/>
            <w:webHidden/>
          </w:rPr>
          <w:t>125</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6" w:history="1">
        <w:r w:rsidR="00EC0D9A" w:rsidRPr="00EC0D9A">
          <w:rPr>
            <w:rStyle w:val="afe"/>
            <w:rFonts w:hint="eastAsia"/>
            <w:b w:val="0"/>
            <w:bCs/>
            <w:kern w:val="52"/>
          </w:rPr>
          <w:t>表</w:t>
        </w:r>
        <w:r w:rsidR="00EC0D9A" w:rsidRPr="00EC0D9A">
          <w:rPr>
            <w:rStyle w:val="afe"/>
            <w:b w:val="0"/>
            <w:bCs/>
            <w:kern w:val="52"/>
          </w:rPr>
          <w:t>4- 2</w:t>
        </w:r>
        <w:r w:rsidR="00EC0D9A" w:rsidRPr="00EC0D9A">
          <w:rPr>
            <w:rStyle w:val="afe"/>
            <w:rFonts w:hint="eastAsia"/>
            <w:b w:val="0"/>
            <w:bCs/>
            <w:kern w:val="52"/>
          </w:rPr>
          <w:t xml:space="preserve">　端午節前相關</w:t>
        </w:r>
        <w:r w:rsidR="00EC0D9A" w:rsidRPr="00EC0D9A">
          <w:rPr>
            <w:rStyle w:val="afe"/>
            <w:rFonts w:hint="eastAsia"/>
            <w:b w:val="0"/>
          </w:rPr>
          <w:t>原料</w:t>
        </w:r>
        <w:r w:rsidR="00EC0D9A" w:rsidRPr="00EC0D9A">
          <w:rPr>
            <w:rStyle w:val="afe"/>
            <w:rFonts w:hint="eastAsia"/>
            <w:b w:val="0"/>
            <w:bCs/>
            <w:kern w:val="52"/>
          </w:rPr>
          <w:t>價格變化歷史資料</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_Toc439163006 \h </w:instrText>
        </w:r>
        <w:r w:rsidR="00EC0D9A" w:rsidRPr="00EC0D9A">
          <w:rPr>
            <w:b w:val="0"/>
            <w:webHidden/>
          </w:rPr>
        </w:r>
        <w:r w:rsidR="00EC0D9A" w:rsidRPr="00EC0D9A">
          <w:rPr>
            <w:b w:val="0"/>
            <w:webHidden/>
          </w:rPr>
          <w:fldChar w:fldCharType="separate"/>
        </w:r>
        <w:r w:rsidR="001641D3">
          <w:rPr>
            <w:b w:val="0"/>
            <w:webHidden/>
          </w:rPr>
          <w:t>128</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7" w:history="1">
        <w:r w:rsidR="00EC0D9A" w:rsidRPr="00EC0D9A">
          <w:rPr>
            <w:rStyle w:val="afe"/>
            <w:rFonts w:hint="eastAsia"/>
            <w:b w:val="0"/>
            <w:bCs/>
            <w:kern w:val="52"/>
          </w:rPr>
          <w:t>表</w:t>
        </w:r>
        <w:r w:rsidR="00EC0D9A" w:rsidRPr="00EC0D9A">
          <w:rPr>
            <w:rStyle w:val="afe"/>
            <w:b w:val="0"/>
            <w:bCs/>
            <w:kern w:val="52"/>
          </w:rPr>
          <w:t>4- 3</w:t>
        </w:r>
        <w:r w:rsidR="00EC0D9A" w:rsidRPr="00EC0D9A">
          <w:rPr>
            <w:rStyle w:val="afe"/>
            <w:rFonts w:hint="eastAsia"/>
            <w:b w:val="0"/>
            <w:bCs/>
            <w:kern w:val="52"/>
          </w:rPr>
          <w:t xml:space="preserve">　家禽類與雞蛋平均產出週齡</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_Toc439163007 \h </w:instrText>
        </w:r>
        <w:r w:rsidR="00EC0D9A" w:rsidRPr="00EC0D9A">
          <w:rPr>
            <w:b w:val="0"/>
            <w:webHidden/>
          </w:rPr>
        </w:r>
        <w:r w:rsidR="00EC0D9A" w:rsidRPr="00EC0D9A">
          <w:rPr>
            <w:b w:val="0"/>
            <w:webHidden/>
          </w:rPr>
          <w:fldChar w:fldCharType="separate"/>
        </w:r>
        <w:r w:rsidR="001641D3">
          <w:rPr>
            <w:b w:val="0"/>
            <w:webHidden/>
          </w:rPr>
          <w:t>132</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8" w:history="1">
        <w:r w:rsidR="00EC0D9A" w:rsidRPr="00EC0D9A">
          <w:rPr>
            <w:rStyle w:val="afe"/>
            <w:rFonts w:hint="eastAsia"/>
            <w:b w:val="0"/>
            <w:bCs/>
            <w:kern w:val="52"/>
          </w:rPr>
          <w:t>表</w:t>
        </w:r>
        <w:r w:rsidR="00EC0D9A" w:rsidRPr="00EC0D9A">
          <w:rPr>
            <w:rStyle w:val="afe"/>
            <w:b w:val="0"/>
            <w:bCs/>
            <w:kern w:val="52"/>
          </w:rPr>
          <w:t>4- 4</w:t>
        </w:r>
        <w:r w:rsidR="00EC0D9A" w:rsidRPr="00EC0D9A">
          <w:rPr>
            <w:rStyle w:val="afe"/>
            <w:rFonts w:hint="eastAsia"/>
            <w:b w:val="0"/>
            <w:bCs/>
            <w:kern w:val="52"/>
          </w:rPr>
          <w:t xml:space="preserve">　近一年各通路麵粉價格</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_Toc439163008 \h </w:instrText>
        </w:r>
        <w:r w:rsidR="00EC0D9A" w:rsidRPr="00EC0D9A">
          <w:rPr>
            <w:b w:val="0"/>
            <w:webHidden/>
          </w:rPr>
        </w:r>
        <w:r w:rsidR="00EC0D9A" w:rsidRPr="00EC0D9A">
          <w:rPr>
            <w:b w:val="0"/>
            <w:webHidden/>
          </w:rPr>
          <w:fldChar w:fldCharType="separate"/>
        </w:r>
        <w:r w:rsidR="001641D3">
          <w:rPr>
            <w:b w:val="0"/>
            <w:webHidden/>
          </w:rPr>
          <w:t>136</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09" w:history="1">
        <w:r w:rsidR="00EC0D9A" w:rsidRPr="00EC0D9A">
          <w:rPr>
            <w:rStyle w:val="afe"/>
            <w:rFonts w:hint="eastAsia"/>
            <w:b w:val="0"/>
            <w:bCs/>
            <w:kern w:val="52"/>
          </w:rPr>
          <w:t>表</w:t>
        </w:r>
        <w:r w:rsidR="00EC0D9A" w:rsidRPr="00EC0D9A">
          <w:rPr>
            <w:rStyle w:val="afe"/>
            <w:b w:val="0"/>
            <w:bCs/>
            <w:kern w:val="52"/>
          </w:rPr>
          <w:t>4- 5</w:t>
        </w:r>
        <w:r w:rsidR="00EC0D9A" w:rsidRPr="00EC0D9A">
          <w:rPr>
            <w:rStyle w:val="afe"/>
            <w:rFonts w:hint="eastAsia"/>
            <w:b w:val="0"/>
            <w:bCs/>
            <w:kern w:val="52"/>
          </w:rPr>
          <w:t xml:space="preserve">　加工肉品價格</w:t>
        </w:r>
        <w:r w:rsidR="00EC0D9A" w:rsidRPr="00EC0D9A">
          <w:rPr>
            <w:rStyle w:val="afe"/>
            <w:rFonts w:hint="eastAsia"/>
            <w:b w:val="0"/>
          </w:rPr>
          <w:t>變化</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_Toc439163009 \h </w:instrText>
        </w:r>
        <w:r w:rsidR="00EC0D9A" w:rsidRPr="00EC0D9A">
          <w:rPr>
            <w:b w:val="0"/>
            <w:webHidden/>
          </w:rPr>
        </w:r>
        <w:r w:rsidR="00EC0D9A" w:rsidRPr="00EC0D9A">
          <w:rPr>
            <w:b w:val="0"/>
            <w:webHidden/>
          </w:rPr>
          <w:fldChar w:fldCharType="separate"/>
        </w:r>
        <w:r w:rsidR="001641D3">
          <w:rPr>
            <w:b w:val="0"/>
            <w:webHidden/>
          </w:rPr>
          <w:t>140</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10" w:history="1">
        <w:r w:rsidR="00EC0D9A" w:rsidRPr="00EC0D9A">
          <w:rPr>
            <w:rStyle w:val="afe"/>
            <w:rFonts w:hint="eastAsia"/>
            <w:b w:val="0"/>
            <w:bCs/>
            <w:kern w:val="52"/>
          </w:rPr>
          <w:t>表</w:t>
        </w:r>
        <w:r w:rsidR="00EC0D9A" w:rsidRPr="00EC0D9A">
          <w:rPr>
            <w:rStyle w:val="afe"/>
            <w:b w:val="0"/>
            <w:bCs/>
            <w:kern w:val="52"/>
          </w:rPr>
          <w:t>4- 6</w:t>
        </w:r>
        <w:r w:rsidR="00EC0D9A" w:rsidRPr="00EC0D9A">
          <w:rPr>
            <w:rStyle w:val="afe"/>
            <w:rFonts w:hint="eastAsia"/>
            <w:b w:val="0"/>
            <w:bCs/>
            <w:kern w:val="52"/>
          </w:rPr>
          <w:t xml:space="preserve">　罐頭類價格變化</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_Toc439163010 \h </w:instrText>
        </w:r>
        <w:r w:rsidR="00EC0D9A" w:rsidRPr="00EC0D9A">
          <w:rPr>
            <w:b w:val="0"/>
            <w:webHidden/>
          </w:rPr>
        </w:r>
        <w:r w:rsidR="00EC0D9A" w:rsidRPr="00EC0D9A">
          <w:rPr>
            <w:b w:val="0"/>
            <w:webHidden/>
          </w:rPr>
          <w:fldChar w:fldCharType="separate"/>
        </w:r>
        <w:r w:rsidR="001641D3">
          <w:rPr>
            <w:b w:val="0"/>
            <w:webHidden/>
          </w:rPr>
          <w:t>141</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11" w:history="1">
        <w:r w:rsidR="00EC0D9A" w:rsidRPr="00EC0D9A">
          <w:rPr>
            <w:rStyle w:val="afe"/>
            <w:rFonts w:hint="eastAsia"/>
            <w:b w:val="0"/>
            <w:bCs/>
            <w:kern w:val="52"/>
          </w:rPr>
          <w:t>表</w:t>
        </w:r>
        <w:r w:rsidR="00EC0D9A" w:rsidRPr="00EC0D9A">
          <w:rPr>
            <w:rStyle w:val="afe"/>
            <w:b w:val="0"/>
            <w:bCs/>
            <w:kern w:val="52"/>
          </w:rPr>
          <w:t>4- 7</w:t>
        </w:r>
        <w:r w:rsidR="00EC0D9A" w:rsidRPr="00EC0D9A">
          <w:rPr>
            <w:rStyle w:val="afe"/>
            <w:rFonts w:hint="eastAsia"/>
            <w:b w:val="0"/>
            <w:bCs/>
            <w:kern w:val="52"/>
          </w:rPr>
          <w:t xml:space="preserve">　</w:t>
        </w:r>
        <w:r w:rsidR="00EC0D9A" w:rsidRPr="00EC0D9A">
          <w:rPr>
            <w:rStyle w:val="afe"/>
            <w:b w:val="0"/>
            <w:bCs/>
            <w:kern w:val="52"/>
          </w:rPr>
          <w:t>2015</w:t>
        </w:r>
        <w:r w:rsidR="00EC0D9A" w:rsidRPr="00EC0D9A">
          <w:rPr>
            <w:rStyle w:val="afe"/>
            <w:rFonts w:hint="eastAsia"/>
            <w:b w:val="0"/>
            <w:bCs/>
            <w:kern w:val="52"/>
          </w:rPr>
          <w:t>年全球前五大糖出口國</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_Toc439163011 \h </w:instrText>
        </w:r>
        <w:r w:rsidR="00EC0D9A" w:rsidRPr="00EC0D9A">
          <w:rPr>
            <w:b w:val="0"/>
            <w:webHidden/>
          </w:rPr>
        </w:r>
        <w:r w:rsidR="00EC0D9A" w:rsidRPr="00EC0D9A">
          <w:rPr>
            <w:b w:val="0"/>
            <w:webHidden/>
          </w:rPr>
          <w:fldChar w:fldCharType="separate"/>
        </w:r>
        <w:r w:rsidR="001641D3">
          <w:rPr>
            <w:b w:val="0"/>
            <w:webHidden/>
          </w:rPr>
          <w:t>149</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12" w:history="1">
        <w:r w:rsidR="00EC0D9A" w:rsidRPr="00EC0D9A">
          <w:rPr>
            <w:rStyle w:val="afe"/>
            <w:rFonts w:hint="eastAsia"/>
            <w:b w:val="0"/>
            <w:bCs/>
            <w:kern w:val="52"/>
          </w:rPr>
          <w:t>表</w:t>
        </w:r>
        <w:r w:rsidR="00EC0D9A" w:rsidRPr="00EC0D9A">
          <w:rPr>
            <w:rStyle w:val="afe"/>
            <w:b w:val="0"/>
            <w:bCs/>
            <w:kern w:val="52"/>
          </w:rPr>
          <w:t>4- 8</w:t>
        </w:r>
        <w:r w:rsidR="00EC0D9A" w:rsidRPr="00EC0D9A">
          <w:rPr>
            <w:rStyle w:val="afe"/>
            <w:rFonts w:hint="eastAsia"/>
            <w:b w:val="0"/>
            <w:bCs/>
            <w:kern w:val="52"/>
          </w:rPr>
          <w:t xml:space="preserve">　</w:t>
        </w:r>
        <w:r w:rsidR="00EC0D9A" w:rsidRPr="00EC0D9A">
          <w:rPr>
            <w:rStyle w:val="afe"/>
            <w:b w:val="0"/>
            <w:bCs/>
            <w:kern w:val="52"/>
          </w:rPr>
          <w:t>2001-2015</w:t>
        </w:r>
        <w:r w:rsidR="00EC0D9A" w:rsidRPr="00EC0D9A">
          <w:rPr>
            <w:rStyle w:val="afe"/>
            <w:rFonts w:hint="eastAsia"/>
            <w:b w:val="0"/>
            <w:bCs/>
            <w:kern w:val="52"/>
          </w:rPr>
          <w:t>年由泰國進口冰糖量</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_Toc439163012 \h </w:instrText>
        </w:r>
        <w:r w:rsidR="00EC0D9A" w:rsidRPr="00EC0D9A">
          <w:rPr>
            <w:b w:val="0"/>
            <w:webHidden/>
          </w:rPr>
        </w:r>
        <w:r w:rsidR="00EC0D9A" w:rsidRPr="00EC0D9A">
          <w:rPr>
            <w:b w:val="0"/>
            <w:webHidden/>
          </w:rPr>
          <w:fldChar w:fldCharType="separate"/>
        </w:r>
        <w:r w:rsidR="001641D3">
          <w:rPr>
            <w:b w:val="0"/>
            <w:webHidden/>
          </w:rPr>
          <w:t>149</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13" w:history="1">
        <w:r w:rsidR="00EC0D9A" w:rsidRPr="00EC0D9A">
          <w:rPr>
            <w:rStyle w:val="afe"/>
            <w:rFonts w:hint="eastAsia"/>
            <w:b w:val="0"/>
            <w:bCs/>
            <w:kern w:val="52"/>
          </w:rPr>
          <w:t>表</w:t>
        </w:r>
        <w:r w:rsidR="00EC0D9A" w:rsidRPr="00EC0D9A">
          <w:rPr>
            <w:rStyle w:val="afe"/>
            <w:b w:val="0"/>
            <w:bCs/>
            <w:kern w:val="52"/>
          </w:rPr>
          <w:t>4- 9</w:t>
        </w:r>
        <w:r w:rsidR="00EC0D9A" w:rsidRPr="00EC0D9A">
          <w:rPr>
            <w:rStyle w:val="afe"/>
            <w:rFonts w:hint="eastAsia"/>
            <w:b w:val="0"/>
            <w:bCs/>
            <w:kern w:val="52"/>
          </w:rPr>
          <w:t xml:space="preserve">　冷凍食品類價格變化</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_Toc439163013 \h </w:instrText>
        </w:r>
        <w:r w:rsidR="00EC0D9A" w:rsidRPr="00EC0D9A">
          <w:rPr>
            <w:b w:val="0"/>
            <w:webHidden/>
          </w:rPr>
        </w:r>
        <w:r w:rsidR="00EC0D9A" w:rsidRPr="00EC0D9A">
          <w:rPr>
            <w:b w:val="0"/>
            <w:webHidden/>
          </w:rPr>
          <w:fldChar w:fldCharType="separate"/>
        </w:r>
        <w:r w:rsidR="001641D3">
          <w:rPr>
            <w:b w:val="0"/>
            <w:webHidden/>
          </w:rPr>
          <w:t>151</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14" w:history="1">
        <w:r w:rsidR="00EC0D9A" w:rsidRPr="00EC0D9A">
          <w:rPr>
            <w:rStyle w:val="afe"/>
            <w:b w:val="0"/>
          </w:rPr>
          <w:t>A-1- 1</w:t>
        </w:r>
        <w:r w:rsidR="00EC0D9A" w:rsidRPr="00EC0D9A">
          <w:rPr>
            <w:rStyle w:val="afe"/>
            <w:rFonts w:hint="eastAsia"/>
            <w:b w:val="0"/>
          </w:rPr>
          <w:t xml:space="preserve">　農工原物料年均價格變動情形</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_Toc439163014 \h </w:instrText>
        </w:r>
        <w:r w:rsidR="00EC0D9A" w:rsidRPr="00EC0D9A">
          <w:rPr>
            <w:b w:val="0"/>
            <w:webHidden/>
          </w:rPr>
        </w:r>
        <w:r w:rsidR="00EC0D9A" w:rsidRPr="00EC0D9A">
          <w:rPr>
            <w:b w:val="0"/>
            <w:webHidden/>
          </w:rPr>
          <w:fldChar w:fldCharType="separate"/>
        </w:r>
        <w:r w:rsidR="001641D3">
          <w:rPr>
            <w:b w:val="0"/>
            <w:webHidden/>
          </w:rPr>
          <w:t>165</w:t>
        </w:r>
        <w:r w:rsidR="00EC0D9A" w:rsidRPr="00EC0D9A">
          <w:rPr>
            <w:b w:val="0"/>
            <w:webHidden/>
          </w:rPr>
          <w:fldChar w:fldCharType="end"/>
        </w:r>
      </w:hyperlink>
    </w:p>
    <w:p w:rsidR="00EC0D9A" w:rsidRPr="00EC0D9A" w:rsidRDefault="00610F41">
      <w:pPr>
        <w:pStyle w:val="13"/>
        <w:spacing w:before="180" w:after="180"/>
        <w:rPr>
          <w:rFonts w:asciiTheme="minorHAnsi" w:eastAsiaTheme="minorEastAsia" w:hAnsiTheme="minorHAnsi" w:cstheme="minorBidi"/>
          <w:b w:val="0"/>
          <w:sz w:val="24"/>
          <w:szCs w:val="22"/>
        </w:rPr>
      </w:pPr>
      <w:hyperlink w:anchor="_Toc439163015" w:history="1">
        <w:r w:rsidR="00EC0D9A" w:rsidRPr="00EC0D9A">
          <w:rPr>
            <w:rStyle w:val="afe"/>
            <w:b w:val="0"/>
          </w:rPr>
          <w:t>A-2- 1</w:t>
        </w:r>
        <w:r w:rsidR="00EC0D9A" w:rsidRPr="00EC0D9A">
          <w:rPr>
            <w:rStyle w:val="afe"/>
            <w:rFonts w:hint="eastAsia"/>
            <w:b w:val="0"/>
          </w:rPr>
          <w:t xml:space="preserve">　各國物價管制措施彙整表</w:t>
        </w:r>
        <w:r w:rsidR="00EC0D9A" w:rsidRPr="00EC0D9A">
          <w:rPr>
            <w:b w:val="0"/>
            <w:webHidden/>
          </w:rPr>
          <w:tab/>
        </w:r>
        <w:r w:rsidR="00EC0D9A" w:rsidRPr="00EC0D9A">
          <w:rPr>
            <w:b w:val="0"/>
            <w:webHidden/>
          </w:rPr>
          <w:fldChar w:fldCharType="begin"/>
        </w:r>
        <w:r w:rsidR="00EC0D9A" w:rsidRPr="00EC0D9A">
          <w:rPr>
            <w:b w:val="0"/>
            <w:webHidden/>
          </w:rPr>
          <w:instrText xml:space="preserve"> PAGEREF _Toc439163015 \h </w:instrText>
        </w:r>
        <w:r w:rsidR="00EC0D9A" w:rsidRPr="00EC0D9A">
          <w:rPr>
            <w:b w:val="0"/>
            <w:webHidden/>
          </w:rPr>
        </w:r>
        <w:r w:rsidR="00EC0D9A" w:rsidRPr="00EC0D9A">
          <w:rPr>
            <w:b w:val="0"/>
            <w:webHidden/>
          </w:rPr>
          <w:fldChar w:fldCharType="separate"/>
        </w:r>
        <w:r w:rsidR="001641D3">
          <w:rPr>
            <w:b w:val="0"/>
            <w:webHidden/>
          </w:rPr>
          <w:t>170</w:t>
        </w:r>
        <w:r w:rsidR="00EC0D9A" w:rsidRPr="00EC0D9A">
          <w:rPr>
            <w:b w:val="0"/>
            <w:webHidden/>
          </w:rPr>
          <w:fldChar w:fldCharType="end"/>
        </w:r>
      </w:hyperlink>
    </w:p>
    <w:p w:rsidR="009B62F2" w:rsidRPr="00131B9D" w:rsidRDefault="002F5B6D" w:rsidP="00AA0B65">
      <w:pPr>
        <w:pStyle w:val="13"/>
        <w:spacing w:before="180" w:after="180"/>
        <w:rPr>
          <w:rFonts w:cs="Times New Roman"/>
          <w:sz w:val="36"/>
          <w:szCs w:val="36"/>
        </w:rPr>
      </w:pPr>
      <w:r w:rsidRPr="00EC0D9A">
        <w:rPr>
          <w:rStyle w:val="afe"/>
          <w:b w:val="0"/>
          <w:bCs/>
          <w:kern w:val="52"/>
        </w:rPr>
        <w:fldChar w:fldCharType="end"/>
      </w:r>
    </w:p>
    <w:p w:rsidR="001F3225" w:rsidRPr="00131B9D" w:rsidRDefault="001F3225" w:rsidP="001F3225"/>
    <w:p w:rsidR="009B62F2" w:rsidRPr="00131B9D" w:rsidRDefault="009B62F2" w:rsidP="008942DE">
      <w:pPr>
        <w:jc w:val="center"/>
        <w:rPr>
          <w:rFonts w:eastAsia="標楷體"/>
          <w:b/>
          <w:sz w:val="36"/>
          <w:szCs w:val="36"/>
        </w:rPr>
        <w:sectPr w:rsidR="009B62F2" w:rsidRPr="00131B9D" w:rsidSect="004D5476">
          <w:type w:val="oddPage"/>
          <w:pgSz w:w="11906" w:h="16838"/>
          <w:pgMar w:top="1418" w:right="1418" w:bottom="1418" w:left="1418" w:header="851" w:footer="992" w:gutter="0"/>
          <w:pgNumType w:fmt="upperRoman"/>
          <w:cols w:space="425"/>
          <w:docGrid w:type="lines" w:linePitch="360"/>
        </w:sectPr>
      </w:pPr>
    </w:p>
    <w:p w:rsidR="009B62F2" w:rsidRPr="00131B9D" w:rsidRDefault="009B62F2" w:rsidP="0031547A">
      <w:pPr>
        <w:jc w:val="center"/>
        <w:rPr>
          <w:rFonts w:eastAsia="標楷體"/>
          <w:b/>
          <w:sz w:val="36"/>
          <w:szCs w:val="36"/>
        </w:rPr>
      </w:pPr>
      <w:r w:rsidRPr="00131B9D">
        <w:rPr>
          <w:rFonts w:eastAsia="標楷體"/>
          <w:b/>
          <w:sz w:val="36"/>
          <w:szCs w:val="36"/>
        </w:rPr>
        <w:lastRenderedPageBreak/>
        <w:t>圖　次</w:t>
      </w:r>
    </w:p>
    <w:p w:rsidR="00EC0E69" w:rsidRPr="00131B9D" w:rsidRDefault="002F5B6D" w:rsidP="00EC0E69">
      <w:pPr>
        <w:pStyle w:val="13"/>
        <w:spacing w:before="180" w:after="180"/>
        <w:rPr>
          <w:rStyle w:val="afe"/>
          <w:b w:val="0"/>
        </w:rPr>
      </w:pPr>
      <w:r w:rsidRPr="00131B9D">
        <w:rPr>
          <w:rStyle w:val="afe"/>
          <w:b w:val="0"/>
        </w:rPr>
        <w:fldChar w:fldCharType="begin"/>
      </w:r>
      <w:r w:rsidR="00AF3684" w:rsidRPr="00131B9D">
        <w:rPr>
          <w:rStyle w:val="afe"/>
          <w:b w:val="0"/>
        </w:rPr>
        <w:instrText xml:space="preserve"> TOC \h \z \c "</w:instrText>
      </w:r>
      <w:r w:rsidR="00AF3684" w:rsidRPr="00131B9D">
        <w:rPr>
          <w:rStyle w:val="afe"/>
          <w:b w:val="0"/>
        </w:rPr>
        <w:instrText>圖</w:instrText>
      </w:r>
      <w:r w:rsidR="00AF3684" w:rsidRPr="00131B9D">
        <w:rPr>
          <w:rStyle w:val="afe"/>
          <w:b w:val="0"/>
        </w:rPr>
        <w:instrText xml:space="preserve">2-" </w:instrText>
      </w:r>
      <w:r w:rsidRPr="00131B9D">
        <w:rPr>
          <w:rStyle w:val="afe"/>
          <w:b w:val="0"/>
        </w:rPr>
        <w:fldChar w:fldCharType="separate"/>
      </w:r>
      <w:hyperlink w:anchor="_Toc438823209" w:history="1">
        <w:r w:rsidR="00EC0E69" w:rsidRPr="00131B9D">
          <w:rPr>
            <w:rStyle w:val="afe"/>
            <w:b w:val="0"/>
          </w:rPr>
          <w:t>圖</w:t>
        </w:r>
        <w:r w:rsidR="00EC0E69" w:rsidRPr="00131B9D">
          <w:rPr>
            <w:rStyle w:val="afe"/>
            <w:b w:val="0"/>
          </w:rPr>
          <w:t>2- 1</w:t>
        </w:r>
        <w:r w:rsidR="00EC0E69" w:rsidRPr="00131B9D">
          <w:rPr>
            <w:rStyle w:val="afe"/>
            <w:b w:val="0"/>
          </w:rPr>
          <w:t xml:space="preserve">　物價相關圖表</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_Toc438823209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6</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0" w:history="1">
        <w:r w:rsidR="00EC0E69" w:rsidRPr="00131B9D">
          <w:rPr>
            <w:rStyle w:val="afe"/>
            <w:b w:val="0"/>
          </w:rPr>
          <w:t>圖</w:t>
        </w:r>
        <w:r w:rsidR="00EC0E69" w:rsidRPr="00131B9D">
          <w:rPr>
            <w:rStyle w:val="afe"/>
            <w:b w:val="0"/>
          </w:rPr>
          <w:t>2- 2</w:t>
        </w:r>
        <w:r w:rsidR="00EC0E69" w:rsidRPr="00131B9D">
          <w:rPr>
            <w:rStyle w:val="afe"/>
            <w:b w:val="0"/>
          </w:rPr>
          <w:t xml:space="preserve">　臺灣製造業採購經理人指數</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_Toc438823210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6</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1" w:history="1">
        <w:r w:rsidR="00EC0E69" w:rsidRPr="00131B9D">
          <w:rPr>
            <w:rStyle w:val="afe"/>
            <w:b w:val="0"/>
          </w:rPr>
          <w:t>圖</w:t>
        </w:r>
        <w:r w:rsidR="00EC0E69" w:rsidRPr="00131B9D">
          <w:rPr>
            <w:rStyle w:val="afe"/>
            <w:b w:val="0"/>
          </w:rPr>
          <w:t>2- 3</w:t>
        </w:r>
        <w:r w:rsidR="00EC0E69" w:rsidRPr="00131B9D">
          <w:rPr>
            <w:rStyle w:val="afe"/>
            <w:b w:val="0"/>
          </w:rPr>
          <w:t xml:space="preserve">　臺灣非製造業原物料價格指數</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_Toc438823211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7</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2" w:history="1">
        <w:r w:rsidR="00EC0E69" w:rsidRPr="00131B9D">
          <w:rPr>
            <w:rStyle w:val="afe"/>
            <w:b w:val="0"/>
          </w:rPr>
          <w:t>圖</w:t>
        </w:r>
        <w:r w:rsidR="00EC0E69" w:rsidRPr="00131B9D">
          <w:rPr>
            <w:rStyle w:val="afe"/>
            <w:b w:val="0"/>
          </w:rPr>
          <w:t>2- 4</w:t>
        </w:r>
        <w:r w:rsidR="00EC0E69" w:rsidRPr="00131B9D">
          <w:rPr>
            <w:rStyle w:val="afe"/>
            <w:b w:val="0"/>
          </w:rPr>
          <w:t xml:space="preserve">　臺灣非製造業服務收費價格指數</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_Toc438823212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8</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3" w:history="1">
        <w:r w:rsidR="00EC0E69" w:rsidRPr="00131B9D">
          <w:rPr>
            <w:rStyle w:val="afe"/>
            <w:b w:val="0"/>
          </w:rPr>
          <w:t>圖</w:t>
        </w:r>
        <w:r w:rsidR="00EC0E69" w:rsidRPr="00131B9D">
          <w:rPr>
            <w:rStyle w:val="afe"/>
            <w:b w:val="0"/>
          </w:rPr>
          <w:t>2- 5</w:t>
        </w:r>
        <w:r w:rsidR="00EC0E69" w:rsidRPr="00131B9D">
          <w:rPr>
            <w:rStyle w:val="afe"/>
            <w:b w:val="0"/>
          </w:rPr>
          <w:t xml:space="preserve">　隔夜拆款利率與</w:t>
        </w:r>
        <w:r w:rsidR="00EC0E69" w:rsidRPr="00131B9D">
          <w:rPr>
            <w:rStyle w:val="afe"/>
            <w:b w:val="0"/>
          </w:rPr>
          <w:t>364</w:t>
        </w:r>
        <w:r w:rsidR="00EC0E69" w:rsidRPr="00131B9D">
          <w:rPr>
            <w:rStyle w:val="afe"/>
            <w:b w:val="0"/>
          </w:rPr>
          <w:t>天期定期存單得標利率</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_Toc438823213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9</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4" w:history="1">
        <w:r w:rsidR="00EC0E69" w:rsidRPr="00131B9D">
          <w:rPr>
            <w:rStyle w:val="afe"/>
            <w:b w:val="0"/>
          </w:rPr>
          <w:t>圖</w:t>
        </w:r>
        <w:r w:rsidR="00EC0E69" w:rsidRPr="00131B9D">
          <w:rPr>
            <w:rStyle w:val="afe"/>
            <w:b w:val="0"/>
          </w:rPr>
          <w:t>2- 6</w:t>
        </w:r>
        <w:r w:rsidR="00EC0E69" w:rsidRPr="00131B9D">
          <w:rPr>
            <w:rStyle w:val="afe"/>
            <w:b w:val="0"/>
          </w:rPr>
          <w:t xml:space="preserve">　美元指數與美國經濟指標表現</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_Toc438823214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11</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5" w:history="1">
        <w:r w:rsidR="00EC0E69" w:rsidRPr="00131B9D">
          <w:rPr>
            <w:rStyle w:val="afe"/>
            <w:b w:val="0"/>
          </w:rPr>
          <w:t>圖</w:t>
        </w:r>
        <w:r w:rsidR="00EC0E69" w:rsidRPr="00131B9D">
          <w:rPr>
            <w:rStyle w:val="afe"/>
            <w:b w:val="0"/>
          </w:rPr>
          <w:t>2- 7</w:t>
        </w:r>
        <w:r w:rsidR="00EC0E69" w:rsidRPr="00131B9D">
          <w:rPr>
            <w:rStyle w:val="afe"/>
            <w:b w:val="0"/>
          </w:rPr>
          <w:t xml:space="preserve">　</w:t>
        </w:r>
        <w:r w:rsidR="00EC0E69" w:rsidRPr="00131B9D">
          <w:rPr>
            <w:rStyle w:val="afe"/>
            <w:b w:val="0"/>
          </w:rPr>
          <w:t>2015</w:t>
        </w:r>
        <w:r w:rsidR="00EC0E69" w:rsidRPr="00131B9D">
          <w:rPr>
            <w:rStyle w:val="afe"/>
            <w:b w:val="0"/>
          </w:rPr>
          <w:t>年以來各國貨幣兌美元匯率升貶幅度</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_Toc438823215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11</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6" w:history="1">
        <w:r w:rsidR="00EC0E69" w:rsidRPr="00131B9D">
          <w:rPr>
            <w:rStyle w:val="afe"/>
            <w:b w:val="0"/>
          </w:rPr>
          <w:t>圖</w:t>
        </w:r>
        <w:r w:rsidR="00EC0E69" w:rsidRPr="00131B9D">
          <w:rPr>
            <w:rStyle w:val="afe"/>
            <w:b w:val="0"/>
          </w:rPr>
          <w:t>2- 8</w:t>
        </w:r>
        <w:r w:rsidR="00EC0E69" w:rsidRPr="00131B9D">
          <w:rPr>
            <w:rStyle w:val="afe"/>
            <w:b w:val="0"/>
          </w:rPr>
          <w:t xml:space="preserve">　臺灣景氣對策信號與加權指數與走勢圖</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_Toc438823216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13</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7" w:history="1">
        <w:r w:rsidR="00EC0E69" w:rsidRPr="00131B9D">
          <w:rPr>
            <w:rStyle w:val="afe"/>
            <w:b w:val="0"/>
          </w:rPr>
          <w:t>圖</w:t>
        </w:r>
        <w:r w:rsidR="00EC0E69" w:rsidRPr="00131B9D">
          <w:rPr>
            <w:rStyle w:val="afe"/>
            <w:b w:val="0"/>
          </w:rPr>
          <w:t>2- 9</w:t>
        </w:r>
        <w:r w:rsidR="00EC0E69" w:rsidRPr="00131B9D">
          <w:rPr>
            <w:rStyle w:val="afe"/>
            <w:b w:val="0"/>
          </w:rPr>
          <w:t xml:space="preserve">　</w:t>
        </w:r>
        <w:r w:rsidR="00EC0E69" w:rsidRPr="00131B9D">
          <w:rPr>
            <w:rStyle w:val="afe"/>
            <w:b w:val="0"/>
          </w:rPr>
          <w:t>CRB</w:t>
        </w:r>
        <w:r w:rsidR="00EC0E69" w:rsidRPr="00131B9D">
          <w:rPr>
            <w:rStyle w:val="afe"/>
            <w:b w:val="0"/>
          </w:rPr>
          <w:t>全球商品指數</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_Toc438823217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16</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8" w:history="1">
        <w:r w:rsidR="00EC0E69" w:rsidRPr="00131B9D">
          <w:rPr>
            <w:rStyle w:val="afe"/>
            <w:b w:val="0"/>
          </w:rPr>
          <w:t>圖</w:t>
        </w:r>
        <w:r w:rsidR="00EC0E69" w:rsidRPr="00131B9D">
          <w:rPr>
            <w:rStyle w:val="afe"/>
            <w:b w:val="0"/>
          </w:rPr>
          <w:t>2- 10</w:t>
        </w:r>
        <w:r w:rsidR="00EC0E69" w:rsidRPr="00131B9D">
          <w:rPr>
            <w:rStyle w:val="afe"/>
            <w:b w:val="0"/>
          </w:rPr>
          <w:t xml:space="preserve">　布蘭特原油現貨價</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_Toc438823218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17</w:t>
        </w:r>
        <w:r w:rsidR="00EC0E69" w:rsidRPr="00131B9D">
          <w:rPr>
            <w:rStyle w:val="afe"/>
            <w:b w:val="0"/>
            <w:webHidden/>
          </w:rPr>
          <w:fldChar w:fldCharType="end"/>
        </w:r>
      </w:hyperlink>
    </w:p>
    <w:p w:rsidR="00EC0E69" w:rsidRPr="00131B9D" w:rsidRDefault="00610F41" w:rsidP="00EC0E69">
      <w:pPr>
        <w:pStyle w:val="13"/>
        <w:spacing w:before="180" w:after="180"/>
        <w:rPr>
          <w:rStyle w:val="afe"/>
          <w:b w:val="0"/>
        </w:rPr>
      </w:pPr>
      <w:hyperlink w:anchor="_Toc438823219" w:history="1">
        <w:r w:rsidR="00EC0E69" w:rsidRPr="00131B9D">
          <w:rPr>
            <w:rStyle w:val="afe"/>
            <w:b w:val="0"/>
          </w:rPr>
          <w:t>圖</w:t>
        </w:r>
        <w:r w:rsidR="00EC0E69" w:rsidRPr="00131B9D">
          <w:rPr>
            <w:rStyle w:val="afe"/>
            <w:b w:val="0"/>
          </w:rPr>
          <w:t>2- 11</w:t>
        </w:r>
        <w:r w:rsidR="00EC0E69" w:rsidRPr="00131B9D">
          <w:rPr>
            <w:rStyle w:val="afe"/>
            <w:b w:val="0"/>
          </w:rPr>
          <w:t xml:space="preserve">　波羅的海乾散貨綜合航運指數</w:t>
        </w:r>
        <w:r w:rsidR="00EC0E69" w:rsidRPr="00131B9D">
          <w:rPr>
            <w:rStyle w:val="afe"/>
            <w:b w:val="0"/>
            <w:webHidden/>
          </w:rPr>
          <w:tab/>
        </w:r>
        <w:r w:rsidR="00EC0E69" w:rsidRPr="00131B9D">
          <w:rPr>
            <w:rStyle w:val="afe"/>
            <w:b w:val="0"/>
            <w:webHidden/>
          </w:rPr>
          <w:fldChar w:fldCharType="begin"/>
        </w:r>
        <w:r w:rsidR="00EC0E69" w:rsidRPr="00131B9D">
          <w:rPr>
            <w:rStyle w:val="afe"/>
            <w:b w:val="0"/>
            <w:webHidden/>
          </w:rPr>
          <w:instrText xml:space="preserve"> PAGEREF _Toc438823219 \h </w:instrText>
        </w:r>
        <w:r w:rsidR="00EC0E69" w:rsidRPr="00131B9D">
          <w:rPr>
            <w:rStyle w:val="afe"/>
            <w:b w:val="0"/>
            <w:webHidden/>
          </w:rPr>
        </w:r>
        <w:r w:rsidR="00EC0E69" w:rsidRPr="00131B9D">
          <w:rPr>
            <w:rStyle w:val="afe"/>
            <w:b w:val="0"/>
            <w:webHidden/>
          </w:rPr>
          <w:fldChar w:fldCharType="separate"/>
        </w:r>
        <w:r w:rsidR="001641D3">
          <w:rPr>
            <w:rStyle w:val="afe"/>
            <w:b w:val="0"/>
            <w:webHidden/>
          </w:rPr>
          <w:t>17</w:t>
        </w:r>
        <w:r w:rsidR="00EC0E69" w:rsidRPr="00131B9D">
          <w:rPr>
            <w:rStyle w:val="afe"/>
            <w:b w:val="0"/>
            <w:webHidden/>
          </w:rPr>
          <w:fldChar w:fldCharType="end"/>
        </w:r>
      </w:hyperlink>
    </w:p>
    <w:p w:rsidR="008635E4" w:rsidRPr="00131B9D" w:rsidRDefault="002F5B6D" w:rsidP="008635E4">
      <w:pPr>
        <w:pStyle w:val="13"/>
        <w:spacing w:before="180" w:after="180"/>
        <w:rPr>
          <w:rStyle w:val="afe"/>
          <w:b w:val="0"/>
        </w:rPr>
      </w:pPr>
      <w:r w:rsidRPr="00131B9D">
        <w:rPr>
          <w:rStyle w:val="afe"/>
          <w:b w:val="0"/>
        </w:rPr>
        <w:fldChar w:fldCharType="end"/>
      </w:r>
      <w:r w:rsidRPr="00131B9D">
        <w:rPr>
          <w:rStyle w:val="afe"/>
          <w:b w:val="0"/>
        </w:rPr>
        <w:fldChar w:fldCharType="begin"/>
      </w:r>
      <w:r w:rsidR="00F70766" w:rsidRPr="00131B9D">
        <w:rPr>
          <w:rStyle w:val="afe"/>
          <w:b w:val="0"/>
        </w:rPr>
        <w:instrText xml:space="preserve"> TOC \h \z \c "</w:instrText>
      </w:r>
      <w:r w:rsidR="00F70766" w:rsidRPr="00131B9D">
        <w:rPr>
          <w:rStyle w:val="afe"/>
          <w:b w:val="0"/>
        </w:rPr>
        <w:instrText>圖</w:instrText>
      </w:r>
      <w:r w:rsidR="00F70766" w:rsidRPr="00131B9D">
        <w:rPr>
          <w:rStyle w:val="afe"/>
          <w:b w:val="0"/>
        </w:rPr>
        <w:instrText xml:space="preserve">3-" </w:instrText>
      </w:r>
      <w:r w:rsidRPr="00131B9D">
        <w:rPr>
          <w:rStyle w:val="afe"/>
          <w:b w:val="0"/>
        </w:rPr>
        <w:fldChar w:fldCharType="separate"/>
      </w:r>
      <w:hyperlink w:anchor="_Toc438223335" w:history="1">
        <w:r w:rsidR="008635E4" w:rsidRPr="00131B9D">
          <w:rPr>
            <w:rStyle w:val="afe"/>
            <w:b w:val="0"/>
          </w:rPr>
          <w:t>圖</w:t>
        </w:r>
        <w:r w:rsidR="008635E4" w:rsidRPr="00131B9D">
          <w:rPr>
            <w:rStyle w:val="afe"/>
            <w:b w:val="0"/>
          </w:rPr>
          <w:t>3- 1</w:t>
        </w:r>
        <w:r w:rsidR="008635E4" w:rsidRPr="00131B9D">
          <w:rPr>
            <w:rStyle w:val="afe"/>
            <w:b w:val="0"/>
          </w:rPr>
          <w:t xml:space="preserve">　聯合國農糧組織（</w:t>
        </w:r>
        <w:r w:rsidR="008635E4" w:rsidRPr="00131B9D">
          <w:rPr>
            <w:rStyle w:val="afe"/>
            <w:b w:val="0"/>
          </w:rPr>
          <w:t>FAO</w:t>
        </w:r>
        <w:r w:rsidR="008635E4" w:rsidRPr="00131B9D">
          <w:rPr>
            <w:rStyle w:val="afe"/>
            <w:b w:val="0"/>
          </w:rPr>
          <w:t>）糧食價格指數</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_Toc438223335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23</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36" w:history="1">
        <w:r w:rsidR="008635E4" w:rsidRPr="00131B9D">
          <w:rPr>
            <w:rStyle w:val="afe"/>
            <w:b w:val="0"/>
          </w:rPr>
          <w:t>圖</w:t>
        </w:r>
        <w:r w:rsidR="008635E4" w:rsidRPr="00131B9D">
          <w:rPr>
            <w:rStyle w:val="afe"/>
            <w:b w:val="0"/>
          </w:rPr>
          <w:t>3- 2</w:t>
        </w:r>
        <w:r w:rsidR="008635E4" w:rsidRPr="00131B9D">
          <w:rPr>
            <w:rStyle w:val="afe"/>
            <w:b w:val="0"/>
          </w:rPr>
          <w:t xml:space="preserve">　國際榖物協會（</w:t>
        </w:r>
        <w:r w:rsidR="008635E4" w:rsidRPr="00131B9D">
          <w:rPr>
            <w:rStyle w:val="afe"/>
            <w:b w:val="0"/>
          </w:rPr>
          <w:t>IGC</w:t>
        </w:r>
        <w:r w:rsidR="008635E4" w:rsidRPr="00131B9D">
          <w:rPr>
            <w:rStyle w:val="afe"/>
            <w:b w:val="0"/>
          </w:rPr>
          <w:t>）榖物及油籽價格指數</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_Toc438223336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24</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37" w:history="1">
        <w:r w:rsidR="008635E4" w:rsidRPr="00131B9D">
          <w:rPr>
            <w:rStyle w:val="afe"/>
            <w:b w:val="0"/>
          </w:rPr>
          <w:t>圖</w:t>
        </w:r>
        <w:r w:rsidR="008635E4" w:rsidRPr="00131B9D">
          <w:rPr>
            <w:rStyle w:val="afe"/>
            <w:b w:val="0"/>
          </w:rPr>
          <w:t>3- 3</w:t>
        </w:r>
        <w:r w:rsidR="008635E4" w:rsidRPr="00131B9D">
          <w:rPr>
            <w:rStyle w:val="afe"/>
            <w:b w:val="0"/>
          </w:rPr>
          <w:t xml:space="preserve">　黃豆近一年價格走勢圖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_Toc438223337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25</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38" w:history="1">
        <w:r w:rsidR="008635E4" w:rsidRPr="00131B9D">
          <w:rPr>
            <w:rStyle w:val="afe"/>
            <w:b w:val="0"/>
          </w:rPr>
          <w:t>圖</w:t>
        </w:r>
        <w:r w:rsidR="008635E4" w:rsidRPr="00131B9D">
          <w:rPr>
            <w:rStyle w:val="afe"/>
            <w:b w:val="0"/>
          </w:rPr>
          <w:t>3- 4</w:t>
        </w:r>
        <w:r w:rsidR="008635E4" w:rsidRPr="00131B9D">
          <w:rPr>
            <w:rStyle w:val="afe"/>
            <w:b w:val="0"/>
          </w:rPr>
          <w:t xml:space="preserve">　小麥近一年價格走勢圖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_Toc438223338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30</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39" w:history="1">
        <w:r w:rsidR="008635E4" w:rsidRPr="00131B9D">
          <w:rPr>
            <w:rStyle w:val="afe"/>
            <w:b w:val="0"/>
          </w:rPr>
          <w:t>圖</w:t>
        </w:r>
        <w:r w:rsidR="008635E4" w:rsidRPr="00131B9D">
          <w:rPr>
            <w:rStyle w:val="afe"/>
            <w:b w:val="0"/>
          </w:rPr>
          <w:t>3- 5</w:t>
        </w:r>
        <w:r w:rsidR="008635E4" w:rsidRPr="00131B9D">
          <w:rPr>
            <w:rStyle w:val="afe"/>
            <w:b w:val="0"/>
          </w:rPr>
          <w:t xml:space="preserve">　玉米近一年價格走勢圖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_Toc438223339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34</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0" w:history="1">
        <w:r w:rsidR="008635E4" w:rsidRPr="00131B9D">
          <w:rPr>
            <w:rStyle w:val="afe"/>
            <w:b w:val="0"/>
          </w:rPr>
          <w:t>圖</w:t>
        </w:r>
        <w:r w:rsidR="008635E4" w:rsidRPr="00131B9D">
          <w:rPr>
            <w:rStyle w:val="afe"/>
            <w:b w:val="0"/>
          </w:rPr>
          <w:t>3- 6</w:t>
        </w:r>
        <w:r w:rsidR="008635E4" w:rsidRPr="00131B9D">
          <w:rPr>
            <w:rStyle w:val="afe"/>
            <w:b w:val="0"/>
          </w:rPr>
          <w:t xml:space="preserve">　糖近一年價格走勢圖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_Toc438223340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39</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1" w:history="1">
        <w:r w:rsidR="008635E4" w:rsidRPr="00131B9D">
          <w:rPr>
            <w:rStyle w:val="afe"/>
            <w:b w:val="0"/>
          </w:rPr>
          <w:t>圖</w:t>
        </w:r>
        <w:r w:rsidR="008635E4" w:rsidRPr="00131B9D">
          <w:rPr>
            <w:rStyle w:val="afe"/>
            <w:b w:val="0"/>
          </w:rPr>
          <w:t>3- 7</w:t>
        </w:r>
        <w:r w:rsidR="008635E4" w:rsidRPr="00131B9D">
          <w:rPr>
            <w:rStyle w:val="afe"/>
            <w:b w:val="0"/>
          </w:rPr>
          <w:t xml:space="preserve">　銅近一年價格走勢圖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_Toc438223341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45</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2" w:history="1">
        <w:r w:rsidR="008635E4" w:rsidRPr="00131B9D">
          <w:rPr>
            <w:rStyle w:val="afe"/>
            <w:b w:val="0"/>
          </w:rPr>
          <w:t>圖</w:t>
        </w:r>
        <w:r w:rsidR="008635E4" w:rsidRPr="00131B9D">
          <w:rPr>
            <w:rStyle w:val="afe"/>
            <w:b w:val="0"/>
          </w:rPr>
          <w:t>3- 8</w:t>
        </w:r>
        <w:r w:rsidR="008635E4" w:rsidRPr="00131B9D">
          <w:rPr>
            <w:rStyle w:val="afe"/>
            <w:b w:val="0"/>
          </w:rPr>
          <w:t xml:space="preserve">　鋁近一年價格走勢圖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_Toc438223342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49</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3" w:history="1">
        <w:r w:rsidR="008635E4" w:rsidRPr="00131B9D">
          <w:rPr>
            <w:rStyle w:val="afe"/>
            <w:b w:val="0"/>
          </w:rPr>
          <w:t>圖</w:t>
        </w:r>
        <w:r w:rsidR="008635E4" w:rsidRPr="00131B9D">
          <w:rPr>
            <w:rStyle w:val="afe"/>
            <w:b w:val="0"/>
          </w:rPr>
          <w:t>3- 9</w:t>
        </w:r>
        <w:r w:rsidR="008635E4" w:rsidRPr="00131B9D">
          <w:rPr>
            <w:rStyle w:val="afe"/>
            <w:b w:val="0"/>
          </w:rPr>
          <w:t xml:space="preserve">　鎳近一年價格走勢圖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_Toc438223343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53</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4" w:history="1">
        <w:r w:rsidR="008635E4" w:rsidRPr="00131B9D">
          <w:rPr>
            <w:rStyle w:val="afe"/>
            <w:b w:val="0"/>
          </w:rPr>
          <w:t>圖</w:t>
        </w:r>
        <w:r w:rsidR="008635E4" w:rsidRPr="00131B9D">
          <w:rPr>
            <w:rStyle w:val="afe"/>
            <w:b w:val="0"/>
          </w:rPr>
          <w:t>3- 10</w:t>
        </w:r>
        <w:r w:rsidR="008635E4" w:rsidRPr="00131B9D">
          <w:rPr>
            <w:rStyle w:val="afe"/>
            <w:b w:val="0"/>
          </w:rPr>
          <w:t xml:space="preserve">　鋅近一年價格走勢圖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_Toc438223344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57</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5" w:history="1">
        <w:r w:rsidR="008635E4" w:rsidRPr="00131B9D">
          <w:rPr>
            <w:rStyle w:val="afe"/>
            <w:b w:val="0"/>
          </w:rPr>
          <w:t>圖</w:t>
        </w:r>
        <w:r w:rsidR="008635E4" w:rsidRPr="00131B9D">
          <w:rPr>
            <w:rStyle w:val="afe"/>
            <w:b w:val="0"/>
          </w:rPr>
          <w:t>3- 11</w:t>
        </w:r>
        <w:r w:rsidR="008635E4" w:rsidRPr="00131B9D">
          <w:rPr>
            <w:rStyle w:val="afe"/>
            <w:b w:val="0"/>
          </w:rPr>
          <w:t xml:space="preserve">　鉛近一年價格走勢圖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_Toc438223345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61</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6" w:history="1">
        <w:r w:rsidR="008635E4" w:rsidRPr="00131B9D">
          <w:rPr>
            <w:rStyle w:val="afe"/>
            <w:b w:val="0"/>
          </w:rPr>
          <w:t>圖</w:t>
        </w:r>
        <w:r w:rsidR="008635E4" w:rsidRPr="00131B9D">
          <w:rPr>
            <w:rStyle w:val="afe"/>
            <w:b w:val="0"/>
          </w:rPr>
          <w:t>3- 12</w:t>
        </w:r>
        <w:r w:rsidR="008635E4" w:rsidRPr="00131B9D">
          <w:rPr>
            <w:rStyle w:val="afe"/>
            <w:b w:val="0"/>
          </w:rPr>
          <w:t xml:space="preserve">　錫近一年價格走勢圖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_Toc438223346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64</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7" w:history="1">
        <w:r w:rsidR="008635E4" w:rsidRPr="00131B9D">
          <w:rPr>
            <w:rStyle w:val="afe"/>
            <w:b w:val="0"/>
          </w:rPr>
          <w:t>圖</w:t>
        </w:r>
        <w:r w:rsidR="008635E4" w:rsidRPr="00131B9D">
          <w:rPr>
            <w:rStyle w:val="afe"/>
            <w:b w:val="0"/>
          </w:rPr>
          <w:t>3- 13</w:t>
        </w:r>
        <w:r w:rsidR="008635E4" w:rsidRPr="00131B9D">
          <w:rPr>
            <w:rStyle w:val="afe"/>
            <w:b w:val="0"/>
          </w:rPr>
          <w:t xml:space="preserve">　鎂近一年價格走勢圖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_Toc438223347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69</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8" w:history="1">
        <w:r w:rsidR="008635E4" w:rsidRPr="00131B9D">
          <w:rPr>
            <w:rStyle w:val="afe"/>
            <w:b w:val="0"/>
          </w:rPr>
          <w:t>圖</w:t>
        </w:r>
        <w:r w:rsidR="008635E4" w:rsidRPr="00131B9D">
          <w:rPr>
            <w:rStyle w:val="afe"/>
            <w:b w:val="0"/>
          </w:rPr>
          <w:t>3- 14</w:t>
        </w:r>
        <w:r w:rsidR="008635E4" w:rsidRPr="00131B9D">
          <w:rPr>
            <w:rStyle w:val="afe"/>
            <w:b w:val="0"/>
          </w:rPr>
          <w:t xml:space="preserve">　鈦近一年價格走勢圖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_Toc438223348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71</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49" w:history="1">
        <w:r w:rsidR="008635E4" w:rsidRPr="00131B9D">
          <w:rPr>
            <w:rStyle w:val="afe"/>
            <w:b w:val="0"/>
          </w:rPr>
          <w:t>圖</w:t>
        </w:r>
        <w:r w:rsidR="008635E4" w:rsidRPr="00131B9D">
          <w:rPr>
            <w:rStyle w:val="afe"/>
            <w:b w:val="0"/>
          </w:rPr>
          <w:t>3- 15</w:t>
        </w:r>
        <w:r w:rsidR="008635E4" w:rsidRPr="00131B9D">
          <w:rPr>
            <w:rStyle w:val="afe"/>
            <w:b w:val="0"/>
          </w:rPr>
          <w:t xml:space="preserve">　釹近一年價格走勢圖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_Toc438223349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73</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0" w:history="1">
        <w:r w:rsidR="008635E4" w:rsidRPr="00131B9D">
          <w:rPr>
            <w:rStyle w:val="afe"/>
            <w:b w:val="0"/>
          </w:rPr>
          <w:t>圖</w:t>
        </w:r>
        <w:r w:rsidR="008635E4" w:rsidRPr="00131B9D">
          <w:rPr>
            <w:rStyle w:val="afe"/>
            <w:b w:val="0"/>
          </w:rPr>
          <w:t>3- 16</w:t>
        </w:r>
        <w:r w:rsidR="008635E4" w:rsidRPr="00131B9D">
          <w:rPr>
            <w:rStyle w:val="afe"/>
            <w:b w:val="0"/>
          </w:rPr>
          <w:t xml:space="preserve">　鈷近一年價格走勢圖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_Toc438223350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74</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1" w:history="1">
        <w:r w:rsidR="008635E4" w:rsidRPr="00131B9D">
          <w:rPr>
            <w:rStyle w:val="afe"/>
            <w:b w:val="0"/>
          </w:rPr>
          <w:t>圖</w:t>
        </w:r>
        <w:r w:rsidR="008635E4" w:rsidRPr="00131B9D">
          <w:rPr>
            <w:rStyle w:val="afe"/>
            <w:b w:val="0"/>
          </w:rPr>
          <w:t>3- 17</w:t>
        </w:r>
        <w:r w:rsidR="008635E4" w:rsidRPr="00131B9D">
          <w:rPr>
            <w:rStyle w:val="afe"/>
            <w:b w:val="0"/>
          </w:rPr>
          <w:t xml:space="preserve">　鋼鐵產業關聯圖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_Toc438223351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77</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2" w:history="1">
        <w:r w:rsidR="008635E4" w:rsidRPr="00131B9D">
          <w:rPr>
            <w:rStyle w:val="afe"/>
            <w:b w:val="0"/>
          </w:rPr>
          <w:t>圖</w:t>
        </w:r>
        <w:r w:rsidR="008635E4" w:rsidRPr="00131B9D">
          <w:rPr>
            <w:rStyle w:val="afe"/>
            <w:b w:val="0"/>
          </w:rPr>
          <w:t>3- 18</w:t>
        </w:r>
        <w:r w:rsidR="008635E4" w:rsidRPr="00131B9D">
          <w:rPr>
            <w:rStyle w:val="afe"/>
            <w:b w:val="0"/>
          </w:rPr>
          <w:t xml:space="preserve">　全球鋼鐵指數</w:t>
        </w:r>
        <w:r w:rsidR="008635E4" w:rsidRPr="00131B9D">
          <w:rPr>
            <w:rStyle w:val="afe"/>
            <w:b w:val="0"/>
          </w:rPr>
          <w:t>CRU</w:t>
        </w:r>
        <w:r w:rsidR="008635E4" w:rsidRPr="00131B9D">
          <w:rPr>
            <w:rStyle w:val="afe"/>
            <w:b w:val="0"/>
          </w:rPr>
          <w:t>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_Toc438223352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77</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3" w:history="1">
        <w:r w:rsidR="008635E4" w:rsidRPr="00131B9D">
          <w:rPr>
            <w:rStyle w:val="afe"/>
            <w:b w:val="0"/>
          </w:rPr>
          <w:t>圖</w:t>
        </w:r>
        <w:r w:rsidR="008635E4" w:rsidRPr="00131B9D">
          <w:rPr>
            <w:rStyle w:val="afe"/>
            <w:b w:val="0"/>
          </w:rPr>
          <w:t>3- 19</w:t>
        </w:r>
        <w:r w:rsidR="008635E4" w:rsidRPr="00131B9D">
          <w:rPr>
            <w:rStyle w:val="afe"/>
            <w:b w:val="0"/>
          </w:rPr>
          <w:t xml:space="preserve">　廢鋼近一年價格走勢圖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_Toc438223353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79</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4" w:history="1">
        <w:r w:rsidR="008635E4" w:rsidRPr="00131B9D">
          <w:rPr>
            <w:rStyle w:val="afe"/>
            <w:b w:val="0"/>
          </w:rPr>
          <w:t>圖</w:t>
        </w:r>
        <w:r w:rsidR="008635E4" w:rsidRPr="00131B9D">
          <w:rPr>
            <w:rStyle w:val="afe"/>
            <w:b w:val="0"/>
          </w:rPr>
          <w:t>3- 20</w:t>
        </w:r>
        <w:r w:rsidR="008635E4" w:rsidRPr="00131B9D">
          <w:rPr>
            <w:rStyle w:val="afe"/>
            <w:b w:val="0"/>
          </w:rPr>
          <w:t xml:space="preserve">　小鋼胚近一年價格走勢圖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_Toc438223354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81</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5" w:history="1">
        <w:r w:rsidR="008635E4" w:rsidRPr="00131B9D">
          <w:rPr>
            <w:rStyle w:val="afe"/>
            <w:b w:val="0"/>
          </w:rPr>
          <w:t>圖</w:t>
        </w:r>
        <w:r w:rsidR="008635E4" w:rsidRPr="00131B9D">
          <w:rPr>
            <w:rStyle w:val="afe"/>
            <w:b w:val="0"/>
          </w:rPr>
          <w:t>3- 21</w:t>
        </w:r>
        <w:r w:rsidR="008635E4" w:rsidRPr="00131B9D">
          <w:rPr>
            <w:rStyle w:val="afe"/>
            <w:b w:val="0"/>
          </w:rPr>
          <w:t xml:space="preserve">　熱軋鋼捲近一年價格走勢圖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_Toc438223355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84</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6" w:history="1">
        <w:r w:rsidR="008635E4" w:rsidRPr="00131B9D">
          <w:rPr>
            <w:rStyle w:val="afe"/>
            <w:b w:val="0"/>
          </w:rPr>
          <w:t>圖</w:t>
        </w:r>
        <w:r w:rsidR="008635E4" w:rsidRPr="00131B9D">
          <w:rPr>
            <w:rStyle w:val="afe"/>
            <w:b w:val="0"/>
          </w:rPr>
          <w:t>3- 22</w:t>
        </w:r>
        <w:r w:rsidR="008635E4" w:rsidRPr="00131B9D">
          <w:rPr>
            <w:rStyle w:val="afe"/>
            <w:b w:val="0"/>
          </w:rPr>
          <w:t xml:space="preserve">　冷軋鋼捲近一年價格走勢圖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_Toc438223356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85</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7" w:history="1">
        <w:r w:rsidR="008635E4" w:rsidRPr="00131B9D">
          <w:rPr>
            <w:rStyle w:val="afe"/>
            <w:b w:val="0"/>
          </w:rPr>
          <w:t>圖</w:t>
        </w:r>
        <w:r w:rsidR="008635E4" w:rsidRPr="00131B9D">
          <w:rPr>
            <w:rStyle w:val="afe"/>
            <w:b w:val="0"/>
          </w:rPr>
          <w:t>3- 23</w:t>
        </w:r>
        <w:r w:rsidR="008635E4" w:rsidRPr="00131B9D">
          <w:rPr>
            <w:rStyle w:val="afe"/>
            <w:b w:val="0"/>
          </w:rPr>
          <w:t xml:space="preserve">　鍍鋅鋼捲近一年價格走勢圖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_Toc438223357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85</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8" w:history="1">
        <w:r w:rsidR="008635E4" w:rsidRPr="00131B9D">
          <w:rPr>
            <w:rStyle w:val="afe"/>
            <w:b w:val="0"/>
          </w:rPr>
          <w:t>圖</w:t>
        </w:r>
        <w:r w:rsidR="008635E4" w:rsidRPr="00131B9D">
          <w:rPr>
            <w:rStyle w:val="afe"/>
            <w:b w:val="0"/>
          </w:rPr>
          <w:t>3- 24</w:t>
        </w:r>
        <w:r w:rsidR="008635E4" w:rsidRPr="00131B9D">
          <w:rPr>
            <w:rStyle w:val="afe"/>
            <w:b w:val="0"/>
          </w:rPr>
          <w:t xml:space="preserve">　鋼筋近一年價格走勢圖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_Toc438223358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87</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59" w:history="1">
        <w:r w:rsidR="008635E4" w:rsidRPr="00131B9D">
          <w:rPr>
            <w:rStyle w:val="afe"/>
            <w:b w:val="0"/>
          </w:rPr>
          <w:t>圖</w:t>
        </w:r>
        <w:r w:rsidR="008635E4" w:rsidRPr="00131B9D">
          <w:rPr>
            <w:rStyle w:val="afe"/>
            <w:b w:val="0"/>
          </w:rPr>
          <w:t>3- 25</w:t>
        </w:r>
        <w:r w:rsidR="008635E4" w:rsidRPr="00131B9D">
          <w:rPr>
            <w:rStyle w:val="afe"/>
            <w:b w:val="0"/>
          </w:rPr>
          <w:t xml:space="preserve">　</w:t>
        </w:r>
        <w:r w:rsidR="008635E4" w:rsidRPr="00131B9D">
          <w:rPr>
            <w:rStyle w:val="afe"/>
            <w:b w:val="0"/>
          </w:rPr>
          <w:t>H</w:t>
        </w:r>
        <w:r w:rsidR="008635E4" w:rsidRPr="00131B9D">
          <w:rPr>
            <w:rStyle w:val="afe"/>
            <w:b w:val="0"/>
          </w:rPr>
          <w:t>型鋼近一年價格走勢圖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_Toc438223359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88</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0" w:history="1">
        <w:r w:rsidR="008635E4" w:rsidRPr="00131B9D">
          <w:rPr>
            <w:rStyle w:val="afe"/>
            <w:b w:val="0"/>
          </w:rPr>
          <w:t>圖</w:t>
        </w:r>
        <w:r w:rsidR="008635E4" w:rsidRPr="00131B9D">
          <w:rPr>
            <w:rStyle w:val="afe"/>
            <w:b w:val="0"/>
          </w:rPr>
          <w:t>3- 26</w:t>
        </w:r>
        <w:r w:rsidR="008635E4" w:rsidRPr="00131B9D">
          <w:rPr>
            <w:rStyle w:val="afe"/>
            <w:b w:val="0"/>
          </w:rPr>
          <w:t xml:space="preserve">　近一年國際原油價格趨勢</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_Toc438223360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90</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1" w:history="1">
        <w:r w:rsidR="008635E4" w:rsidRPr="00131B9D">
          <w:rPr>
            <w:rStyle w:val="afe"/>
            <w:b w:val="0"/>
          </w:rPr>
          <w:t>圖</w:t>
        </w:r>
        <w:r w:rsidR="008635E4" w:rsidRPr="00131B9D">
          <w:rPr>
            <w:rStyle w:val="afe"/>
            <w:b w:val="0"/>
          </w:rPr>
          <w:t>3- 27</w:t>
        </w:r>
        <w:r w:rsidR="008635E4" w:rsidRPr="00131B9D">
          <w:rPr>
            <w:rStyle w:val="afe"/>
            <w:b w:val="0"/>
          </w:rPr>
          <w:t xml:space="preserve">　石化產業關聯圖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_Toc438223361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91</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2" w:history="1">
        <w:r w:rsidR="008635E4" w:rsidRPr="00131B9D">
          <w:rPr>
            <w:rStyle w:val="afe"/>
            <w:b w:val="0"/>
          </w:rPr>
          <w:t>圖</w:t>
        </w:r>
        <w:r w:rsidR="008635E4" w:rsidRPr="00131B9D">
          <w:rPr>
            <w:rStyle w:val="afe"/>
            <w:b w:val="0"/>
          </w:rPr>
          <w:t>3- 28</w:t>
        </w:r>
        <w:r w:rsidR="008635E4" w:rsidRPr="00131B9D">
          <w:rPr>
            <w:rStyle w:val="afe"/>
            <w:b w:val="0"/>
          </w:rPr>
          <w:t xml:space="preserve">　乙烯近一年價格走勢圖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_Toc438223362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93</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3" w:history="1">
        <w:r w:rsidR="008635E4" w:rsidRPr="00131B9D">
          <w:rPr>
            <w:rStyle w:val="afe"/>
            <w:b w:val="0"/>
          </w:rPr>
          <w:t>圖</w:t>
        </w:r>
        <w:r w:rsidR="008635E4" w:rsidRPr="00131B9D">
          <w:rPr>
            <w:rStyle w:val="afe"/>
            <w:b w:val="0"/>
          </w:rPr>
          <w:t>3- 29</w:t>
        </w:r>
        <w:r w:rsidR="008635E4" w:rsidRPr="00131B9D">
          <w:rPr>
            <w:rStyle w:val="afe"/>
            <w:b w:val="0"/>
          </w:rPr>
          <w:t xml:space="preserve">　丙烯近一年價格走勢圖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_Toc438223363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94</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4" w:history="1">
        <w:r w:rsidR="008635E4" w:rsidRPr="00131B9D">
          <w:rPr>
            <w:rStyle w:val="afe"/>
            <w:b w:val="0"/>
          </w:rPr>
          <w:t>圖</w:t>
        </w:r>
        <w:r w:rsidR="008635E4" w:rsidRPr="00131B9D">
          <w:rPr>
            <w:rStyle w:val="afe"/>
            <w:b w:val="0"/>
          </w:rPr>
          <w:t>3- 30</w:t>
        </w:r>
        <w:r w:rsidR="008635E4" w:rsidRPr="00131B9D">
          <w:rPr>
            <w:rStyle w:val="afe"/>
            <w:b w:val="0"/>
          </w:rPr>
          <w:t xml:space="preserve">　苯近一年價格走勢圖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_Toc438223364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96</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5" w:history="1">
        <w:r w:rsidR="008635E4" w:rsidRPr="00131B9D">
          <w:rPr>
            <w:rStyle w:val="afe"/>
            <w:b w:val="0"/>
          </w:rPr>
          <w:t>圖</w:t>
        </w:r>
        <w:r w:rsidR="008635E4" w:rsidRPr="00131B9D">
          <w:rPr>
            <w:rStyle w:val="afe"/>
            <w:b w:val="0"/>
          </w:rPr>
          <w:t>3- 31</w:t>
        </w:r>
        <w:r w:rsidR="008635E4" w:rsidRPr="00131B9D">
          <w:rPr>
            <w:rStyle w:val="afe"/>
            <w:b w:val="0"/>
          </w:rPr>
          <w:t xml:space="preserve">　聚氯乙烯近一年價格走勢圖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_Toc438223365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97</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6" w:history="1">
        <w:r w:rsidR="008635E4" w:rsidRPr="00131B9D">
          <w:rPr>
            <w:rStyle w:val="afe"/>
            <w:b w:val="0"/>
          </w:rPr>
          <w:t>圖</w:t>
        </w:r>
        <w:r w:rsidR="008635E4" w:rsidRPr="00131B9D">
          <w:rPr>
            <w:rStyle w:val="afe"/>
            <w:b w:val="0"/>
          </w:rPr>
          <w:t>3- 32</w:t>
        </w:r>
        <w:r w:rsidR="008635E4" w:rsidRPr="00131B9D">
          <w:rPr>
            <w:rStyle w:val="afe"/>
            <w:b w:val="0"/>
          </w:rPr>
          <w:t xml:space="preserve">　低密度聚乙烯近一年價格走勢圖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_Toc438223366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99</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7" w:history="1">
        <w:r w:rsidR="008635E4" w:rsidRPr="00131B9D">
          <w:rPr>
            <w:rStyle w:val="afe"/>
            <w:b w:val="0"/>
          </w:rPr>
          <w:t>圖</w:t>
        </w:r>
        <w:r w:rsidR="008635E4" w:rsidRPr="00131B9D">
          <w:rPr>
            <w:rStyle w:val="afe"/>
            <w:b w:val="0"/>
          </w:rPr>
          <w:t>3- 33</w:t>
        </w:r>
        <w:r w:rsidR="008635E4" w:rsidRPr="00131B9D">
          <w:rPr>
            <w:rStyle w:val="afe"/>
            <w:b w:val="0"/>
          </w:rPr>
          <w:t xml:space="preserve">　高密度聚乙烯近一年價格走勢圖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_Toc438223367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100</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8" w:history="1">
        <w:r w:rsidR="008635E4" w:rsidRPr="00131B9D">
          <w:rPr>
            <w:rStyle w:val="afe"/>
            <w:b w:val="0"/>
          </w:rPr>
          <w:t>圖</w:t>
        </w:r>
        <w:r w:rsidR="008635E4" w:rsidRPr="00131B9D">
          <w:rPr>
            <w:rStyle w:val="afe"/>
            <w:b w:val="0"/>
          </w:rPr>
          <w:t>3- 34</w:t>
        </w:r>
        <w:r w:rsidR="008635E4" w:rsidRPr="00131B9D">
          <w:rPr>
            <w:rStyle w:val="afe"/>
            <w:b w:val="0"/>
          </w:rPr>
          <w:t xml:space="preserve">　聚苯乙烯近一年價格走勢圖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_Toc438223368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101</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69" w:history="1">
        <w:r w:rsidR="008635E4" w:rsidRPr="00131B9D">
          <w:rPr>
            <w:rStyle w:val="afe"/>
            <w:b w:val="0"/>
          </w:rPr>
          <w:t>圖</w:t>
        </w:r>
        <w:r w:rsidR="008635E4" w:rsidRPr="00131B9D">
          <w:rPr>
            <w:rStyle w:val="afe"/>
            <w:b w:val="0"/>
          </w:rPr>
          <w:t>3- 35</w:t>
        </w:r>
        <w:r w:rsidR="008635E4" w:rsidRPr="00131B9D">
          <w:rPr>
            <w:rStyle w:val="afe"/>
            <w:b w:val="0"/>
          </w:rPr>
          <w:t xml:space="preserve">　</w:t>
        </w:r>
        <w:r w:rsidR="008635E4" w:rsidRPr="00131B9D">
          <w:rPr>
            <w:rStyle w:val="afe"/>
            <w:b w:val="0"/>
          </w:rPr>
          <w:t>ABS</w:t>
        </w:r>
        <w:r w:rsidR="008635E4" w:rsidRPr="00131B9D">
          <w:rPr>
            <w:rStyle w:val="afe"/>
            <w:b w:val="0"/>
          </w:rPr>
          <w:t>樹脂近一年價格走勢圖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_Toc438223369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103</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0" w:history="1">
        <w:r w:rsidR="008635E4" w:rsidRPr="00131B9D">
          <w:rPr>
            <w:rStyle w:val="afe"/>
            <w:b w:val="0"/>
          </w:rPr>
          <w:t>圖</w:t>
        </w:r>
        <w:r w:rsidR="008635E4" w:rsidRPr="00131B9D">
          <w:rPr>
            <w:rStyle w:val="afe"/>
            <w:b w:val="0"/>
          </w:rPr>
          <w:t>3- 36</w:t>
        </w:r>
        <w:r w:rsidR="008635E4" w:rsidRPr="00131B9D">
          <w:rPr>
            <w:rStyle w:val="afe"/>
            <w:b w:val="0"/>
          </w:rPr>
          <w:t xml:space="preserve">　</w:t>
        </w:r>
        <w:r w:rsidR="008635E4" w:rsidRPr="00131B9D">
          <w:rPr>
            <w:rStyle w:val="afe"/>
            <w:b w:val="0"/>
          </w:rPr>
          <w:t>CPL</w:t>
        </w:r>
        <w:r w:rsidR="008635E4" w:rsidRPr="00131B9D">
          <w:rPr>
            <w:rStyle w:val="afe"/>
            <w:b w:val="0"/>
          </w:rPr>
          <w:t>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_Toc438223370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104</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1" w:history="1">
        <w:r w:rsidR="008635E4" w:rsidRPr="00131B9D">
          <w:rPr>
            <w:rStyle w:val="afe"/>
            <w:b w:val="0"/>
          </w:rPr>
          <w:t>圖</w:t>
        </w:r>
        <w:r w:rsidR="008635E4" w:rsidRPr="00131B9D">
          <w:rPr>
            <w:rStyle w:val="afe"/>
            <w:b w:val="0"/>
          </w:rPr>
          <w:t>3- 37</w:t>
        </w:r>
        <w:r w:rsidR="008635E4" w:rsidRPr="00131B9D">
          <w:rPr>
            <w:rStyle w:val="afe"/>
            <w:b w:val="0"/>
          </w:rPr>
          <w:t xml:space="preserve">　</w:t>
        </w:r>
        <w:r w:rsidR="008635E4" w:rsidRPr="00131B9D">
          <w:rPr>
            <w:rStyle w:val="afe"/>
            <w:b w:val="0"/>
          </w:rPr>
          <w:t>PTA</w:t>
        </w:r>
        <w:r w:rsidR="008635E4" w:rsidRPr="00131B9D">
          <w:rPr>
            <w:rStyle w:val="afe"/>
            <w:b w:val="0"/>
          </w:rPr>
          <w:t>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_Toc438223371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106</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2" w:history="1">
        <w:r w:rsidR="008635E4" w:rsidRPr="00131B9D">
          <w:rPr>
            <w:rStyle w:val="afe"/>
            <w:b w:val="0"/>
          </w:rPr>
          <w:t>圖</w:t>
        </w:r>
        <w:r w:rsidR="008635E4" w:rsidRPr="00131B9D">
          <w:rPr>
            <w:rStyle w:val="afe"/>
            <w:b w:val="0"/>
          </w:rPr>
          <w:t>3- 38</w:t>
        </w:r>
        <w:r w:rsidR="008635E4" w:rsidRPr="00131B9D">
          <w:rPr>
            <w:rStyle w:val="afe"/>
            <w:b w:val="0"/>
          </w:rPr>
          <w:t xml:space="preserve">　</w:t>
        </w:r>
        <w:r w:rsidR="008635E4" w:rsidRPr="00131B9D">
          <w:rPr>
            <w:rStyle w:val="afe"/>
            <w:b w:val="0"/>
          </w:rPr>
          <w:t>EG</w:t>
        </w:r>
        <w:r w:rsidR="008635E4" w:rsidRPr="00131B9D">
          <w:rPr>
            <w:rStyle w:val="afe"/>
            <w:b w:val="0"/>
          </w:rPr>
          <w:t>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_Toc438223372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107</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3" w:history="1">
        <w:r w:rsidR="008635E4" w:rsidRPr="00131B9D">
          <w:rPr>
            <w:rStyle w:val="afe"/>
            <w:b w:val="0"/>
          </w:rPr>
          <w:t>圖</w:t>
        </w:r>
        <w:r w:rsidR="008635E4" w:rsidRPr="00131B9D">
          <w:rPr>
            <w:rStyle w:val="afe"/>
            <w:b w:val="0"/>
          </w:rPr>
          <w:t>3- 39</w:t>
        </w:r>
        <w:r w:rsidR="008635E4" w:rsidRPr="00131B9D">
          <w:rPr>
            <w:rStyle w:val="afe"/>
            <w:b w:val="0"/>
          </w:rPr>
          <w:t xml:space="preserve">　紙漿近一年價格走勢圖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_Toc438223373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110</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4" w:history="1">
        <w:r w:rsidR="008635E4" w:rsidRPr="00131B9D">
          <w:rPr>
            <w:rStyle w:val="afe"/>
            <w:b w:val="0"/>
          </w:rPr>
          <w:t>圖</w:t>
        </w:r>
        <w:r w:rsidR="008635E4" w:rsidRPr="00131B9D">
          <w:rPr>
            <w:rStyle w:val="afe"/>
            <w:b w:val="0"/>
          </w:rPr>
          <w:t>3- 40</w:t>
        </w:r>
        <w:r w:rsidR="008635E4" w:rsidRPr="00131B9D">
          <w:rPr>
            <w:rStyle w:val="afe"/>
            <w:b w:val="0"/>
          </w:rPr>
          <w:t xml:space="preserve">　廢紙近一年價格走勢圖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_Toc438223374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112</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5" w:history="1">
        <w:r w:rsidR="008635E4" w:rsidRPr="00131B9D">
          <w:rPr>
            <w:rStyle w:val="afe"/>
            <w:b w:val="0"/>
          </w:rPr>
          <w:t>圖</w:t>
        </w:r>
        <w:r w:rsidR="008635E4" w:rsidRPr="00131B9D">
          <w:rPr>
            <w:rStyle w:val="afe"/>
            <w:b w:val="0"/>
          </w:rPr>
          <w:t>3- 41</w:t>
        </w:r>
        <w:r w:rsidR="008635E4" w:rsidRPr="00131B9D">
          <w:rPr>
            <w:rStyle w:val="afe"/>
            <w:b w:val="0"/>
          </w:rPr>
          <w:t xml:space="preserve">　水泥近一年價格走勢圖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_Toc438223375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114</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6" w:history="1">
        <w:r w:rsidR="008635E4" w:rsidRPr="00131B9D">
          <w:rPr>
            <w:rStyle w:val="afe"/>
            <w:b w:val="0"/>
          </w:rPr>
          <w:t>圖</w:t>
        </w:r>
        <w:r w:rsidR="008635E4" w:rsidRPr="00131B9D">
          <w:rPr>
            <w:rStyle w:val="afe"/>
            <w:b w:val="0"/>
          </w:rPr>
          <w:t>3- 42</w:t>
        </w:r>
        <w:r w:rsidR="008635E4" w:rsidRPr="00131B9D">
          <w:rPr>
            <w:rStyle w:val="afe"/>
            <w:b w:val="0"/>
          </w:rPr>
          <w:t xml:space="preserve">　砂石近一年價格走勢圖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_Toc438223376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116</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7" w:history="1">
        <w:r w:rsidR="008635E4" w:rsidRPr="00131B9D">
          <w:rPr>
            <w:rStyle w:val="afe"/>
            <w:b w:val="0"/>
          </w:rPr>
          <w:t>圖</w:t>
        </w:r>
        <w:r w:rsidR="008635E4" w:rsidRPr="00131B9D">
          <w:rPr>
            <w:rStyle w:val="afe"/>
            <w:b w:val="0"/>
          </w:rPr>
          <w:t>3- 43</w:t>
        </w:r>
        <w:r w:rsidR="008635E4" w:rsidRPr="00131B9D">
          <w:rPr>
            <w:rStyle w:val="afe"/>
            <w:b w:val="0"/>
          </w:rPr>
          <w:t xml:space="preserve">　預拌混凝土近一年價格走勢圖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_Toc438223377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117</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8" w:history="1">
        <w:r w:rsidR="008635E4" w:rsidRPr="00131B9D">
          <w:rPr>
            <w:rStyle w:val="afe"/>
            <w:b w:val="0"/>
          </w:rPr>
          <w:t>圖</w:t>
        </w:r>
        <w:r w:rsidR="008635E4" w:rsidRPr="00131B9D">
          <w:rPr>
            <w:rStyle w:val="afe"/>
            <w:b w:val="0"/>
          </w:rPr>
          <w:t>3- 44</w:t>
        </w:r>
        <w:r w:rsidR="008635E4" w:rsidRPr="00131B9D">
          <w:rPr>
            <w:rStyle w:val="afe"/>
            <w:b w:val="0"/>
          </w:rPr>
          <w:t>美元兌各貨幣走勢</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_Toc438223378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118</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79" w:history="1">
        <w:r w:rsidR="008635E4" w:rsidRPr="00131B9D">
          <w:rPr>
            <w:rStyle w:val="afe"/>
            <w:b w:val="0"/>
          </w:rPr>
          <w:t>圖</w:t>
        </w:r>
        <w:r w:rsidR="008635E4" w:rsidRPr="00131B9D">
          <w:rPr>
            <w:rStyle w:val="afe"/>
            <w:b w:val="0"/>
          </w:rPr>
          <w:t>3- 45</w:t>
        </w:r>
        <w:r w:rsidR="008635E4" w:rsidRPr="00131B9D">
          <w:rPr>
            <w:rStyle w:val="afe"/>
            <w:b w:val="0"/>
          </w:rPr>
          <w:t xml:space="preserve">　咖啡豆近一年價格走勢圖</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_Toc438223379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119</w:t>
        </w:r>
        <w:r w:rsidR="008635E4" w:rsidRPr="00131B9D">
          <w:rPr>
            <w:rStyle w:val="afe"/>
            <w:b w:val="0"/>
            <w:webHidden/>
          </w:rPr>
          <w:fldChar w:fldCharType="end"/>
        </w:r>
      </w:hyperlink>
    </w:p>
    <w:p w:rsidR="008635E4" w:rsidRPr="00131B9D" w:rsidRDefault="00610F41" w:rsidP="008635E4">
      <w:pPr>
        <w:pStyle w:val="13"/>
        <w:spacing w:before="180" w:after="180"/>
        <w:rPr>
          <w:rStyle w:val="afe"/>
          <w:b w:val="0"/>
        </w:rPr>
      </w:pPr>
      <w:hyperlink w:anchor="_Toc438223380" w:history="1">
        <w:r w:rsidR="008635E4" w:rsidRPr="00131B9D">
          <w:rPr>
            <w:rStyle w:val="afe"/>
            <w:b w:val="0"/>
          </w:rPr>
          <w:t>圖</w:t>
        </w:r>
        <w:r w:rsidR="008635E4" w:rsidRPr="00131B9D">
          <w:rPr>
            <w:rStyle w:val="afe"/>
            <w:b w:val="0"/>
          </w:rPr>
          <w:t>3- 46</w:t>
        </w:r>
        <w:r w:rsidR="008635E4" w:rsidRPr="00131B9D">
          <w:rPr>
            <w:rStyle w:val="afe"/>
            <w:b w:val="0"/>
          </w:rPr>
          <w:t xml:space="preserve">　國際鋼鐵價格預測</w:t>
        </w:r>
        <w:r w:rsidR="008635E4" w:rsidRPr="00131B9D">
          <w:rPr>
            <w:rStyle w:val="afe"/>
            <w:b w:val="0"/>
            <w:webHidden/>
          </w:rPr>
          <w:tab/>
        </w:r>
        <w:r w:rsidR="008635E4" w:rsidRPr="00131B9D">
          <w:rPr>
            <w:rStyle w:val="afe"/>
            <w:b w:val="0"/>
            <w:webHidden/>
          </w:rPr>
          <w:fldChar w:fldCharType="begin"/>
        </w:r>
        <w:r w:rsidR="008635E4" w:rsidRPr="00131B9D">
          <w:rPr>
            <w:rStyle w:val="afe"/>
            <w:b w:val="0"/>
            <w:webHidden/>
          </w:rPr>
          <w:instrText xml:space="preserve"> PAGEREF _Toc438223380 \h </w:instrText>
        </w:r>
        <w:r w:rsidR="008635E4" w:rsidRPr="00131B9D">
          <w:rPr>
            <w:rStyle w:val="afe"/>
            <w:b w:val="0"/>
            <w:webHidden/>
          </w:rPr>
        </w:r>
        <w:r w:rsidR="008635E4" w:rsidRPr="00131B9D">
          <w:rPr>
            <w:rStyle w:val="afe"/>
            <w:b w:val="0"/>
            <w:webHidden/>
          </w:rPr>
          <w:fldChar w:fldCharType="separate"/>
        </w:r>
        <w:r w:rsidR="001641D3">
          <w:rPr>
            <w:rStyle w:val="afe"/>
            <w:b w:val="0"/>
            <w:webHidden/>
          </w:rPr>
          <w:t>122</w:t>
        </w:r>
        <w:r w:rsidR="008635E4" w:rsidRPr="00131B9D">
          <w:rPr>
            <w:rStyle w:val="afe"/>
            <w:b w:val="0"/>
            <w:webHidden/>
          </w:rPr>
          <w:fldChar w:fldCharType="end"/>
        </w:r>
      </w:hyperlink>
    </w:p>
    <w:p w:rsidR="00AA0B65" w:rsidRPr="00131B9D" w:rsidRDefault="002F5B6D" w:rsidP="008635E4">
      <w:pPr>
        <w:pStyle w:val="13"/>
        <w:spacing w:before="180" w:after="180"/>
        <w:rPr>
          <w:rStyle w:val="afe"/>
          <w:b w:val="0"/>
          <w:bCs/>
          <w:kern w:val="52"/>
        </w:rPr>
      </w:pPr>
      <w:r w:rsidRPr="00131B9D">
        <w:rPr>
          <w:rStyle w:val="afe"/>
          <w:b w:val="0"/>
        </w:rPr>
        <w:fldChar w:fldCharType="end"/>
      </w:r>
      <w:r w:rsidR="00672064" w:rsidRPr="00131B9D">
        <w:rPr>
          <w:rStyle w:val="afe"/>
          <w:b w:val="0"/>
          <w:bCs/>
          <w:kern w:val="52"/>
        </w:rPr>
        <w:fldChar w:fldCharType="begin"/>
      </w:r>
      <w:r w:rsidR="00672064" w:rsidRPr="00131B9D">
        <w:rPr>
          <w:rStyle w:val="afe"/>
          <w:b w:val="0"/>
          <w:bCs/>
          <w:kern w:val="52"/>
        </w:rPr>
        <w:instrText xml:space="preserve"> TOC \h \z \c "</w:instrText>
      </w:r>
      <w:r w:rsidR="00672064" w:rsidRPr="00131B9D">
        <w:rPr>
          <w:rStyle w:val="afe"/>
          <w:b w:val="0"/>
          <w:bCs/>
          <w:kern w:val="52"/>
        </w:rPr>
        <w:instrText>圖</w:instrText>
      </w:r>
      <w:r w:rsidR="00672064" w:rsidRPr="00131B9D">
        <w:rPr>
          <w:rStyle w:val="afe"/>
          <w:b w:val="0"/>
          <w:bCs/>
          <w:kern w:val="52"/>
        </w:rPr>
        <w:instrText xml:space="preserve">4-" </w:instrText>
      </w:r>
      <w:r w:rsidR="00672064" w:rsidRPr="00131B9D">
        <w:rPr>
          <w:rStyle w:val="afe"/>
          <w:b w:val="0"/>
          <w:bCs/>
          <w:kern w:val="52"/>
        </w:rPr>
        <w:fldChar w:fldCharType="separate"/>
      </w:r>
      <w:hyperlink w:anchor="_Toc437958972" w:history="1">
        <w:r w:rsidR="00AA0B65" w:rsidRPr="00131B9D">
          <w:rPr>
            <w:rStyle w:val="afe"/>
            <w:b w:val="0"/>
            <w:bCs/>
            <w:kern w:val="52"/>
          </w:rPr>
          <w:t>圖</w:t>
        </w:r>
        <w:r w:rsidR="00AA0B65" w:rsidRPr="00131B9D">
          <w:rPr>
            <w:rStyle w:val="afe"/>
            <w:b w:val="0"/>
            <w:bCs/>
            <w:kern w:val="52"/>
          </w:rPr>
          <w:t>4- 1</w:t>
        </w:r>
        <w:r w:rsidR="00AA0B65" w:rsidRPr="00131B9D">
          <w:rPr>
            <w:rStyle w:val="afe"/>
            <w:b w:val="0"/>
            <w:bCs/>
            <w:kern w:val="52"/>
          </w:rPr>
          <w:t xml:space="preserve">　米價長期走勢圖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_Toc437958972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126</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73" w:history="1">
        <w:r w:rsidR="00AA0B65" w:rsidRPr="00131B9D">
          <w:rPr>
            <w:rStyle w:val="afe"/>
            <w:b w:val="0"/>
            <w:bCs/>
            <w:kern w:val="52"/>
          </w:rPr>
          <w:t>圖</w:t>
        </w:r>
        <w:r w:rsidR="00AA0B65" w:rsidRPr="00131B9D">
          <w:rPr>
            <w:rStyle w:val="afe"/>
            <w:b w:val="0"/>
            <w:bCs/>
            <w:kern w:val="52"/>
          </w:rPr>
          <w:t>4- 2</w:t>
        </w:r>
        <w:r w:rsidR="00AA0B65" w:rsidRPr="00131B9D">
          <w:rPr>
            <w:rStyle w:val="afe"/>
            <w:b w:val="0"/>
            <w:bCs/>
            <w:kern w:val="52"/>
          </w:rPr>
          <w:t xml:space="preserve">　</w:t>
        </w:r>
        <w:r w:rsidR="00AA0B65" w:rsidRPr="00131B9D">
          <w:rPr>
            <w:rStyle w:val="afe"/>
            <w:b w:val="0"/>
            <w:bCs/>
            <w:kern w:val="52"/>
          </w:rPr>
          <w:t>1981</w:t>
        </w:r>
        <w:r w:rsidR="00AA0B65" w:rsidRPr="00131B9D">
          <w:rPr>
            <w:rStyle w:val="afe"/>
            <w:b w:val="0"/>
            <w:bCs/>
            <w:kern w:val="52"/>
          </w:rPr>
          <w:t>年以來上半年平均降雨量比較</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_Toc437958973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127</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74" w:history="1">
        <w:r w:rsidR="00AA0B65" w:rsidRPr="00131B9D">
          <w:rPr>
            <w:rStyle w:val="afe"/>
            <w:b w:val="0"/>
            <w:bCs/>
            <w:kern w:val="52"/>
          </w:rPr>
          <w:t>圖</w:t>
        </w:r>
        <w:r w:rsidR="00AA0B65" w:rsidRPr="00131B9D">
          <w:rPr>
            <w:rStyle w:val="afe"/>
            <w:b w:val="0"/>
            <w:bCs/>
            <w:kern w:val="52"/>
          </w:rPr>
          <w:t>4- 3</w:t>
        </w:r>
        <w:r w:rsidR="00AA0B65" w:rsidRPr="00131B9D">
          <w:rPr>
            <w:rStyle w:val="afe"/>
            <w:b w:val="0"/>
            <w:bCs/>
            <w:kern w:val="52"/>
          </w:rPr>
          <w:t xml:space="preserve">　食品價格指數走勢與穀物概況</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_Toc437958974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129</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75" w:history="1">
        <w:r w:rsidR="00AA0B65" w:rsidRPr="00131B9D">
          <w:rPr>
            <w:rStyle w:val="afe"/>
            <w:b w:val="0"/>
            <w:bCs/>
            <w:kern w:val="52"/>
          </w:rPr>
          <w:t>圖</w:t>
        </w:r>
        <w:r w:rsidR="00AA0B65" w:rsidRPr="00131B9D">
          <w:rPr>
            <w:rStyle w:val="afe"/>
            <w:b w:val="0"/>
            <w:bCs/>
            <w:kern w:val="52"/>
          </w:rPr>
          <w:t>4- 4</w:t>
        </w:r>
        <w:r w:rsidR="00AA0B65" w:rsidRPr="00131B9D">
          <w:rPr>
            <w:rStyle w:val="afe"/>
            <w:b w:val="0"/>
            <w:bCs/>
            <w:kern w:val="52"/>
          </w:rPr>
          <w:t xml:space="preserve">　蛋價長期走勢圖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_Toc437958975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130</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76" w:history="1">
        <w:r w:rsidR="00AA0B65" w:rsidRPr="00131B9D">
          <w:rPr>
            <w:rStyle w:val="afe"/>
            <w:b w:val="0"/>
            <w:bCs/>
            <w:kern w:val="52"/>
          </w:rPr>
          <w:t>圖</w:t>
        </w:r>
        <w:r w:rsidR="00AA0B65" w:rsidRPr="00131B9D">
          <w:rPr>
            <w:rStyle w:val="afe"/>
            <w:b w:val="0"/>
            <w:bCs/>
            <w:kern w:val="52"/>
          </w:rPr>
          <w:t>4- 5</w:t>
        </w:r>
        <w:r w:rsidR="00AA0B65" w:rsidRPr="00131B9D">
          <w:rPr>
            <w:rStyle w:val="afe"/>
            <w:b w:val="0"/>
            <w:bCs/>
            <w:kern w:val="52"/>
          </w:rPr>
          <w:t xml:space="preserve">　雞鴨肉價格走勢圖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_Toc437958976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132</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77" w:history="1">
        <w:r w:rsidR="00AA0B65" w:rsidRPr="00131B9D">
          <w:rPr>
            <w:rStyle w:val="afe"/>
            <w:b w:val="0"/>
            <w:bCs/>
            <w:kern w:val="52"/>
          </w:rPr>
          <w:t>圖</w:t>
        </w:r>
        <w:r w:rsidR="00AA0B65" w:rsidRPr="00131B9D">
          <w:rPr>
            <w:rStyle w:val="afe"/>
            <w:b w:val="0"/>
            <w:bCs/>
            <w:kern w:val="52"/>
          </w:rPr>
          <w:t>4- 6</w:t>
        </w:r>
        <w:r w:rsidR="00AA0B65" w:rsidRPr="00131B9D">
          <w:rPr>
            <w:rStyle w:val="afe"/>
            <w:b w:val="0"/>
            <w:bCs/>
            <w:kern w:val="52"/>
          </w:rPr>
          <w:t xml:space="preserve">　</w:t>
        </w:r>
        <w:r w:rsidR="00AA0B65" w:rsidRPr="00131B9D">
          <w:rPr>
            <w:rStyle w:val="afe"/>
            <w:b w:val="0"/>
            <w:bCs/>
            <w:kern w:val="52"/>
          </w:rPr>
          <w:t>2015</w:t>
        </w:r>
        <w:r w:rsidR="00AA0B65" w:rsidRPr="00131B9D">
          <w:rPr>
            <w:rStyle w:val="afe"/>
            <w:b w:val="0"/>
            <w:bCs/>
            <w:kern w:val="52"/>
          </w:rPr>
          <w:t>上半年蛋價歷史資料</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_Toc437958977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133</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78" w:history="1">
        <w:r w:rsidR="00AA0B65" w:rsidRPr="00131B9D">
          <w:rPr>
            <w:rStyle w:val="afe"/>
            <w:b w:val="0"/>
            <w:bCs/>
            <w:kern w:val="52"/>
          </w:rPr>
          <w:t>圖</w:t>
        </w:r>
        <w:r w:rsidR="00AA0B65" w:rsidRPr="00131B9D">
          <w:rPr>
            <w:rStyle w:val="afe"/>
            <w:b w:val="0"/>
            <w:bCs/>
            <w:kern w:val="52"/>
          </w:rPr>
          <w:t>4- 7</w:t>
        </w:r>
        <w:r w:rsidR="00AA0B65" w:rsidRPr="00131B9D">
          <w:rPr>
            <w:rStyle w:val="afe"/>
            <w:b w:val="0"/>
            <w:bCs/>
            <w:kern w:val="52"/>
          </w:rPr>
          <w:t xml:space="preserve">　</w:t>
        </w:r>
        <w:r w:rsidR="00AA0B65" w:rsidRPr="00131B9D">
          <w:rPr>
            <w:rStyle w:val="afe"/>
            <w:b w:val="0"/>
            <w:bCs/>
            <w:kern w:val="52"/>
          </w:rPr>
          <w:t>2015</w:t>
        </w:r>
        <w:r w:rsidR="00AA0B65" w:rsidRPr="00131B9D">
          <w:rPr>
            <w:rStyle w:val="afe"/>
            <w:b w:val="0"/>
            <w:bCs/>
            <w:kern w:val="52"/>
          </w:rPr>
          <w:t>年雞蛋</w:t>
        </w:r>
        <w:r w:rsidR="00AA0B65" w:rsidRPr="00131B9D">
          <w:rPr>
            <w:rStyle w:val="afe"/>
            <w:b w:val="0"/>
            <w:bCs/>
            <w:kern w:val="52"/>
          </w:rPr>
          <w:t>(</w:t>
        </w:r>
        <w:r w:rsidR="00AA0B65" w:rsidRPr="00131B9D">
          <w:rPr>
            <w:rStyle w:val="afe"/>
            <w:b w:val="0"/>
            <w:bCs/>
            <w:kern w:val="52"/>
          </w:rPr>
          <w:t>產地</w:t>
        </w:r>
        <w:r w:rsidR="00AA0B65" w:rsidRPr="00131B9D">
          <w:rPr>
            <w:rStyle w:val="afe"/>
            <w:b w:val="0"/>
            <w:bCs/>
            <w:kern w:val="52"/>
          </w:rPr>
          <w:t>)</w:t>
        </w:r>
        <w:r w:rsidR="00AA0B65" w:rsidRPr="00131B9D">
          <w:rPr>
            <w:rStyle w:val="afe"/>
            <w:b w:val="0"/>
            <w:bCs/>
            <w:kern w:val="52"/>
          </w:rPr>
          <w:t>價格走勢圖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_Toc437958978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133</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79" w:history="1">
        <w:r w:rsidR="00AA0B65" w:rsidRPr="00131B9D">
          <w:rPr>
            <w:rStyle w:val="afe"/>
            <w:b w:val="0"/>
            <w:bCs/>
            <w:kern w:val="52"/>
          </w:rPr>
          <w:t>圖</w:t>
        </w:r>
        <w:r w:rsidR="00AA0B65" w:rsidRPr="00131B9D">
          <w:rPr>
            <w:rStyle w:val="afe"/>
            <w:b w:val="0"/>
            <w:bCs/>
            <w:kern w:val="52"/>
          </w:rPr>
          <w:t>4- 8</w:t>
        </w:r>
        <w:r w:rsidR="00AA0B65" w:rsidRPr="00131B9D">
          <w:rPr>
            <w:rStyle w:val="afe"/>
            <w:b w:val="0"/>
            <w:bCs/>
            <w:kern w:val="52"/>
          </w:rPr>
          <w:t xml:space="preserve">　麵粉價格長期走勢圖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_Toc437958979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134</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0" w:history="1">
        <w:r w:rsidR="00AA0B65" w:rsidRPr="00131B9D">
          <w:rPr>
            <w:rStyle w:val="afe"/>
            <w:b w:val="0"/>
            <w:bCs/>
            <w:kern w:val="52"/>
          </w:rPr>
          <w:t>圖</w:t>
        </w:r>
        <w:r w:rsidR="00AA0B65" w:rsidRPr="00131B9D">
          <w:rPr>
            <w:rStyle w:val="afe"/>
            <w:b w:val="0"/>
            <w:bCs/>
            <w:kern w:val="52"/>
          </w:rPr>
          <w:t>4- 9</w:t>
        </w:r>
        <w:r w:rsidR="00AA0B65" w:rsidRPr="00131B9D">
          <w:rPr>
            <w:rStyle w:val="afe"/>
            <w:b w:val="0"/>
            <w:bCs/>
            <w:kern w:val="52"/>
          </w:rPr>
          <w:t xml:space="preserve">　過去</w:t>
        </w:r>
        <w:r w:rsidR="00AA0B65" w:rsidRPr="00131B9D">
          <w:rPr>
            <w:rStyle w:val="afe"/>
            <w:b w:val="0"/>
            <w:bCs/>
            <w:kern w:val="52"/>
          </w:rPr>
          <w:t>3</w:t>
        </w:r>
        <w:r w:rsidR="00AA0B65" w:rsidRPr="00131B9D">
          <w:rPr>
            <w:rStyle w:val="afe"/>
            <w:b w:val="0"/>
            <w:bCs/>
            <w:kern w:val="52"/>
          </w:rPr>
          <w:t>年美元兌新台幣歷史資料</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_Toc437958980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135</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1" w:history="1">
        <w:r w:rsidR="00AA0B65" w:rsidRPr="00131B9D">
          <w:rPr>
            <w:rStyle w:val="afe"/>
            <w:b w:val="0"/>
            <w:bCs/>
            <w:kern w:val="52"/>
          </w:rPr>
          <w:t>圖</w:t>
        </w:r>
        <w:r w:rsidR="00AA0B65" w:rsidRPr="00131B9D">
          <w:rPr>
            <w:rStyle w:val="afe"/>
            <w:b w:val="0"/>
            <w:bCs/>
            <w:kern w:val="52"/>
          </w:rPr>
          <w:t>4- 10</w:t>
        </w:r>
        <w:r w:rsidR="00AA0B65" w:rsidRPr="00131B9D">
          <w:rPr>
            <w:rStyle w:val="afe"/>
            <w:b w:val="0"/>
            <w:bCs/>
            <w:kern w:val="52"/>
          </w:rPr>
          <w:t xml:space="preserve">　</w:t>
        </w:r>
        <w:r w:rsidR="00AA0B65" w:rsidRPr="00131B9D">
          <w:rPr>
            <w:rStyle w:val="afe"/>
            <w:b w:val="0"/>
            <w:bCs/>
            <w:kern w:val="52"/>
          </w:rPr>
          <w:t>2015</w:t>
        </w:r>
        <w:r w:rsidR="00AA0B65" w:rsidRPr="00131B9D">
          <w:rPr>
            <w:rStyle w:val="afe"/>
            <w:b w:val="0"/>
            <w:bCs/>
            <w:kern w:val="52"/>
          </w:rPr>
          <w:t>年小麥期貨價走勢圖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_Toc437958981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135</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2" w:history="1">
        <w:r w:rsidR="00AA0B65" w:rsidRPr="00131B9D">
          <w:rPr>
            <w:rStyle w:val="afe"/>
            <w:b w:val="0"/>
            <w:bCs/>
            <w:kern w:val="52"/>
          </w:rPr>
          <w:t>圖</w:t>
        </w:r>
        <w:r w:rsidR="00AA0B65" w:rsidRPr="00131B9D">
          <w:rPr>
            <w:rStyle w:val="afe"/>
            <w:b w:val="0"/>
            <w:bCs/>
            <w:kern w:val="52"/>
          </w:rPr>
          <w:t>4- 11</w:t>
        </w:r>
        <w:r w:rsidR="00AA0B65" w:rsidRPr="00131B9D">
          <w:rPr>
            <w:rStyle w:val="afe"/>
            <w:b w:val="0"/>
            <w:bCs/>
            <w:kern w:val="52"/>
          </w:rPr>
          <w:t xml:space="preserve">　味味</w:t>
        </w:r>
        <w:r w:rsidR="00AA0B65" w:rsidRPr="00131B9D">
          <w:rPr>
            <w:rStyle w:val="afe"/>
            <w:b w:val="0"/>
            <w:bCs/>
            <w:kern w:val="52"/>
          </w:rPr>
          <w:t>A</w:t>
        </w:r>
        <w:r w:rsidR="00AA0B65" w:rsidRPr="00131B9D">
          <w:rPr>
            <w:rStyle w:val="afe"/>
            <w:b w:val="0"/>
            <w:bCs/>
            <w:kern w:val="52"/>
          </w:rPr>
          <w:t>排骨雞麵價格長期走勢圖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_Toc437958982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137</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3" w:history="1">
        <w:r w:rsidR="00AA0B65" w:rsidRPr="00131B9D">
          <w:rPr>
            <w:rStyle w:val="afe"/>
            <w:b w:val="0"/>
            <w:bCs/>
            <w:kern w:val="52"/>
          </w:rPr>
          <w:t>圖</w:t>
        </w:r>
        <w:r w:rsidR="00AA0B65" w:rsidRPr="00131B9D">
          <w:rPr>
            <w:rStyle w:val="afe"/>
            <w:b w:val="0"/>
            <w:bCs/>
            <w:kern w:val="52"/>
          </w:rPr>
          <w:t>4- 12</w:t>
        </w:r>
        <w:r w:rsidR="00AA0B65" w:rsidRPr="00131B9D">
          <w:rPr>
            <w:rStyle w:val="afe"/>
            <w:b w:val="0"/>
            <w:bCs/>
            <w:kern w:val="52"/>
          </w:rPr>
          <w:t xml:space="preserve">　統一好勁道家常麵條價格長期走勢圖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_Toc437958983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137</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4" w:history="1">
        <w:r w:rsidR="00AA0B65" w:rsidRPr="00131B9D">
          <w:rPr>
            <w:rStyle w:val="afe"/>
            <w:b w:val="0"/>
            <w:bCs/>
            <w:kern w:val="52"/>
          </w:rPr>
          <w:t>圖</w:t>
        </w:r>
        <w:r w:rsidR="00AA0B65" w:rsidRPr="00131B9D">
          <w:rPr>
            <w:rStyle w:val="afe"/>
            <w:b w:val="0"/>
            <w:bCs/>
            <w:kern w:val="52"/>
          </w:rPr>
          <w:t>4- 13</w:t>
        </w:r>
        <w:r w:rsidR="00AA0B65" w:rsidRPr="00131B9D">
          <w:rPr>
            <w:rStyle w:val="afe"/>
            <w:b w:val="0"/>
            <w:bCs/>
            <w:kern w:val="52"/>
          </w:rPr>
          <w:t xml:space="preserve">　吐司價格長期走勢圖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_Toc437958984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138</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5" w:history="1">
        <w:r w:rsidR="00AA0B65" w:rsidRPr="00131B9D">
          <w:rPr>
            <w:rStyle w:val="afe"/>
            <w:b w:val="0"/>
            <w:bCs/>
            <w:kern w:val="52"/>
          </w:rPr>
          <w:t>圖</w:t>
        </w:r>
        <w:r w:rsidR="00AA0B65" w:rsidRPr="00131B9D">
          <w:rPr>
            <w:rStyle w:val="afe"/>
            <w:b w:val="0"/>
            <w:bCs/>
            <w:kern w:val="52"/>
          </w:rPr>
          <w:t>4- 14</w:t>
        </w:r>
        <w:r w:rsidR="00AA0B65" w:rsidRPr="00131B9D">
          <w:rPr>
            <w:rStyle w:val="afe"/>
            <w:b w:val="0"/>
            <w:bCs/>
            <w:kern w:val="52"/>
          </w:rPr>
          <w:t xml:space="preserve">　桂冠牌貢丸價格長期走勢圖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_Toc437958985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139</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6" w:history="1">
        <w:r w:rsidR="00AA0B65" w:rsidRPr="00131B9D">
          <w:rPr>
            <w:rStyle w:val="afe"/>
            <w:b w:val="0"/>
            <w:bCs/>
            <w:kern w:val="52"/>
          </w:rPr>
          <w:t>圖</w:t>
        </w:r>
        <w:r w:rsidR="00AA0B65" w:rsidRPr="00131B9D">
          <w:rPr>
            <w:rStyle w:val="afe"/>
            <w:b w:val="0"/>
            <w:bCs/>
            <w:kern w:val="52"/>
          </w:rPr>
          <w:t>4- 15</w:t>
        </w:r>
        <w:r w:rsidR="00AA0B65" w:rsidRPr="00131B9D">
          <w:rPr>
            <w:rStyle w:val="afe"/>
            <w:b w:val="0"/>
            <w:bCs/>
            <w:kern w:val="52"/>
          </w:rPr>
          <w:t xml:space="preserve">　黑橋牌香腸價格長期走勢圖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_Toc437958986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139</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7" w:history="1">
        <w:r w:rsidR="00AA0B65" w:rsidRPr="00131B9D">
          <w:rPr>
            <w:rStyle w:val="afe"/>
            <w:b w:val="0"/>
            <w:bCs/>
            <w:kern w:val="52"/>
          </w:rPr>
          <w:t>圖</w:t>
        </w:r>
        <w:r w:rsidR="00AA0B65" w:rsidRPr="00131B9D">
          <w:rPr>
            <w:rStyle w:val="afe"/>
            <w:b w:val="0"/>
            <w:bCs/>
            <w:kern w:val="52"/>
          </w:rPr>
          <w:t>4- 16</w:t>
        </w:r>
        <w:r w:rsidR="00AA0B65" w:rsidRPr="00131B9D">
          <w:rPr>
            <w:rStyle w:val="afe"/>
            <w:b w:val="0"/>
            <w:bCs/>
            <w:kern w:val="52"/>
          </w:rPr>
          <w:t xml:space="preserve">　新東陽肉鬆價格長期走勢圖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_Toc437958987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139</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8" w:history="1">
        <w:r w:rsidR="00AA0B65" w:rsidRPr="00131B9D">
          <w:rPr>
            <w:rStyle w:val="afe"/>
            <w:b w:val="0"/>
            <w:bCs/>
            <w:kern w:val="52"/>
          </w:rPr>
          <w:t>圖</w:t>
        </w:r>
        <w:r w:rsidR="00AA0B65" w:rsidRPr="00131B9D">
          <w:rPr>
            <w:rStyle w:val="afe"/>
            <w:b w:val="0"/>
            <w:bCs/>
            <w:kern w:val="52"/>
          </w:rPr>
          <w:t>4- 17</w:t>
        </w:r>
        <w:r w:rsidR="00AA0B65" w:rsidRPr="00131B9D">
          <w:rPr>
            <w:rStyle w:val="afe"/>
            <w:b w:val="0"/>
            <w:bCs/>
            <w:kern w:val="52"/>
          </w:rPr>
          <w:t xml:space="preserve">　愛之味鮪魚片罐頭價格長期走勢圖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_Toc437958988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140</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89" w:history="1">
        <w:r w:rsidR="00AA0B65" w:rsidRPr="00131B9D">
          <w:rPr>
            <w:rStyle w:val="afe"/>
            <w:b w:val="0"/>
            <w:bCs/>
            <w:kern w:val="52"/>
          </w:rPr>
          <w:t>圖</w:t>
        </w:r>
        <w:r w:rsidR="00AA0B65" w:rsidRPr="00131B9D">
          <w:rPr>
            <w:rStyle w:val="afe"/>
            <w:b w:val="0"/>
            <w:bCs/>
            <w:kern w:val="52"/>
          </w:rPr>
          <w:t>4- 18</w:t>
        </w:r>
        <w:r w:rsidR="00AA0B65" w:rsidRPr="00131B9D">
          <w:rPr>
            <w:rStyle w:val="afe"/>
            <w:b w:val="0"/>
            <w:bCs/>
            <w:kern w:val="52"/>
          </w:rPr>
          <w:t xml:space="preserve">　大茂黑瓜價格長期走勢圖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_Toc437958989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141</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0" w:history="1">
        <w:r w:rsidR="00AA0B65" w:rsidRPr="00131B9D">
          <w:rPr>
            <w:rStyle w:val="afe"/>
            <w:b w:val="0"/>
            <w:bCs/>
            <w:kern w:val="52"/>
          </w:rPr>
          <w:t>圖</w:t>
        </w:r>
        <w:r w:rsidR="00AA0B65" w:rsidRPr="00131B9D">
          <w:rPr>
            <w:rStyle w:val="afe"/>
            <w:b w:val="0"/>
            <w:bCs/>
            <w:kern w:val="52"/>
          </w:rPr>
          <w:t>4- 19</w:t>
        </w:r>
        <w:r w:rsidR="00AA0B65" w:rsidRPr="00131B9D">
          <w:rPr>
            <w:rStyle w:val="afe"/>
            <w:b w:val="0"/>
            <w:bCs/>
            <w:kern w:val="52"/>
          </w:rPr>
          <w:t xml:space="preserve">　牛頭牌金色蔬菜玉米粒價格長期走勢圖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_Toc437958990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141</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1" w:history="1">
        <w:r w:rsidR="00AA0B65" w:rsidRPr="00131B9D">
          <w:rPr>
            <w:rStyle w:val="afe"/>
            <w:b w:val="0"/>
            <w:bCs/>
            <w:kern w:val="52"/>
          </w:rPr>
          <w:t>圖</w:t>
        </w:r>
        <w:r w:rsidR="00AA0B65" w:rsidRPr="00131B9D">
          <w:rPr>
            <w:rStyle w:val="afe"/>
            <w:b w:val="0"/>
            <w:bCs/>
            <w:kern w:val="52"/>
          </w:rPr>
          <w:t>4- 20</w:t>
        </w:r>
        <w:r w:rsidR="00AA0B65" w:rsidRPr="00131B9D">
          <w:rPr>
            <w:rStyle w:val="afe"/>
            <w:b w:val="0"/>
            <w:bCs/>
            <w:kern w:val="52"/>
          </w:rPr>
          <w:t xml:space="preserve">　統一</w:t>
        </w:r>
        <w:r w:rsidR="00AA0B65" w:rsidRPr="00131B9D">
          <w:rPr>
            <w:rStyle w:val="afe"/>
            <w:b w:val="0"/>
            <w:bCs/>
            <w:kern w:val="52"/>
          </w:rPr>
          <w:t>AB</w:t>
        </w:r>
        <w:r w:rsidR="00AA0B65" w:rsidRPr="00131B9D">
          <w:rPr>
            <w:rStyle w:val="afe"/>
            <w:b w:val="0"/>
            <w:bCs/>
            <w:kern w:val="52"/>
          </w:rPr>
          <w:t>優酪乳價格長期走勢圖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_Toc437958991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142</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2" w:history="1">
        <w:r w:rsidR="00AA0B65" w:rsidRPr="00131B9D">
          <w:rPr>
            <w:rStyle w:val="afe"/>
            <w:b w:val="0"/>
            <w:bCs/>
            <w:kern w:val="52"/>
          </w:rPr>
          <w:t>圖</w:t>
        </w:r>
        <w:r w:rsidR="00AA0B65" w:rsidRPr="00131B9D">
          <w:rPr>
            <w:rStyle w:val="afe"/>
            <w:b w:val="0"/>
            <w:bCs/>
            <w:kern w:val="52"/>
          </w:rPr>
          <w:t>4- 21</w:t>
        </w:r>
        <w:r w:rsidR="00AA0B65" w:rsidRPr="00131B9D">
          <w:rPr>
            <w:rStyle w:val="afe"/>
            <w:b w:val="0"/>
            <w:bCs/>
            <w:kern w:val="52"/>
          </w:rPr>
          <w:t xml:space="preserve">　味全林鳳營鮮乳價格長期走勢圖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_Toc437958992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142</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3" w:history="1">
        <w:r w:rsidR="00AA0B65" w:rsidRPr="00131B9D">
          <w:rPr>
            <w:rStyle w:val="afe"/>
            <w:b w:val="0"/>
            <w:bCs/>
            <w:kern w:val="52"/>
          </w:rPr>
          <w:t>圖</w:t>
        </w:r>
        <w:r w:rsidR="00AA0B65" w:rsidRPr="00131B9D">
          <w:rPr>
            <w:rStyle w:val="afe"/>
            <w:b w:val="0"/>
            <w:bCs/>
            <w:kern w:val="52"/>
          </w:rPr>
          <w:t>4- 22</w:t>
        </w:r>
        <w:r w:rsidR="00AA0B65" w:rsidRPr="00131B9D">
          <w:rPr>
            <w:rStyle w:val="afe"/>
            <w:b w:val="0"/>
            <w:bCs/>
            <w:kern w:val="52"/>
          </w:rPr>
          <w:t xml:space="preserve">　奶粉價格走勢圖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_Toc437958993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143</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4" w:history="1">
        <w:r w:rsidR="00AA0B65" w:rsidRPr="00131B9D">
          <w:rPr>
            <w:rStyle w:val="afe"/>
            <w:b w:val="0"/>
            <w:bCs/>
            <w:kern w:val="52"/>
          </w:rPr>
          <w:t>圖</w:t>
        </w:r>
        <w:r w:rsidR="00AA0B65" w:rsidRPr="00131B9D">
          <w:rPr>
            <w:rStyle w:val="afe"/>
            <w:b w:val="0"/>
            <w:bCs/>
            <w:kern w:val="52"/>
          </w:rPr>
          <w:t>4- 23</w:t>
        </w:r>
        <w:r w:rsidR="00AA0B65" w:rsidRPr="00131B9D">
          <w:rPr>
            <w:rStyle w:val="afe"/>
            <w:b w:val="0"/>
            <w:bCs/>
            <w:kern w:val="52"/>
          </w:rPr>
          <w:t xml:space="preserve">　</w:t>
        </w:r>
        <w:r w:rsidR="00AA0B65" w:rsidRPr="00131B9D">
          <w:rPr>
            <w:rStyle w:val="afe"/>
            <w:b w:val="0"/>
            <w:bCs/>
            <w:kern w:val="52"/>
          </w:rPr>
          <w:t>2015</w:t>
        </w:r>
        <w:r w:rsidR="00AA0B65" w:rsidRPr="00131B9D">
          <w:rPr>
            <w:rStyle w:val="afe"/>
            <w:b w:val="0"/>
            <w:bCs/>
            <w:kern w:val="52"/>
          </w:rPr>
          <w:t>年</w:t>
        </w:r>
        <w:r w:rsidR="00AA0B65" w:rsidRPr="00131B9D">
          <w:rPr>
            <w:rStyle w:val="afe"/>
            <w:b w:val="0"/>
            <w:bCs/>
            <w:kern w:val="52"/>
          </w:rPr>
          <w:t>1</w:t>
        </w:r>
        <w:r w:rsidR="00AA0B65" w:rsidRPr="00131B9D">
          <w:rPr>
            <w:rStyle w:val="afe"/>
            <w:b w:val="0"/>
            <w:bCs/>
            <w:kern w:val="52"/>
          </w:rPr>
          <w:t>至</w:t>
        </w:r>
        <w:r w:rsidR="00AA0B65" w:rsidRPr="00131B9D">
          <w:rPr>
            <w:rStyle w:val="afe"/>
            <w:b w:val="0"/>
            <w:bCs/>
            <w:kern w:val="52"/>
          </w:rPr>
          <w:t>9</w:t>
        </w:r>
        <w:r w:rsidR="00AA0B65" w:rsidRPr="00131B9D">
          <w:rPr>
            <w:rStyle w:val="afe"/>
            <w:b w:val="0"/>
            <w:bCs/>
            <w:kern w:val="52"/>
          </w:rPr>
          <w:t>月我國奶粉前</w:t>
        </w:r>
        <w:r w:rsidR="00AA0B65" w:rsidRPr="00131B9D">
          <w:rPr>
            <w:rStyle w:val="afe"/>
            <w:b w:val="0"/>
            <w:bCs/>
            <w:kern w:val="52"/>
          </w:rPr>
          <w:t>10</w:t>
        </w:r>
        <w:r w:rsidR="00AA0B65" w:rsidRPr="00131B9D">
          <w:rPr>
            <w:rStyle w:val="afe"/>
            <w:b w:val="0"/>
            <w:bCs/>
            <w:kern w:val="52"/>
          </w:rPr>
          <w:t>大進口國</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_Toc437958994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144</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5" w:history="1">
        <w:r w:rsidR="00AA0B65" w:rsidRPr="00131B9D">
          <w:rPr>
            <w:rStyle w:val="afe"/>
            <w:b w:val="0"/>
            <w:bCs/>
            <w:kern w:val="52"/>
          </w:rPr>
          <w:t>圖</w:t>
        </w:r>
        <w:r w:rsidR="00AA0B65" w:rsidRPr="00131B9D">
          <w:rPr>
            <w:rStyle w:val="afe"/>
            <w:b w:val="0"/>
            <w:bCs/>
            <w:kern w:val="52"/>
          </w:rPr>
          <w:t>4- 24</w:t>
        </w:r>
        <w:r w:rsidR="00AA0B65" w:rsidRPr="00131B9D">
          <w:rPr>
            <w:rStyle w:val="afe"/>
            <w:b w:val="0"/>
            <w:bCs/>
            <w:kern w:val="52"/>
          </w:rPr>
          <w:t xml:space="preserve">　紐幣兌臺幣匯率走勢</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_Toc437958995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144</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6" w:history="1">
        <w:r w:rsidR="00AA0B65" w:rsidRPr="00131B9D">
          <w:rPr>
            <w:rStyle w:val="afe"/>
            <w:b w:val="0"/>
            <w:bCs/>
            <w:kern w:val="52"/>
          </w:rPr>
          <w:t>圖</w:t>
        </w:r>
        <w:r w:rsidR="00AA0B65" w:rsidRPr="00131B9D">
          <w:rPr>
            <w:rStyle w:val="afe"/>
            <w:b w:val="0"/>
            <w:bCs/>
            <w:kern w:val="52"/>
          </w:rPr>
          <w:t>4- 25</w:t>
        </w:r>
        <w:r w:rsidR="00AA0B65" w:rsidRPr="00131B9D">
          <w:rPr>
            <w:rStyle w:val="afe"/>
            <w:b w:val="0"/>
            <w:bCs/>
            <w:kern w:val="52"/>
          </w:rPr>
          <w:t xml:space="preserve">　食用油價格長期走勢圖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_Toc437958996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145</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7" w:history="1">
        <w:r w:rsidR="00AA0B65" w:rsidRPr="00131B9D">
          <w:rPr>
            <w:rStyle w:val="afe"/>
            <w:b w:val="0"/>
            <w:bCs/>
            <w:kern w:val="52"/>
          </w:rPr>
          <w:t>圖</w:t>
        </w:r>
        <w:r w:rsidR="00AA0B65" w:rsidRPr="00131B9D">
          <w:rPr>
            <w:rStyle w:val="afe"/>
            <w:b w:val="0"/>
            <w:bCs/>
            <w:kern w:val="52"/>
          </w:rPr>
          <w:t>4- 26</w:t>
        </w:r>
        <w:r w:rsidR="00AA0B65" w:rsidRPr="00131B9D">
          <w:rPr>
            <w:rStyle w:val="afe"/>
            <w:b w:val="0"/>
            <w:bCs/>
            <w:kern w:val="52"/>
          </w:rPr>
          <w:t xml:space="preserve">　</w:t>
        </w:r>
        <w:r w:rsidR="00AA0B65" w:rsidRPr="00131B9D">
          <w:rPr>
            <w:rStyle w:val="afe"/>
            <w:b w:val="0"/>
            <w:bCs/>
            <w:kern w:val="52"/>
          </w:rPr>
          <w:t>2015</w:t>
        </w:r>
        <w:r w:rsidR="00AA0B65" w:rsidRPr="00131B9D">
          <w:rPr>
            <w:rStyle w:val="afe"/>
            <w:b w:val="0"/>
            <w:bCs/>
            <w:kern w:val="52"/>
          </w:rPr>
          <w:t>年</w:t>
        </w:r>
        <w:r w:rsidR="00AA0B65" w:rsidRPr="00131B9D">
          <w:rPr>
            <w:rStyle w:val="afe"/>
            <w:b w:val="0"/>
            <w:bCs/>
            <w:kern w:val="52"/>
          </w:rPr>
          <w:t>1</w:t>
        </w:r>
        <w:r w:rsidR="00AA0B65" w:rsidRPr="00131B9D">
          <w:rPr>
            <w:rStyle w:val="afe"/>
            <w:b w:val="0"/>
            <w:bCs/>
            <w:kern w:val="52"/>
          </w:rPr>
          <w:t>月至</w:t>
        </w:r>
        <w:r w:rsidR="00AA0B65" w:rsidRPr="00131B9D">
          <w:rPr>
            <w:rStyle w:val="afe"/>
            <w:b w:val="0"/>
            <w:bCs/>
            <w:kern w:val="52"/>
          </w:rPr>
          <w:t>9</w:t>
        </w:r>
        <w:r w:rsidR="00AA0B65" w:rsidRPr="00131B9D">
          <w:rPr>
            <w:rStyle w:val="afe"/>
            <w:b w:val="0"/>
            <w:bCs/>
            <w:kern w:val="52"/>
          </w:rPr>
          <w:t>月間葵花原油進口量</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_Toc437958997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146</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8" w:history="1">
        <w:r w:rsidR="00AA0B65" w:rsidRPr="00131B9D">
          <w:rPr>
            <w:rStyle w:val="afe"/>
            <w:b w:val="0"/>
            <w:bCs/>
            <w:kern w:val="52"/>
          </w:rPr>
          <w:t>圖</w:t>
        </w:r>
        <w:r w:rsidR="00AA0B65" w:rsidRPr="00131B9D">
          <w:rPr>
            <w:rStyle w:val="afe"/>
            <w:b w:val="0"/>
            <w:bCs/>
            <w:kern w:val="52"/>
          </w:rPr>
          <w:t>4- 27</w:t>
        </w:r>
        <w:r w:rsidR="00AA0B65" w:rsidRPr="00131B9D">
          <w:rPr>
            <w:rStyle w:val="afe"/>
            <w:b w:val="0"/>
            <w:bCs/>
            <w:kern w:val="52"/>
          </w:rPr>
          <w:t xml:space="preserve">　龜甲萬醬油價格長期走勢圖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_Toc437958998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147</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8999" w:history="1">
        <w:r w:rsidR="00AA0B65" w:rsidRPr="00131B9D">
          <w:rPr>
            <w:rStyle w:val="afe"/>
            <w:b w:val="0"/>
            <w:bCs/>
            <w:kern w:val="52"/>
          </w:rPr>
          <w:t>圖</w:t>
        </w:r>
        <w:r w:rsidR="00AA0B65" w:rsidRPr="00131B9D">
          <w:rPr>
            <w:rStyle w:val="afe"/>
            <w:b w:val="0"/>
            <w:bCs/>
            <w:kern w:val="52"/>
          </w:rPr>
          <w:t>4- 28</w:t>
        </w:r>
        <w:r w:rsidR="00AA0B65" w:rsidRPr="00131B9D">
          <w:rPr>
            <w:rStyle w:val="afe"/>
            <w:b w:val="0"/>
            <w:bCs/>
            <w:kern w:val="52"/>
          </w:rPr>
          <w:t xml:space="preserve">　金蘭醬油價格長期走勢圖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_Toc437958999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147</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0" w:history="1">
        <w:r w:rsidR="00AA0B65" w:rsidRPr="00131B9D">
          <w:rPr>
            <w:rStyle w:val="afe"/>
            <w:b w:val="0"/>
            <w:bCs/>
            <w:kern w:val="52"/>
          </w:rPr>
          <w:t>圖</w:t>
        </w:r>
        <w:r w:rsidR="00AA0B65" w:rsidRPr="00131B9D">
          <w:rPr>
            <w:rStyle w:val="afe"/>
            <w:b w:val="0"/>
            <w:bCs/>
            <w:kern w:val="52"/>
          </w:rPr>
          <w:t>4- 29</w:t>
        </w:r>
        <w:r w:rsidR="00AA0B65" w:rsidRPr="00131B9D">
          <w:rPr>
            <w:rStyle w:val="afe"/>
            <w:b w:val="0"/>
            <w:bCs/>
            <w:kern w:val="52"/>
          </w:rPr>
          <w:t xml:space="preserve">　糖價長期走勢圖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_Toc437959000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148</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1" w:history="1">
        <w:r w:rsidR="00AA0B65" w:rsidRPr="00131B9D">
          <w:rPr>
            <w:rStyle w:val="afe"/>
            <w:b w:val="0"/>
            <w:bCs/>
            <w:kern w:val="52"/>
          </w:rPr>
          <w:t>圖</w:t>
        </w:r>
        <w:r w:rsidR="00AA0B65" w:rsidRPr="00131B9D">
          <w:rPr>
            <w:rStyle w:val="afe"/>
            <w:b w:val="0"/>
            <w:bCs/>
            <w:kern w:val="52"/>
          </w:rPr>
          <w:t>4- 30</w:t>
        </w:r>
        <w:r w:rsidR="00AA0B65" w:rsidRPr="00131B9D">
          <w:rPr>
            <w:rStyle w:val="afe"/>
            <w:b w:val="0"/>
            <w:bCs/>
            <w:kern w:val="52"/>
          </w:rPr>
          <w:t xml:space="preserve">　茶裏王臺灣綠茶價格長期走勢圖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_Toc437959001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150</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2" w:history="1">
        <w:r w:rsidR="00AA0B65" w:rsidRPr="00131B9D">
          <w:rPr>
            <w:rStyle w:val="afe"/>
            <w:b w:val="0"/>
            <w:bCs/>
            <w:kern w:val="52"/>
          </w:rPr>
          <w:t>圖</w:t>
        </w:r>
        <w:r w:rsidR="00AA0B65" w:rsidRPr="00131B9D">
          <w:rPr>
            <w:rStyle w:val="afe"/>
            <w:b w:val="0"/>
            <w:bCs/>
            <w:kern w:val="52"/>
          </w:rPr>
          <w:t>4- 31</w:t>
        </w:r>
        <w:r w:rsidR="00AA0B65" w:rsidRPr="00131B9D">
          <w:rPr>
            <w:rStyle w:val="afe"/>
            <w:b w:val="0"/>
            <w:bCs/>
            <w:kern w:val="52"/>
          </w:rPr>
          <w:t xml:space="preserve">　寶礦力水得價格長期走勢圖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_Toc437959002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150</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3" w:history="1">
        <w:r w:rsidR="00AA0B65" w:rsidRPr="00131B9D">
          <w:rPr>
            <w:rStyle w:val="afe"/>
            <w:b w:val="0"/>
            <w:bCs/>
            <w:kern w:val="52"/>
          </w:rPr>
          <w:t>圖</w:t>
        </w:r>
        <w:r w:rsidR="00AA0B65" w:rsidRPr="00131B9D">
          <w:rPr>
            <w:rStyle w:val="afe"/>
            <w:b w:val="0"/>
            <w:bCs/>
            <w:kern w:val="52"/>
          </w:rPr>
          <w:t>4- 32</w:t>
        </w:r>
        <w:r w:rsidR="00AA0B65" w:rsidRPr="00131B9D">
          <w:rPr>
            <w:rStyle w:val="afe"/>
            <w:b w:val="0"/>
            <w:bCs/>
            <w:kern w:val="52"/>
          </w:rPr>
          <w:t xml:space="preserve">　統一及第豬肉水餃價格長期走勢圖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_Toc437959003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151</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4" w:history="1">
        <w:r w:rsidR="00AA0B65" w:rsidRPr="00131B9D">
          <w:rPr>
            <w:rStyle w:val="afe"/>
            <w:b w:val="0"/>
            <w:bCs/>
            <w:kern w:val="52"/>
          </w:rPr>
          <w:t>圖</w:t>
        </w:r>
        <w:r w:rsidR="00AA0B65" w:rsidRPr="00131B9D">
          <w:rPr>
            <w:rStyle w:val="afe"/>
            <w:b w:val="0"/>
            <w:bCs/>
            <w:kern w:val="52"/>
          </w:rPr>
          <w:t>4- 33</w:t>
        </w:r>
        <w:r w:rsidR="00AA0B65" w:rsidRPr="00131B9D">
          <w:rPr>
            <w:rStyle w:val="afe"/>
            <w:b w:val="0"/>
            <w:bCs/>
            <w:kern w:val="52"/>
          </w:rPr>
          <w:t xml:space="preserve">　桂冠冷凍包子價格長期走勢圖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_Toc437959004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151</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5" w:history="1">
        <w:r w:rsidR="00AA0B65" w:rsidRPr="00131B9D">
          <w:rPr>
            <w:rStyle w:val="afe"/>
            <w:b w:val="0"/>
            <w:bCs/>
            <w:kern w:val="52"/>
          </w:rPr>
          <w:t>圖</w:t>
        </w:r>
        <w:r w:rsidR="00AA0B65" w:rsidRPr="00131B9D">
          <w:rPr>
            <w:rStyle w:val="afe"/>
            <w:b w:val="0"/>
            <w:bCs/>
            <w:kern w:val="52"/>
          </w:rPr>
          <w:t>4- 34</w:t>
        </w:r>
        <w:r w:rsidR="00AA0B65" w:rsidRPr="00131B9D">
          <w:rPr>
            <w:rStyle w:val="afe"/>
            <w:b w:val="0"/>
            <w:bCs/>
            <w:kern w:val="52"/>
          </w:rPr>
          <w:t xml:space="preserve">　洗衣粉價格長期走勢圖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_Toc437959005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152</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6" w:history="1">
        <w:r w:rsidR="00AA0B65" w:rsidRPr="00131B9D">
          <w:rPr>
            <w:rStyle w:val="afe"/>
            <w:b w:val="0"/>
            <w:bCs/>
            <w:kern w:val="52"/>
          </w:rPr>
          <w:t>圖</w:t>
        </w:r>
        <w:r w:rsidR="00AA0B65" w:rsidRPr="00131B9D">
          <w:rPr>
            <w:rStyle w:val="afe"/>
            <w:b w:val="0"/>
            <w:bCs/>
            <w:kern w:val="52"/>
          </w:rPr>
          <w:t>4- 35</w:t>
        </w:r>
        <w:r w:rsidR="00AA0B65" w:rsidRPr="00131B9D">
          <w:rPr>
            <w:rStyle w:val="afe"/>
            <w:b w:val="0"/>
            <w:bCs/>
            <w:kern w:val="52"/>
          </w:rPr>
          <w:t xml:space="preserve">　衛生紙價格走勢圖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_Toc437959006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153</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7" w:history="1">
        <w:r w:rsidR="00AA0B65" w:rsidRPr="00131B9D">
          <w:rPr>
            <w:rStyle w:val="afe"/>
            <w:b w:val="0"/>
            <w:bCs/>
            <w:kern w:val="52"/>
          </w:rPr>
          <w:t>圖</w:t>
        </w:r>
        <w:r w:rsidR="00AA0B65" w:rsidRPr="00131B9D">
          <w:rPr>
            <w:rStyle w:val="afe"/>
            <w:b w:val="0"/>
            <w:bCs/>
            <w:kern w:val="52"/>
          </w:rPr>
          <w:t>4- 36</w:t>
        </w:r>
        <w:r w:rsidR="00AA0B65" w:rsidRPr="00131B9D">
          <w:rPr>
            <w:rStyle w:val="afe"/>
            <w:b w:val="0"/>
            <w:bCs/>
            <w:kern w:val="52"/>
          </w:rPr>
          <w:t xml:space="preserve">　造紙產業結構圖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_Toc437959007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153</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8" w:history="1">
        <w:r w:rsidR="00AA0B65" w:rsidRPr="00131B9D">
          <w:rPr>
            <w:rStyle w:val="afe"/>
            <w:b w:val="0"/>
            <w:bCs/>
            <w:kern w:val="52"/>
          </w:rPr>
          <w:t>圖</w:t>
        </w:r>
        <w:r w:rsidR="00AA0B65" w:rsidRPr="00131B9D">
          <w:rPr>
            <w:rStyle w:val="afe"/>
            <w:b w:val="0"/>
            <w:bCs/>
            <w:kern w:val="52"/>
          </w:rPr>
          <w:t>4- 37</w:t>
        </w:r>
        <w:r w:rsidR="00AA0B65" w:rsidRPr="00131B9D">
          <w:rPr>
            <w:rStyle w:val="afe"/>
            <w:b w:val="0"/>
            <w:bCs/>
            <w:kern w:val="52"/>
          </w:rPr>
          <w:t xml:space="preserve">　北美長纖漿近年價格走勢圖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_Toc437959008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154</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09" w:history="1">
        <w:r w:rsidR="00AA0B65" w:rsidRPr="00131B9D">
          <w:rPr>
            <w:rStyle w:val="afe"/>
            <w:b w:val="0"/>
            <w:bCs/>
            <w:kern w:val="52"/>
          </w:rPr>
          <w:t>圖</w:t>
        </w:r>
        <w:r w:rsidR="00AA0B65" w:rsidRPr="00131B9D">
          <w:rPr>
            <w:rStyle w:val="afe"/>
            <w:b w:val="0"/>
            <w:bCs/>
            <w:kern w:val="52"/>
          </w:rPr>
          <w:t>4- 38</w:t>
        </w:r>
        <w:r w:rsidR="00AA0B65" w:rsidRPr="00131B9D">
          <w:rPr>
            <w:rStyle w:val="afe"/>
            <w:b w:val="0"/>
            <w:bCs/>
            <w:kern w:val="52"/>
          </w:rPr>
          <w:t xml:space="preserve">　短纖紙漿近年價格走勢圖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_Toc437959009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154</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10" w:history="1">
        <w:r w:rsidR="00AA0B65" w:rsidRPr="00131B9D">
          <w:rPr>
            <w:rStyle w:val="afe"/>
            <w:b w:val="0"/>
            <w:bCs/>
            <w:kern w:val="52"/>
          </w:rPr>
          <w:t>圖</w:t>
        </w:r>
        <w:r w:rsidR="00AA0B65" w:rsidRPr="00131B9D">
          <w:rPr>
            <w:rStyle w:val="afe"/>
            <w:b w:val="0"/>
            <w:bCs/>
            <w:kern w:val="52"/>
          </w:rPr>
          <w:t>4- 39</w:t>
        </w:r>
        <w:r w:rsidR="00AA0B65" w:rsidRPr="00131B9D">
          <w:rPr>
            <w:rStyle w:val="afe"/>
            <w:b w:val="0"/>
            <w:bCs/>
            <w:kern w:val="52"/>
          </w:rPr>
          <w:t xml:space="preserve">　香皂價格長期走勢圖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_Toc437959010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155</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11" w:history="1">
        <w:r w:rsidR="00AA0B65" w:rsidRPr="00131B9D">
          <w:rPr>
            <w:rStyle w:val="afe"/>
            <w:b w:val="0"/>
            <w:bCs/>
            <w:kern w:val="52"/>
          </w:rPr>
          <w:t>圖</w:t>
        </w:r>
        <w:r w:rsidR="00AA0B65" w:rsidRPr="00131B9D">
          <w:rPr>
            <w:rStyle w:val="afe"/>
            <w:b w:val="0"/>
            <w:bCs/>
            <w:kern w:val="52"/>
          </w:rPr>
          <w:t>4- 40</w:t>
        </w:r>
        <w:r w:rsidR="00AA0B65" w:rsidRPr="00131B9D">
          <w:rPr>
            <w:rStyle w:val="afe"/>
            <w:b w:val="0"/>
            <w:bCs/>
            <w:kern w:val="52"/>
          </w:rPr>
          <w:t xml:space="preserve">　沐浴乳價格長期走勢圖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_Toc437959011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156</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12" w:history="1">
        <w:r w:rsidR="00AA0B65" w:rsidRPr="00131B9D">
          <w:rPr>
            <w:rStyle w:val="afe"/>
            <w:b w:val="0"/>
            <w:bCs/>
            <w:kern w:val="52"/>
          </w:rPr>
          <w:t>圖</w:t>
        </w:r>
        <w:r w:rsidR="00AA0B65" w:rsidRPr="00131B9D">
          <w:rPr>
            <w:rStyle w:val="afe"/>
            <w:b w:val="0"/>
            <w:bCs/>
            <w:kern w:val="52"/>
          </w:rPr>
          <w:t>4- 41</w:t>
        </w:r>
        <w:r w:rsidR="00AA0B65" w:rsidRPr="00131B9D">
          <w:rPr>
            <w:rStyle w:val="afe"/>
            <w:b w:val="0"/>
            <w:bCs/>
            <w:kern w:val="52"/>
          </w:rPr>
          <w:t xml:space="preserve">　牙膏價格長期走勢圖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_Toc437959012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156</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13" w:history="1">
        <w:r w:rsidR="00AA0B65" w:rsidRPr="00131B9D">
          <w:rPr>
            <w:rStyle w:val="afe"/>
            <w:b w:val="0"/>
            <w:bCs/>
            <w:kern w:val="52"/>
          </w:rPr>
          <w:t>圖</w:t>
        </w:r>
        <w:r w:rsidR="00AA0B65" w:rsidRPr="00131B9D">
          <w:rPr>
            <w:rStyle w:val="afe"/>
            <w:b w:val="0"/>
            <w:bCs/>
            <w:kern w:val="52"/>
          </w:rPr>
          <w:t>4- 42</w:t>
        </w:r>
        <w:r w:rsidR="00AA0B65" w:rsidRPr="00131B9D">
          <w:rPr>
            <w:rStyle w:val="afe"/>
            <w:b w:val="0"/>
            <w:bCs/>
            <w:kern w:val="52"/>
          </w:rPr>
          <w:t xml:space="preserve">　洗髮精價格長期走勢圖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_Toc437959013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157</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14" w:history="1">
        <w:r w:rsidR="00AA0B65" w:rsidRPr="00131B9D">
          <w:rPr>
            <w:rStyle w:val="afe"/>
            <w:b w:val="0"/>
            <w:bCs/>
            <w:kern w:val="52"/>
          </w:rPr>
          <w:t>圖</w:t>
        </w:r>
        <w:r w:rsidR="00AA0B65" w:rsidRPr="00131B9D">
          <w:rPr>
            <w:rStyle w:val="afe"/>
            <w:b w:val="0"/>
            <w:bCs/>
            <w:kern w:val="52"/>
          </w:rPr>
          <w:t>4- 43</w:t>
        </w:r>
        <w:r w:rsidR="00AA0B65" w:rsidRPr="00131B9D">
          <w:rPr>
            <w:rStyle w:val="afe"/>
            <w:b w:val="0"/>
            <w:bCs/>
            <w:kern w:val="52"/>
          </w:rPr>
          <w:t xml:space="preserve">　中華豆腐價格長期走勢圖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_Toc437959014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157</w:t>
        </w:r>
        <w:r w:rsidR="00AA0B65" w:rsidRPr="00131B9D">
          <w:rPr>
            <w:rStyle w:val="afe"/>
            <w:b w:val="0"/>
            <w:bCs/>
            <w:webHidden/>
            <w:kern w:val="52"/>
          </w:rPr>
          <w:fldChar w:fldCharType="end"/>
        </w:r>
      </w:hyperlink>
    </w:p>
    <w:p w:rsidR="00AA0B65" w:rsidRPr="00131B9D" w:rsidRDefault="00610F41" w:rsidP="00AA0B65">
      <w:pPr>
        <w:pStyle w:val="13"/>
        <w:spacing w:before="180" w:after="180"/>
        <w:rPr>
          <w:rStyle w:val="afe"/>
          <w:b w:val="0"/>
          <w:bCs/>
          <w:kern w:val="52"/>
        </w:rPr>
      </w:pPr>
      <w:hyperlink w:anchor="_Toc437959015" w:history="1">
        <w:r w:rsidR="00AA0B65" w:rsidRPr="00131B9D">
          <w:rPr>
            <w:rStyle w:val="afe"/>
            <w:b w:val="0"/>
            <w:bCs/>
            <w:kern w:val="52"/>
          </w:rPr>
          <w:t>圖</w:t>
        </w:r>
        <w:r w:rsidR="00AA0B65" w:rsidRPr="00131B9D">
          <w:rPr>
            <w:rStyle w:val="afe"/>
            <w:b w:val="0"/>
            <w:bCs/>
            <w:kern w:val="52"/>
          </w:rPr>
          <w:t>4- 44</w:t>
        </w:r>
        <w:r w:rsidR="00AA0B65" w:rsidRPr="00131B9D">
          <w:rPr>
            <w:rStyle w:val="afe"/>
            <w:b w:val="0"/>
            <w:bCs/>
            <w:kern w:val="52"/>
          </w:rPr>
          <w:t xml:space="preserve">　龍口粉絲價格長期走勢圖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_Toc437959015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158</w:t>
        </w:r>
        <w:r w:rsidR="00AA0B65" w:rsidRPr="00131B9D">
          <w:rPr>
            <w:rStyle w:val="afe"/>
            <w:b w:val="0"/>
            <w:bCs/>
            <w:webHidden/>
            <w:kern w:val="52"/>
          </w:rPr>
          <w:fldChar w:fldCharType="end"/>
        </w:r>
      </w:hyperlink>
    </w:p>
    <w:p w:rsidR="00AA0B65" w:rsidRPr="00131B9D" w:rsidRDefault="00610F41" w:rsidP="00AA0B65">
      <w:pPr>
        <w:pStyle w:val="13"/>
        <w:spacing w:before="180" w:after="180"/>
        <w:rPr>
          <w:rFonts w:eastAsiaTheme="minorEastAsia" w:cs="Times New Roman"/>
          <w:szCs w:val="22"/>
        </w:rPr>
      </w:pPr>
      <w:hyperlink w:anchor="_Toc437959016" w:history="1">
        <w:r w:rsidR="00AA0B65" w:rsidRPr="00131B9D">
          <w:rPr>
            <w:rStyle w:val="afe"/>
            <w:b w:val="0"/>
            <w:bCs/>
            <w:kern w:val="52"/>
          </w:rPr>
          <w:t>圖</w:t>
        </w:r>
        <w:r w:rsidR="00AA0B65" w:rsidRPr="00131B9D">
          <w:rPr>
            <w:rStyle w:val="afe"/>
            <w:b w:val="0"/>
            <w:bCs/>
            <w:kern w:val="52"/>
          </w:rPr>
          <w:t>4- 45</w:t>
        </w:r>
        <w:r w:rsidR="00AA0B65" w:rsidRPr="00131B9D">
          <w:rPr>
            <w:rStyle w:val="afe"/>
            <w:b w:val="0"/>
            <w:bCs/>
            <w:kern w:val="52"/>
          </w:rPr>
          <w:t xml:space="preserve">　紐西蘭牛肉價格長期走勢圖</w:t>
        </w:r>
        <w:r w:rsidR="00AA0B65" w:rsidRPr="00131B9D">
          <w:rPr>
            <w:rStyle w:val="afe"/>
            <w:b w:val="0"/>
            <w:bCs/>
            <w:webHidden/>
            <w:kern w:val="52"/>
          </w:rPr>
          <w:tab/>
        </w:r>
        <w:r w:rsidR="00AA0B65" w:rsidRPr="00131B9D">
          <w:rPr>
            <w:rStyle w:val="afe"/>
            <w:b w:val="0"/>
            <w:bCs/>
            <w:webHidden/>
            <w:kern w:val="52"/>
          </w:rPr>
          <w:fldChar w:fldCharType="begin"/>
        </w:r>
        <w:r w:rsidR="00AA0B65" w:rsidRPr="00131B9D">
          <w:rPr>
            <w:rStyle w:val="afe"/>
            <w:b w:val="0"/>
            <w:bCs/>
            <w:webHidden/>
            <w:kern w:val="52"/>
          </w:rPr>
          <w:instrText xml:space="preserve"> PAGEREF _Toc437959016 \h </w:instrText>
        </w:r>
        <w:r w:rsidR="00AA0B65" w:rsidRPr="00131B9D">
          <w:rPr>
            <w:rStyle w:val="afe"/>
            <w:b w:val="0"/>
            <w:bCs/>
            <w:webHidden/>
            <w:kern w:val="52"/>
          </w:rPr>
        </w:r>
        <w:r w:rsidR="00AA0B65" w:rsidRPr="00131B9D">
          <w:rPr>
            <w:rStyle w:val="afe"/>
            <w:b w:val="0"/>
            <w:bCs/>
            <w:webHidden/>
            <w:kern w:val="52"/>
          </w:rPr>
          <w:fldChar w:fldCharType="separate"/>
        </w:r>
        <w:r w:rsidR="001641D3">
          <w:rPr>
            <w:rStyle w:val="afe"/>
            <w:b w:val="0"/>
            <w:bCs/>
            <w:webHidden/>
            <w:kern w:val="52"/>
          </w:rPr>
          <w:t>158</w:t>
        </w:r>
        <w:r w:rsidR="00AA0B65" w:rsidRPr="00131B9D">
          <w:rPr>
            <w:rStyle w:val="afe"/>
            <w:b w:val="0"/>
            <w:bCs/>
            <w:webHidden/>
            <w:kern w:val="52"/>
          </w:rPr>
          <w:fldChar w:fldCharType="end"/>
        </w:r>
      </w:hyperlink>
    </w:p>
    <w:p w:rsidR="005C4854" w:rsidRPr="00131B9D" w:rsidRDefault="00672064" w:rsidP="00672064">
      <w:pPr>
        <w:pStyle w:val="13"/>
        <w:spacing w:before="180" w:after="180"/>
        <w:rPr>
          <w:rFonts w:cs="Times New Roman"/>
        </w:rPr>
      </w:pPr>
      <w:r w:rsidRPr="00131B9D">
        <w:rPr>
          <w:rStyle w:val="afe"/>
          <w:b w:val="0"/>
          <w:bCs/>
          <w:kern w:val="52"/>
        </w:rPr>
        <w:fldChar w:fldCharType="end"/>
      </w:r>
    </w:p>
    <w:p w:rsidR="009B62F2" w:rsidRPr="00131B9D" w:rsidRDefault="009B62F2" w:rsidP="00AF3684">
      <w:pPr>
        <w:sectPr w:rsidR="009B62F2" w:rsidRPr="00131B9D" w:rsidSect="009906DA">
          <w:type w:val="oddPage"/>
          <w:pgSz w:w="11906" w:h="16838"/>
          <w:pgMar w:top="1418" w:right="1418" w:bottom="1418" w:left="1418" w:header="851" w:footer="992" w:gutter="0"/>
          <w:pgNumType w:fmt="upperRoman"/>
          <w:cols w:space="425"/>
          <w:docGrid w:type="lines" w:linePitch="360"/>
        </w:sectPr>
      </w:pPr>
    </w:p>
    <w:p w:rsidR="009B62F2" w:rsidRPr="00131B9D" w:rsidRDefault="009B62F2" w:rsidP="00402957">
      <w:pPr>
        <w:pStyle w:val="1"/>
        <w:spacing w:after="360"/>
        <w:rPr>
          <w:rFonts w:hAnsi="Times New Roman"/>
        </w:rPr>
      </w:pPr>
      <w:bookmarkStart w:id="3" w:name="_Toc373760877"/>
      <w:bookmarkStart w:id="4" w:name="_Toc373761934"/>
      <w:bookmarkStart w:id="5" w:name="_Toc439162944"/>
      <w:r w:rsidRPr="00131B9D">
        <w:rPr>
          <w:rFonts w:hAnsi="Times New Roman"/>
        </w:rPr>
        <w:lastRenderedPageBreak/>
        <w:t>壹、前言</w:t>
      </w:r>
      <w:bookmarkEnd w:id="3"/>
      <w:bookmarkEnd w:id="4"/>
      <w:bookmarkEnd w:id="5"/>
    </w:p>
    <w:p w:rsidR="003D6E43" w:rsidRPr="00131B9D" w:rsidRDefault="003D6E43" w:rsidP="00515B9D">
      <w:pPr>
        <w:pStyle w:val="-"/>
        <w:spacing w:before="72" w:after="72"/>
        <w:ind w:firstLine="560"/>
      </w:pPr>
      <w:r w:rsidRPr="00131B9D">
        <w:t>重要農工原物料出口常因國際情勢變化而頻繁變動，是國內市場價量波動的重要因素。例如，上半年雖因諸多因素造成油價震盪反彈，惟原油基本面供過於求之情勢未有改變，加之伊朗達成核武協議，預期未來出口量可能大增，造成原油市場情緒轉趨悲觀。此外，近期新興國家大力發展經濟，在經濟型態轉變下，大幅增加對重要農工原料的消費需求，升高了全球資源爭奪的競爭性；其它亦有天災人禍等相關因素，提高原物料供應的不穩定性，影響國際市場價格，同時也對臺灣經濟社會造成衝擊。</w:t>
      </w:r>
    </w:p>
    <w:p w:rsidR="00515B9D" w:rsidRPr="00131B9D" w:rsidRDefault="00515B9D" w:rsidP="00515B9D">
      <w:pPr>
        <w:pStyle w:val="-"/>
        <w:spacing w:before="72" w:after="72"/>
        <w:ind w:firstLine="560"/>
      </w:pPr>
      <w:r w:rsidRPr="00131B9D">
        <w:t>因此，本計劃對國內重要農工原物料進口價格及民生物資價格變化持續進行蒐集調查，以瞭解重要民生物資價格變動情勢，避免巨幅波動對經濟社會可能產生的衝擊。除了透過監控原物料價格以預期市場供需變化之外，並針對物價相關議題進行分析，進一步瞭解零售價格調整變動的模式，以及主要競爭國消費者物價、躉售物價兩者之變化趨勢；其次，同時持續觀察全球景氣動向，協助政府單位掌握重要經濟議題，有利於制定相關因應政策。</w:t>
      </w:r>
    </w:p>
    <w:p w:rsidR="00515B9D" w:rsidRPr="00131B9D" w:rsidRDefault="00515B9D" w:rsidP="00515B9D">
      <w:pPr>
        <w:pStyle w:val="-"/>
        <w:spacing w:before="72" w:after="72"/>
        <w:ind w:firstLine="560"/>
      </w:pPr>
      <w:r w:rsidRPr="00131B9D">
        <w:t>依照聯合國的分類，原物料大致可分為五種，包括能源（以原油、天然氣為主）、金屬（包括鋼鐵、金、銀、銅、鉑等）、穀物（包括咖啡、糖、小麥、玉米等）、纖維（以蠶絲、棉花為大宗），以及牲口。我國大宗物資向來最主要的進口項目為黃豆、小麥與玉米，</w:t>
      </w:r>
      <w:r w:rsidR="003D6E43" w:rsidRPr="00131B9D">
        <w:t>我國進口比例將近百分之百。</w:t>
      </w:r>
      <w:r w:rsidRPr="00131B9D">
        <w:t>而過去臺灣出產煤礦與金礦，也曾是蔗糖大宗出口的地區，但隨著經濟結構轉型與天然資源逐漸枯竭，如今已成為進口國家。總而言之，善用進口資源、製造附加價值、再出口獲利是臺灣經濟迅速發展與生活品質提升的主要因素，因此原物料進口來源與價格的穩定對經濟發展與民生社會安定有著重要的影響力。</w:t>
      </w:r>
    </w:p>
    <w:p w:rsidR="005C4854" w:rsidRPr="00131B9D" w:rsidRDefault="005C4854" w:rsidP="00515B9D">
      <w:pPr>
        <w:pStyle w:val="-"/>
        <w:spacing w:before="72" w:after="72"/>
        <w:ind w:firstLine="560"/>
        <w:sectPr w:rsidR="005C4854" w:rsidRPr="00131B9D" w:rsidSect="005C4854">
          <w:type w:val="oddPage"/>
          <w:pgSz w:w="11906" w:h="16838" w:code="9"/>
          <w:pgMar w:top="1701" w:right="1701" w:bottom="1701" w:left="1701" w:header="540" w:footer="1418" w:gutter="0"/>
          <w:pgNumType w:start="1"/>
          <w:cols w:space="425"/>
          <w:docGrid w:type="lines" w:linePitch="360"/>
        </w:sectPr>
      </w:pPr>
    </w:p>
    <w:p w:rsidR="00515B9D" w:rsidRPr="00131B9D" w:rsidRDefault="00515B9D" w:rsidP="00D56976">
      <w:pPr>
        <w:pStyle w:val="2"/>
        <w:spacing w:before="108" w:after="108"/>
        <w:rPr>
          <w:rFonts w:ascii="Times New Roman" w:hAnsi="Times New Roman"/>
        </w:rPr>
      </w:pPr>
      <w:bookmarkStart w:id="6" w:name="_Toc439162945"/>
      <w:r w:rsidRPr="00131B9D">
        <w:rPr>
          <w:rFonts w:ascii="Times New Roman" w:hAnsi="Times New Roman"/>
        </w:rPr>
        <w:lastRenderedPageBreak/>
        <w:t>一、本計畫需求要項</w:t>
      </w:r>
      <w:bookmarkEnd w:id="6"/>
    </w:p>
    <w:p w:rsidR="00515B9D" w:rsidRPr="00131B9D" w:rsidRDefault="00515B9D" w:rsidP="00515B9D">
      <w:pPr>
        <w:pStyle w:val="16"/>
        <w:spacing w:before="180" w:after="180"/>
        <w:ind w:leftChars="225" w:left="1455" w:hangingChars="305" w:hanging="915"/>
      </w:pPr>
      <w:r w:rsidRPr="00131B9D">
        <w:t>（一）定期蒐集國際及國內原物料價格及相關資訊，建置、更新及維護資料庫，以掌握國內、外市場行情變動趨勢。</w:t>
      </w:r>
    </w:p>
    <w:p w:rsidR="00515B9D" w:rsidRPr="00131B9D" w:rsidRDefault="00515B9D" w:rsidP="00515B9D">
      <w:pPr>
        <w:pStyle w:val="16"/>
        <w:spacing w:before="180" w:after="180"/>
        <w:ind w:leftChars="225" w:left="1455" w:hangingChars="305" w:hanging="915"/>
      </w:pPr>
      <w:r w:rsidRPr="00131B9D">
        <w:t>（二）分析原物料國際市場情勢，包括供需情勢、價格走勢，及研判未來趨勢等，每月</w:t>
      </w:r>
      <w:r w:rsidRPr="00131B9D">
        <w:t>2</w:t>
      </w:r>
      <w:r w:rsidRPr="00131B9D">
        <w:t>次提出簡要分析，並按季針對整體市場情勢變化提出完整分析報告。</w:t>
      </w:r>
    </w:p>
    <w:p w:rsidR="00515B9D" w:rsidRPr="00131B9D" w:rsidRDefault="00515B9D" w:rsidP="00515B9D">
      <w:pPr>
        <w:pStyle w:val="16"/>
        <w:spacing w:before="180" w:after="180"/>
        <w:ind w:leftChars="225" w:left="1455" w:hangingChars="305" w:hanging="915"/>
      </w:pPr>
      <w:r w:rsidRPr="00131B9D">
        <w:t>（三）民生物資價格調查：針對超商、超級市場及量販店至少</w:t>
      </w:r>
      <w:r w:rsidRPr="00131B9D">
        <w:t>100</w:t>
      </w:r>
      <w:r w:rsidRPr="00131B9D">
        <w:t>項之重要民生用品每月進行</w:t>
      </w:r>
      <w:r w:rsidRPr="00131B9D">
        <w:t>2</w:t>
      </w:r>
      <w:r w:rsidRPr="00131B9D">
        <w:t>次調查及提報查價結果，並隨時提報價格變化可能原因與因應作法，另應本部需求適時調整調查頻率及項目。</w:t>
      </w:r>
    </w:p>
    <w:p w:rsidR="005C4854" w:rsidRPr="00131B9D" w:rsidRDefault="00515B9D" w:rsidP="005C4854">
      <w:pPr>
        <w:pStyle w:val="16"/>
        <w:spacing w:before="180" w:after="180"/>
        <w:ind w:leftChars="225" w:left="1455" w:hangingChars="305" w:hanging="915"/>
      </w:pPr>
      <w:r w:rsidRPr="00131B9D">
        <w:t>（四）其他臨時交辦及政策指示事項。</w:t>
      </w:r>
      <w:r w:rsidRPr="00131B9D">
        <w:br w:type="page"/>
      </w:r>
    </w:p>
    <w:p w:rsidR="00515B9D" w:rsidRPr="00131B9D" w:rsidRDefault="00515B9D" w:rsidP="005C4854">
      <w:pPr>
        <w:pStyle w:val="2"/>
        <w:spacing w:before="108" w:after="108"/>
        <w:rPr>
          <w:rFonts w:ascii="Times New Roman" w:hAnsi="Times New Roman"/>
        </w:rPr>
      </w:pPr>
      <w:bookmarkStart w:id="7" w:name="_Toc439162946"/>
      <w:r w:rsidRPr="00131B9D">
        <w:rPr>
          <w:rFonts w:ascii="Times New Roman" w:hAnsi="Times New Roman"/>
        </w:rPr>
        <w:lastRenderedPageBreak/>
        <w:t>二、</w:t>
      </w:r>
      <w:r w:rsidR="002F411A" w:rsidRPr="00131B9D">
        <w:rPr>
          <w:rFonts w:ascii="Times New Roman" w:hAnsi="Times New Roman"/>
        </w:rPr>
        <w:t>2015</w:t>
      </w:r>
      <w:r w:rsidR="002F411A" w:rsidRPr="00131B9D">
        <w:rPr>
          <w:rFonts w:ascii="Times New Roman" w:hAnsi="Times New Roman"/>
        </w:rPr>
        <w:t>全年</w:t>
      </w:r>
      <w:r w:rsidRPr="00131B9D">
        <w:rPr>
          <w:rFonts w:ascii="Times New Roman" w:hAnsi="Times New Roman"/>
        </w:rPr>
        <w:t>執行成果</w:t>
      </w:r>
      <w:bookmarkEnd w:id="7"/>
    </w:p>
    <w:p w:rsidR="00515B9D" w:rsidRPr="00131B9D" w:rsidRDefault="00515B9D" w:rsidP="00515B9D">
      <w:pPr>
        <w:pStyle w:val="16"/>
        <w:spacing w:before="180" w:after="180"/>
        <w:ind w:leftChars="225" w:left="1455" w:hangingChars="305" w:hanging="915"/>
      </w:pPr>
      <w:r w:rsidRPr="00131B9D">
        <w:t>（一）民生物資價格調查報告</w:t>
      </w:r>
    </w:p>
    <w:p w:rsidR="00515B9D" w:rsidRPr="00131B9D" w:rsidRDefault="00515B9D" w:rsidP="00515B9D">
      <w:pPr>
        <w:pStyle w:val="16"/>
        <w:spacing w:before="180" w:after="180"/>
        <w:ind w:leftChars="617" w:left="2390" w:hangingChars="303" w:hanging="909"/>
      </w:pPr>
      <w:r w:rsidRPr="00131B9D">
        <w:t>調查：已完成</w:t>
      </w:r>
      <w:r w:rsidR="00CD4166" w:rsidRPr="00131B9D">
        <w:t>24</w:t>
      </w:r>
      <w:r w:rsidR="00D20FD8" w:rsidRPr="00131B9D">
        <w:t>次全臺</w:t>
      </w:r>
      <w:r w:rsidRPr="00131B9D">
        <w:t>各地民生物價調查</w:t>
      </w:r>
    </w:p>
    <w:p w:rsidR="00515B9D" w:rsidRPr="00131B9D" w:rsidRDefault="00CD4166" w:rsidP="00515B9D">
      <w:pPr>
        <w:pStyle w:val="16"/>
        <w:spacing w:before="180" w:after="180"/>
        <w:ind w:leftChars="617" w:left="2390" w:hangingChars="303" w:hanging="909"/>
      </w:pPr>
      <w:r w:rsidRPr="00131B9D">
        <w:t>簡報</w:t>
      </w:r>
      <w:r w:rsidR="00515B9D" w:rsidRPr="00131B9D">
        <w:t>：已於</w:t>
      </w:r>
      <w:r w:rsidR="00515B9D" w:rsidRPr="00131B9D">
        <w:t>1/06</w:t>
      </w:r>
      <w:r w:rsidR="00515B9D" w:rsidRPr="00131B9D">
        <w:t>、</w:t>
      </w:r>
      <w:r w:rsidR="00515B9D" w:rsidRPr="00131B9D">
        <w:t>1/20</w:t>
      </w:r>
      <w:r w:rsidR="00515B9D" w:rsidRPr="00131B9D">
        <w:t>、</w:t>
      </w:r>
      <w:r w:rsidR="00515B9D" w:rsidRPr="00131B9D">
        <w:t>2/3</w:t>
      </w:r>
      <w:r w:rsidR="00515B9D" w:rsidRPr="00131B9D">
        <w:t>、</w:t>
      </w:r>
      <w:r w:rsidR="00515B9D" w:rsidRPr="00131B9D">
        <w:t>2/17</w:t>
      </w:r>
      <w:r w:rsidR="00515B9D" w:rsidRPr="00131B9D">
        <w:t>、</w:t>
      </w:r>
      <w:r w:rsidR="00515B9D" w:rsidRPr="00131B9D">
        <w:t>3/10</w:t>
      </w:r>
      <w:r w:rsidR="00515B9D" w:rsidRPr="00131B9D">
        <w:t>、</w:t>
      </w:r>
      <w:r w:rsidR="00515B9D" w:rsidRPr="00131B9D">
        <w:t>3/24</w:t>
      </w:r>
      <w:r w:rsidR="00515B9D" w:rsidRPr="00131B9D">
        <w:t>、</w:t>
      </w:r>
      <w:r w:rsidR="00515B9D" w:rsidRPr="00131B9D">
        <w:t>4/08</w:t>
      </w:r>
      <w:r w:rsidR="00515B9D" w:rsidRPr="00131B9D">
        <w:t>、</w:t>
      </w:r>
      <w:r w:rsidR="00515B9D" w:rsidRPr="00131B9D">
        <w:t>4/21</w:t>
      </w:r>
      <w:r w:rsidR="00515B9D" w:rsidRPr="00131B9D">
        <w:t>、</w:t>
      </w:r>
      <w:r w:rsidR="00515B9D" w:rsidRPr="00131B9D">
        <w:t>5/12</w:t>
      </w:r>
      <w:r w:rsidR="00515B9D" w:rsidRPr="00131B9D">
        <w:t>、</w:t>
      </w:r>
      <w:r w:rsidR="00515B9D" w:rsidRPr="00131B9D">
        <w:t>5/26</w:t>
      </w:r>
      <w:r w:rsidR="00515B9D" w:rsidRPr="00131B9D">
        <w:t>、</w:t>
      </w:r>
      <w:r w:rsidR="00515B9D" w:rsidRPr="00131B9D">
        <w:t>6/09</w:t>
      </w:r>
      <w:r w:rsidR="00515B9D" w:rsidRPr="00131B9D">
        <w:t>、</w:t>
      </w:r>
      <w:r w:rsidR="00515B9D" w:rsidRPr="00131B9D">
        <w:t>6/16</w:t>
      </w:r>
      <w:r w:rsidR="00515B9D" w:rsidRPr="00131B9D">
        <w:t>、</w:t>
      </w:r>
      <w:r w:rsidR="00515B9D" w:rsidRPr="00131B9D">
        <w:t>7/07</w:t>
      </w:r>
      <w:r w:rsidR="00FF0E85" w:rsidRPr="00131B9D">
        <w:t>、</w:t>
      </w:r>
      <w:r w:rsidR="00515B9D" w:rsidRPr="00131B9D">
        <w:t>7/21</w:t>
      </w:r>
      <w:r w:rsidR="00FF0E85" w:rsidRPr="00131B9D">
        <w:t>、</w:t>
      </w:r>
      <w:r w:rsidR="00FF0E85" w:rsidRPr="00131B9D">
        <w:t>8/4</w:t>
      </w:r>
      <w:r w:rsidR="00FF0E85" w:rsidRPr="00131B9D">
        <w:t>、</w:t>
      </w:r>
      <w:r w:rsidR="00FF0E85" w:rsidRPr="00131B9D">
        <w:t>8/18</w:t>
      </w:r>
      <w:r w:rsidR="00FF0E85" w:rsidRPr="00131B9D">
        <w:t>、</w:t>
      </w:r>
      <w:r w:rsidR="00FF0E85" w:rsidRPr="00131B9D">
        <w:t>9/8</w:t>
      </w:r>
      <w:r w:rsidR="00FF0E85" w:rsidRPr="00131B9D">
        <w:t>、</w:t>
      </w:r>
      <w:r w:rsidR="00FF0E85" w:rsidRPr="00131B9D">
        <w:t>9/22</w:t>
      </w:r>
      <w:r w:rsidR="00FF0E85" w:rsidRPr="00131B9D">
        <w:t>、</w:t>
      </w:r>
      <w:r w:rsidR="00FF0E85" w:rsidRPr="00131B9D">
        <w:t>10/6</w:t>
      </w:r>
      <w:r w:rsidR="00FF0E85" w:rsidRPr="00131B9D">
        <w:t>、</w:t>
      </w:r>
      <w:r w:rsidR="00FF0E85" w:rsidRPr="00131B9D">
        <w:t>10/20</w:t>
      </w:r>
      <w:r w:rsidRPr="00131B9D">
        <w:t>、</w:t>
      </w:r>
      <w:r w:rsidR="00C72D9F" w:rsidRPr="00131B9D">
        <w:t>11/10</w:t>
      </w:r>
      <w:r w:rsidRPr="00131B9D">
        <w:t>、</w:t>
      </w:r>
      <w:r w:rsidRPr="00131B9D">
        <w:t>11/24</w:t>
      </w:r>
      <w:r w:rsidRPr="00131B9D">
        <w:t>、</w:t>
      </w:r>
      <w:r w:rsidRPr="00131B9D">
        <w:t>12/8</w:t>
      </w:r>
      <w:r w:rsidRPr="00131B9D">
        <w:t>與</w:t>
      </w:r>
      <w:r w:rsidRPr="00131B9D">
        <w:t>12/22</w:t>
      </w:r>
      <w:r w:rsidR="00515B9D" w:rsidRPr="00131B9D">
        <w:t>提交書面分析簡報。</w:t>
      </w:r>
    </w:p>
    <w:p w:rsidR="00515B9D" w:rsidRPr="00131B9D" w:rsidRDefault="00515B9D" w:rsidP="00515B9D">
      <w:pPr>
        <w:pStyle w:val="16"/>
        <w:spacing w:before="180" w:after="180"/>
        <w:ind w:leftChars="225" w:left="1455" w:hangingChars="305" w:hanging="915"/>
      </w:pPr>
      <w:r w:rsidRPr="00131B9D">
        <w:t>（二）重要農工原物料國內外情勢研究分析雙週報與季報</w:t>
      </w:r>
    </w:p>
    <w:p w:rsidR="00515B9D" w:rsidRPr="00131B9D" w:rsidRDefault="00CD4166" w:rsidP="00515B9D">
      <w:pPr>
        <w:pStyle w:val="16"/>
        <w:spacing w:before="180" w:after="180"/>
        <w:ind w:leftChars="617" w:left="2390" w:hangingChars="303" w:hanging="909"/>
      </w:pPr>
      <w:r w:rsidRPr="00131B9D">
        <w:t>簡報</w:t>
      </w:r>
      <w:r w:rsidR="00515B9D" w:rsidRPr="00131B9D">
        <w:t>：已於</w:t>
      </w:r>
      <w:r w:rsidR="00515B9D" w:rsidRPr="00131B9D">
        <w:t>1/06</w:t>
      </w:r>
      <w:r w:rsidR="00515B9D" w:rsidRPr="00131B9D">
        <w:t>、</w:t>
      </w:r>
      <w:r w:rsidR="00515B9D" w:rsidRPr="00131B9D">
        <w:t>1/20</w:t>
      </w:r>
      <w:r w:rsidR="00515B9D" w:rsidRPr="00131B9D">
        <w:t>、</w:t>
      </w:r>
      <w:r w:rsidR="00515B9D" w:rsidRPr="00131B9D">
        <w:t>2/3</w:t>
      </w:r>
      <w:r w:rsidR="00515B9D" w:rsidRPr="00131B9D">
        <w:t>、</w:t>
      </w:r>
      <w:r w:rsidR="00515B9D" w:rsidRPr="00131B9D">
        <w:t>2/17</w:t>
      </w:r>
      <w:r w:rsidR="00515B9D" w:rsidRPr="00131B9D">
        <w:t>、</w:t>
      </w:r>
      <w:r w:rsidR="00515B9D" w:rsidRPr="00131B9D">
        <w:t>3/10</w:t>
      </w:r>
      <w:r w:rsidR="00515B9D" w:rsidRPr="00131B9D">
        <w:t>、</w:t>
      </w:r>
      <w:r w:rsidR="00515B9D" w:rsidRPr="00131B9D">
        <w:t>3/24</w:t>
      </w:r>
      <w:r w:rsidR="00515B9D" w:rsidRPr="00131B9D">
        <w:t>、</w:t>
      </w:r>
      <w:r w:rsidR="00515B9D" w:rsidRPr="00131B9D">
        <w:t>4/08</w:t>
      </w:r>
      <w:r w:rsidR="00515B9D" w:rsidRPr="00131B9D">
        <w:t>、</w:t>
      </w:r>
      <w:r w:rsidR="00515B9D" w:rsidRPr="00131B9D">
        <w:t>4/21</w:t>
      </w:r>
      <w:r w:rsidR="00515B9D" w:rsidRPr="00131B9D">
        <w:t>、</w:t>
      </w:r>
      <w:r w:rsidR="00515B9D" w:rsidRPr="00131B9D">
        <w:t>5/12</w:t>
      </w:r>
      <w:r w:rsidR="00515B9D" w:rsidRPr="00131B9D">
        <w:t>、</w:t>
      </w:r>
      <w:r w:rsidR="00515B9D" w:rsidRPr="00131B9D">
        <w:t>5/26</w:t>
      </w:r>
      <w:r w:rsidR="00515B9D" w:rsidRPr="00131B9D">
        <w:t>、</w:t>
      </w:r>
      <w:r w:rsidR="00515B9D" w:rsidRPr="00131B9D">
        <w:t>6/09</w:t>
      </w:r>
      <w:r w:rsidR="00515B9D" w:rsidRPr="00131B9D">
        <w:t>、</w:t>
      </w:r>
      <w:r w:rsidR="00515B9D" w:rsidRPr="00131B9D">
        <w:t>6/16</w:t>
      </w:r>
      <w:r w:rsidR="00515B9D" w:rsidRPr="00131B9D">
        <w:t>、</w:t>
      </w:r>
      <w:r w:rsidR="00515B9D" w:rsidRPr="00131B9D">
        <w:t>7/07</w:t>
      </w:r>
      <w:r w:rsidR="00C72D9F" w:rsidRPr="00131B9D">
        <w:t>、</w:t>
      </w:r>
      <w:r w:rsidR="00515B9D" w:rsidRPr="00131B9D">
        <w:t>7/21</w:t>
      </w:r>
      <w:r w:rsidR="00C72D9F" w:rsidRPr="00131B9D">
        <w:t>、</w:t>
      </w:r>
      <w:r w:rsidR="00C72D9F" w:rsidRPr="00131B9D">
        <w:t>8/4</w:t>
      </w:r>
      <w:r w:rsidR="00C72D9F" w:rsidRPr="00131B9D">
        <w:t>、</w:t>
      </w:r>
      <w:r w:rsidR="00C72D9F" w:rsidRPr="00131B9D">
        <w:t>8/18</w:t>
      </w:r>
      <w:r w:rsidR="00C72D9F" w:rsidRPr="00131B9D">
        <w:t>、</w:t>
      </w:r>
      <w:r w:rsidR="00C72D9F" w:rsidRPr="00131B9D">
        <w:t>9/8</w:t>
      </w:r>
      <w:r w:rsidR="00C72D9F" w:rsidRPr="00131B9D">
        <w:t>、</w:t>
      </w:r>
      <w:r w:rsidR="00C72D9F" w:rsidRPr="00131B9D">
        <w:t>9/22</w:t>
      </w:r>
      <w:r w:rsidR="00C72D9F" w:rsidRPr="00131B9D">
        <w:t>、</w:t>
      </w:r>
      <w:r w:rsidR="00C72D9F" w:rsidRPr="00131B9D">
        <w:t>10/6</w:t>
      </w:r>
      <w:r w:rsidR="00C72D9F" w:rsidRPr="00131B9D">
        <w:t>、</w:t>
      </w:r>
      <w:r w:rsidR="00C72D9F" w:rsidRPr="00131B9D">
        <w:t>10/20</w:t>
      </w:r>
      <w:r w:rsidRPr="00131B9D">
        <w:t>、</w:t>
      </w:r>
      <w:r w:rsidRPr="00131B9D">
        <w:t>11/10</w:t>
      </w:r>
      <w:r w:rsidRPr="00131B9D">
        <w:t>、</w:t>
      </w:r>
      <w:r w:rsidRPr="00131B9D">
        <w:t>11/24</w:t>
      </w:r>
      <w:r w:rsidRPr="00131B9D">
        <w:t>、</w:t>
      </w:r>
      <w:r w:rsidRPr="00131B9D">
        <w:t>12/8</w:t>
      </w:r>
      <w:r w:rsidRPr="00131B9D">
        <w:t>與</w:t>
      </w:r>
      <w:r w:rsidRPr="00131B9D">
        <w:t>12/22</w:t>
      </w:r>
      <w:r w:rsidR="00515B9D" w:rsidRPr="00131B9D">
        <w:t>提交書面分析簡報。</w:t>
      </w:r>
    </w:p>
    <w:p w:rsidR="00515B9D" w:rsidRPr="00131B9D" w:rsidRDefault="00515B9D" w:rsidP="00515B9D">
      <w:pPr>
        <w:pStyle w:val="16"/>
        <w:spacing w:before="180" w:after="180"/>
        <w:ind w:leftChars="617" w:left="2390" w:hangingChars="303" w:hanging="909"/>
      </w:pPr>
      <w:r w:rsidRPr="00131B9D">
        <w:t>季報：已提交第一季</w:t>
      </w:r>
      <w:r w:rsidR="00C72D9F" w:rsidRPr="00131B9D">
        <w:t>、</w:t>
      </w:r>
      <w:r w:rsidRPr="00131B9D">
        <w:t>第二季</w:t>
      </w:r>
      <w:r w:rsidR="00C72D9F" w:rsidRPr="00131B9D">
        <w:t>與第三季</w:t>
      </w:r>
      <w:r w:rsidRPr="00131B9D">
        <w:t>季報（</w:t>
      </w:r>
      <w:r w:rsidRPr="00131B9D">
        <w:t>4/10</w:t>
      </w:r>
      <w:r w:rsidR="00C72D9F" w:rsidRPr="00131B9D">
        <w:t>、</w:t>
      </w:r>
      <w:r w:rsidRPr="00131B9D">
        <w:t>7/10</w:t>
      </w:r>
      <w:r w:rsidR="00C72D9F" w:rsidRPr="00131B9D">
        <w:t>及</w:t>
      </w:r>
      <w:r w:rsidR="00C72D9F" w:rsidRPr="00131B9D">
        <w:t>10/7</w:t>
      </w:r>
      <w:r w:rsidRPr="00131B9D">
        <w:t>）。</w:t>
      </w:r>
    </w:p>
    <w:p w:rsidR="00CD4166" w:rsidRPr="00131B9D" w:rsidRDefault="00CD4166" w:rsidP="00CD4166">
      <w:pPr>
        <w:pStyle w:val="16"/>
        <w:spacing w:before="180" w:after="180"/>
        <w:ind w:leftChars="225" w:left="1455" w:hangingChars="305" w:hanging="915"/>
      </w:pPr>
      <w:r w:rsidRPr="00131B9D">
        <w:t>（三）期中報告：已於</w:t>
      </w:r>
      <w:r w:rsidRPr="00131B9D">
        <w:t>7/31</w:t>
      </w:r>
      <w:r w:rsidRPr="00131B9D">
        <w:t>繳交。</w:t>
      </w:r>
    </w:p>
    <w:p w:rsidR="00515B9D" w:rsidRPr="00131B9D" w:rsidRDefault="00515B9D" w:rsidP="00515B9D">
      <w:pPr>
        <w:pStyle w:val="16"/>
        <w:spacing w:before="180" w:after="180"/>
        <w:ind w:leftChars="225" w:left="1455" w:hangingChars="305" w:hanging="915"/>
      </w:pPr>
      <w:r w:rsidRPr="00131B9D">
        <w:t>（三）定期更新原物料價格資料庫</w:t>
      </w:r>
    </w:p>
    <w:p w:rsidR="00515B9D" w:rsidRPr="00131B9D" w:rsidRDefault="00515B9D" w:rsidP="00515B9D">
      <w:pPr>
        <w:pStyle w:val="16"/>
        <w:spacing w:before="180" w:after="180"/>
        <w:ind w:leftChars="225" w:left="1455" w:hangingChars="305" w:hanging="915"/>
      </w:pPr>
      <w:r w:rsidRPr="00131B9D">
        <w:t>（四）政策指示事項及其他臨時交辦事項</w:t>
      </w:r>
    </w:p>
    <w:p w:rsidR="00F30474" w:rsidRPr="00131B9D" w:rsidRDefault="00F30474" w:rsidP="00F30474">
      <w:pPr>
        <w:pStyle w:val="16"/>
        <w:numPr>
          <w:ilvl w:val="0"/>
          <w:numId w:val="43"/>
        </w:numPr>
        <w:spacing w:before="180" w:after="180"/>
        <w:ind w:leftChars="0" w:firstLineChars="0"/>
      </w:pPr>
      <w:r w:rsidRPr="00131B9D">
        <w:t>各國物價管制措施彙整表：</w:t>
      </w:r>
      <w:r w:rsidRPr="00131B9D">
        <w:t>1</w:t>
      </w:r>
      <w:r w:rsidRPr="00131B9D">
        <w:t>月奉指示，根據各國於管理物價方面實施措施進行彙整。</w:t>
      </w:r>
    </w:p>
    <w:p w:rsidR="00F30474" w:rsidRPr="00131B9D" w:rsidRDefault="00F30474" w:rsidP="00F30474">
      <w:pPr>
        <w:pStyle w:val="16"/>
        <w:numPr>
          <w:ilvl w:val="0"/>
          <w:numId w:val="43"/>
        </w:numPr>
        <w:spacing w:before="180" w:after="180"/>
        <w:ind w:leftChars="0" w:firstLineChars="0"/>
      </w:pPr>
      <w:r w:rsidRPr="00131B9D">
        <w:rPr>
          <w:szCs w:val="28"/>
        </w:rPr>
        <w:t>國內食品業者</w:t>
      </w:r>
      <w:r w:rsidRPr="00131B9D">
        <w:t>對於價格之建議：</w:t>
      </w:r>
      <w:r w:rsidRPr="00131B9D">
        <w:t>3</w:t>
      </w:r>
      <w:r w:rsidRPr="00131B9D">
        <w:t>月針對</w:t>
      </w:r>
      <w:r w:rsidRPr="00131B9D">
        <w:rPr>
          <w:szCs w:val="28"/>
        </w:rPr>
        <w:t>國內食品業者</w:t>
      </w:r>
      <w:r w:rsidRPr="00131B9D">
        <w:t>於</w:t>
      </w:r>
      <w:r w:rsidRPr="00131B9D">
        <w:t>Facebook</w:t>
      </w:r>
      <w:r w:rsidRPr="00131B9D">
        <w:t>上刊登「生產者、消費者間價格爭議盲點」一文，配合經濟部研提報告。</w:t>
      </w:r>
    </w:p>
    <w:p w:rsidR="00F30474" w:rsidRPr="00131B9D" w:rsidRDefault="00F30474" w:rsidP="00F30474">
      <w:pPr>
        <w:pStyle w:val="16"/>
        <w:numPr>
          <w:ilvl w:val="0"/>
          <w:numId w:val="43"/>
        </w:numPr>
        <w:spacing w:before="180" w:after="180"/>
        <w:ind w:leftChars="0" w:firstLineChars="0"/>
      </w:pPr>
      <w:r w:rsidRPr="00131B9D">
        <w:lastRenderedPageBreak/>
        <w:t>吐司與速食麵價格調漲分析：</w:t>
      </w:r>
      <w:r w:rsidRPr="00131B9D">
        <w:t>8</w:t>
      </w:r>
      <w:r w:rsidRPr="00131B9D">
        <w:t>月依經濟部指示針對吐司與速食麵價格上漲原因進行說明與研析。</w:t>
      </w:r>
    </w:p>
    <w:p w:rsidR="00F30474" w:rsidRPr="00131B9D" w:rsidRDefault="00F30474" w:rsidP="00F30474">
      <w:pPr>
        <w:pStyle w:val="16"/>
        <w:numPr>
          <w:ilvl w:val="0"/>
          <w:numId w:val="43"/>
        </w:numPr>
        <w:spacing w:before="180" w:after="180"/>
        <w:ind w:leftChars="0" w:firstLineChars="0"/>
      </w:pPr>
      <w:r w:rsidRPr="00131B9D">
        <w:t>中秋檔期商品原料物價分析：</w:t>
      </w:r>
      <w:r w:rsidRPr="00131B9D">
        <w:t>9</w:t>
      </w:r>
      <w:r w:rsidRPr="00131B9D">
        <w:t>月初因應中秋節，針對相關檔期產品原物料價格提出分析。</w:t>
      </w:r>
    </w:p>
    <w:p w:rsidR="00F30474" w:rsidRPr="00131B9D" w:rsidRDefault="00F30474" w:rsidP="00F30474">
      <w:pPr>
        <w:pStyle w:val="16"/>
        <w:numPr>
          <w:ilvl w:val="0"/>
          <w:numId w:val="43"/>
        </w:numPr>
        <w:spacing w:before="180" w:after="180"/>
        <w:ind w:leftChars="0" w:firstLineChars="0"/>
      </w:pPr>
      <w:r w:rsidRPr="00131B9D">
        <w:t>通縮議題研析：</w:t>
      </w:r>
      <w:r w:rsidRPr="00131B9D">
        <w:t>9</w:t>
      </w:r>
      <w:r w:rsidRPr="00131B9D">
        <w:t>月底依指示回應通縮相關議題。</w:t>
      </w:r>
    </w:p>
    <w:p w:rsidR="00F30474" w:rsidRPr="00131B9D" w:rsidRDefault="00F30474" w:rsidP="00F30474">
      <w:pPr>
        <w:pStyle w:val="16"/>
        <w:numPr>
          <w:ilvl w:val="0"/>
          <w:numId w:val="43"/>
        </w:numPr>
        <w:spacing w:before="180" w:after="180"/>
        <w:ind w:leftChars="0" w:firstLineChars="0"/>
      </w:pPr>
      <w:r w:rsidRPr="00131B9D">
        <w:t>媒體採訪議題研析：</w:t>
      </w:r>
      <w:r w:rsidR="00EE753F" w:rsidRPr="00131B9D">
        <w:t>11</w:t>
      </w:r>
      <w:r w:rsidR="00EE753F" w:rsidRPr="00131B9D">
        <w:t>月則協助經濟部針對媒體提問草擬訪問題綱回應內容。</w:t>
      </w:r>
    </w:p>
    <w:p w:rsidR="00515B9D" w:rsidRPr="00131B9D" w:rsidRDefault="00515B9D" w:rsidP="00515B9D">
      <w:pPr>
        <w:pStyle w:val="16"/>
        <w:spacing w:before="180" w:after="180"/>
        <w:ind w:leftChars="616" w:left="1478" w:firstLineChars="0" w:firstLine="0"/>
      </w:pPr>
      <w:r w:rsidRPr="00131B9D">
        <w:t>相關實績羅列於本文附件</w:t>
      </w:r>
      <w:r w:rsidR="00EC0D9A">
        <w:rPr>
          <w:rFonts w:hint="eastAsia"/>
        </w:rPr>
        <w:t>二</w:t>
      </w:r>
      <w:r w:rsidRPr="00131B9D">
        <w:t>。</w:t>
      </w:r>
    </w:p>
    <w:p w:rsidR="00FE33B7" w:rsidRPr="00131B9D" w:rsidRDefault="009B62F2" w:rsidP="005C4854">
      <w:pPr>
        <w:sectPr w:rsidR="00FE33B7" w:rsidRPr="00131B9D" w:rsidSect="005C4854">
          <w:pgSz w:w="11906" w:h="16838" w:code="9"/>
          <w:pgMar w:top="1701" w:right="1701" w:bottom="1701" w:left="1701" w:header="540" w:footer="1418" w:gutter="0"/>
          <w:cols w:space="425"/>
          <w:docGrid w:type="lines" w:linePitch="360"/>
        </w:sectPr>
      </w:pPr>
      <w:r w:rsidRPr="00131B9D">
        <w:br w:type="page"/>
      </w:r>
      <w:bookmarkStart w:id="8" w:name="_Toc373760880"/>
      <w:bookmarkStart w:id="9" w:name="_Toc373761937"/>
    </w:p>
    <w:p w:rsidR="00097B8D" w:rsidRPr="00131B9D" w:rsidRDefault="00097B8D" w:rsidP="005C4854"/>
    <w:p w:rsidR="00097B8D" w:rsidRPr="00131B9D" w:rsidRDefault="00097B8D" w:rsidP="00402957">
      <w:pPr>
        <w:pStyle w:val="1"/>
        <w:spacing w:after="360"/>
        <w:rPr>
          <w:rFonts w:hAnsi="Times New Roman"/>
        </w:rPr>
      </w:pPr>
      <w:bookmarkStart w:id="10" w:name="_Toc439162947"/>
      <w:r w:rsidRPr="00131B9D">
        <w:rPr>
          <w:rFonts w:hAnsi="Times New Roman"/>
        </w:rPr>
        <w:t>貮、</w:t>
      </w:r>
      <w:r w:rsidR="00CE63C6" w:rsidRPr="00131B9D">
        <w:rPr>
          <w:rFonts w:hAnsi="Times New Roman"/>
        </w:rPr>
        <w:t>總體金融暨相關指數分析</w:t>
      </w:r>
      <w:bookmarkEnd w:id="10"/>
    </w:p>
    <w:p w:rsidR="00AA65C3" w:rsidRPr="00131B9D" w:rsidRDefault="00AA65C3" w:rsidP="00AA65C3">
      <w:pPr>
        <w:pStyle w:val="-"/>
        <w:spacing w:before="72" w:after="72"/>
        <w:ind w:firstLine="560"/>
      </w:pPr>
      <w:r w:rsidRPr="00131B9D">
        <w:t>國際大宗原物料價格主要與全球經濟成長率、金融投資需求以及糧食供需等因素影響而波動。而臺灣多數原物料仰賴進口，因此國內民生物資價格往往與國際大宗原物料價格走勢連動，同時也反映國內潛在影響因素，例如節慶、氣候、疫情與國內物價走勢。中經院研究團隊每半年於期中與期末兩次報告中，檢視總體金融面與物價走勢相關之</w:t>
      </w:r>
      <w:r w:rsidR="00845D01" w:rsidRPr="00131B9D">
        <w:t>價格變化</w:t>
      </w:r>
      <w:r w:rsidRPr="00131B9D">
        <w:t>因素，例如國際物價變動趨勢與通膨、匯率變化</w:t>
      </w:r>
      <w:r w:rsidRPr="00131B9D">
        <w:t>(</w:t>
      </w:r>
      <w:r w:rsidRPr="00131B9D">
        <w:t>美元指數</w:t>
      </w:r>
      <w:r w:rsidRPr="00131B9D">
        <w:t>)</w:t>
      </w:r>
      <w:r w:rsidRPr="00131B9D">
        <w:t>、臺幣與利率走勢、以及我國物價變化趨勢等，並彙整報告在本章</w:t>
      </w:r>
      <w:r w:rsidR="00CE63C6" w:rsidRPr="00131B9D">
        <w:t>總體金融暨相關指數分析</w:t>
      </w:r>
      <w:r w:rsidRPr="00131B9D">
        <w:t>中。</w:t>
      </w:r>
    </w:p>
    <w:p w:rsidR="007449B0" w:rsidRPr="00131B9D" w:rsidRDefault="007449B0" w:rsidP="007449B0">
      <w:pPr>
        <w:jc w:val="center"/>
      </w:pPr>
    </w:p>
    <w:p w:rsidR="007850BB" w:rsidRPr="00131B9D" w:rsidRDefault="007850BB" w:rsidP="007850BB">
      <w:pPr>
        <w:pStyle w:val="2"/>
        <w:spacing w:before="108" w:after="108"/>
        <w:rPr>
          <w:rFonts w:ascii="Times New Roman" w:hAnsi="Times New Roman"/>
        </w:rPr>
      </w:pPr>
      <w:bookmarkStart w:id="11" w:name="_Toc439162948"/>
      <w:r w:rsidRPr="00131B9D">
        <w:rPr>
          <w:rFonts w:ascii="Times New Roman" w:hAnsi="Times New Roman"/>
        </w:rPr>
        <w:t>一、</w:t>
      </w:r>
      <w:r w:rsidR="002E550E" w:rsidRPr="00131B9D">
        <w:rPr>
          <w:rFonts w:ascii="Times New Roman" w:hAnsi="Times New Roman"/>
        </w:rPr>
        <w:t>2015</w:t>
      </w:r>
      <w:r w:rsidR="00833037" w:rsidRPr="00131B9D">
        <w:rPr>
          <w:rFonts w:ascii="Times New Roman" w:hAnsi="Times New Roman"/>
        </w:rPr>
        <w:t>全</w:t>
      </w:r>
      <w:r w:rsidR="002E550E" w:rsidRPr="00131B9D">
        <w:rPr>
          <w:rFonts w:ascii="Times New Roman" w:hAnsi="Times New Roman"/>
        </w:rPr>
        <w:t>年</w:t>
      </w:r>
      <w:r w:rsidR="008A7271" w:rsidRPr="00131B9D">
        <w:rPr>
          <w:rFonts w:ascii="Times New Roman" w:hAnsi="Times New Roman"/>
        </w:rPr>
        <w:t>金融</w:t>
      </w:r>
      <w:r w:rsidRPr="00131B9D">
        <w:rPr>
          <w:rFonts w:ascii="Times New Roman" w:hAnsi="Times New Roman"/>
        </w:rPr>
        <w:t>情勢分析</w:t>
      </w:r>
      <w:bookmarkEnd w:id="11"/>
    </w:p>
    <w:p w:rsidR="00833037" w:rsidRPr="00131B9D" w:rsidRDefault="00833037" w:rsidP="00833037">
      <w:pPr>
        <w:pStyle w:val="3"/>
        <w:rPr>
          <w:rFonts w:ascii="Times New Roman" w:hAnsi="Times New Roman"/>
        </w:rPr>
      </w:pPr>
      <w:r w:rsidRPr="00131B9D">
        <w:rPr>
          <w:rFonts w:ascii="Times New Roman" w:hAnsi="Times New Roman"/>
        </w:rPr>
        <w:t>（一）物價波動</w:t>
      </w:r>
    </w:p>
    <w:p w:rsidR="00833037" w:rsidRPr="00131B9D" w:rsidRDefault="00833037" w:rsidP="00833037">
      <w:pPr>
        <w:pStyle w:val="-"/>
        <w:spacing w:before="72" w:after="72"/>
        <w:ind w:firstLine="560"/>
      </w:pPr>
      <w:r w:rsidRPr="00131B9D">
        <w:t>根據主計總處資料，</w:t>
      </w:r>
      <w:r w:rsidRPr="00131B9D">
        <w:t>2015</w:t>
      </w:r>
      <w:r w:rsidRPr="00131B9D">
        <w:t>年累積</w:t>
      </w:r>
      <w:r w:rsidRPr="00131B9D">
        <w:t>1-10</w:t>
      </w:r>
      <w:r w:rsidRPr="00131B9D">
        <w:t>月消費者物價總指數（</w:t>
      </w:r>
      <w:r w:rsidRPr="00131B9D">
        <w:t>CPI</w:t>
      </w:r>
      <w:r w:rsidRPr="00131B9D">
        <w:t>）平均值較去年同期跌</w:t>
      </w:r>
      <w:r w:rsidRPr="00131B9D">
        <w:t>0.44%</w:t>
      </w:r>
      <w:r w:rsidRPr="00131B9D">
        <w:t>，並已經連續三季負成長，隱有通貨緊縮疑慮。惟</w:t>
      </w:r>
      <w:r w:rsidRPr="00131B9D">
        <w:t>2015</w:t>
      </w:r>
      <w:r w:rsidRPr="00131B9D">
        <w:t>年</w:t>
      </w:r>
      <w:r w:rsidRPr="00131B9D">
        <w:t>9</w:t>
      </w:r>
      <w:r w:rsidRPr="00131B9D">
        <w:t>月起，</w:t>
      </w:r>
      <w:r w:rsidRPr="00131B9D">
        <w:t>CPI</w:t>
      </w:r>
      <w:r w:rsidRPr="00131B9D">
        <w:t>已連續兩個月呈現正成長，</w:t>
      </w:r>
      <w:r w:rsidRPr="00131B9D">
        <w:t>10</w:t>
      </w:r>
      <w:r w:rsidRPr="00131B9D">
        <w:t>月份</w:t>
      </w:r>
      <w:r w:rsidRPr="00131B9D">
        <w:t>CPI</w:t>
      </w:r>
      <w:r w:rsidRPr="00131B9D">
        <w:t>較上月漲</w:t>
      </w:r>
      <w:r w:rsidRPr="00131B9D">
        <w:t>0.09%</w:t>
      </w:r>
      <w:r w:rsidRPr="00131B9D">
        <w:t>，與去年同期相比漲</w:t>
      </w:r>
      <w:r w:rsidRPr="00131B9D">
        <w:t>0.31%</w:t>
      </w:r>
      <w:r w:rsidRPr="00131B9D">
        <w:t>。再加上核心</w:t>
      </w:r>
      <w:r w:rsidRPr="00131B9D">
        <w:t>CPI</w:t>
      </w:r>
      <w:r w:rsidRPr="00131B9D">
        <w:t>（不含蔬果及能源）都爲正成長，故而一般認爲通貨緊縮於短期內</w:t>
      </w:r>
      <w:r w:rsidR="002865CA" w:rsidRPr="00131B9D">
        <w:t>應不致於出現負面影響。細看</w:t>
      </w:r>
      <w:r w:rsidR="002865CA" w:rsidRPr="00131B9D">
        <w:t>CPI</w:t>
      </w:r>
      <w:r w:rsidR="002865CA" w:rsidRPr="00131B9D">
        <w:t>七大類商品類別漲幅可知，</w:t>
      </w:r>
      <w:r w:rsidR="002865CA" w:rsidRPr="00131B9D">
        <w:t>10</w:t>
      </w:r>
      <w:r w:rsidR="002865CA" w:rsidRPr="00131B9D">
        <w:t>月份</w:t>
      </w:r>
      <w:r w:rsidR="002865CA" w:rsidRPr="00131B9D">
        <w:t>CPI</w:t>
      </w:r>
      <w:r w:rsidR="002865CA" w:rsidRPr="00131B9D">
        <w:t>年增率爲正成長主要來自於蔬菜、水果與肉類的價格上漲，食物類（在低所得家庭中占比最高）漲幅最高，達</w:t>
      </w:r>
      <w:r w:rsidR="002865CA" w:rsidRPr="00131B9D">
        <w:t>5.10%</w:t>
      </w:r>
      <w:r w:rsidR="002865CA" w:rsidRPr="00131B9D">
        <w:t>，占</w:t>
      </w:r>
      <w:r w:rsidR="002865CA" w:rsidRPr="00131B9D">
        <w:t>CPI</w:t>
      </w:r>
      <w:r w:rsidR="002865CA" w:rsidRPr="00131B9D">
        <w:t>權數近</w:t>
      </w:r>
      <w:r w:rsidR="002865CA" w:rsidRPr="00131B9D">
        <w:t>10%</w:t>
      </w:r>
      <w:r w:rsidR="002865CA" w:rsidRPr="00131B9D">
        <w:t>的外食費漲幅亦達</w:t>
      </w:r>
      <w:r w:rsidR="002865CA" w:rsidRPr="00131B9D">
        <w:t>1.78%</w:t>
      </w:r>
      <w:r w:rsidR="002865CA" w:rsidRPr="00131B9D">
        <w:t>。故若依照所得層級別區分，低所得家庭雖較上月跌</w:t>
      </w:r>
      <w:r w:rsidR="002865CA" w:rsidRPr="00131B9D">
        <w:t>0.22%</w:t>
      </w:r>
      <w:r w:rsidR="002865CA" w:rsidRPr="00131B9D">
        <w:t>，但較去年同期仍是上漲</w:t>
      </w:r>
      <w:r w:rsidR="002865CA" w:rsidRPr="00131B9D">
        <w:t>0.66%</w:t>
      </w:r>
      <w:r w:rsidR="002865CA" w:rsidRPr="00131B9D">
        <w:t>，是三種所得層級中漲幅最高者（圖</w:t>
      </w:r>
      <w:r w:rsidR="002865CA" w:rsidRPr="00131B9D">
        <w:t>2-1</w:t>
      </w:r>
      <w:r w:rsidR="002865CA" w:rsidRPr="00131B9D">
        <w:t>）。</w:t>
      </w:r>
    </w:p>
    <w:p w:rsidR="00566ED5" w:rsidRPr="001641D3" w:rsidRDefault="00566ED5" w:rsidP="00566ED5">
      <w:pPr>
        <w:sectPr w:rsidR="00566ED5" w:rsidRPr="001641D3" w:rsidSect="00097B8D">
          <w:pgSz w:w="11906" w:h="16838"/>
          <w:pgMar w:top="1440" w:right="1800" w:bottom="1440" w:left="1800" w:header="851" w:footer="992" w:gutter="0"/>
          <w:cols w:space="425"/>
          <w:docGrid w:type="lines" w:linePitch="360"/>
        </w:sectPr>
      </w:pPr>
    </w:p>
    <w:tbl>
      <w:tblPr>
        <w:tblW w:w="0" w:type="auto"/>
        <w:jc w:val="center"/>
        <w:tblCellMar>
          <w:left w:w="28" w:type="dxa"/>
          <w:right w:w="28" w:type="dxa"/>
        </w:tblCellMar>
        <w:tblLook w:val="04A0" w:firstRow="1" w:lastRow="0" w:firstColumn="1" w:lastColumn="0" w:noHBand="0" w:noVBand="1"/>
      </w:tblPr>
      <w:tblGrid>
        <w:gridCol w:w="4129"/>
        <w:gridCol w:w="24"/>
        <w:gridCol w:w="4209"/>
      </w:tblGrid>
      <w:tr w:rsidR="00833037" w:rsidRPr="00131B9D" w:rsidTr="00833037">
        <w:trPr>
          <w:trHeight w:val="20"/>
          <w:jc w:val="center"/>
        </w:trPr>
        <w:tc>
          <w:tcPr>
            <w:tcW w:w="0" w:type="auto"/>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noProof/>
              </w:rPr>
              <w:lastRenderedPageBreak/>
              <w:drawing>
                <wp:inline distT="0" distB="0" distL="0" distR="0" wp14:anchorId="1B11DFD7" wp14:editId="17C4F088">
                  <wp:extent cx="2894330" cy="1562100"/>
                  <wp:effectExtent l="0" t="0" r="1270" b="0"/>
                  <wp:docPr id="18445" name="圖片 184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94330" cy="1562100"/>
                          </a:xfrm>
                          <a:prstGeom prst="rect">
                            <a:avLst/>
                          </a:prstGeom>
                          <a:noFill/>
                        </pic:spPr>
                      </pic:pic>
                    </a:graphicData>
                  </a:graphic>
                </wp:inline>
              </w:drawing>
            </w:r>
          </w:p>
        </w:tc>
        <w:tc>
          <w:tcPr>
            <w:tcW w:w="0" w:type="auto"/>
            <w:gridSpan w:val="2"/>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noProof/>
              </w:rPr>
              <w:drawing>
                <wp:inline distT="0" distB="0" distL="0" distR="0" wp14:anchorId="794C586F" wp14:editId="00E9A206">
                  <wp:extent cx="2914650" cy="1571625"/>
                  <wp:effectExtent l="0" t="0" r="0" b="9525"/>
                  <wp:docPr id="18444" name="圖片 18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14650" cy="1571625"/>
                          </a:xfrm>
                          <a:prstGeom prst="rect">
                            <a:avLst/>
                          </a:prstGeom>
                          <a:noFill/>
                          <a:ln>
                            <a:noFill/>
                          </a:ln>
                        </pic:spPr>
                      </pic:pic>
                    </a:graphicData>
                  </a:graphic>
                </wp:inline>
              </w:drawing>
            </w:r>
          </w:p>
        </w:tc>
      </w:tr>
      <w:tr w:rsidR="00833037" w:rsidRPr="00131B9D" w:rsidTr="00566ED5">
        <w:tblPrEx>
          <w:tblCellMar>
            <w:left w:w="108" w:type="dxa"/>
            <w:right w:w="108" w:type="dxa"/>
          </w:tblCellMar>
        </w:tblPrEx>
        <w:trPr>
          <w:trHeight w:val="20"/>
          <w:jc w:val="center"/>
        </w:trPr>
        <w:tc>
          <w:tcPr>
            <w:tcW w:w="4126" w:type="dxa"/>
            <w:gridSpan w:val="2"/>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sz w:val="23"/>
                <w:szCs w:val="23"/>
              </w:rPr>
              <w:t>Panel A</w:t>
            </w:r>
            <w:r w:rsidRPr="00131B9D">
              <w:rPr>
                <w:rFonts w:eastAsia="標楷體"/>
                <w:sz w:val="23"/>
                <w:szCs w:val="23"/>
              </w:rPr>
              <w:t>臺灣消費者物價與躉售物價走勢圖</w:t>
            </w:r>
          </w:p>
        </w:tc>
        <w:tc>
          <w:tcPr>
            <w:tcW w:w="4180" w:type="dxa"/>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sz w:val="23"/>
                <w:szCs w:val="23"/>
              </w:rPr>
              <w:t>Panel B 2015</w:t>
            </w:r>
            <w:r w:rsidRPr="00131B9D">
              <w:rPr>
                <w:rFonts w:eastAsia="標楷體"/>
                <w:sz w:val="23"/>
                <w:szCs w:val="23"/>
              </w:rPr>
              <w:t>年</w:t>
            </w:r>
            <w:r w:rsidRPr="00131B9D">
              <w:rPr>
                <w:rFonts w:eastAsia="標楷體"/>
                <w:sz w:val="23"/>
                <w:szCs w:val="23"/>
              </w:rPr>
              <w:t>10</w:t>
            </w:r>
            <w:r w:rsidRPr="00131B9D">
              <w:rPr>
                <w:rFonts w:eastAsia="標楷體"/>
                <w:sz w:val="23"/>
                <w:szCs w:val="23"/>
              </w:rPr>
              <w:t>月所得層級別</w:t>
            </w:r>
            <w:r w:rsidRPr="00131B9D">
              <w:rPr>
                <w:rFonts w:eastAsia="標楷體"/>
                <w:sz w:val="23"/>
                <w:szCs w:val="23"/>
              </w:rPr>
              <w:t>CPI</w:t>
            </w:r>
            <w:r w:rsidRPr="00131B9D">
              <w:rPr>
                <w:rFonts w:eastAsia="標楷體"/>
                <w:sz w:val="23"/>
                <w:szCs w:val="23"/>
              </w:rPr>
              <w:t>年增率</w:t>
            </w:r>
          </w:p>
        </w:tc>
      </w:tr>
      <w:tr w:rsidR="00833037" w:rsidRPr="00131B9D" w:rsidTr="00833037">
        <w:trPr>
          <w:trHeight w:val="20"/>
          <w:jc w:val="center"/>
        </w:trPr>
        <w:tc>
          <w:tcPr>
            <w:tcW w:w="0" w:type="auto"/>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noProof/>
              </w:rPr>
              <w:drawing>
                <wp:inline distT="0" distB="0" distL="0" distR="0" wp14:anchorId="1DF971DC" wp14:editId="0591C8D0">
                  <wp:extent cx="2867025" cy="1600200"/>
                  <wp:effectExtent l="0" t="0" r="9525" b="0"/>
                  <wp:docPr id="18443" name="圖片 18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67025" cy="1600200"/>
                          </a:xfrm>
                          <a:prstGeom prst="rect">
                            <a:avLst/>
                          </a:prstGeom>
                          <a:noFill/>
                          <a:ln>
                            <a:noFill/>
                          </a:ln>
                        </pic:spPr>
                      </pic:pic>
                    </a:graphicData>
                  </a:graphic>
                </wp:inline>
              </w:drawing>
            </w:r>
          </w:p>
        </w:tc>
        <w:tc>
          <w:tcPr>
            <w:tcW w:w="0" w:type="auto"/>
            <w:gridSpan w:val="2"/>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noProof/>
              </w:rPr>
              <w:drawing>
                <wp:inline distT="0" distB="0" distL="0" distR="0" wp14:anchorId="44D181E8" wp14:editId="3471752A">
                  <wp:extent cx="2952750" cy="1552575"/>
                  <wp:effectExtent l="0" t="0" r="0" b="9525"/>
                  <wp:docPr id="18442" name="圖片 18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52750" cy="1552575"/>
                          </a:xfrm>
                          <a:prstGeom prst="rect">
                            <a:avLst/>
                          </a:prstGeom>
                          <a:noFill/>
                          <a:ln>
                            <a:noFill/>
                          </a:ln>
                        </pic:spPr>
                      </pic:pic>
                    </a:graphicData>
                  </a:graphic>
                </wp:inline>
              </w:drawing>
            </w:r>
          </w:p>
        </w:tc>
      </w:tr>
      <w:tr w:rsidR="00833037" w:rsidRPr="00131B9D" w:rsidTr="00833037">
        <w:tblPrEx>
          <w:tblCellMar>
            <w:left w:w="108" w:type="dxa"/>
            <w:right w:w="108" w:type="dxa"/>
          </w:tblCellMar>
        </w:tblPrEx>
        <w:trPr>
          <w:trHeight w:val="20"/>
          <w:jc w:val="center"/>
        </w:trPr>
        <w:tc>
          <w:tcPr>
            <w:tcW w:w="0" w:type="auto"/>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sz w:val="23"/>
                <w:szCs w:val="23"/>
              </w:rPr>
              <w:t xml:space="preserve">Panel C </w:t>
            </w:r>
            <w:r w:rsidRPr="00131B9D">
              <w:rPr>
                <w:rFonts w:eastAsia="標楷體"/>
                <w:sz w:val="23"/>
                <w:szCs w:val="23"/>
              </w:rPr>
              <w:t>近</w:t>
            </w:r>
            <w:r w:rsidRPr="00131B9D">
              <w:rPr>
                <w:rFonts w:eastAsia="標楷體"/>
                <w:sz w:val="23"/>
                <w:szCs w:val="23"/>
              </w:rPr>
              <w:t>4</w:t>
            </w:r>
            <w:r w:rsidRPr="00131B9D">
              <w:rPr>
                <w:rFonts w:eastAsia="標楷體"/>
                <w:sz w:val="23"/>
                <w:szCs w:val="23"/>
              </w:rPr>
              <w:t>年外食指數各月走勢圖</w:t>
            </w:r>
          </w:p>
        </w:tc>
        <w:tc>
          <w:tcPr>
            <w:tcW w:w="0" w:type="auto"/>
            <w:gridSpan w:val="2"/>
            <w:shd w:val="clear" w:color="auto" w:fill="auto"/>
          </w:tcPr>
          <w:p w:rsidR="00833037" w:rsidRPr="00131B9D" w:rsidRDefault="00833037" w:rsidP="00833037">
            <w:pPr>
              <w:adjustRightInd w:val="0"/>
              <w:snapToGrid w:val="0"/>
              <w:spacing w:line="0" w:lineRule="atLeast"/>
              <w:jc w:val="center"/>
              <w:rPr>
                <w:rFonts w:eastAsia="標楷體"/>
                <w:sz w:val="23"/>
                <w:szCs w:val="23"/>
              </w:rPr>
            </w:pPr>
            <w:r w:rsidRPr="00131B9D">
              <w:rPr>
                <w:rFonts w:eastAsia="標楷體"/>
                <w:sz w:val="23"/>
                <w:szCs w:val="23"/>
              </w:rPr>
              <w:t>Panel D 2015</w:t>
            </w:r>
            <w:r w:rsidRPr="00131B9D">
              <w:rPr>
                <w:rFonts w:eastAsia="標楷體"/>
                <w:sz w:val="23"/>
                <w:szCs w:val="23"/>
              </w:rPr>
              <w:t>年</w:t>
            </w:r>
            <w:r w:rsidRPr="00131B9D">
              <w:rPr>
                <w:rFonts w:eastAsia="標楷體"/>
                <w:sz w:val="23"/>
                <w:szCs w:val="23"/>
              </w:rPr>
              <w:t>10</w:t>
            </w:r>
            <w:r w:rsidRPr="00131B9D">
              <w:rPr>
                <w:rFonts w:eastAsia="標楷體"/>
                <w:sz w:val="23"/>
                <w:szCs w:val="23"/>
              </w:rPr>
              <w:t>月</w:t>
            </w:r>
            <w:r w:rsidRPr="00131B9D">
              <w:rPr>
                <w:rFonts w:eastAsia="標楷體"/>
                <w:sz w:val="23"/>
                <w:szCs w:val="23"/>
              </w:rPr>
              <w:t>CPI</w:t>
            </w:r>
            <w:r w:rsidRPr="00131B9D">
              <w:rPr>
                <w:rFonts w:eastAsia="標楷體"/>
                <w:sz w:val="23"/>
                <w:szCs w:val="23"/>
              </w:rPr>
              <w:t>年增率</w:t>
            </w:r>
          </w:p>
        </w:tc>
      </w:tr>
      <w:tr w:rsidR="00833037" w:rsidRPr="00131B9D" w:rsidTr="00833037">
        <w:tblPrEx>
          <w:tblCellMar>
            <w:left w:w="108" w:type="dxa"/>
            <w:right w:w="108" w:type="dxa"/>
          </w:tblCellMar>
        </w:tblPrEx>
        <w:trPr>
          <w:trHeight w:val="20"/>
          <w:jc w:val="center"/>
        </w:trPr>
        <w:tc>
          <w:tcPr>
            <w:tcW w:w="0" w:type="auto"/>
            <w:gridSpan w:val="3"/>
            <w:shd w:val="clear" w:color="auto" w:fill="auto"/>
          </w:tcPr>
          <w:p w:rsidR="00833037" w:rsidRPr="00131B9D" w:rsidRDefault="00833037" w:rsidP="00833037">
            <w:pPr>
              <w:adjustRightInd w:val="0"/>
              <w:snapToGrid w:val="0"/>
              <w:spacing w:line="0" w:lineRule="atLeast"/>
              <w:ind w:firstLineChars="69" w:firstLine="138"/>
              <w:rPr>
                <w:rFonts w:eastAsia="標楷體"/>
                <w:sz w:val="20"/>
                <w:szCs w:val="20"/>
              </w:rPr>
            </w:pPr>
            <w:r w:rsidRPr="00131B9D">
              <w:rPr>
                <w:rFonts w:eastAsia="標楷體"/>
                <w:sz w:val="20"/>
                <w:szCs w:val="20"/>
              </w:rPr>
              <w:t>資料來源：主計總處，物價統計月報。</w:t>
            </w:r>
          </w:p>
        </w:tc>
      </w:tr>
    </w:tbl>
    <w:p w:rsidR="00833037" w:rsidRPr="00131B9D" w:rsidRDefault="00833037" w:rsidP="00833037">
      <w:pPr>
        <w:pStyle w:val="afff5"/>
        <w:spacing w:line="0" w:lineRule="atLeast"/>
        <w:jc w:val="center"/>
        <w:rPr>
          <w:rFonts w:eastAsia="標楷體"/>
          <w:b/>
          <w:bCs/>
          <w:kern w:val="52"/>
          <w:sz w:val="28"/>
          <w:szCs w:val="28"/>
        </w:rPr>
      </w:pPr>
      <w:bookmarkStart w:id="12" w:name="_Toc438823209"/>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1</w:t>
      </w:r>
      <w:r w:rsidRPr="00131B9D">
        <w:rPr>
          <w:rFonts w:eastAsia="標楷體"/>
          <w:b/>
          <w:bCs/>
          <w:kern w:val="52"/>
          <w:sz w:val="28"/>
          <w:szCs w:val="28"/>
        </w:rPr>
        <w:fldChar w:fldCharType="end"/>
      </w:r>
      <w:r w:rsidRPr="00131B9D">
        <w:rPr>
          <w:rFonts w:eastAsia="標楷體"/>
          <w:b/>
          <w:bCs/>
          <w:kern w:val="52"/>
          <w:sz w:val="28"/>
          <w:szCs w:val="28"/>
        </w:rPr>
        <w:t xml:space="preserve">　物價相關圖表</w:t>
      </w:r>
      <w:bookmarkEnd w:id="12"/>
    </w:p>
    <w:p w:rsidR="002865CA" w:rsidRPr="00131B9D" w:rsidRDefault="002865CA" w:rsidP="002865CA"/>
    <w:tbl>
      <w:tblPr>
        <w:tblW w:w="10266" w:type="dxa"/>
        <w:jc w:val="center"/>
        <w:tblCellMar>
          <w:left w:w="28" w:type="dxa"/>
          <w:right w:w="28" w:type="dxa"/>
        </w:tblCellMar>
        <w:tblLook w:val="04A0" w:firstRow="1" w:lastRow="0" w:firstColumn="1" w:lastColumn="0" w:noHBand="0" w:noVBand="1"/>
      </w:tblPr>
      <w:tblGrid>
        <w:gridCol w:w="5252"/>
        <w:gridCol w:w="5014"/>
      </w:tblGrid>
      <w:tr w:rsidR="00833037" w:rsidRPr="00131B9D" w:rsidTr="00833037">
        <w:trPr>
          <w:trHeight w:val="20"/>
          <w:jc w:val="center"/>
        </w:trPr>
        <w:tc>
          <w:tcPr>
            <w:tcW w:w="5252" w:type="dxa"/>
            <w:shd w:val="clear" w:color="auto" w:fill="auto"/>
          </w:tcPr>
          <w:p w:rsidR="00833037" w:rsidRPr="00131B9D" w:rsidRDefault="00833037" w:rsidP="00833037">
            <w:pPr>
              <w:adjustRightInd w:val="0"/>
              <w:snapToGrid w:val="0"/>
              <w:spacing w:line="0" w:lineRule="atLeast"/>
              <w:jc w:val="center"/>
            </w:pPr>
            <w:r w:rsidRPr="00131B9D">
              <w:rPr>
                <w:noProof/>
              </w:rPr>
              <w:drawing>
                <wp:inline distT="0" distB="0" distL="0" distR="0" wp14:anchorId="7FA8A02D" wp14:editId="0315C8FA">
                  <wp:extent cx="2836545" cy="1731645"/>
                  <wp:effectExtent l="0" t="0" r="1905" b="0"/>
                  <wp:docPr id="18450" name="圖片 184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36545" cy="1731645"/>
                          </a:xfrm>
                          <a:prstGeom prst="rect">
                            <a:avLst/>
                          </a:prstGeom>
                          <a:noFill/>
                        </pic:spPr>
                      </pic:pic>
                    </a:graphicData>
                  </a:graphic>
                </wp:inline>
              </w:drawing>
            </w:r>
          </w:p>
        </w:tc>
        <w:tc>
          <w:tcPr>
            <w:tcW w:w="5014" w:type="dxa"/>
            <w:shd w:val="clear" w:color="auto" w:fill="auto"/>
          </w:tcPr>
          <w:p w:rsidR="00833037" w:rsidRPr="00131B9D" w:rsidRDefault="00833037" w:rsidP="00833037">
            <w:pPr>
              <w:adjustRightInd w:val="0"/>
              <w:snapToGrid w:val="0"/>
              <w:spacing w:line="0" w:lineRule="atLeast"/>
              <w:jc w:val="center"/>
            </w:pPr>
            <w:r w:rsidRPr="00131B9D">
              <w:rPr>
                <w:noProof/>
              </w:rPr>
              <w:drawing>
                <wp:inline distT="0" distB="0" distL="0" distR="0" wp14:anchorId="75CBBE36" wp14:editId="244D21F2">
                  <wp:extent cx="2836545" cy="1731645"/>
                  <wp:effectExtent l="0" t="0" r="1905" b="1905"/>
                  <wp:docPr id="18449" name="圖片 184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36545" cy="1731645"/>
                          </a:xfrm>
                          <a:prstGeom prst="rect">
                            <a:avLst/>
                          </a:prstGeom>
                          <a:noFill/>
                        </pic:spPr>
                      </pic:pic>
                    </a:graphicData>
                  </a:graphic>
                </wp:inline>
              </w:drawing>
            </w:r>
          </w:p>
        </w:tc>
      </w:tr>
      <w:tr w:rsidR="00833037" w:rsidRPr="00131B9D" w:rsidTr="00833037">
        <w:trPr>
          <w:trHeight w:val="20"/>
          <w:jc w:val="center"/>
        </w:trPr>
        <w:tc>
          <w:tcPr>
            <w:tcW w:w="5252" w:type="dxa"/>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sz w:val="23"/>
                <w:szCs w:val="23"/>
              </w:rPr>
              <w:t>Panel A 10</w:t>
            </w:r>
            <w:r w:rsidRPr="00131B9D">
              <w:rPr>
                <w:rFonts w:eastAsia="標楷體"/>
                <w:sz w:val="23"/>
                <w:szCs w:val="23"/>
              </w:rPr>
              <w:t>月臺灣製造業</w:t>
            </w:r>
            <w:r w:rsidRPr="00131B9D">
              <w:rPr>
                <w:rFonts w:eastAsia="標楷體"/>
                <w:sz w:val="23"/>
                <w:szCs w:val="23"/>
              </w:rPr>
              <w:t>PMI─</w:t>
            </w:r>
            <w:r w:rsidRPr="00131B9D">
              <w:rPr>
                <w:rFonts w:eastAsia="標楷體"/>
                <w:sz w:val="23"/>
                <w:szCs w:val="23"/>
              </w:rPr>
              <w:t>原物料價格</w:t>
            </w:r>
          </w:p>
        </w:tc>
        <w:tc>
          <w:tcPr>
            <w:tcW w:w="5014" w:type="dxa"/>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sz w:val="23"/>
                <w:szCs w:val="23"/>
              </w:rPr>
              <w:t>Panel B</w:t>
            </w:r>
            <w:r w:rsidRPr="00131B9D">
              <w:rPr>
                <w:rFonts w:eastAsia="標楷體"/>
                <w:sz w:val="23"/>
                <w:szCs w:val="23"/>
              </w:rPr>
              <w:t>製造業産業別原物料價格指數示意圖</w:t>
            </w:r>
          </w:p>
        </w:tc>
      </w:tr>
      <w:tr w:rsidR="00833037" w:rsidRPr="00131B9D" w:rsidTr="00833037">
        <w:trPr>
          <w:trHeight w:val="20"/>
          <w:jc w:val="center"/>
        </w:trPr>
        <w:tc>
          <w:tcPr>
            <w:tcW w:w="5252" w:type="dxa"/>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noProof/>
              </w:rPr>
              <w:drawing>
                <wp:inline distT="0" distB="0" distL="0" distR="0" wp14:anchorId="3E1C02ED" wp14:editId="53A918E9">
                  <wp:extent cx="2836545" cy="1731645"/>
                  <wp:effectExtent l="0" t="0" r="1905" b="0"/>
                  <wp:docPr id="18447" name="圖片 184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36545" cy="1731645"/>
                          </a:xfrm>
                          <a:prstGeom prst="rect">
                            <a:avLst/>
                          </a:prstGeom>
                          <a:noFill/>
                        </pic:spPr>
                      </pic:pic>
                    </a:graphicData>
                  </a:graphic>
                </wp:inline>
              </w:drawing>
            </w:r>
          </w:p>
        </w:tc>
        <w:tc>
          <w:tcPr>
            <w:tcW w:w="5014" w:type="dxa"/>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noProof/>
              </w:rPr>
              <w:drawing>
                <wp:inline distT="0" distB="0" distL="0" distR="0" wp14:anchorId="192D822E" wp14:editId="01E7E8E5">
                  <wp:extent cx="2836545" cy="1731645"/>
                  <wp:effectExtent l="0" t="0" r="1905" b="0"/>
                  <wp:docPr id="18446" name="圖片 184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36545" cy="1731645"/>
                          </a:xfrm>
                          <a:prstGeom prst="rect">
                            <a:avLst/>
                          </a:prstGeom>
                          <a:noFill/>
                        </pic:spPr>
                      </pic:pic>
                    </a:graphicData>
                  </a:graphic>
                </wp:inline>
              </w:drawing>
            </w:r>
          </w:p>
        </w:tc>
      </w:tr>
      <w:tr w:rsidR="00833037" w:rsidRPr="00131B9D" w:rsidTr="00833037">
        <w:tblPrEx>
          <w:tblCellMar>
            <w:left w:w="108" w:type="dxa"/>
            <w:right w:w="108" w:type="dxa"/>
          </w:tblCellMar>
        </w:tblPrEx>
        <w:trPr>
          <w:trHeight w:val="20"/>
          <w:jc w:val="center"/>
        </w:trPr>
        <w:tc>
          <w:tcPr>
            <w:tcW w:w="5252" w:type="dxa"/>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sz w:val="23"/>
                <w:szCs w:val="23"/>
              </w:rPr>
              <w:t>Panel C</w:t>
            </w:r>
            <w:r w:rsidRPr="00131B9D">
              <w:rPr>
                <w:rFonts w:eastAsia="標楷體"/>
                <w:sz w:val="23"/>
                <w:szCs w:val="23"/>
              </w:rPr>
              <w:t>化學暨生技産業原物料價格指數走勢圖</w:t>
            </w:r>
          </w:p>
        </w:tc>
        <w:tc>
          <w:tcPr>
            <w:tcW w:w="5014" w:type="dxa"/>
            <w:shd w:val="clear" w:color="auto" w:fill="auto"/>
          </w:tcPr>
          <w:p w:rsidR="00833037" w:rsidRPr="00131B9D" w:rsidRDefault="00833037" w:rsidP="00833037">
            <w:pPr>
              <w:adjustRightInd w:val="0"/>
              <w:snapToGrid w:val="0"/>
              <w:spacing w:line="0" w:lineRule="atLeast"/>
              <w:jc w:val="center"/>
              <w:rPr>
                <w:rFonts w:eastAsia="標楷體"/>
                <w:sz w:val="23"/>
                <w:szCs w:val="23"/>
              </w:rPr>
            </w:pPr>
            <w:r w:rsidRPr="00131B9D">
              <w:rPr>
                <w:rFonts w:eastAsia="標楷體"/>
                <w:sz w:val="23"/>
                <w:szCs w:val="23"/>
              </w:rPr>
              <w:t>Panel D</w:t>
            </w:r>
            <w:r w:rsidRPr="00131B9D">
              <w:rPr>
                <w:rFonts w:eastAsia="標楷體"/>
                <w:sz w:val="23"/>
                <w:szCs w:val="23"/>
              </w:rPr>
              <w:t>基礎原物料産業</w:t>
            </w:r>
            <w:r w:rsidRPr="00131B9D">
              <w:rPr>
                <w:rFonts w:eastAsia="標楷體"/>
                <w:sz w:val="23"/>
                <w:szCs w:val="23"/>
              </w:rPr>
              <w:t>PMI</w:t>
            </w:r>
            <w:r w:rsidRPr="00131B9D">
              <w:rPr>
                <w:rFonts w:eastAsia="標楷體"/>
                <w:sz w:val="23"/>
                <w:szCs w:val="23"/>
              </w:rPr>
              <w:t>走勢圖</w:t>
            </w:r>
          </w:p>
        </w:tc>
      </w:tr>
      <w:tr w:rsidR="00833037" w:rsidRPr="00131B9D" w:rsidTr="00833037">
        <w:tblPrEx>
          <w:tblCellMar>
            <w:left w:w="108" w:type="dxa"/>
            <w:right w:w="108" w:type="dxa"/>
          </w:tblCellMar>
        </w:tblPrEx>
        <w:trPr>
          <w:trHeight w:val="20"/>
          <w:jc w:val="center"/>
        </w:trPr>
        <w:tc>
          <w:tcPr>
            <w:tcW w:w="10266" w:type="dxa"/>
            <w:gridSpan w:val="2"/>
            <w:shd w:val="clear" w:color="auto" w:fill="auto"/>
          </w:tcPr>
          <w:p w:rsidR="00833037" w:rsidRPr="00131B9D" w:rsidRDefault="00833037" w:rsidP="00833037">
            <w:pPr>
              <w:adjustRightInd w:val="0"/>
              <w:snapToGrid w:val="0"/>
              <w:spacing w:line="0" w:lineRule="atLeast"/>
              <w:ind w:firstLineChars="69" w:firstLine="138"/>
              <w:rPr>
                <w:rFonts w:eastAsia="標楷體"/>
                <w:sz w:val="23"/>
                <w:szCs w:val="23"/>
              </w:rPr>
            </w:pPr>
            <w:r w:rsidRPr="00131B9D">
              <w:rPr>
                <w:rFonts w:eastAsia="標楷體"/>
                <w:sz w:val="20"/>
                <w:szCs w:val="20"/>
              </w:rPr>
              <w:t>資料來源：中華經濟研究院</w:t>
            </w:r>
          </w:p>
        </w:tc>
      </w:tr>
    </w:tbl>
    <w:p w:rsidR="00833037" w:rsidRPr="00131B9D" w:rsidRDefault="00833037" w:rsidP="00833037">
      <w:pPr>
        <w:pStyle w:val="afff5"/>
        <w:spacing w:line="0" w:lineRule="atLeast"/>
        <w:jc w:val="center"/>
        <w:rPr>
          <w:rFonts w:eastAsia="標楷體"/>
          <w:b/>
          <w:bCs/>
          <w:kern w:val="52"/>
          <w:sz w:val="28"/>
          <w:szCs w:val="28"/>
        </w:rPr>
      </w:pPr>
      <w:bookmarkStart w:id="13" w:name="_Toc438823210"/>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2</w:t>
      </w:r>
      <w:r w:rsidRPr="00131B9D">
        <w:rPr>
          <w:rFonts w:eastAsia="標楷體"/>
          <w:b/>
          <w:bCs/>
          <w:kern w:val="52"/>
          <w:sz w:val="28"/>
          <w:szCs w:val="28"/>
        </w:rPr>
        <w:fldChar w:fldCharType="end"/>
      </w:r>
      <w:r w:rsidRPr="00131B9D">
        <w:rPr>
          <w:rFonts w:eastAsia="標楷體"/>
          <w:b/>
          <w:bCs/>
          <w:kern w:val="52"/>
          <w:sz w:val="28"/>
          <w:szCs w:val="28"/>
        </w:rPr>
        <w:t xml:space="preserve">　臺灣製造業採購經理人指數</w:t>
      </w:r>
      <w:bookmarkEnd w:id="13"/>
    </w:p>
    <w:p w:rsidR="002865CA" w:rsidRPr="00131B9D" w:rsidRDefault="002865CA" w:rsidP="00833037">
      <w:pPr>
        <w:sectPr w:rsidR="002865CA" w:rsidRPr="00131B9D" w:rsidSect="00097B8D">
          <w:pgSz w:w="11906" w:h="16838"/>
          <w:pgMar w:top="1440" w:right="1800" w:bottom="1440" w:left="1800" w:header="851" w:footer="992" w:gutter="0"/>
          <w:cols w:space="425"/>
          <w:docGrid w:type="lines" w:linePitch="360"/>
        </w:sectPr>
      </w:pPr>
    </w:p>
    <w:p w:rsidR="00833037" w:rsidRPr="00131B9D" w:rsidRDefault="00833037" w:rsidP="00833037">
      <w:pPr>
        <w:pStyle w:val="-"/>
        <w:spacing w:before="72" w:after="72"/>
        <w:ind w:firstLine="560"/>
      </w:pPr>
      <w:r w:rsidRPr="00131B9D">
        <w:lastRenderedPageBreak/>
        <w:t>此外，參照中華經濟研究院所編製之臺灣製造業採購經理人指數可知，臺灣製造業已連續</w:t>
      </w:r>
      <w:r w:rsidRPr="00131B9D">
        <w:t>14</w:t>
      </w:r>
      <w:r w:rsidRPr="00131B9D">
        <w:t>個月回報原物料價格呈現下降（低於</w:t>
      </w:r>
      <w:r w:rsidRPr="00131B9D">
        <w:t>50.0%</w:t>
      </w:r>
      <w:r w:rsidRPr="00131B9D">
        <w:t>），</w:t>
      </w:r>
      <w:r w:rsidRPr="00131B9D">
        <w:t>10</w:t>
      </w:r>
      <w:r w:rsidRPr="00131B9D">
        <w:t>月指數爲</w:t>
      </w:r>
      <w:r w:rsidRPr="00131B9D">
        <w:t>37.8%</w:t>
      </w:r>
      <w:r w:rsidRPr="00131B9D">
        <w:t>。由於伊朗石油禁運解除，引發市場認爲供給過多的疑慮，使得原油價格再度受挫，相關石化産品報價同步走跌，故化學暨生技醫療産業之原物料價格指數在</w:t>
      </w:r>
      <w:r w:rsidRPr="00131B9D">
        <w:t>8</w:t>
      </w:r>
      <w:r w:rsidRPr="00131B9D">
        <w:t>月來到指數創編以來最低點（</w:t>
      </w:r>
      <w:r w:rsidRPr="00131B9D">
        <w:t>21.8%</w:t>
      </w:r>
      <w:r w:rsidRPr="00131B9D">
        <w:t>）。此外，截至</w:t>
      </w:r>
      <w:r w:rsidRPr="00131B9D">
        <w:t>2015</w:t>
      </w:r>
      <w:r w:rsidRPr="00131B9D">
        <w:t>年</w:t>
      </w:r>
      <w:r w:rsidRPr="00131B9D">
        <w:t>10</w:t>
      </w:r>
      <w:r w:rsidRPr="00131B9D">
        <w:t>月，基礎原物料産業與交通工具産業已分別連續</w:t>
      </w:r>
      <w:r w:rsidRPr="00131B9D">
        <w:t>14</w:t>
      </w:r>
      <w:r w:rsidRPr="00131B9D">
        <w:t>與</w:t>
      </w:r>
      <w:r w:rsidRPr="00131B9D">
        <w:t>13</w:t>
      </w:r>
      <w:r w:rsidRPr="00131B9D">
        <w:t>個月回報原物料價格爲下降，且</w:t>
      </w:r>
      <w:r w:rsidRPr="00131B9D">
        <w:t>9</w:t>
      </w:r>
      <w:r w:rsidRPr="00131B9D">
        <w:t>月指數一度滑落至</w:t>
      </w:r>
      <w:r w:rsidRPr="00131B9D">
        <w:t>22.3%</w:t>
      </w:r>
      <w:r w:rsidRPr="00131B9D">
        <w:t>與</w:t>
      </w:r>
      <w:r w:rsidRPr="00131B9D">
        <w:t>22.2%</w:t>
      </w:r>
      <w:r w:rsidRPr="00131B9D">
        <w:t>，皆爲</w:t>
      </w:r>
      <w:r w:rsidRPr="00131B9D">
        <w:t>2012</w:t>
      </w:r>
      <w:r w:rsidRPr="00131B9D">
        <w:t>年</w:t>
      </w:r>
      <w:r w:rsidRPr="00131B9D">
        <w:t>7</w:t>
      </w:r>
      <w:r w:rsidRPr="00131B9D">
        <w:t>月指數創編以來最低點。不過，</w:t>
      </w:r>
      <w:r w:rsidRPr="00131B9D">
        <w:t>10</w:t>
      </w:r>
      <w:r w:rsidRPr="00131B9D">
        <w:t>月初受到産油國可能減産的消息激勵，國際油價一度勁揚，加上亞洲輕裂廠</w:t>
      </w:r>
      <w:r w:rsidRPr="00131B9D">
        <w:t>9</w:t>
      </w:r>
      <w:r w:rsidRPr="00131B9D">
        <w:t>月底進入密集歲修期，化學暨生技醫療與之原物料價格指數</w:t>
      </w:r>
      <w:r w:rsidRPr="00131B9D">
        <w:t>10</w:t>
      </w:r>
      <w:r w:rsidRPr="00131B9D">
        <w:t>月大幅回升</w:t>
      </w:r>
      <w:r w:rsidRPr="00131B9D">
        <w:t>19.9</w:t>
      </w:r>
      <w:r w:rsidRPr="00131B9D">
        <w:t>個百分點至</w:t>
      </w:r>
      <w:r w:rsidRPr="00131B9D">
        <w:t>43.6%</w:t>
      </w:r>
      <w:r w:rsidRPr="00131B9D">
        <w:t>（圖</w:t>
      </w:r>
      <w:r w:rsidRPr="00131B9D">
        <w:t>2-</w:t>
      </w:r>
      <w:r w:rsidR="002865CA" w:rsidRPr="00131B9D">
        <w:t>2</w:t>
      </w:r>
      <w:r w:rsidRPr="00131B9D">
        <w:t>）。</w:t>
      </w:r>
    </w:p>
    <w:p w:rsidR="002865CA" w:rsidRPr="00131B9D" w:rsidRDefault="00833037" w:rsidP="002865CA">
      <w:pPr>
        <w:pStyle w:val="-"/>
        <w:spacing w:before="72" w:after="72"/>
        <w:ind w:firstLine="560"/>
      </w:pPr>
      <w:r w:rsidRPr="00131B9D">
        <w:t>雖然製造業回報原物料價格下降，但圖</w:t>
      </w:r>
      <w:r w:rsidRPr="00131B9D">
        <w:t>2-</w:t>
      </w:r>
      <w:r w:rsidR="002865CA" w:rsidRPr="00131B9D">
        <w:t>3</w:t>
      </w:r>
      <w:r w:rsidRPr="00131B9D">
        <w:t>顯示今年以來多數月份非製造業皆回報原物料價格爲上升</w:t>
      </w:r>
      <w:r w:rsidRPr="00131B9D">
        <w:t>(</w:t>
      </w:r>
      <w:r w:rsidRPr="00131B9D">
        <w:t>高於</w:t>
      </w:r>
      <w:r w:rsidRPr="00131B9D">
        <w:t>50.0%)</w:t>
      </w:r>
      <w:r w:rsidRPr="00131B9D">
        <w:t>。惟</w:t>
      </w:r>
      <w:r w:rsidRPr="00131B9D">
        <w:t>2015</w:t>
      </w:r>
      <w:r w:rsidRPr="00131B9D">
        <w:t>年下半年起景氣復甦趨緩，使得</w:t>
      </w:r>
      <w:r w:rsidRPr="00131B9D">
        <w:t>8</w:t>
      </w:r>
      <w:r w:rsidRPr="00131B9D">
        <w:t>月非製造業之原物料價格指數滑落至創編以來最低點（</w:t>
      </w:r>
      <w:r w:rsidRPr="00131B9D">
        <w:t>46.7%</w:t>
      </w:r>
      <w:r w:rsidRPr="00131B9D">
        <w:t>），</w:t>
      </w:r>
      <w:r w:rsidRPr="00131B9D">
        <w:t>10</w:t>
      </w:r>
      <w:r w:rsidRPr="00131B9D">
        <w:t>月最新之非製造業之原物料價格指數爲</w:t>
      </w:r>
      <w:r w:rsidRPr="00131B9D">
        <w:t>49.9%</w:t>
      </w:r>
      <w:r w:rsidRPr="00131B9D">
        <w:t>，仍低於</w:t>
      </w:r>
      <w:r w:rsidRPr="00131B9D">
        <w:t>50.0%</w:t>
      </w:r>
      <w:r w:rsidRPr="00131B9D">
        <w:t>臨界值。八大産業中，住宿餐飲業（</w:t>
      </w:r>
      <w:r w:rsidRPr="00131B9D">
        <w:t>80.8 %</w:t>
      </w:r>
      <w:r w:rsidRPr="00131B9D">
        <w:t>）、批發業（</w:t>
      </w:r>
      <w:r w:rsidRPr="00131B9D">
        <w:t>63.5%</w:t>
      </w:r>
      <w:r w:rsidRPr="00131B9D">
        <w:t>）、教育暨專業科學業（</w:t>
      </w:r>
      <w:r w:rsidRPr="00131B9D">
        <w:t>55.6%</w:t>
      </w:r>
      <w:r w:rsidRPr="00131B9D">
        <w:t>）、零售業（</w:t>
      </w:r>
      <w:r w:rsidRPr="00131B9D">
        <w:t>55.6%</w:t>
      </w:r>
      <w:r w:rsidRPr="00131B9D">
        <w:t>）與資訊暨通訊傳播業（</w:t>
      </w:r>
      <w:r w:rsidRPr="00131B9D">
        <w:t>52.3%</w:t>
      </w:r>
      <w:r w:rsidRPr="00131B9D">
        <w:t>）等五大産業仍回報原物料價格呈現上升</w:t>
      </w:r>
      <w:r w:rsidR="002865CA" w:rsidRPr="00131B9D">
        <w:t>（圖</w:t>
      </w:r>
      <w:r w:rsidR="002865CA" w:rsidRPr="00131B9D">
        <w:t>2-3</w:t>
      </w:r>
      <w:r w:rsidR="002865CA" w:rsidRPr="00131B9D">
        <w:t>）。儘管今年以來多數月份非製造業皆回報原物料價格上升，圖</w:t>
      </w:r>
      <w:r w:rsidR="002865CA" w:rsidRPr="00131B9D">
        <w:t xml:space="preserve">2-4 </w:t>
      </w:r>
    </w:p>
    <w:p w:rsidR="002865CA" w:rsidRPr="00131B9D" w:rsidRDefault="002865CA" w:rsidP="002865CA"/>
    <w:tbl>
      <w:tblPr>
        <w:tblW w:w="10238" w:type="dxa"/>
        <w:jc w:val="center"/>
        <w:tblCellMar>
          <w:left w:w="28" w:type="dxa"/>
          <w:right w:w="28" w:type="dxa"/>
        </w:tblCellMar>
        <w:tblLook w:val="04A0" w:firstRow="1" w:lastRow="0" w:firstColumn="1" w:lastColumn="0" w:noHBand="0" w:noVBand="1"/>
      </w:tblPr>
      <w:tblGrid>
        <w:gridCol w:w="5101"/>
        <w:gridCol w:w="5137"/>
      </w:tblGrid>
      <w:tr w:rsidR="00833037" w:rsidRPr="00131B9D" w:rsidTr="00833037">
        <w:trPr>
          <w:trHeight w:val="2294"/>
          <w:jc w:val="center"/>
        </w:trPr>
        <w:tc>
          <w:tcPr>
            <w:tcW w:w="5101" w:type="dxa"/>
            <w:shd w:val="clear" w:color="auto" w:fill="auto"/>
          </w:tcPr>
          <w:p w:rsidR="00833037" w:rsidRPr="00131B9D" w:rsidRDefault="00833037" w:rsidP="00833037">
            <w:pPr>
              <w:adjustRightInd w:val="0"/>
              <w:snapToGrid w:val="0"/>
              <w:spacing w:line="0" w:lineRule="atLeast"/>
              <w:jc w:val="center"/>
            </w:pPr>
            <w:r w:rsidRPr="00131B9D">
              <w:rPr>
                <w:noProof/>
              </w:rPr>
              <w:drawing>
                <wp:inline distT="0" distB="0" distL="0" distR="0" wp14:anchorId="38DE45ED" wp14:editId="422D596F">
                  <wp:extent cx="2836545" cy="1731645"/>
                  <wp:effectExtent l="0" t="0" r="1905" b="1905"/>
                  <wp:docPr id="18454" name="圖片 184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rrowheads="1"/>
                          </pic:cNvPicPr>
                        </pic:nvPicPr>
                        <pic:blipFill>
                          <a:blip r:embed="rId20">
                            <a:extLst>
                              <a:ext uri="{28A0092B-C50C-407E-A947-70E740481C1C}">
                                <a14:useLocalDpi xmlns:a14="http://schemas.microsoft.com/office/drawing/2010/main" val="0"/>
                              </a:ext>
                            </a:extLst>
                          </a:blip>
                          <a:srcRect b="11336"/>
                          <a:stretch>
                            <a:fillRect/>
                          </a:stretch>
                        </pic:blipFill>
                        <pic:spPr bwMode="auto">
                          <a:xfrm>
                            <a:off x="0" y="0"/>
                            <a:ext cx="2836545" cy="1731645"/>
                          </a:xfrm>
                          <a:prstGeom prst="rect">
                            <a:avLst/>
                          </a:prstGeom>
                          <a:noFill/>
                        </pic:spPr>
                      </pic:pic>
                    </a:graphicData>
                  </a:graphic>
                </wp:inline>
              </w:drawing>
            </w:r>
          </w:p>
        </w:tc>
        <w:tc>
          <w:tcPr>
            <w:tcW w:w="5137" w:type="dxa"/>
            <w:shd w:val="clear" w:color="auto" w:fill="auto"/>
          </w:tcPr>
          <w:p w:rsidR="00833037" w:rsidRPr="00131B9D" w:rsidRDefault="00833037" w:rsidP="00833037">
            <w:pPr>
              <w:adjustRightInd w:val="0"/>
              <w:snapToGrid w:val="0"/>
              <w:spacing w:line="0" w:lineRule="atLeast"/>
              <w:jc w:val="center"/>
            </w:pPr>
            <w:r w:rsidRPr="00131B9D">
              <w:rPr>
                <w:noProof/>
              </w:rPr>
              <w:drawing>
                <wp:inline distT="0" distB="0" distL="0" distR="0" wp14:anchorId="60CCDAFA" wp14:editId="2DF998FD">
                  <wp:extent cx="2836545" cy="1731645"/>
                  <wp:effectExtent l="0" t="0" r="1905" b="1905"/>
                  <wp:docPr id="18453" name="圖片 184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36545" cy="1731645"/>
                          </a:xfrm>
                          <a:prstGeom prst="rect">
                            <a:avLst/>
                          </a:prstGeom>
                          <a:noFill/>
                        </pic:spPr>
                      </pic:pic>
                    </a:graphicData>
                  </a:graphic>
                </wp:inline>
              </w:drawing>
            </w:r>
          </w:p>
        </w:tc>
      </w:tr>
      <w:tr w:rsidR="00833037" w:rsidRPr="00131B9D" w:rsidTr="00833037">
        <w:tblPrEx>
          <w:tblCellMar>
            <w:left w:w="108" w:type="dxa"/>
            <w:right w:w="108" w:type="dxa"/>
          </w:tblCellMar>
        </w:tblPrEx>
        <w:trPr>
          <w:trHeight w:val="20"/>
          <w:jc w:val="center"/>
        </w:trPr>
        <w:tc>
          <w:tcPr>
            <w:tcW w:w="5101" w:type="dxa"/>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sz w:val="23"/>
                <w:szCs w:val="23"/>
              </w:rPr>
              <w:t>Panel A 10</w:t>
            </w:r>
            <w:r w:rsidRPr="00131B9D">
              <w:rPr>
                <w:rFonts w:eastAsia="標楷體"/>
                <w:sz w:val="23"/>
                <w:szCs w:val="23"/>
              </w:rPr>
              <w:t>月臺灣非製造業</w:t>
            </w:r>
            <w:r w:rsidRPr="00131B9D">
              <w:rPr>
                <w:rFonts w:eastAsia="標楷體"/>
                <w:sz w:val="23"/>
                <w:szCs w:val="23"/>
              </w:rPr>
              <w:t>NMI─</w:t>
            </w:r>
            <w:r w:rsidRPr="00131B9D">
              <w:rPr>
                <w:rFonts w:eastAsia="標楷體"/>
                <w:sz w:val="23"/>
                <w:szCs w:val="23"/>
              </w:rPr>
              <w:t>原物料價格</w:t>
            </w:r>
          </w:p>
        </w:tc>
        <w:tc>
          <w:tcPr>
            <w:tcW w:w="5137" w:type="dxa"/>
            <w:shd w:val="clear" w:color="auto" w:fill="auto"/>
          </w:tcPr>
          <w:p w:rsidR="00833037" w:rsidRPr="00131B9D" w:rsidRDefault="00833037" w:rsidP="00833037">
            <w:pPr>
              <w:adjustRightInd w:val="0"/>
              <w:snapToGrid w:val="0"/>
              <w:spacing w:line="0" w:lineRule="atLeast"/>
              <w:jc w:val="center"/>
              <w:rPr>
                <w:rFonts w:eastAsia="標楷體"/>
              </w:rPr>
            </w:pPr>
            <w:r w:rsidRPr="00131B9D">
              <w:rPr>
                <w:rFonts w:eastAsia="標楷體"/>
                <w:sz w:val="23"/>
                <w:szCs w:val="23"/>
              </w:rPr>
              <w:t>Panel B</w:t>
            </w:r>
            <w:r w:rsidRPr="00131B9D">
              <w:rPr>
                <w:rFonts w:eastAsia="標楷體"/>
                <w:sz w:val="23"/>
                <w:szCs w:val="23"/>
              </w:rPr>
              <w:t>非製造業産業別原物料價格指數示意圖</w:t>
            </w:r>
          </w:p>
        </w:tc>
      </w:tr>
      <w:tr w:rsidR="00833037" w:rsidRPr="00131B9D" w:rsidTr="00833037">
        <w:tblPrEx>
          <w:tblCellMar>
            <w:left w:w="108" w:type="dxa"/>
            <w:right w:w="108" w:type="dxa"/>
          </w:tblCellMar>
        </w:tblPrEx>
        <w:trPr>
          <w:trHeight w:val="20"/>
          <w:jc w:val="center"/>
        </w:trPr>
        <w:tc>
          <w:tcPr>
            <w:tcW w:w="10238" w:type="dxa"/>
            <w:gridSpan w:val="2"/>
            <w:shd w:val="clear" w:color="auto" w:fill="auto"/>
          </w:tcPr>
          <w:p w:rsidR="00833037" w:rsidRPr="00131B9D" w:rsidRDefault="00833037" w:rsidP="00833037">
            <w:pPr>
              <w:adjustRightInd w:val="0"/>
              <w:snapToGrid w:val="0"/>
              <w:spacing w:line="0" w:lineRule="atLeast"/>
              <w:ind w:firstLineChars="69" w:firstLine="138"/>
              <w:rPr>
                <w:rFonts w:eastAsia="標楷體"/>
                <w:sz w:val="23"/>
                <w:szCs w:val="23"/>
              </w:rPr>
            </w:pPr>
            <w:r w:rsidRPr="00131B9D">
              <w:rPr>
                <w:rFonts w:eastAsia="標楷體"/>
                <w:sz w:val="20"/>
                <w:szCs w:val="20"/>
              </w:rPr>
              <w:t>資料來源：中華經濟研究院</w:t>
            </w:r>
          </w:p>
        </w:tc>
      </w:tr>
      <w:tr w:rsidR="00833037" w:rsidRPr="00131B9D" w:rsidTr="00833037">
        <w:tblPrEx>
          <w:tblCellMar>
            <w:left w:w="108" w:type="dxa"/>
            <w:right w:w="108" w:type="dxa"/>
          </w:tblCellMar>
        </w:tblPrEx>
        <w:trPr>
          <w:trHeight w:val="20"/>
          <w:jc w:val="center"/>
        </w:trPr>
        <w:tc>
          <w:tcPr>
            <w:tcW w:w="10238" w:type="dxa"/>
            <w:gridSpan w:val="2"/>
            <w:shd w:val="clear" w:color="auto" w:fill="auto"/>
          </w:tcPr>
          <w:p w:rsidR="00833037" w:rsidRPr="00131B9D" w:rsidRDefault="00833037" w:rsidP="00833037">
            <w:pPr>
              <w:pStyle w:val="afff5"/>
              <w:spacing w:line="0" w:lineRule="atLeast"/>
              <w:jc w:val="center"/>
              <w:rPr>
                <w:rFonts w:eastAsia="標楷體"/>
                <w:b/>
                <w:bCs/>
                <w:kern w:val="52"/>
                <w:sz w:val="28"/>
                <w:szCs w:val="28"/>
              </w:rPr>
            </w:pPr>
            <w:bookmarkStart w:id="14" w:name="_Toc438823211"/>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3</w:t>
            </w:r>
            <w:r w:rsidRPr="00131B9D">
              <w:rPr>
                <w:rFonts w:eastAsia="標楷體"/>
                <w:b/>
                <w:bCs/>
                <w:kern w:val="52"/>
                <w:sz w:val="28"/>
                <w:szCs w:val="28"/>
              </w:rPr>
              <w:fldChar w:fldCharType="end"/>
            </w:r>
            <w:r w:rsidRPr="00131B9D">
              <w:rPr>
                <w:rFonts w:eastAsia="標楷體"/>
                <w:b/>
                <w:bCs/>
                <w:kern w:val="52"/>
                <w:sz w:val="28"/>
                <w:szCs w:val="28"/>
              </w:rPr>
              <w:t xml:space="preserve">　臺灣非製造業原物料價格指數</w:t>
            </w:r>
            <w:bookmarkEnd w:id="14"/>
          </w:p>
          <w:p w:rsidR="00833037" w:rsidRPr="00131B9D" w:rsidRDefault="00833037" w:rsidP="002865CA"/>
        </w:tc>
      </w:tr>
    </w:tbl>
    <w:p w:rsidR="002865CA" w:rsidRPr="00131B9D" w:rsidRDefault="002865CA" w:rsidP="002865CA">
      <w:pPr>
        <w:pStyle w:val="-"/>
        <w:spacing w:before="72" w:after="72"/>
        <w:ind w:firstLineChars="0" w:firstLine="0"/>
        <w:sectPr w:rsidR="002865CA" w:rsidRPr="00131B9D" w:rsidSect="00097B8D">
          <w:pgSz w:w="11906" w:h="16838"/>
          <w:pgMar w:top="1440" w:right="1800" w:bottom="1440" w:left="1800" w:header="851" w:footer="992" w:gutter="0"/>
          <w:cols w:space="425"/>
          <w:docGrid w:type="lines" w:linePitch="360"/>
        </w:sectPr>
      </w:pPr>
    </w:p>
    <w:tbl>
      <w:tblPr>
        <w:tblW w:w="10238" w:type="dxa"/>
        <w:jc w:val="center"/>
        <w:tblCellMar>
          <w:left w:w="0" w:type="dxa"/>
          <w:right w:w="0" w:type="dxa"/>
        </w:tblCellMar>
        <w:tblLook w:val="04A0" w:firstRow="1" w:lastRow="0" w:firstColumn="1" w:lastColumn="0" w:noHBand="0" w:noVBand="1"/>
      </w:tblPr>
      <w:tblGrid>
        <w:gridCol w:w="5101"/>
        <w:gridCol w:w="5137"/>
      </w:tblGrid>
      <w:tr w:rsidR="002865CA" w:rsidRPr="00131B9D" w:rsidTr="002865CA">
        <w:trPr>
          <w:trHeight w:val="20"/>
          <w:jc w:val="center"/>
        </w:trPr>
        <w:tc>
          <w:tcPr>
            <w:tcW w:w="5101" w:type="dxa"/>
            <w:shd w:val="clear" w:color="auto" w:fill="auto"/>
          </w:tcPr>
          <w:p w:rsidR="002865CA" w:rsidRPr="00131B9D" w:rsidRDefault="002865CA" w:rsidP="005F3282">
            <w:pPr>
              <w:spacing w:line="0" w:lineRule="atLeast"/>
              <w:ind w:firstLineChars="200" w:firstLine="480"/>
              <w:rPr>
                <w:rFonts w:eastAsia="標楷體"/>
              </w:rPr>
            </w:pPr>
            <w:r w:rsidRPr="00131B9D">
              <w:rPr>
                <w:rFonts w:eastAsia="標楷體"/>
                <w:noProof/>
              </w:rPr>
              <w:lastRenderedPageBreak/>
              <w:drawing>
                <wp:inline distT="0" distB="0" distL="0" distR="0" wp14:anchorId="5B6EF887" wp14:editId="4B412BFC">
                  <wp:extent cx="2836545" cy="1731645"/>
                  <wp:effectExtent l="0" t="0" r="1905" b="1905"/>
                  <wp:docPr id="18452" name="圖片 184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22">
                            <a:extLst>
                              <a:ext uri="{28A0092B-C50C-407E-A947-70E740481C1C}">
                                <a14:useLocalDpi xmlns:a14="http://schemas.microsoft.com/office/drawing/2010/main" val="0"/>
                              </a:ext>
                            </a:extLst>
                          </a:blip>
                          <a:srcRect b="12000"/>
                          <a:stretch>
                            <a:fillRect/>
                          </a:stretch>
                        </pic:blipFill>
                        <pic:spPr bwMode="auto">
                          <a:xfrm>
                            <a:off x="0" y="0"/>
                            <a:ext cx="2836545" cy="1731645"/>
                          </a:xfrm>
                          <a:prstGeom prst="rect">
                            <a:avLst/>
                          </a:prstGeom>
                          <a:noFill/>
                        </pic:spPr>
                      </pic:pic>
                    </a:graphicData>
                  </a:graphic>
                </wp:inline>
              </w:drawing>
            </w:r>
          </w:p>
        </w:tc>
        <w:tc>
          <w:tcPr>
            <w:tcW w:w="5137" w:type="dxa"/>
            <w:shd w:val="clear" w:color="auto" w:fill="auto"/>
          </w:tcPr>
          <w:p w:rsidR="002865CA" w:rsidRPr="00131B9D" w:rsidRDefault="002865CA" w:rsidP="005F3282">
            <w:pPr>
              <w:spacing w:line="0" w:lineRule="atLeast"/>
              <w:ind w:firstLineChars="150" w:firstLine="360"/>
              <w:rPr>
                <w:rFonts w:eastAsia="標楷體"/>
              </w:rPr>
            </w:pPr>
            <w:r w:rsidRPr="00131B9D">
              <w:rPr>
                <w:rFonts w:eastAsia="標楷體"/>
                <w:noProof/>
              </w:rPr>
              <w:drawing>
                <wp:inline distT="0" distB="0" distL="0" distR="0" wp14:anchorId="1E412D54" wp14:editId="4574ADA2">
                  <wp:extent cx="2836545" cy="1731645"/>
                  <wp:effectExtent l="0" t="0" r="1905" b="1905"/>
                  <wp:docPr id="18451" name="圖片 184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36545" cy="1731645"/>
                          </a:xfrm>
                          <a:prstGeom prst="rect">
                            <a:avLst/>
                          </a:prstGeom>
                          <a:noFill/>
                        </pic:spPr>
                      </pic:pic>
                    </a:graphicData>
                  </a:graphic>
                </wp:inline>
              </w:drawing>
            </w:r>
          </w:p>
        </w:tc>
      </w:tr>
      <w:tr w:rsidR="002865CA" w:rsidRPr="00131B9D" w:rsidTr="002865CA">
        <w:trPr>
          <w:trHeight w:val="20"/>
          <w:jc w:val="center"/>
        </w:trPr>
        <w:tc>
          <w:tcPr>
            <w:tcW w:w="5101" w:type="dxa"/>
            <w:shd w:val="clear" w:color="auto" w:fill="auto"/>
          </w:tcPr>
          <w:p w:rsidR="002865CA" w:rsidRPr="00131B9D" w:rsidRDefault="002865CA" w:rsidP="005F3282">
            <w:pPr>
              <w:spacing w:line="0" w:lineRule="atLeast"/>
              <w:jc w:val="center"/>
              <w:rPr>
                <w:rFonts w:eastAsia="標楷體"/>
              </w:rPr>
            </w:pPr>
            <w:r w:rsidRPr="00131B9D">
              <w:rPr>
                <w:rFonts w:eastAsia="標楷體"/>
                <w:sz w:val="23"/>
                <w:szCs w:val="23"/>
              </w:rPr>
              <w:t>Panel A 10</w:t>
            </w:r>
            <w:r w:rsidRPr="00131B9D">
              <w:rPr>
                <w:rFonts w:eastAsia="標楷體"/>
                <w:sz w:val="23"/>
                <w:szCs w:val="23"/>
              </w:rPr>
              <w:t>月臺灣非製造業</w:t>
            </w:r>
            <w:r w:rsidRPr="00131B9D">
              <w:rPr>
                <w:rFonts w:eastAsia="標楷體"/>
                <w:sz w:val="23"/>
                <w:szCs w:val="23"/>
              </w:rPr>
              <w:t>NMI─</w:t>
            </w:r>
            <w:r w:rsidRPr="00131B9D">
              <w:rPr>
                <w:rFonts w:eastAsia="標楷體"/>
                <w:sz w:val="23"/>
                <w:szCs w:val="23"/>
              </w:rPr>
              <w:t>服務收費價格</w:t>
            </w:r>
          </w:p>
        </w:tc>
        <w:tc>
          <w:tcPr>
            <w:tcW w:w="5137" w:type="dxa"/>
            <w:shd w:val="clear" w:color="auto" w:fill="auto"/>
          </w:tcPr>
          <w:p w:rsidR="002865CA" w:rsidRPr="00131B9D" w:rsidRDefault="002865CA" w:rsidP="005F3282">
            <w:pPr>
              <w:spacing w:line="0" w:lineRule="atLeast"/>
              <w:jc w:val="center"/>
              <w:rPr>
                <w:rFonts w:eastAsia="標楷體"/>
                <w:sz w:val="23"/>
                <w:szCs w:val="23"/>
                <w:lang w:eastAsia="zh-CN"/>
              </w:rPr>
            </w:pPr>
            <w:r w:rsidRPr="00131B9D">
              <w:rPr>
                <w:rFonts w:eastAsia="標楷體"/>
                <w:sz w:val="23"/>
                <w:szCs w:val="23"/>
              </w:rPr>
              <w:t>Panel B</w:t>
            </w:r>
            <w:r w:rsidRPr="00131B9D">
              <w:rPr>
                <w:rFonts w:eastAsia="標楷體"/>
                <w:sz w:val="23"/>
                <w:szCs w:val="23"/>
              </w:rPr>
              <w:t>非製造業産業別服務收費價格</w:t>
            </w:r>
          </w:p>
          <w:p w:rsidR="002865CA" w:rsidRPr="00131B9D" w:rsidRDefault="002865CA" w:rsidP="005F3282">
            <w:pPr>
              <w:spacing w:line="0" w:lineRule="atLeast"/>
              <w:jc w:val="center"/>
              <w:rPr>
                <w:rFonts w:eastAsia="標楷體"/>
                <w:sz w:val="23"/>
                <w:szCs w:val="23"/>
              </w:rPr>
            </w:pPr>
            <w:r w:rsidRPr="00131B9D">
              <w:rPr>
                <w:rFonts w:eastAsia="標楷體"/>
                <w:sz w:val="23"/>
                <w:szCs w:val="23"/>
              </w:rPr>
              <w:t>指數示意圖</w:t>
            </w:r>
          </w:p>
        </w:tc>
      </w:tr>
      <w:tr w:rsidR="002865CA" w:rsidRPr="00131B9D" w:rsidTr="002865CA">
        <w:trPr>
          <w:trHeight w:val="20"/>
          <w:jc w:val="center"/>
        </w:trPr>
        <w:tc>
          <w:tcPr>
            <w:tcW w:w="10238" w:type="dxa"/>
            <w:gridSpan w:val="2"/>
            <w:shd w:val="clear" w:color="auto" w:fill="auto"/>
          </w:tcPr>
          <w:p w:rsidR="002865CA" w:rsidRPr="00131B9D" w:rsidRDefault="002865CA" w:rsidP="005F3282">
            <w:pPr>
              <w:adjustRightInd w:val="0"/>
              <w:snapToGrid w:val="0"/>
              <w:spacing w:line="0" w:lineRule="atLeast"/>
              <w:ind w:firstLineChars="69" w:firstLine="138"/>
              <w:rPr>
                <w:rFonts w:eastAsia="標楷體"/>
              </w:rPr>
            </w:pPr>
            <w:r w:rsidRPr="00131B9D">
              <w:rPr>
                <w:rFonts w:eastAsia="標楷體"/>
                <w:sz w:val="20"/>
                <w:szCs w:val="20"/>
              </w:rPr>
              <w:t>資料來源：中華經濟研究院</w:t>
            </w:r>
          </w:p>
        </w:tc>
      </w:tr>
    </w:tbl>
    <w:p w:rsidR="002865CA" w:rsidRPr="00131B9D" w:rsidRDefault="002865CA" w:rsidP="002865CA">
      <w:pPr>
        <w:pStyle w:val="afff5"/>
        <w:spacing w:line="0" w:lineRule="atLeast"/>
        <w:jc w:val="center"/>
        <w:rPr>
          <w:rFonts w:eastAsia="標楷體"/>
          <w:b/>
          <w:bCs/>
          <w:kern w:val="52"/>
          <w:sz w:val="28"/>
          <w:szCs w:val="28"/>
        </w:rPr>
      </w:pPr>
      <w:bookmarkStart w:id="15" w:name="_Toc438823212"/>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4</w:t>
      </w:r>
      <w:r w:rsidRPr="00131B9D">
        <w:rPr>
          <w:rFonts w:eastAsia="標楷體"/>
          <w:b/>
          <w:bCs/>
          <w:kern w:val="52"/>
          <w:sz w:val="28"/>
          <w:szCs w:val="28"/>
        </w:rPr>
        <w:fldChar w:fldCharType="end"/>
      </w:r>
      <w:r w:rsidRPr="00131B9D">
        <w:rPr>
          <w:rFonts w:eastAsia="標楷體"/>
          <w:b/>
          <w:bCs/>
          <w:kern w:val="52"/>
          <w:sz w:val="28"/>
          <w:szCs w:val="28"/>
        </w:rPr>
        <w:t xml:space="preserve">　臺灣非製造業服務收費價格指數</w:t>
      </w:r>
      <w:bookmarkEnd w:id="15"/>
    </w:p>
    <w:p w:rsidR="002865CA" w:rsidRPr="00131B9D" w:rsidRDefault="002865CA" w:rsidP="002865CA"/>
    <w:p w:rsidR="002865CA" w:rsidRPr="00131B9D" w:rsidRDefault="002865CA" w:rsidP="002865CA">
      <w:pPr>
        <w:pStyle w:val="-"/>
        <w:spacing w:before="72" w:after="72"/>
        <w:ind w:firstLineChars="0" w:firstLine="0"/>
      </w:pPr>
      <w:r w:rsidRPr="00131B9D">
        <w:t>則顯示非製造業已連續</w:t>
      </w:r>
      <w:r w:rsidRPr="00131B9D">
        <w:t>6</w:t>
      </w:r>
      <w:r w:rsidRPr="00131B9D">
        <w:t>個月回報服務收費價格爲下降，指數爲</w:t>
      </w:r>
      <w:r w:rsidRPr="00131B9D">
        <w:t>44.3%</w:t>
      </w:r>
      <w:r w:rsidRPr="00131B9D">
        <w:t>，僅住宿餐飲業（</w:t>
      </w:r>
      <w:r w:rsidRPr="00131B9D">
        <w:t>61.5%</w:t>
      </w:r>
      <w:r w:rsidRPr="00131B9D">
        <w:t>）與批發業（</w:t>
      </w:r>
      <w:r w:rsidRPr="00131B9D">
        <w:t>52.7%</w:t>
      </w:r>
      <w:r w:rsidRPr="00131B9D">
        <w:t>）回報服務收費價格呈現上升（高於</w:t>
      </w:r>
      <w:r w:rsidRPr="00131B9D">
        <w:t>50.0%</w:t>
      </w:r>
      <w:r w:rsidRPr="00131B9D">
        <w:t>）。</w:t>
      </w:r>
    </w:p>
    <w:p w:rsidR="00833037" w:rsidRPr="00131B9D" w:rsidRDefault="00833037" w:rsidP="002865CA"/>
    <w:p w:rsidR="007850BB" w:rsidRPr="00131B9D" w:rsidRDefault="007850BB" w:rsidP="007850BB">
      <w:pPr>
        <w:pStyle w:val="3"/>
        <w:rPr>
          <w:rFonts w:ascii="Times New Roman" w:hAnsi="Times New Roman"/>
        </w:rPr>
      </w:pPr>
      <w:r w:rsidRPr="00131B9D">
        <w:rPr>
          <w:rFonts w:ascii="Times New Roman" w:hAnsi="Times New Roman"/>
        </w:rPr>
        <w:t>（二）金融概況</w:t>
      </w:r>
    </w:p>
    <w:p w:rsidR="007850BB" w:rsidRPr="00131B9D" w:rsidRDefault="007850BB" w:rsidP="005C4854">
      <w:pPr>
        <w:pStyle w:val="-"/>
        <w:spacing w:before="72" w:after="72"/>
        <w:ind w:firstLine="560"/>
      </w:pPr>
      <w:r w:rsidRPr="00131B9D">
        <w:t>為穩定物價與金融並促進經濟成長，</w:t>
      </w:r>
      <w:r w:rsidRPr="00131B9D">
        <w:t>2015</w:t>
      </w:r>
      <w:r w:rsidRPr="00131B9D">
        <w:t>年</w:t>
      </w:r>
      <w:r w:rsidRPr="00131B9D">
        <w:t>6</w:t>
      </w:r>
      <w:r w:rsidRPr="00131B9D">
        <w:t>月</w:t>
      </w:r>
      <w:r w:rsidRPr="00131B9D">
        <w:t>25</w:t>
      </w:r>
      <w:r w:rsidRPr="00131B9D">
        <w:t>日理監事會宣布維持政策利率不變。重貼現率、擔保放款融通利率及短期融通利率分別維持年息</w:t>
      </w:r>
      <w:r w:rsidRPr="00131B9D">
        <w:t>1.875%</w:t>
      </w:r>
      <w:r w:rsidRPr="00131B9D">
        <w:t>、</w:t>
      </w:r>
      <w:r w:rsidRPr="00131B9D">
        <w:t>2.25%</w:t>
      </w:r>
      <w:r w:rsidRPr="00131B9D">
        <w:t>及</w:t>
      </w:r>
      <w:r w:rsidRPr="00131B9D">
        <w:t>4.125%</w:t>
      </w:r>
      <w:r w:rsidRPr="00131B9D">
        <w:t>，連續</w:t>
      </w:r>
      <w:r w:rsidRPr="00131B9D">
        <w:t>16</w:t>
      </w:r>
      <w:r w:rsidRPr="00131B9D">
        <w:t>季維持不變。</w:t>
      </w:r>
      <w:r w:rsidRPr="00131B9D">
        <w:t>7</w:t>
      </w:r>
      <w:r w:rsidRPr="00131B9D">
        <w:t>月</w:t>
      </w:r>
      <w:r w:rsidRPr="00131B9D">
        <w:t>13</w:t>
      </w:r>
      <w:r w:rsidRPr="00131B9D">
        <w:t>日開標</w:t>
      </w:r>
      <w:r w:rsidRPr="00131B9D">
        <w:t>2</w:t>
      </w:r>
      <w:r w:rsidRPr="00131B9D">
        <w:t>年期定存單</w:t>
      </w:r>
      <w:r w:rsidRPr="00131B9D">
        <w:t>200</w:t>
      </w:r>
      <w:r w:rsidRPr="00131B9D">
        <w:t>億元，得標利率落於</w:t>
      </w:r>
      <w:r w:rsidRPr="00131B9D">
        <w:t>0.669%</w:t>
      </w:r>
      <w:r w:rsidRPr="00131B9D">
        <w:t>，較</w:t>
      </w:r>
      <w:r w:rsidRPr="00131B9D">
        <w:t>6</w:t>
      </w:r>
      <w:r w:rsidRPr="00131B9D">
        <w:t>月下滑</w:t>
      </w:r>
      <w:r w:rsidRPr="00131B9D">
        <w:t>0.029%</w:t>
      </w:r>
      <w:r w:rsidRPr="00131B9D">
        <w:t>，且自今年</w:t>
      </w:r>
      <w:r w:rsidRPr="00131B9D">
        <w:t>3</w:t>
      </w:r>
      <w:r w:rsidRPr="00131B9D">
        <w:t>月以來連續下滑，顯示市場資金仍相當充裕。然貨幣政策相較上月似有略為緊縮，</w:t>
      </w:r>
      <w:r w:rsidRPr="00131B9D">
        <w:t>6</w:t>
      </w:r>
      <w:r w:rsidRPr="00131B9D">
        <w:t>月準備貨幣日平均數為新台幣</w:t>
      </w:r>
      <w:r w:rsidRPr="00131B9D">
        <w:t>3</w:t>
      </w:r>
      <w:r w:rsidRPr="00131B9D">
        <w:t>兆</w:t>
      </w:r>
      <w:r w:rsidRPr="00131B9D">
        <w:t>2962</w:t>
      </w:r>
      <w:r w:rsidRPr="00131B9D">
        <w:t>億元，相較上月少</w:t>
      </w:r>
      <w:r w:rsidRPr="00131B9D">
        <w:t>344</w:t>
      </w:r>
      <w:r w:rsidRPr="00131B9D">
        <w:t>億，且流通中通貨（通貨發行額扣除央行庫存現金）亦減少</w:t>
      </w:r>
      <w:r w:rsidRPr="00131B9D">
        <w:t>120</w:t>
      </w:r>
      <w:r w:rsidRPr="00131B9D">
        <w:t>億元。但是平均準備貨幣年增率為</w:t>
      </w:r>
      <w:r w:rsidRPr="00131B9D">
        <w:t>5.67%</w:t>
      </w:r>
      <w:r w:rsidRPr="00131B9D">
        <w:t>，顯示仍較去年寬鬆</w:t>
      </w:r>
      <w:r w:rsidR="00AD6CF9" w:rsidRPr="00131B9D">
        <w:t>，</w:t>
      </w:r>
      <w:r w:rsidR="001B204B" w:rsidRPr="00131B9D">
        <w:t>惟下半年出口表現</w:t>
      </w:r>
      <w:r w:rsidR="00AD6CF9" w:rsidRPr="00131B9D">
        <w:t>急墜</w:t>
      </w:r>
      <w:r w:rsidR="001B204B" w:rsidRPr="00131B9D">
        <w:t>。</w:t>
      </w:r>
    </w:p>
    <w:p w:rsidR="00406AF9" w:rsidRPr="00131B9D" w:rsidRDefault="00406AF9" w:rsidP="00406AF9"/>
    <w:p w:rsidR="00AD6CF9" w:rsidRPr="00131B9D" w:rsidRDefault="00AD6CF9" w:rsidP="00AD6CF9">
      <w:pPr>
        <w:pStyle w:val="-"/>
        <w:spacing w:before="72" w:after="72"/>
        <w:ind w:firstLineChars="0" w:firstLine="0"/>
        <w:rPr>
          <w:b/>
        </w:rPr>
      </w:pPr>
      <w:r w:rsidRPr="00131B9D">
        <w:rPr>
          <w:b/>
        </w:rPr>
        <w:t>1.</w:t>
      </w:r>
      <w:r w:rsidRPr="00131B9D">
        <w:rPr>
          <w:b/>
          <w:bCs/>
          <w:kern w:val="52"/>
        </w:rPr>
        <w:t xml:space="preserve"> </w:t>
      </w:r>
      <w:r w:rsidRPr="00131B9D">
        <w:rPr>
          <w:b/>
          <w:bCs/>
          <w:kern w:val="52"/>
        </w:rPr>
        <w:t xml:space="preserve">　</w:t>
      </w:r>
      <w:r w:rsidRPr="00131B9D">
        <w:rPr>
          <w:b/>
        </w:rPr>
        <w:t>利率政策</w:t>
      </w:r>
    </w:p>
    <w:p w:rsidR="00AD6CF9" w:rsidRPr="00131B9D" w:rsidRDefault="00AD6CF9" w:rsidP="00AD6CF9">
      <w:pPr>
        <w:pStyle w:val="-"/>
        <w:spacing w:before="72" w:after="72"/>
        <w:ind w:firstLine="560"/>
      </w:pPr>
      <w:r w:rsidRPr="00131B9D">
        <w:t>9</w:t>
      </w:r>
      <w:r w:rsidRPr="00131B9D">
        <w:t>月</w:t>
      </w:r>
      <w:r w:rsidRPr="00131B9D">
        <w:t>24</w:t>
      </w:r>
      <w:r w:rsidRPr="00131B9D">
        <w:t>日臺灣央行理監事因考慮經濟情勢低迷、物價走勢平緩，決議降息半碼，重貼現率、擔保放款融通利率及短期融通利率分別降至</w:t>
      </w:r>
      <w:r w:rsidRPr="00131B9D">
        <w:t>1.75%</w:t>
      </w:r>
      <w:r w:rsidRPr="00131B9D">
        <w:t>、</w:t>
      </w:r>
      <w:r w:rsidRPr="00131B9D">
        <w:t>2.125%</w:t>
      </w:r>
      <w:r w:rsidRPr="00131B9D">
        <w:t>與</w:t>
      </w:r>
      <w:r w:rsidRPr="00131B9D">
        <w:t>4%</w:t>
      </w:r>
      <w:r w:rsidRPr="00131B9D">
        <w:t>，爲</w:t>
      </w:r>
      <w:r w:rsidRPr="00131B9D">
        <w:t>2011</w:t>
      </w:r>
      <w:r w:rsidRPr="00131B9D">
        <w:t>年</w:t>
      </w:r>
      <w:r w:rsidRPr="00131B9D">
        <w:t>6</w:t>
      </w:r>
      <w:r w:rsidRPr="00131B9D">
        <w:t>月以來首度調整利率。</w:t>
      </w:r>
      <w:r w:rsidRPr="00131B9D">
        <w:t>11</w:t>
      </w:r>
      <w:r w:rsidRPr="00131B9D">
        <w:t>月</w:t>
      </w:r>
      <w:r w:rsidRPr="00131B9D">
        <w:t>3</w:t>
      </w:r>
      <w:r w:rsidRPr="00131B9D">
        <w:lastRenderedPageBreak/>
        <w:t>日央行</w:t>
      </w:r>
      <w:r w:rsidRPr="00131B9D">
        <w:t>1,500</w:t>
      </w:r>
      <w:r w:rsidRPr="00131B9D">
        <w:t>億元</w:t>
      </w:r>
      <w:r w:rsidRPr="00131B9D">
        <w:t>364</w:t>
      </w:r>
      <w:r w:rsidRPr="00131B9D">
        <w:t>天期定期存單得標加權平均利率跌破</w:t>
      </w:r>
      <w:r w:rsidRPr="00131B9D">
        <w:t>0.4%</w:t>
      </w:r>
      <w:r w:rsidRPr="00131B9D">
        <w:t>，降至</w:t>
      </w:r>
      <w:r w:rsidRPr="00131B9D">
        <w:t>0.389%</w:t>
      </w:r>
      <w:r w:rsidRPr="00131B9D">
        <w:t>（圖</w:t>
      </w:r>
      <w:r w:rsidRPr="00131B9D">
        <w:t>2-</w:t>
      </w:r>
      <w:r w:rsidR="002865CA" w:rsidRPr="00131B9D">
        <w:t>5</w:t>
      </w:r>
      <w:r w:rsidRPr="00131B9D">
        <w:t>）。</w:t>
      </w:r>
      <w:r w:rsidR="008F664F" w:rsidRPr="00131B9D">
        <w:t>12</w:t>
      </w:r>
      <w:r w:rsidR="008F664F" w:rsidRPr="00131B9D">
        <w:t>月</w:t>
      </w:r>
      <w:r w:rsidR="008F664F" w:rsidRPr="00131B9D">
        <w:t>17</w:t>
      </w:r>
      <w:r w:rsidR="008F664F" w:rsidRPr="00131B9D">
        <w:t>日再次降息半碼，重貼現率、擔保放款融通利率及短期融通利率，各調降為年息</w:t>
      </w:r>
      <w:r w:rsidR="008F664F" w:rsidRPr="00131B9D">
        <w:t>1.625%</w:t>
      </w:r>
      <w:r w:rsidR="008F664F" w:rsidRPr="00131B9D">
        <w:t>、</w:t>
      </w:r>
      <w:r w:rsidR="008F664F" w:rsidRPr="00131B9D">
        <w:t>2%</w:t>
      </w:r>
      <w:r w:rsidR="008F664F" w:rsidRPr="00131B9D">
        <w:t>及</w:t>
      </w:r>
      <w:r w:rsidR="008F664F" w:rsidRPr="00131B9D">
        <w:t>3.875%</w:t>
      </w:r>
      <w:r w:rsidR="008F664F" w:rsidRPr="00131B9D">
        <w:t>。</w:t>
      </w:r>
      <w:r w:rsidR="008F664F" w:rsidRPr="00131B9D">
        <w:t>12</w:t>
      </w:r>
      <w:r w:rsidR="008F664F" w:rsidRPr="00131B9D">
        <w:t>月</w:t>
      </w:r>
      <w:r w:rsidR="008F664F" w:rsidRPr="00131B9D">
        <w:t>4</w:t>
      </w:r>
      <w:r w:rsidR="008F664F" w:rsidRPr="00131B9D">
        <w:t>日央行</w:t>
      </w:r>
      <w:r w:rsidR="008F664F" w:rsidRPr="00131B9D">
        <w:t>1,500</w:t>
      </w:r>
      <w:r w:rsidR="008F664F" w:rsidRPr="00131B9D">
        <w:t>億元</w:t>
      </w:r>
      <w:r w:rsidR="008F664F" w:rsidRPr="00131B9D">
        <w:t>364</w:t>
      </w:r>
      <w:r w:rsidR="008F664F" w:rsidRPr="00131B9D">
        <w:t>天期定期存單得標加權平均利率降至</w:t>
      </w:r>
      <w:r w:rsidR="008F664F" w:rsidRPr="00131B9D">
        <w:t>0.384%</w:t>
      </w:r>
      <w:r w:rsidR="008F664F" w:rsidRPr="00131B9D">
        <w:t>。</w:t>
      </w:r>
    </w:p>
    <w:p w:rsidR="002865CA" w:rsidRPr="00131B9D" w:rsidRDefault="002865CA" w:rsidP="002865CA"/>
    <w:tbl>
      <w:tblPr>
        <w:tblW w:w="9595" w:type="dxa"/>
        <w:jc w:val="center"/>
        <w:tblCellMar>
          <w:left w:w="28" w:type="dxa"/>
          <w:right w:w="28" w:type="dxa"/>
        </w:tblCellMar>
        <w:tblLook w:val="04A0" w:firstRow="1" w:lastRow="0" w:firstColumn="1" w:lastColumn="0" w:noHBand="0" w:noVBand="1"/>
      </w:tblPr>
      <w:tblGrid>
        <w:gridCol w:w="5486"/>
        <w:gridCol w:w="5347"/>
      </w:tblGrid>
      <w:tr w:rsidR="00566ED5" w:rsidRPr="00131B9D" w:rsidTr="005F3282">
        <w:trPr>
          <w:trHeight w:val="21"/>
          <w:jc w:val="center"/>
        </w:trPr>
        <w:tc>
          <w:tcPr>
            <w:tcW w:w="4685" w:type="dxa"/>
            <w:shd w:val="clear" w:color="auto" w:fill="auto"/>
          </w:tcPr>
          <w:p w:rsidR="00566ED5" w:rsidRPr="00131B9D" w:rsidRDefault="00566ED5" w:rsidP="005F3282">
            <w:pPr>
              <w:adjustRightInd w:val="0"/>
              <w:snapToGrid w:val="0"/>
              <w:spacing w:line="0" w:lineRule="atLeast"/>
            </w:pPr>
            <w:r w:rsidRPr="00131B9D">
              <w:rPr>
                <w:noProof/>
              </w:rPr>
              <w:drawing>
                <wp:inline distT="0" distB="0" distL="0" distR="0" wp14:anchorId="2835E995" wp14:editId="374EC8C7">
                  <wp:extent cx="3444875" cy="1892300"/>
                  <wp:effectExtent l="0" t="0" r="3175" b="0"/>
                  <wp:docPr id="18457" name="圖片 18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44875" cy="1892300"/>
                          </a:xfrm>
                          <a:prstGeom prst="rect">
                            <a:avLst/>
                          </a:prstGeom>
                          <a:noFill/>
                          <a:ln>
                            <a:noFill/>
                          </a:ln>
                        </pic:spPr>
                      </pic:pic>
                    </a:graphicData>
                  </a:graphic>
                </wp:inline>
              </w:drawing>
            </w:r>
          </w:p>
        </w:tc>
        <w:tc>
          <w:tcPr>
            <w:tcW w:w="4910" w:type="dxa"/>
            <w:shd w:val="clear" w:color="auto" w:fill="auto"/>
          </w:tcPr>
          <w:p w:rsidR="00566ED5" w:rsidRPr="00131B9D" w:rsidRDefault="00566ED5" w:rsidP="005F3282">
            <w:pPr>
              <w:adjustRightInd w:val="0"/>
              <w:snapToGrid w:val="0"/>
              <w:spacing w:line="0" w:lineRule="atLeast"/>
              <w:jc w:val="center"/>
            </w:pPr>
            <w:r w:rsidRPr="00131B9D">
              <w:rPr>
                <w:noProof/>
              </w:rPr>
              <w:drawing>
                <wp:inline distT="0" distB="0" distL="0" distR="0" wp14:anchorId="6479575A" wp14:editId="1E190877">
                  <wp:extent cx="3359785" cy="1945640"/>
                  <wp:effectExtent l="0" t="0" r="0" b="0"/>
                  <wp:docPr id="18448" name="圖片 18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59785" cy="1945640"/>
                          </a:xfrm>
                          <a:prstGeom prst="rect">
                            <a:avLst/>
                          </a:prstGeom>
                          <a:noFill/>
                          <a:ln>
                            <a:noFill/>
                          </a:ln>
                        </pic:spPr>
                      </pic:pic>
                    </a:graphicData>
                  </a:graphic>
                </wp:inline>
              </w:drawing>
            </w:r>
          </w:p>
        </w:tc>
      </w:tr>
      <w:tr w:rsidR="00566ED5" w:rsidRPr="00131B9D" w:rsidTr="005F3282">
        <w:tblPrEx>
          <w:tblCellMar>
            <w:left w:w="108" w:type="dxa"/>
            <w:right w:w="108" w:type="dxa"/>
          </w:tblCellMar>
        </w:tblPrEx>
        <w:trPr>
          <w:trHeight w:val="21"/>
          <w:jc w:val="center"/>
        </w:trPr>
        <w:tc>
          <w:tcPr>
            <w:tcW w:w="4685" w:type="dxa"/>
            <w:shd w:val="clear" w:color="auto" w:fill="auto"/>
          </w:tcPr>
          <w:p w:rsidR="00566ED5" w:rsidRPr="00131B9D" w:rsidRDefault="00566ED5" w:rsidP="005F3282">
            <w:pPr>
              <w:adjustRightInd w:val="0"/>
              <w:snapToGrid w:val="0"/>
              <w:spacing w:line="0" w:lineRule="atLeast"/>
              <w:jc w:val="center"/>
            </w:pPr>
            <w:r w:rsidRPr="00131B9D">
              <w:rPr>
                <w:sz w:val="23"/>
                <w:szCs w:val="23"/>
              </w:rPr>
              <w:t>Panel A</w:t>
            </w:r>
            <w:r w:rsidRPr="00131B9D">
              <w:rPr>
                <w:sz w:val="23"/>
                <w:szCs w:val="23"/>
              </w:rPr>
              <w:t>臺灣金融業隔夜拆款利率走勢圖</w:t>
            </w:r>
          </w:p>
        </w:tc>
        <w:tc>
          <w:tcPr>
            <w:tcW w:w="4910" w:type="dxa"/>
            <w:shd w:val="clear" w:color="auto" w:fill="auto"/>
          </w:tcPr>
          <w:p w:rsidR="00566ED5" w:rsidRPr="00131B9D" w:rsidRDefault="00566ED5" w:rsidP="005F3282">
            <w:pPr>
              <w:adjustRightInd w:val="0"/>
              <w:snapToGrid w:val="0"/>
              <w:spacing w:line="0" w:lineRule="atLeast"/>
              <w:jc w:val="center"/>
            </w:pPr>
            <w:r w:rsidRPr="00131B9D">
              <w:rPr>
                <w:sz w:val="23"/>
                <w:szCs w:val="23"/>
              </w:rPr>
              <w:t>Panel B 364</w:t>
            </w:r>
            <w:r w:rsidRPr="00131B9D">
              <w:rPr>
                <w:sz w:val="23"/>
                <w:szCs w:val="23"/>
              </w:rPr>
              <w:t>天期定期存單得標利率</w:t>
            </w:r>
          </w:p>
        </w:tc>
      </w:tr>
      <w:tr w:rsidR="00566ED5" w:rsidRPr="00131B9D" w:rsidTr="005F3282">
        <w:tblPrEx>
          <w:tblCellMar>
            <w:left w:w="108" w:type="dxa"/>
            <w:right w:w="108" w:type="dxa"/>
          </w:tblCellMar>
        </w:tblPrEx>
        <w:trPr>
          <w:trHeight w:val="21"/>
          <w:jc w:val="center"/>
        </w:trPr>
        <w:tc>
          <w:tcPr>
            <w:tcW w:w="9595" w:type="dxa"/>
            <w:gridSpan w:val="2"/>
            <w:shd w:val="clear" w:color="auto" w:fill="auto"/>
          </w:tcPr>
          <w:p w:rsidR="00566ED5" w:rsidRPr="00131B9D" w:rsidRDefault="00566ED5" w:rsidP="00566ED5">
            <w:pPr>
              <w:adjustRightInd w:val="0"/>
              <w:snapToGrid w:val="0"/>
              <w:spacing w:line="0" w:lineRule="atLeast"/>
              <w:ind w:firstLineChars="300" w:firstLine="600"/>
              <w:rPr>
                <w:sz w:val="23"/>
                <w:szCs w:val="23"/>
              </w:rPr>
            </w:pPr>
            <w:r w:rsidRPr="00131B9D">
              <w:rPr>
                <w:sz w:val="20"/>
                <w:szCs w:val="20"/>
              </w:rPr>
              <w:t>資料來源：中央銀行，統計至</w:t>
            </w:r>
            <w:r w:rsidRPr="00131B9D">
              <w:rPr>
                <w:sz w:val="20"/>
                <w:szCs w:val="20"/>
              </w:rPr>
              <w:t>12/17</w:t>
            </w:r>
            <w:r w:rsidRPr="00131B9D">
              <w:rPr>
                <w:sz w:val="20"/>
                <w:szCs w:val="20"/>
              </w:rPr>
              <w:t>，中經院整理</w:t>
            </w:r>
          </w:p>
        </w:tc>
      </w:tr>
    </w:tbl>
    <w:p w:rsidR="00AD6CF9" w:rsidRPr="00131B9D" w:rsidRDefault="00AD6CF9" w:rsidP="00AD6CF9">
      <w:pPr>
        <w:pStyle w:val="afff5"/>
        <w:spacing w:line="0" w:lineRule="atLeast"/>
        <w:jc w:val="center"/>
        <w:rPr>
          <w:rFonts w:eastAsia="標楷體"/>
          <w:b/>
          <w:bCs/>
          <w:kern w:val="52"/>
          <w:sz w:val="28"/>
          <w:szCs w:val="28"/>
        </w:rPr>
      </w:pPr>
      <w:bookmarkStart w:id="16" w:name="_Toc438823213"/>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5</w:t>
      </w:r>
      <w:r w:rsidRPr="00131B9D">
        <w:rPr>
          <w:rFonts w:eastAsia="標楷體"/>
          <w:b/>
          <w:bCs/>
          <w:kern w:val="52"/>
          <w:sz w:val="28"/>
          <w:szCs w:val="28"/>
        </w:rPr>
        <w:fldChar w:fldCharType="end"/>
      </w:r>
      <w:r w:rsidRPr="00131B9D">
        <w:rPr>
          <w:rFonts w:eastAsia="標楷體"/>
          <w:b/>
          <w:bCs/>
          <w:kern w:val="52"/>
          <w:sz w:val="28"/>
          <w:szCs w:val="28"/>
        </w:rPr>
        <w:t xml:space="preserve">　隔夜拆款利率與</w:t>
      </w:r>
      <w:r w:rsidRPr="00131B9D">
        <w:rPr>
          <w:rFonts w:eastAsia="標楷體"/>
          <w:b/>
          <w:bCs/>
          <w:kern w:val="52"/>
          <w:sz w:val="28"/>
          <w:szCs w:val="28"/>
        </w:rPr>
        <w:t>364</w:t>
      </w:r>
      <w:r w:rsidRPr="00131B9D">
        <w:rPr>
          <w:rFonts w:eastAsia="標楷體"/>
          <w:b/>
          <w:bCs/>
          <w:kern w:val="52"/>
          <w:sz w:val="28"/>
          <w:szCs w:val="28"/>
        </w:rPr>
        <w:t>天期定期存單得標利率</w:t>
      </w:r>
      <w:bookmarkEnd w:id="16"/>
    </w:p>
    <w:p w:rsidR="00AD6CF9" w:rsidRPr="00131B9D" w:rsidRDefault="00AD6CF9" w:rsidP="00566ED5"/>
    <w:p w:rsidR="00AD6CF9" w:rsidRPr="00131B9D" w:rsidRDefault="00AD6CF9" w:rsidP="00AD6CF9">
      <w:pPr>
        <w:pStyle w:val="aff1"/>
      </w:pPr>
      <w:bookmarkStart w:id="17" w:name="_Toc439162987"/>
      <w:r w:rsidRPr="00131B9D">
        <w:t>表</w:t>
      </w:r>
      <w:r w:rsidRPr="00131B9D">
        <w:t xml:space="preserve">2- </w:t>
      </w:r>
      <w:r w:rsidRPr="00131B9D">
        <w:fldChar w:fldCharType="begin"/>
      </w:r>
      <w:r w:rsidRPr="00131B9D">
        <w:instrText xml:space="preserve"> SEQ </w:instrText>
      </w:r>
      <w:r w:rsidRPr="00131B9D">
        <w:instrText>表</w:instrText>
      </w:r>
      <w:r w:rsidRPr="00131B9D">
        <w:instrText xml:space="preserve">2- \* ARABIC </w:instrText>
      </w:r>
      <w:r w:rsidRPr="00131B9D">
        <w:fldChar w:fldCharType="separate"/>
      </w:r>
      <w:r w:rsidR="001641D3">
        <w:rPr>
          <w:noProof/>
        </w:rPr>
        <w:t>1</w:t>
      </w:r>
      <w:r w:rsidRPr="00131B9D">
        <w:fldChar w:fldCharType="end"/>
      </w:r>
      <w:r w:rsidRPr="00131B9D">
        <w:t xml:space="preserve">　世界重要國家貨幣市場利率、物價與經濟成長率彙整表</w:t>
      </w:r>
      <w:bookmarkEnd w:id="17"/>
    </w:p>
    <w:tbl>
      <w:tblPr>
        <w:tblW w:w="0" w:type="auto"/>
        <w:jc w:val="center"/>
        <w:tblCellMar>
          <w:left w:w="28" w:type="dxa"/>
          <w:right w:w="28" w:type="dxa"/>
        </w:tblCellMar>
        <w:tblLook w:val="04A0" w:firstRow="1" w:lastRow="0" w:firstColumn="1" w:lastColumn="0" w:noHBand="0" w:noVBand="1"/>
      </w:tblPr>
      <w:tblGrid>
        <w:gridCol w:w="1016"/>
        <w:gridCol w:w="1602"/>
        <w:gridCol w:w="1602"/>
        <w:gridCol w:w="1250"/>
        <w:gridCol w:w="1043"/>
        <w:gridCol w:w="1283"/>
        <w:gridCol w:w="62"/>
        <w:gridCol w:w="62"/>
        <w:gridCol w:w="62"/>
      </w:tblGrid>
      <w:tr w:rsidR="00AD6CF9" w:rsidRPr="00131B9D" w:rsidTr="00CD4166">
        <w:trPr>
          <w:gridAfter w:val="3"/>
          <w:trHeight w:val="360"/>
          <w:jc w:val="center"/>
        </w:trPr>
        <w:tc>
          <w:tcPr>
            <w:tcW w:w="0" w:type="auto"/>
            <w:tcBorders>
              <w:top w:val="single" w:sz="12" w:space="0" w:color="auto"/>
              <w:left w:val="nil"/>
              <w:bottom w:val="nil"/>
              <w:right w:val="nil"/>
            </w:tcBorders>
            <w:shd w:val="clear" w:color="000000" w:fill="FFC000"/>
            <w:noWrap/>
            <w:vAlign w:val="center"/>
            <w:hideMark/>
          </w:tcPr>
          <w:p w:rsidR="00AD6CF9" w:rsidRPr="00131B9D" w:rsidRDefault="00AD6CF9" w:rsidP="005F3282">
            <w:pPr>
              <w:widowControl/>
              <w:jc w:val="center"/>
              <w:rPr>
                <w:color w:val="000000"/>
                <w:kern w:val="0"/>
              </w:rPr>
            </w:pPr>
            <w:r w:rsidRPr="00131B9D">
              <w:rPr>
                <w:color w:val="000000"/>
                <w:kern w:val="0"/>
              </w:rPr>
              <w:t xml:space="preserve">　</w:t>
            </w:r>
          </w:p>
        </w:tc>
        <w:tc>
          <w:tcPr>
            <w:tcW w:w="0" w:type="auto"/>
            <w:gridSpan w:val="2"/>
            <w:tcBorders>
              <w:top w:val="single" w:sz="12" w:space="0" w:color="auto"/>
              <w:left w:val="nil"/>
              <w:bottom w:val="nil"/>
              <w:right w:val="nil"/>
            </w:tcBorders>
            <w:shd w:val="clear" w:color="000000" w:fill="FFC000"/>
            <w:noWrap/>
            <w:vAlign w:val="center"/>
            <w:hideMark/>
          </w:tcPr>
          <w:p w:rsidR="00AD6CF9" w:rsidRPr="00131B9D" w:rsidRDefault="00AD6CF9" w:rsidP="005F3282">
            <w:pPr>
              <w:widowControl/>
              <w:jc w:val="center"/>
              <w:rPr>
                <w:b/>
                <w:bCs/>
                <w:color w:val="000000"/>
                <w:kern w:val="0"/>
              </w:rPr>
            </w:pPr>
            <w:r w:rsidRPr="00131B9D">
              <w:rPr>
                <w:rFonts w:eastAsia="標楷體"/>
                <w:b/>
                <w:bCs/>
                <w:color w:val="000000"/>
                <w:kern w:val="0"/>
              </w:rPr>
              <w:t>官方利率</w:t>
            </w:r>
            <w:r w:rsidRPr="00131B9D">
              <w:rPr>
                <w:b/>
                <w:bCs/>
                <w:color w:val="000000"/>
                <w:kern w:val="0"/>
              </w:rPr>
              <w:t>(Policy Interest Rate)</w:t>
            </w:r>
          </w:p>
        </w:tc>
        <w:tc>
          <w:tcPr>
            <w:tcW w:w="0" w:type="auto"/>
            <w:tcBorders>
              <w:top w:val="single" w:sz="12" w:space="0" w:color="auto"/>
              <w:left w:val="nil"/>
              <w:bottom w:val="nil"/>
              <w:right w:val="nil"/>
            </w:tcBorders>
            <w:shd w:val="clear" w:color="000000" w:fill="FFC000"/>
            <w:noWrap/>
            <w:vAlign w:val="center"/>
            <w:hideMark/>
          </w:tcPr>
          <w:p w:rsidR="00AD6CF9" w:rsidRPr="00131B9D" w:rsidRDefault="00AD6CF9" w:rsidP="005F3282">
            <w:pPr>
              <w:widowControl/>
              <w:jc w:val="center"/>
              <w:rPr>
                <w:color w:val="000000"/>
                <w:kern w:val="0"/>
              </w:rPr>
            </w:pPr>
            <w:r w:rsidRPr="00131B9D">
              <w:rPr>
                <w:color w:val="000000"/>
                <w:kern w:val="0"/>
              </w:rPr>
              <w:t xml:space="preserve">　</w:t>
            </w:r>
          </w:p>
        </w:tc>
        <w:tc>
          <w:tcPr>
            <w:tcW w:w="0" w:type="auto"/>
            <w:tcBorders>
              <w:top w:val="single" w:sz="12" w:space="0" w:color="auto"/>
              <w:left w:val="nil"/>
              <w:bottom w:val="nil"/>
              <w:right w:val="nil"/>
            </w:tcBorders>
            <w:shd w:val="clear" w:color="000000" w:fill="FFC000"/>
            <w:noWrap/>
            <w:vAlign w:val="center"/>
            <w:hideMark/>
          </w:tcPr>
          <w:p w:rsidR="00AD6CF9" w:rsidRPr="00131B9D" w:rsidRDefault="00AD6CF9" w:rsidP="005F3282">
            <w:pPr>
              <w:widowControl/>
              <w:jc w:val="center"/>
              <w:rPr>
                <w:color w:val="000000"/>
                <w:kern w:val="0"/>
              </w:rPr>
            </w:pPr>
            <w:r w:rsidRPr="00131B9D">
              <w:rPr>
                <w:color w:val="000000"/>
                <w:kern w:val="0"/>
              </w:rPr>
              <w:t xml:space="preserve">　</w:t>
            </w:r>
          </w:p>
        </w:tc>
        <w:tc>
          <w:tcPr>
            <w:tcW w:w="0" w:type="auto"/>
            <w:tcBorders>
              <w:top w:val="single" w:sz="12" w:space="0" w:color="auto"/>
              <w:left w:val="nil"/>
              <w:bottom w:val="nil"/>
              <w:right w:val="nil"/>
            </w:tcBorders>
            <w:shd w:val="clear" w:color="000000" w:fill="FFC000"/>
            <w:noWrap/>
            <w:vAlign w:val="center"/>
            <w:hideMark/>
          </w:tcPr>
          <w:p w:rsidR="00AD6CF9" w:rsidRPr="00131B9D" w:rsidRDefault="00AD6CF9" w:rsidP="005F3282">
            <w:pPr>
              <w:widowControl/>
              <w:jc w:val="center"/>
              <w:rPr>
                <w:color w:val="000000"/>
                <w:kern w:val="0"/>
                <w:sz w:val="20"/>
                <w:szCs w:val="20"/>
              </w:rPr>
            </w:pPr>
            <w:r w:rsidRPr="00131B9D">
              <w:rPr>
                <w:rFonts w:eastAsia="標楷體"/>
                <w:color w:val="000000"/>
                <w:kern w:val="0"/>
                <w:sz w:val="20"/>
                <w:szCs w:val="20"/>
              </w:rPr>
              <w:t>單位：</w:t>
            </w:r>
            <w:r w:rsidRPr="00131B9D">
              <w:rPr>
                <w:color w:val="000000"/>
                <w:kern w:val="0"/>
                <w:sz w:val="20"/>
                <w:szCs w:val="20"/>
              </w:rPr>
              <w:t>(%)</w:t>
            </w:r>
          </w:p>
        </w:tc>
      </w:tr>
      <w:tr w:rsidR="00AD6CF9" w:rsidRPr="00131B9D" w:rsidTr="00CD4166">
        <w:trPr>
          <w:gridAfter w:val="3"/>
          <w:trHeight w:val="360"/>
          <w:jc w:val="center"/>
        </w:trPr>
        <w:tc>
          <w:tcPr>
            <w:tcW w:w="0" w:type="auto"/>
            <w:tcBorders>
              <w:top w:val="nil"/>
              <w:left w:val="nil"/>
              <w:bottom w:val="single" w:sz="12" w:space="0" w:color="auto"/>
              <w:right w:val="nil"/>
            </w:tcBorders>
            <w:shd w:val="clear" w:color="000000" w:fill="FFC000"/>
            <w:noWrap/>
            <w:vAlign w:val="center"/>
            <w:hideMark/>
          </w:tcPr>
          <w:p w:rsidR="00AD6CF9" w:rsidRPr="00131B9D" w:rsidRDefault="00AD6CF9" w:rsidP="005F3282">
            <w:pPr>
              <w:widowControl/>
              <w:jc w:val="center"/>
              <w:rPr>
                <w:rFonts w:eastAsia="標楷體"/>
                <w:b/>
                <w:bCs/>
                <w:color w:val="000000"/>
                <w:kern w:val="0"/>
              </w:rPr>
            </w:pPr>
            <w:r w:rsidRPr="00131B9D">
              <w:rPr>
                <w:rFonts w:eastAsia="標楷體"/>
                <w:b/>
                <w:bCs/>
                <w:color w:val="000000"/>
                <w:kern w:val="0"/>
              </w:rPr>
              <w:t>國家</w:t>
            </w:r>
          </w:p>
        </w:tc>
        <w:tc>
          <w:tcPr>
            <w:tcW w:w="0" w:type="auto"/>
            <w:tcBorders>
              <w:top w:val="nil"/>
              <w:left w:val="nil"/>
              <w:bottom w:val="single" w:sz="12" w:space="0" w:color="auto"/>
              <w:right w:val="nil"/>
            </w:tcBorders>
            <w:shd w:val="clear" w:color="000000" w:fill="FFC000"/>
            <w:noWrap/>
            <w:vAlign w:val="center"/>
            <w:hideMark/>
          </w:tcPr>
          <w:p w:rsidR="00AD6CF9" w:rsidRPr="00131B9D" w:rsidRDefault="00AD6CF9" w:rsidP="005F3282">
            <w:pPr>
              <w:widowControl/>
              <w:jc w:val="center"/>
              <w:rPr>
                <w:b/>
                <w:bCs/>
                <w:color w:val="000000"/>
                <w:kern w:val="0"/>
              </w:rPr>
            </w:pPr>
            <w:r w:rsidRPr="00131B9D">
              <w:rPr>
                <w:b/>
                <w:bCs/>
                <w:color w:val="000000"/>
                <w:kern w:val="0"/>
              </w:rPr>
              <w:t>2014/11</w:t>
            </w:r>
          </w:p>
        </w:tc>
        <w:tc>
          <w:tcPr>
            <w:tcW w:w="0" w:type="auto"/>
            <w:tcBorders>
              <w:top w:val="nil"/>
              <w:left w:val="nil"/>
              <w:bottom w:val="single" w:sz="12" w:space="0" w:color="auto"/>
              <w:right w:val="nil"/>
            </w:tcBorders>
            <w:shd w:val="clear" w:color="000000" w:fill="FFC000"/>
            <w:noWrap/>
            <w:vAlign w:val="center"/>
            <w:hideMark/>
          </w:tcPr>
          <w:p w:rsidR="00AD6CF9" w:rsidRPr="00131B9D" w:rsidRDefault="00AD6CF9" w:rsidP="005F3282">
            <w:pPr>
              <w:widowControl/>
              <w:jc w:val="center"/>
              <w:rPr>
                <w:b/>
                <w:bCs/>
                <w:color w:val="000000"/>
                <w:kern w:val="0"/>
              </w:rPr>
            </w:pPr>
            <w:r w:rsidRPr="00131B9D">
              <w:rPr>
                <w:b/>
                <w:bCs/>
                <w:color w:val="000000"/>
                <w:kern w:val="0"/>
              </w:rPr>
              <w:t>2015/11</w:t>
            </w:r>
          </w:p>
        </w:tc>
        <w:tc>
          <w:tcPr>
            <w:tcW w:w="0" w:type="auto"/>
            <w:tcBorders>
              <w:top w:val="nil"/>
              <w:left w:val="nil"/>
              <w:bottom w:val="single" w:sz="12" w:space="0" w:color="auto"/>
              <w:right w:val="nil"/>
            </w:tcBorders>
            <w:shd w:val="clear" w:color="000000" w:fill="FFC000"/>
            <w:noWrap/>
            <w:vAlign w:val="center"/>
            <w:hideMark/>
          </w:tcPr>
          <w:p w:rsidR="00AD6CF9" w:rsidRPr="00131B9D" w:rsidRDefault="00AD6CF9" w:rsidP="005F3282">
            <w:pPr>
              <w:widowControl/>
              <w:jc w:val="center"/>
              <w:rPr>
                <w:b/>
                <w:bCs/>
                <w:color w:val="000000"/>
                <w:kern w:val="0"/>
              </w:rPr>
            </w:pPr>
            <w:r w:rsidRPr="00131B9D">
              <w:rPr>
                <w:b/>
                <w:bCs/>
                <w:color w:val="000000"/>
                <w:kern w:val="0"/>
              </w:rPr>
              <w:t>2015 CPI(f)</w:t>
            </w:r>
          </w:p>
        </w:tc>
        <w:tc>
          <w:tcPr>
            <w:tcW w:w="0" w:type="auto"/>
            <w:tcBorders>
              <w:top w:val="nil"/>
              <w:left w:val="nil"/>
              <w:bottom w:val="single" w:sz="12" w:space="0" w:color="auto"/>
              <w:right w:val="nil"/>
            </w:tcBorders>
            <w:shd w:val="clear" w:color="000000" w:fill="FFC000"/>
            <w:noWrap/>
            <w:vAlign w:val="center"/>
            <w:hideMark/>
          </w:tcPr>
          <w:p w:rsidR="00AD6CF9" w:rsidRPr="00131B9D" w:rsidRDefault="00AD6CF9" w:rsidP="005F3282">
            <w:pPr>
              <w:widowControl/>
              <w:jc w:val="center"/>
              <w:rPr>
                <w:b/>
                <w:bCs/>
                <w:color w:val="000000"/>
                <w:kern w:val="0"/>
              </w:rPr>
            </w:pPr>
            <w:r w:rsidRPr="00131B9D">
              <w:rPr>
                <w:b/>
                <w:bCs/>
                <w:color w:val="000000"/>
                <w:kern w:val="0"/>
              </w:rPr>
              <w:t>2014GDP</w:t>
            </w:r>
          </w:p>
        </w:tc>
        <w:tc>
          <w:tcPr>
            <w:tcW w:w="0" w:type="auto"/>
            <w:tcBorders>
              <w:top w:val="nil"/>
              <w:left w:val="nil"/>
              <w:bottom w:val="single" w:sz="12" w:space="0" w:color="auto"/>
              <w:right w:val="nil"/>
            </w:tcBorders>
            <w:shd w:val="clear" w:color="000000" w:fill="FFC000"/>
            <w:noWrap/>
            <w:vAlign w:val="center"/>
            <w:hideMark/>
          </w:tcPr>
          <w:p w:rsidR="00AD6CF9" w:rsidRPr="00131B9D" w:rsidRDefault="00AD6CF9" w:rsidP="005F3282">
            <w:pPr>
              <w:widowControl/>
              <w:jc w:val="center"/>
              <w:rPr>
                <w:b/>
                <w:bCs/>
                <w:color w:val="000000"/>
                <w:kern w:val="0"/>
              </w:rPr>
            </w:pPr>
            <w:r w:rsidRPr="00131B9D">
              <w:rPr>
                <w:b/>
                <w:bCs/>
                <w:color w:val="000000"/>
                <w:kern w:val="0"/>
              </w:rPr>
              <w:t>2015GDP(f)</w:t>
            </w:r>
          </w:p>
        </w:tc>
      </w:tr>
      <w:tr w:rsidR="00AD6CF9" w:rsidRPr="00131B9D" w:rsidTr="00CD4166">
        <w:trPr>
          <w:gridAfter w:val="3"/>
          <w:trHeight w:val="360"/>
          <w:jc w:val="center"/>
        </w:trPr>
        <w:tc>
          <w:tcPr>
            <w:tcW w:w="0" w:type="auto"/>
            <w:tcBorders>
              <w:top w:val="single" w:sz="12" w:space="0" w:color="auto"/>
              <w:left w:val="nil"/>
              <w:bottom w:val="nil"/>
              <w:right w:val="nil"/>
            </w:tcBorders>
            <w:shd w:val="clear" w:color="auto" w:fill="auto"/>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台灣</w:t>
            </w:r>
          </w:p>
        </w:tc>
        <w:tc>
          <w:tcPr>
            <w:tcW w:w="0" w:type="auto"/>
            <w:tcBorders>
              <w:top w:val="single" w:sz="12" w:space="0" w:color="auto"/>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1.875 </w:t>
            </w:r>
          </w:p>
        </w:tc>
        <w:tc>
          <w:tcPr>
            <w:tcW w:w="0" w:type="auto"/>
            <w:tcBorders>
              <w:top w:val="single" w:sz="12" w:space="0" w:color="auto"/>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1.750 </w:t>
            </w:r>
          </w:p>
        </w:tc>
        <w:tc>
          <w:tcPr>
            <w:tcW w:w="0" w:type="auto"/>
            <w:tcBorders>
              <w:top w:val="single" w:sz="12" w:space="0" w:color="auto"/>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FF0000"/>
                <w:kern w:val="0"/>
              </w:rPr>
              <w:t>(0.28)</w:t>
            </w:r>
          </w:p>
        </w:tc>
        <w:tc>
          <w:tcPr>
            <w:tcW w:w="0" w:type="auto"/>
            <w:tcBorders>
              <w:top w:val="single" w:sz="12" w:space="0" w:color="auto"/>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3.8 </w:t>
            </w:r>
          </w:p>
        </w:tc>
        <w:tc>
          <w:tcPr>
            <w:tcW w:w="0" w:type="auto"/>
            <w:tcBorders>
              <w:top w:val="single" w:sz="12" w:space="0" w:color="auto"/>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0.9 </w:t>
            </w:r>
          </w:p>
        </w:tc>
      </w:tr>
      <w:tr w:rsidR="00AD6CF9" w:rsidRPr="00131B9D" w:rsidTr="00CD4166">
        <w:trPr>
          <w:gridAfter w:val="3"/>
          <w:trHeight w:val="360"/>
          <w:jc w:val="center"/>
        </w:trPr>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美國</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0.125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0.136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0.05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2.4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2.4 </w:t>
            </w:r>
          </w:p>
        </w:tc>
      </w:tr>
      <w:tr w:rsidR="00AD6CF9" w:rsidRPr="00131B9D" w:rsidTr="00CD4166">
        <w:trPr>
          <w:gridAfter w:val="3"/>
          <w:trHeight w:val="360"/>
          <w:jc w:val="center"/>
        </w:trPr>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日本</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0.06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0.07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0.76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FF0000"/>
                <w:kern w:val="0"/>
              </w:rPr>
              <w:t>(0.1)</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0.5 </w:t>
            </w:r>
          </w:p>
        </w:tc>
      </w:tr>
      <w:tr w:rsidR="00AD6CF9" w:rsidRPr="00131B9D" w:rsidTr="00CD4166">
        <w:trPr>
          <w:gridAfter w:val="3"/>
          <w:trHeight w:val="360"/>
          <w:jc w:val="center"/>
        </w:trPr>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英國</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0.50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0.50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0.06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2.9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2.4 </w:t>
            </w:r>
          </w:p>
        </w:tc>
      </w:tr>
      <w:tr w:rsidR="00AD6CF9" w:rsidRPr="00131B9D" w:rsidTr="00CD4166">
        <w:trPr>
          <w:gridAfter w:val="3"/>
          <w:trHeight w:val="360"/>
          <w:jc w:val="center"/>
        </w:trPr>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歐元區</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0.05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0.05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0.10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0.9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1.5 </w:t>
            </w:r>
          </w:p>
        </w:tc>
      </w:tr>
      <w:tr w:rsidR="00AD6CF9" w:rsidRPr="00131B9D" w:rsidTr="00CD4166">
        <w:trPr>
          <w:gridAfter w:val="3"/>
          <w:trHeight w:val="360"/>
          <w:jc w:val="center"/>
        </w:trPr>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澳大利亞</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2.50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2.00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1.48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2.7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2.0 </w:t>
            </w:r>
          </w:p>
        </w:tc>
      </w:tr>
      <w:tr w:rsidR="00AD6CF9" w:rsidRPr="00131B9D" w:rsidTr="00CD4166">
        <w:trPr>
          <w:gridAfter w:val="3"/>
          <w:trHeight w:val="360"/>
          <w:jc w:val="center"/>
        </w:trPr>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中國</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5.60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4.35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1.40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7.3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6.8 </w:t>
            </w:r>
          </w:p>
        </w:tc>
      </w:tr>
      <w:tr w:rsidR="00AD6CF9" w:rsidRPr="00131B9D" w:rsidTr="00CD4166">
        <w:trPr>
          <w:gridAfter w:val="3"/>
          <w:trHeight w:val="360"/>
          <w:jc w:val="center"/>
        </w:trPr>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南韓</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2.00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1.50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0.64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3.3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2.5 </w:t>
            </w:r>
          </w:p>
        </w:tc>
      </w:tr>
      <w:tr w:rsidR="00AD6CF9" w:rsidRPr="00131B9D" w:rsidTr="00CD4166">
        <w:trPr>
          <w:gridAfter w:val="3"/>
          <w:trHeight w:val="360"/>
          <w:jc w:val="center"/>
        </w:trPr>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印度</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8.00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6.75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4.84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7.3 </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7.3 </w:t>
            </w:r>
          </w:p>
        </w:tc>
      </w:tr>
      <w:tr w:rsidR="00AD6CF9" w:rsidRPr="00131B9D" w:rsidTr="00CD4166">
        <w:trPr>
          <w:gridAfter w:val="3"/>
          <w:trHeight w:val="360"/>
          <w:jc w:val="center"/>
        </w:trPr>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巴西</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11.25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14.25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8.90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0.2 </w:t>
            </w:r>
          </w:p>
        </w:tc>
        <w:tc>
          <w:tcPr>
            <w:tcW w:w="0" w:type="auto"/>
            <w:tcBorders>
              <w:top w:val="nil"/>
              <w:left w:val="nil"/>
              <w:bottom w:val="nil"/>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FF0000"/>
                <w:kern w:val="0"/>
              </w:rPr>
              <w:t>(3.2)</w:t>
            </w:r>
          </w:p>
        </w:tc>
      </w:tr>
      <w:tr w:rsidR="00AD6CF9" w:rsidRPr="00131B9D" w:rsidTr="00CD4166">
        <w:trPr>
          <w:gridAfter w:val="3"/>
          <w:trHeight w:val="360"/>
          <w:jc w:val="center"/>
        </w:trPr>
        <w:tc>
          <w:tcPr>
            <w:tcW w:w="0" w:type="auto"/>
            <w:tcBorders>
              <w:top w:val="nil"/>
              <w:left w:val="nil"/>
              <w:right w:val="nil"/>
            </w:tcBorders>
            <w:shd w:val="clear" w:color="auto" w:fill="auto"/>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紐西蘭</w:t>
            </w:r>
          </w:p>
        </w:tc>
        <w:tc>
          <w:tcPr>
            <w:tcW w:w="0" w:type="auto"/>
            <w:tcBorders>
              <w:top w:val="nil"/>
              <w:left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3.50 </w:t>
            </w:r>
          </w:p>
        </w:tc>
        <w:tc>
          <w:tcPr>
            <w:tcW w:w="0" w:type="auto"/>
            <w:tcBorders>
              <w:top w:val="nil"/>
              <w:left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2.75 </w:t>
            </w:r>
          </w:p>
        </w:tc>
        <w:tc>
          <w:tcPr>
            <w:tcW w:w="0" w:type="auto"/>
            <w:tcBorders>
              <w:top w:val="nil"/>
              <w:left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0.40 </w:t>
            </w:r>
          </w:p>
        </w:tc>
        <w:tc>
          <w:tcPr>
            <w:tcW w:w="0" w:type="auto"/>
            <w:tcBorders>
              <w:top w:val="nil"/>
              <w:left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3.0</w:t>
            </w:r>
          </w:p>
        </w:tc>
        <w:tc>
          <w:tcPr>
            <w:tcW w:w="0" w:type="auto"/>
            <w:tcBorders>
              <w:top w:val="nil"/>
              <w:left w:val="nil"/>
              <w:right w:val="nil"/>
            </w:tcBorders>
            <w:shd w:val="clear" w:color="auto" w:fill="auto"/>
            <w:noWrap/>
            <w:vAlign w:val="center"/>
            <w:hideMark/>
          </w:tcPr>
          <w:p w:rsidR="00AD6CF9" w:rsidRPr="00131B9D" w:rsidRDefault="00AD6CF9" w:rsidP="005F3282">
            <w:pPr>
              <w:widowControl/>
              <w:jc w:val="center"/>
              <w:rPr>
                <w:color w:val="000000"/>
                <w:kern w:val="0"/>
              </w:rPr>
            </w:pPr>
            <w:r w:rsidRPr="00131B9D">
              <w:rPr>
                <w:color w:val="000000"/>
                <w:kern w:val="0"/>
              </w:rPr>
              <w:t xml:space="preserve">2.2 </w:t>
            </w:r>
          </w:p>
        </w:tc>
      </w:tr>
      <w:tr w:rsidR="00AD6CF9" w:rsidRPr="00131B9D" w:rsidTr="00CD4166">
        <w:trPr>
          <w:gridAfter w:val="3"/>
          <w:trHeight w:val="360"/>
          <w:jc w:val="center"/>
        </w:trPr>
        <w:tc>
          <w:tcPr>
            <w:tcW w:w="0" w:type="auto"/>
            <w:tcBorders>
              <w:top w:val="nil"/>
              <w:left w:val="nil"/>
              <w:bottom w:val="single" w:sz="12" w:space="0" w:color="auto"/>
              <w:right w:val="nil"/>
            </w:tcBorders>
            <w:shd w:val="clear" w:color="000000" w:fill="92D050"/>
            <w:noWrap/>
            <w:vAlign w:val="center"/>
            <w:hideMark/>
          </w:tcPr>
          <w:p w:rsidR="00AD6CF9" w:rsidRPr="00131B9D" w:rsidRDefault="00AD6CF9" w:rsidP="005F3282">
            <w:pPr>
              <w:widowControl/>
              <w:jc w:val="center"/>
              <w:rPr>
                <w:rFonts w:eastAsia="標楷體"/>
                <w:color w:val="000000"/>
                <w:kern w:val="0"/>
              </w:rPr>
            </w:pPr>
            <w:r w:rsidRPr="00131B9D">
              <w:rPr>
                <w:rFonts w:eastAsia="標楷體"/>
                <w:color w:val="000000"/>
                <w:kern w:val="0"/>
              </w:rPr>
              <w:t>馬來西亞</w:t>
            </w:r>
          </w:p>
        </w:tc>
        <w:tc>
          <w:tcPr>
            <w:tcW w:w="0" w:type="auto"/>
            <w:tcBorders>
              <w:top w:val="nil"/>
              <w:left w:val="nil"/>
              <w:bottom w:val="single" w:sz="12" w:space="0" w:color="auto"/>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3.25 </w:t>
            </w:r>
          </w:p>
        </w:tc>
        <w:tc>
          <w:tcPr>
            <w:tcW w:w="0" w:type="auto"/>
            <w:tcBorders>
              <w:top w:val="nil"/>
              <w:left w:val="nil"/>
              <w:bottom w:val="single" w:sz="12" w:space="0" w:color="auto"/>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3.25 </w:t>
            </w:r>
          </w:p>
        </w:tc>
        <w:tc>
          <w:tcPr>
            <w:tcW w:w="0" w:type="auto"/>
            <w:tcBorders>
              <w:top w:val="nil"/>
              <w:left w:val="nil"/>
              <w:bottom w:val="single" w:sz="12" w:space="0" w:color="auto"/>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2.08 </w:t>
            </w:r>
          </w:p>
        </w:tc>
        <w:tc>
          <w:tcPr>
            <w:tcW w:w="0" w:type="auto"/>
            <w:tcBorders>
              <w:top w:val="nil"/>
              <w:left w:val="nil"/>
              <w:bottom w:val="single" w:sz="12" w:space="0" w:color="auto"/>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6.0 </w:t>
            </w:r>
          </w:p>
        </w:tc>
        <w:tc>
          <w:tcPr>
            <w:tcW w:w="0" w:type="auto"/>
            <w:tcBorders>
              <w:top w:val="nil"/>
              <w:left w:val="nil"/>
              <w:bottom w:val="single" w:sz="12" w:space="0" w:color="auto"/>
              <w:right w:val="nil"/>
            </w:tcBorders>
            <w:shd w:val="clear" w:color="000000" w:fill="92D050"/>
            <w:noWrap/>
            <w:vAlign w:val="center"/>
            <w:hideMark/>
          </w:tcPr>
          <w:p w:rsidR="00AD6CF9" w:rsidRPr="00131B9D" w:rsidRDefault="00AD6CF9" w:rsidP="005F3282">
            <w:pPr>
              <w:widowControl/>
              <w:jc w:val="center"/>
              <w:rPr>
                <w:color w:val="000000"/>
                <w:kern w:val="0"/>
              </w:rPr>
            </w:pPr>
            <w:r w:rsidRPr="00131B9D">
              <w:rPr>
                <w:color w:val="000000"/>
                <w:kern w:val="0"/>
              </w:rPr>
              <w:t xml:space="preserve">4.7 </w:t>
            </w:r>
          </w:p>
        </w:tc>
      </w:tr>
      <w:tr w:rsidR="00AD6CF9" w:rsidRPr="00131B9D" w:rsidTr="00CD4166">
        <w:trPr>
          <w:trHeight w:val="360"/>
          <w:jc w:val="center"/>
        </w:trPr>
        <w:tc>
          <w:tcPr>
            <w:tcW w:w="0" w:type="auto"/>
            <w:gridSpan w:val="6"/>
            <w:tcBorders>
              <w:top w:val="single" w:sz="12" w:space="0" w:color="auto"/>
              <w:left w:val="nil"/>
              <w:bottom w:val="nil"/>
              <w:right w:val="nil"/>
            </w:tcBorders>
            <w:shd w:val="clear" w:color="auto" w:fill="auto"/>
            <w:noWrap/>
            <w:vAlign w:val="center"/>
            <w:hideMark/>
          </w:tcPr>
          <w:p w:rsidR="00AD6CF9" w:rsidRPr="00131B9D" w:rsidRDefault="00AD6CF9" w:rsidP="005F3282">
            <w:pPr>
              <w:widowControl/>
              <w:rPr>
                <w:color w:val="000000"/>
                <w:kern w:val="0"/>
                <w:sz w:val="22"/>
                <w:szCs w:val="22"/>
              </w:rPr>
            </w:pPr>
            <w:r w:rsidRPr="00131B9D">
              <w:rPr>
                <w:rFonts w:eastAsia="標楷體"/>
                <w:color w:val="000000"/>
                <w:kern w:val="0"/>
                <w:sz w:val="22"/>
                <w:szCs w:val="22"/>
              </w:rPr>
              <w:t>資料來源：行政院主計總處、</w:t>
            </w:r>
            <w:r w:rsidRPr="00131B9D">
              <w:rPr>
                <w:color w:val="000000"/>
                <w:kern w:val="0"/>
                <w:sz w:val="22"/>
                <w:szCs w:val="22"/>
              </w:rPr>
              <w:t>Global Insight</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rPr>
                <w:color w:val="000000"/>
                <w:kern w:val="0"/>
                <w:sz w:val="22"/>
                <w:szCs w:val="22"/>
              </w:rPr>
            </w:pP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Times New Roman"/>
                <w:kern w:val="0"/>
                <w:sz w:val="20"/>
                <w:szCs w:val="20"/>
              </w:rPr>
            </w:pP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Times New Roman"/>
                <w:kern w:val="0"/>
                <w:sz w:val="20"/>
                <w:szCs w:val="20"/>
              </w:rPr>
            </w:pPr>
          </w:p>
        </w:tc>
      </w:tr>
      <w:tr w:rsidR="00AD6CF9" w:rsidRPr="00131B9D" w:rsidTr="00CD4166">
        <w:trPr>
          <w:trHeight w:val="360"/>
          <w:jc w:val="center"/>
        </w:trPr>
        <w:tc>
          <w:tcPr>
            <w:tcW w:w="0" w:type="auto"/>
            <w:gridSpan w:val="5"/>
            <w:tcBorders>
              <w:top w:val="nil"/>
              <w:left w:val="nil"/>
              <w:bottom w:val="nil"/>
              <w:right w:val="nil"/>
            </w:tcBorders>
            <w:shd w:val="clear" w:color="auto" w:fill="auto"/>
            <w:noWrap/>
            <w:vAlign w:val="center"/>
            <w:hideMark/>
          </w:tcPr>
          <w:p w:rsidR="00AD6CF9" w:rsidRPr="00131B9D" w:rsidRDefault="00AD6CF9" w:rsidP="005F3282">
            <w:pPr>
              <w:widowControl/>
              <w:rPr>
                <w:color w:val="000000"/>
                <w:kern w:val="0"/>
                <w:sz w:val="20"/>
                <w:szCs w:val="20"/>
              </w:rPr>
            </w:pPr>
            <w:r w:rsidRPr="00131B9D">
              <w:rPr>
                <w:rFonts w:eastAsia="標楷體"/>
                <w:color w:val="000000"/>
                <w:kern w:val="0"/>
                <w:sz w:val="20"/>
                <w:szCs w:val="20"/>
              </w:rPr>
              <w:t>註</w:t>
            </w:r>
            <w:r w:rsidRPr="00131B9D">
              <w:rPr>
                <w:color w:val="000000"/>
                <w:kern w:val="0"/>
                <w:sz w:val="20"/>
                <w:szCs w:val="20"/>
              </w:rPr>
              <w:t>1</w:t>
            </w:r>
            <w:r w:rsidRPr="00131B9D">
              <w:rPr>
                <w:rFonts w:eastAsia="標楷體"/>
                <w:color w:val="000000"/>
                <w:kern w:val="0"/>
                <w:sz w:val="20"/>
                <w:szCs w:val="20"/>
              </w:rPr>
              <w:t>：中國資料為一年期貸款利率</w:t>
            </w: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rPr>
                <w:color w:val="000000"/>
                <w:kern w:val="0"/>
                <w:sz w:val="20"/>
                <w:szCs w:val="20"/>
              </w:rPr>
            </w:pP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Times New Roman"/>
                <w:kern w:val="0"/>
                <w:sz w:val="20"/>
                <w:szCs w:val="20"/>
              </w:rPr>
            </w:pP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Times New Roman"/>
                <w:kern w:val="0"/>
                <w:sz w:val="20"/>
                <w:szCs w:val="20"/>
              </w:rPr>
            </w:pPr>
          </w:p>
        </w:tc>
        <w:tc>
          <w:tcPr>
            <w:tcW w:w="0" w:type="auto"/>
            <w:tcBorders>
              <w:top w:val="nil"/>
              <w:left w:val="nil"/>
              <w:bottom w:val="nil"/>
              <w:right w:val="nil"/>
            </w:tcBorders>
            <w:shd w:val="clear" w:color="auto" w:fill="auto"/>
            <w:noWrap/>
            <w:vAlign w:val="center"/>
            <w:hideMark/>
          </w:tcPr>
          <w:p w:rsidR="00AD6CF9" w:rsidRPr="00131B9D" w:rsidRDefault="00AD6CF9" w:rsidP="005F3282">
            <w:pPr>
              <w:widowControl/>
              <w:jc w:val="center"/>
              <w:rPr>
                <w:rFonts w:eastAsia="Times New Roman"/>
                <w:kern w:val="0"/>
                <w:sz w:val="20"/>
                <w:szCs w:val="20"/>
              </w:rPr>
            </w:pPr>
          </w:p>
        </w:tc>
      </w:tr>
    </w:tbl>
    <w:p w:rsidR="002865CA" w:rsidRPr="00131B9D" w:rsidRDefault="002865CA" w:rsidP="00AD6CF9">
      <w:pPr>
        <w:sectPr w:rsidR="002865CA" w:rsidRPr="00131B9D" w:rsidSect="00097B8D">
          <w:pgSz w:w="11906" w:h="16838"/>
          <w:pgMar w:top="1440" w:right="1800" w:bottom="1440" w:left="1800" w:header="851" w:footer="992" w:gutter="0"/>
          <w:cols w:space="425"/>
          <w:docGrid w:type="lines" w:linePitch="360"/>
        </w:sectPr>
      </w:pPr>
    </w:p>
    <w:p w:rsidR="002865CA" w:rsidRPr="00131B9D" w:rsidRDefault="002865CA" w:rsidP="002865CA">
      <w:pPr>
        <w:pStyle w:val="-"/>
        <w:spacing w:before="72" w:after="72"/>
        <w:ind w:firstLine="560"/>
      </w:pPr>
      <w:r w:rsidRPr="00131B9D">
        <w:lastRenderedPageBreak/>
        <w:t>世界主要國家的利率、物價與經濟成長請參照表</w:t>
      </w:r>
      <w:r w:rsidRPr="00131B9D">
        <w:t>2-1</w:t>
      </w:r>
      <w:r w:rsidRPr="00131B9D">
        <w:t>。過去</w:t>
      </w:r>
      <w:r w:rsidRPr="00131B9D">
        <w:t>1</w:t>
      </w:r>
      <w:r w:rsidRPr="00131B9D">
        <w:t>年以來世界主要國家持續降息，包括臺灣、澳大利亞、中國、印度與紐西蘭等。此外，在眾多國家中，臺灣</w:t>
      </w:r>
      <w:r w:rsidRPr="00131B9D">
        <w:t>2015 CPI</w:t>
      </w:r>
      <w:r w:rsidRPr="00131B9D">
        <w:t>預估值相對較低，</w:t>
      </w:r>
      <w:r w:rsidRPr="00131B9D">
        <w:t>GDP</w:t>
      </w:r>
      <w:r w:rsidRPr="00131B9D">
        <w:t>預測值也並非最優。要率先在美國與眾多亞洲國家中先升息機率不高。</w:t>
      </w:r>
    </w:p>
    <w:p w:rsidR="002865CA" w:rsidRPr="00131B9D" w:rsidRDefault="002865CA" w:rsidP="002865CA"/>
    <w:p w:rsidR="00F87B68" w:rsidRPr="00131B9D" w:rsidRDefault="00F87B68" w:rsidP="00F87B68">
      <w:pPr>
        <w:pStyle w:val="-"/>
        <w:spacing w:before="72" w:after="72"/>
        <w:ind w:firstLineChars="0" w:firstLine="0"/>
        <w:rPr>
          <w:b/>
        </w:rPr>
      </w:pPr>
      <w:r w:rsidRPr="00131B9D">
        <w:rPr>
          <w:b/>
        </w:rPr>
        <w:t>2.</w:t>
      </w:r>
      <w:r w:rsidRPr="00131B9D">
        <w:rPr>
          <w:b/>
          <w:bCs/>
          <w:kern w:val="52"/>
        </w:rPr>
        <w:t xml:space="preserve"> </w:t>
      </w:r>
      <w:r w:rsidRPr="00131B9D">
        <w:rPr>
          <w:b/>
          <w:bCs/>
          <w:kern w:val="52"/>
        </w:rPr>
        <w:t xml:space="preserve">　</w:t>
      </w:r>
      <w:r w:rsidRPr="00131B9D">
        <w:rPr>
          <w:b/>
        </w:rPr>
        <w:t>匯率</w:t>
      </w:r>
    </w:p>
    <w:p w:rsidR="00F87B68" w:rsidRPr="00131B9D" w:rsidRDefault="00F87B68" w:rsidP="00F87B68">
      <w:pPr>
        <w:pStyle w:val="-"/>
        <w:spacing w:before="72" w:after="72"/>
        <w:ind w:firstLine="560"/>
      </w:pPr>
      <w:r w:rsidRPr="00131B9D">
        <w:t>國際大宗原物料價格多以美元進行報價，因此美元走強將對以美元報價的大宗商品價格形成壓力。臺灣多數原料仰賴進口，且匯率走勢主要跟隨美元與人民幣走勢。故當美元走強導致臺幣相對走貶時，進口原物料成本上升，則可預期未來將有一</w:t>
      </w:r>
      <w:r w:rsidR="00B22890" w:rsidRPr="00131B9D">
        <w:t>部分</w:t>
      </w:r>
      <w:r w:rsidRPr="00131B9D">
        <w:t>成本陸續轉嫁給消費者，影響國內民生價格走勢。因此，檢視美元指數與匯率市場表現，可以解釋為部分大宗原物料價格變化的成因。</w:t>
      </w:r>
    </w:p>
    <w:p w:rsidR="00F87B68" w:rsidRPr="00131B9D" w:rsidRDefault="00F87B68" w:rsidP="00F87B68">
      <w:pPr>
        <w:pStyle w:val="-"/>
        <w:spacing w:before="72" w:after="72"/>
        <w:ind w:firstLine="560"/>
      </w:pPr>
      <w:r w:rsidRPr="00131B9D">
        <w:t>臺灣利率走勢與美元、日圓、韓元與人民幣走勢有一定關聯性，因此，觀察美元指數與亞洲重要貨幣表現能提供相關資訊以推估台幣後續走勢。</w:t>
      </w:r>
    </w:p>
    <w:p w:rsidR="00F87B68" w:rsidRPr="00131B9D" w:rsidRDefault="00F87B68" w:rsidP="00F87B68">
      <w:pPr>
        <w:pStyle w:val="-"/>
        <w:spacing w:before="72" w:after="72"/>
        <w:ind w:firstLineChars="0" w:firstLine="0"/>
        <w:rPr>
          <w:b/>
        </w:rPr>
      </w:pPr>
      <w:r w:rsidRPr="00131B9D">
        <w:rPr>
          <w:b/>
        </w:rPr>
        <w:t>(1)</w:t>
      </w:r>
      <w:r w:rsidRPr="00131B9D">
        <w:rPr>
          <w:b/>
          <w:bCs/>
          <w:kern w:val="52"/>
        </w:rPr>
        <w:t xml:space="preserve"> </w:t>
      </w:r>
      <w:r w:rsidRPr="00131B9D">
        <w:rPr>
          <w:b/>
          <w:bCs/>
          <w:kern w:val="52"/>
        </w:rPr>
        <w:t xml:space="preserve">　</w:t>
      </w:r>
      <w:r w:rsidRPr="00131B9D">
        <w:rPr>
          <w:b/>
        </w:rPr>
        <w:t>美元指數</w:t>
      </w:r>
    </w:p>
    <w:p w:rsidR="002865CA" w:rsidRPr="00131B9D" w:rsidRDefault="002865CA" w:rsidP="002865CA">
      <w:pPr>
        <w:pStyle w:val="-"/>
        <w:spacing w:before="72" w:after="72"/>
        <w:ind w:firstLine="560"/>
      </w:pPr>
      <w:r w:rsidRPr="00131B9D">
        <w:t>判斷美元指數走勢主要有三面向，分別為美國經濟指標表現、美國貨幣政策動向</w:t>
      </w:r>
      <w:r w:rsidRPr="00131B9D">
        <w:t>(</w:t>
      </w:r>
      <w:r w:rsidRPr="00131B9D">
        <w:t>升息</w:t>
      </w:r>
      <w:r w:rsidRPr="00131B9D">
        <w:t>)</w:t>
      </w:r>
      <w:r w:rsidRPr="00131B9D">
        <w:t>與美元指數組成之六國貨幣表現。首先，在經濟指標表現上，</w:t>
      </w:r>
      <w:r w:rsidRPr="00131B9D">
        <w:t>6</w:t>
      </w:r>
      <w:r w:rsidRPr="00131B9D">
        <w:t>月</w:t>
      </w:r>
      <w:r w:rsidRPr="00131B9D">
        <w:t>24</w:t>
      </w:r>
      <w:r w:rsidRPr="00131B9D">
        <w:t>日公布之</w:t>
      </w:r>
      <w:r w:rsidRPr="00131B9D">
        <w:t>2015</w:t>
      </w:r>
      <w:r w:rsidRPr="00131B9D">
        <w:t>年第</w:t>
      </w:r>
      <w:r w:rsidRPr="00131B9D">
        <w:t>1</w:t>
      </w:r>
      <w:r w:rsidRPr="00131B9D">
        <w:t>季</w:t>
      </w:r>
      <w:r w:rsidRPr="00131B9D">
        <w:t>GDP</w:t>
      </w:r>
      <w:r w:rsidRPr="00131B9D">
        <w:t>年成長率終值為</w:t>
      </w:r>
      <w:r w:rsidRPr="00131B9D">
        <w:t>-0.2%</w:t>
      </w:r>
      <w:r w:rsidRPr="00131B9D">
        <w:t>（前值為</w:t>
      </w:r>
      <w:r w:rsidRPr="00131B9D">
        <w:t>-0.7%</w:t>
      </w:r>
      <w:r w:rsidRPr="00131B9D">
        <w:t>），負成長導因於寒害、強勢美</w:t>
      </w:r>
      <w:r w:rsidR="00971F03" w:rsidRPr="00131B9D">
        <w:t>元</w:t>
      </w:r>
      <w:r w:rsidRPr="00131B9D">
        <w:t>、能源業支出減少以及西岸港口罷工。然其相較前值有上修，原因來自於民間消費成長強勁。個人消費支出年增率由</w:t>
      </w:r>
      <w:r w:rsidRPr="00131B9D">
        <w:t>1.8%</w:t>
      </w:r>
      <w:r w:rsidRPr="00131B9D">
        <w:t>上修至</w:t>
      </w:r>
      <w:r w:rsidRPr="00131B9D">
        <w:t>2.1%</w:t>
      </w:r>
      <w:r w:rsidRPr="00131B9D">
        <w:t>，高於預估之</w:t>
      </w:r>
      <w:r w:rsidRPr="00131B9D">
        <w:t>1.9%</w:t>
      </w:r>
      <w:r w:rsidRPr="00131B9D">
        <w:t>。此上修助美元小幅度反彈，</w:t>
      </w:r>
      <w:r w:rsidRPr="00131B9D">
        <w:t>7/7</w:t>
      </w:r>
      <w:r w:rsidRPr="00131B9D">
        <w:t>日美元回升至</w:t>
      </w:r>
      <w:r w:rsidRPr="00131B9D">
        <w:t>97.08</w:t>
      </w:r>
      <w:r w:rsidRPr="00131B9D">
        <w:t>。其它數據如：</w:t>
      </w:r>
      <w:r w:rsidRPr="00131B9D">
        <w:t>5</w:t>
      </w:r>
      <w:r w:rsidRPr="00131B9D">
        <w:t>月新屋銷量為</w:t>
      </w:r>
      <w:r w:rsidRPr="00131B9D">
        <w:t>54.6</w:t>
      </w:r>
      <w:r w:rsidRPr="00131B9D">
        <w:t>萬棟，創</w:t>
      </w:r>
      <w:r w:rsidRPr="00131B9D">
        <w:t>7</w:t>
      </w:r>
      <w:r w:rsidRPr="00131B9D">
        <w:t>年高點；</w:t>
      </w:r>
      <w:r w:rsidRPr="00131B9D">
        <w:t>6</w:t>
      </w:r>
      <w:r w:rsidRPr="00131B9D">
        <w:t>月非農就業人數增加</w:t>
      </w:r>
      <w:r w:rsidRPr="00131B9D">
        <w:t>22.3</w:t>
      </w:r>
      <w:r w:rsidRPr="00131B9D">
        <w:t>萬；</w:t>
      </w:r>
      <w:r w:rsidRPr="00131B9D">
        <w:t>6</w:t>
      </w:r>
      <w:r w:rsidRPr="00131B9D">
        <w:t>月失業率自</w:t>
      </w:r>
      <w:r w:rsidRPr="00131B9D">
        <w:t>5.5%</w:t>
      </w:r>
      <w:r w:rsidRPr="00131B9D">
        <w:t>下降為</w:t>
      </w:r>
      <w:r w:rsidRPr="00131B9D">
        <w:t>5.3%</w:t>
      </w:r>
      <w:r w:rsidRPr="00131B9D">
        <w:t>，創下自</w:t>
      </w:r>
      <w:r w:rsidRPr="00131B9D">
        <w:t>2008</w:t>
      </w:r>
      <w:r w:rsidRPr="00131B9D">
        <w:t>年</w:t>
      </w:r>
      <w:r w:rsidRPr="00131B9D">
        <w:t>4</w:t>
      </w:r>
      <w:r w:rsidRPr="00131B9D">
        <w:t>月以來最低水</w:t>
      </w:r>
      <w:r w:rsidR="00584C57" w:rsidRPr="00131B9D">
        <w:t>準</w:t>
      </w:r>
      <w:r w:rsidRPr="00131B9D">
        <w:t>。</w:t>
      </w:r>
    </w:p>
    <w:p w:rsidR="00F87B68" w:rsidRPr="00131B9D" w:rsidRDefault="00F87B68" w:rsidP="00F87B68">
      <w:pPr>
        <w:pStyle w:val="-"/>
        <w:spacing w:before="72" w:after="72"/>
        <w:ind w:firstLine="560"/>
      </w:pPr>
      <w:r w:rsidRPr="00131B9D">
        <w:t>根據美國商務院</w:t>
      </w:r>
      <w:r w:rsidRPr="00131B9D">
        <w:t>9</w:t>
      </w:r>
      <w:r w:rsidRPr="00131B9D">
        <w:t>月</w:t>
      </w:r>
      <w:r w:rsidRPr="00131B9D">
        <w:t>25</w:t>
      </w:r>
      <w:r w:rsidRPr="00131B9D">
        <w:t>日發布數據，美國第</w:t>
      </w:r>
      <w:r w:rsidRPr="00131B9D">
        <w:t>2</w:t>
      </w:r>
      <w:r w:rsidRPr="00131B9D">
        <w:t>季</w:t>
      </w:r>
      <w:r w:rsidRPr="00131B9D">
        <w:t>GDP</w:t>
      </w:r>
      <w:r w:rsidRPr="00131B9D">
        <w:t>季增率轉</w:t>
      </w:r>
      <w:r w:rsidRPr="00131B9D">
        <w:lastRenderedPageBreak/>
        <w:t>換年率上修至</w:t>
      </w:r>
      <w:r w:rsidRPr="00131B9D">
        <w:t>3.9%</w:t>
      </w:r>
      <w:r w:rsidRPr="00131B9D">
        <w:t>，超出市場預期之</w:t>
      </w:r>
      <w:r w:rsidRPr="00131B9D">
        <w:t>3.7%</w:t>
      </w:r>
      <w:r w:rsidRPr="00131B9D">
        <w:t>。此外，美國</w:t>
      </w:r>
      <w:r w:rsidRPr="00131B9D">
        <w:t>8</w:t>
      </w:r>
      <w:r w:rsidRPr="00131B9D">
        <w:t>月新屋銷量則回升至</w:t>
      </w:r>
      <w:r w:rsidRPr="00131B9D">
        <w:t>52.9</w:t>
      </w:r>
      <w:r w:rsidRPr="00131B9D">
        <w:t>萬棟。雖因中國經濟成長趨緩以及</w:t>
      </w:r>
      <w:r w:rsidRPr="00131B9D">
        <w:t xml:space="preserve"> Fed 9</w:t>
      </w:r>
      <w:r w:rsidRPr="00131B9D">
        <w:t>月宣布暫緩升息等因素影響，美元指數一度回跌至</w:t>
      </w:r>
      <w:r w:rsidRPr="00131B9D">
        <w:t>94.43</w:t>
      </w:r>
      <w:r w:rsidRPr="00131B9D">
        <w:t>，但仍維持在相對高點，因此亞洲貨幣走勢相對承壓（圖</w:t>
      </w:r>
      <w:r w:rsidRPr="00131B9D">
        <w:t>2-</w:t>
      </w:r>
      <w:r w:rsidR="002865CA" w:rsidRPr="00131B9D">
        <w:t>6</w:t>
      </w:r>
      <w:r w:rsidRPr="00131B9D">
        <w:t>）。</w:t>
      </w:r>
    </w:p>
    <w:p w:rsidR="00F87B68" w:rsidRPr="00131B9D" w:rsidRDefault="00F87B68" w:rsidP="00F87B68"/>
    <w:tbl>
      <w:tblPr>
        <w:tblW w:w="8931" w:type="dxa"/>
        <w:jc w:val="center"/>
        <w:tblCellMar>
          <w:left w:w="28" w:type="dxa"/>
          <w:right w:w="28" w:type="dxa"/>
        </w:tblCellMar>
        <w:tblLook w:val="04A0" w:firstRow="1" w:lastRow="0" w:firstColumn="1" w:lastColumn="0" w:noHBand="0" w:noVBand="1"/>
      </w:tblPr>
      <w:tblGrid>
        <w:gridCol w:w="4869"/>
        <w:gridCol w:w="4869"/>
      </w:tblGrid>
      <w:tr w:rsidR="00F87B68" w:rsidRPr="00131B9D" w:rsidTr="00971F03">
        <w:trPr>
          <w:trHeight w:val="2302"/>
          <w:jc w:val="center"/>
        </w:trPr>
        <w:tc>
          <w:tcPr>
            <w:tcW w:w="0" w:type="auto"/>
            <w:shd w:val="clear" w:color="auto" w:fill="auto"/>
          </w:tcPr>
          <w:p w:rsidR="00F87B68" w:rsidRPr="00131B9D" w:rsidRDefault="00F87B68" w:rsidP="005F3282">
            <w:pPr>
              <w:adjustRightInd w:val="0"/>
              <w:snapToGrid w:val="0"/>
              <w:spacing w:line="0" w:lineRule="atLeast"/>
              <w:rPr>
                <w:sz w:val="23"/>
                <w:szCs w:val="23"/>
              </w:rPr>
            </w:pPr>
            <w:r w:rsidRPr="00131B9D">
              <w:rPr>
                <w:noProof/>
                <w:sz w:val="23"/>
                <w:szCs w:val="23"/>
              </w:rPr>
              <w:drawing>
                <wp:inline distT="0" distB="0" distL="0" distR="0" wp14:anchorId="41667EDE" wp14:editId="141DE8FC">
                  <wp:extent cx="3056255" cy="1551305"/>
                  <wp:effectExtent l="0" t="0" r="0" b="0"/>
                  <wp:docPr id="2" name="圖片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56255" cy="1551305"/>
                          </a:xfrm>
                          <a:prstGeom prst="rect">
                            <a:avLst/>
                          </a:prstGeom>
                          <a:noFill/>
                        </pic:spPr>
                      </pic:pic>
                    </a:graphicData>
                  </a:graphic>
                </wp:inline>
              </w:drawing>
            </w:r>
          </w:p>
        </w:tc>
        <w:tc>
          <w:tcPr>
            <w:tcW w:w="4778" w:type="dxa"/>
            <w:shd w:val="clear" w:color="auto" w:fill="auto"/>
          </w:tcPr>
          <w:p w:rsidR="00F87B68" w:rsidRPr="00131B9D" w:rsidRDefault="00F87B68" w:rsidP="005F3282">
            <w:pPr>
              <w:adjustRightInd w:val="0"/>
              <w:snapToGrid w:val="0"/>
              <w:spacing w:line="0" w:lineRule="atLeast"/>
              <w:rPr>
                <w:sz w:val="23"/>
                <w:szCs w:val="23"/>
              </w:rPr>
            </w:pPr>
            <w:r w:rsidRPr="00131B9D">
              <w:rPr>
                <w:noProof/>
                <w:sz w:val="23"/>
                <w:szCs w:val="23"/>
              </w:rPr>
              <w:drawing>
                <wp:inline distT="0" distB="0" distL="0" distR="0" wp14:anchorId="5A7FD952" wp14:editId="75C10D75">
                  <wp:extent cx="3056255" cy="1551305"/>
                  <wp:effectExtent l="0" t="0" r="0" b="0"/>
                  <wp:docPr id="48" name="圖片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56255" cy="1551305"/>
                          </a:xfrm>
                          <a:prstGeom prst="rect">
                            <a:avLst/>
                          </a:prstGeom>
                          <a:noFill/>
                        </pic:spPr>
                      </pic:pic>
                    </a:graphicData>
                  </a:graphic>
                </wp:inline>
              </w:drawing>
            </w:r>
          </w:p>
        </w:tc>
      </w:tr>
      <w:tr w:rsidR="00F87B68" w:rsidRPr="00131B9D" w:rsidTr="00971F03">
        <w:tblPrEx>
          <w:tblCellMar>
            <w:left w:w="108" w:type="dxa"/>
            <w:right w:w="108" w:type="dxa"/>
          </w:tblCellMar>
        </w:tblPrEx>
        <w:trPr>
          <w:jc w:val="center"/>
        </w:trPr>
        <w:tc>
          <w:tcPr>
            <w:tcW w:w="0" w:type="auto"/>
            <w:shd w:val="clear" w:color="auto" w:fill="auto"/>
          </w:tcPr>
          <w:p w:rsidR="00F87B68" w:rsidRPr="00131B9D" w:rsidRDefault="00F87B68" w:rsidP="005F3282">
            <w:pPr>
              <w:adjustRightInd w:val="0"/>
              <w:snapToGrid w:val="0"/>
              <w:spacing w:line="0" w:lineRule="atLeast"/>
              <w:jc w:val="center"/>
              <w:rPr>
                <w:sz w:val="23"/>
                <w:szCs w:val="23"/>
              </w:rPr>
            </w:pPr>
            <w:r w:rsidRPr="00131B9D">
              <w:rPr>
                <w:sz w:val="23"/>
                <w:szCs w:val="23"/>
              </w:rPr>
              <w:t xml:space="preserve">Panel A </w:t>
            </w:r>
            <w:r w:rsidRPr="00131B9D">
              <w:rPr>
                <w:sz w:val="23"/>
                <w:szCs w:val="23"/>
              </w:rPr>
              <w:t>美元指數</w:t>
            </w:r>
          </w:p>
        </w:tc>
        <w:tc>
          <w:tcPr>
            <w:tcW w:w="4778" w:type="dxa"/>
            <w:shd w:val="clear" w:color="auto" w:fill="auto"/>
          </w:tcPr>
          <w:p w:rsidR="00F87B68" w:rsidRPr="00131B9D" w:rsidRDefault="00F87B68" w:rsidP="005F3282">
            <w:pPr>
              <w:adjustRightInd w:val="0"/>
              <w:snapToGrid w:val="0"/>
              <w:spacing w:line="0" w:lineRule="atLeast"/>
              <w:jc w:val="center"/>
              <w:rPr>
                <w:sz w:val="23"/>
                <w:szCs w:val="23"/>
              </w:rPr>
            </w:pPr>
            <w:r w:rsidRPr="00131B9D">
              <w:rPr>
                <w:sz w:val="23"/>
                <w:szCs w:val="23"/>
              </w:rPr>
              <w:t xml:space="preserve">Panel B </w:t>
            </w:r>
            <w:r w:rsidRPr="00131B9D">
              <w:rPr>
                <w:sz w:val="23"/>
                <w:szCs w:val="23"/>
              </w:rPr>
              <w:t>美國新屋銷量</w:t>
            </w:r>
          </w:p>
        </w:tc>
      </w:tr>
      <w:tr w:rsidR="00F87B68" w:rsidRPr="00131B9D" w:rsidTr="00971F03">
        <w:tblPrEx>
          <w:tblCellMar>
            <w:left w:w="108" w:type="dxa"/>
            <w:right w:w="108" w:type="dxa"/>
          </w:tblCellMar>
        </w:tblPrEx>
        <w:trPr>
          <w:jc w:val="center"/>
        </w:trPr>
        <w:tc>
          <w:tcPr>
            <w:tcW w:w="8931" w:type="dxa"/>
            <w:gridSpan w:val="2"/>
            <w:shd w:val="clear" w:color="auto" w:fill="auto"/>
          </w:tcPr>
          <w:p w:rsidR="00F87B68" w:rsidRPr="00131B9D" w:rsidRDefault="00F87B68" w:rsidP="005F3282">
            <w:pPr>
              <w:adjustRightInd w:val="0"/>
              <w:snapToGrid w:val="0"/>
              <w:spacing w:line="0" w:lineRule="atLeast"/>
              <w:ind w:leftChars="-14" w:left="4" w:hangingChars="19" w:hanging="38"/>
              <w:rPr>
                <w:sz w:val="23"/>
                <w:szCs w:val="23"/>
              </w:rPr>
            </w:pPr>
            <w:r w:rsidRPr="00131B9D">
              <w:rPr>
                <w:sz w:val="20"/>
                <w:szCs w:val="20"/>
              </w:rPr>
              <w:t>資料來源：</w:t>
            </w:r>
            <w:r w:rsidRPr="00131B9D">
              <w:rPr>
                <w:sz w:val="20"/>
                <w:szCs w:val="20"/>
              </w:rPr>
              <w:t>www.investing.com</w:t>
            </w:r>
            <w:r w:rsidRPr="00131B9D">
              <w:rPr>
                <w:sz w:val="20"/>
                <w:szCs w:val="20"/>
              </w:rPr>
              <w:t>，臺灣經濟新報，中經院整理。</w:t>
            </w:r>
          </w:p>
        </w:tc>
      </w:tr>
    </w:tbl>
    <w:p w:rsidR="00F87B68" w:rsidRPr="00131B9D" w:rsidRDefault="00F87B68" w:rsidP="00F87B68">
      <w:pPr>
        <w:pStyle w:val="afff5"/>
        <w:spacing w:line="0" w:lineRule="atLeast"/>
        <w:jc w:val="center"/>
        <w:rPr>
          <w:rFonts w:eastAsia="標楷體"/>
          <w:b/>
          <w:bCs/>
          <w:kern w:val="52"/>
          <w:sz w:val="28"/>
          <w:szCs w:val="28"/>
        </w:rPr>
      </w:pPr>
      <w:bookmarkStart w:id="18" w:name="_Toc438823214"/>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6</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 xml:space="preserve"> </w:t>
      </w:r>
      <w:r w:rsidRPr="00131B9D">
        <w:rPr>
          <w:rFonts w:eastAsia="標楷體"/>
          <w:b/>
          <w:bCs/>
          <w:kern w:val="52"/>
          <w:sz w:val="28"/>
          <w:szCs w:val="28"/>
        </w:rPr>
        <w:t>美元指數與美國經濟指標表現</w:t>
      </w:r>
      <w:bookmarkEnd w:id="18"/>
    </w:p>
    <w:p w:rsidR="00F87B68" w:rsidRPr="00131B9D" w:rsidRDefault="00F87B68" w:rsidP="00F87B68">
      <w:pPr>
        <w:pStyle w:val="-"/>
        <w:spacing w:before="72" w:after="72"/>
        <w:ind w:firstLineChars="0" w:firstLine="0"/>
        <w:rPr>
          <w:b/>
        </w:rPr>
      </w:pPr>
      <w:bookmarkStart w:id="19" w:name="_GoBack"/>
      <w:bookmarkEnd w:id="19"/>
      <w:r w:rsidRPr="00131B9D">
        <w:rPr>
          <w:b/>
        </w:rPr>
        <w:t>(2)</w:t>
      </w:r>
      <w:r w:rsidRPr="00131B9D">
        <w:rPr>
          <w:b/>
          <w:bCs/>
          <w:kern w:val="52"/>
        </w:rPr>
        <w:t xml:space="preserve"> </w:t>
      </w:r>
      <w:r w:rsidRPr="00131B9D">
        <w:rPr>
          <w:b/>
          <w:bCs/>
          <w:kern w:val="52"/>
        </w:rPr>
        <w:t xml:space="preserve">　</w:t>
      </w:r>
      <w:r w:rsidRPr="00131B9D">
        <w:rPr>
          <w:b/>
        </w:rPr>
        <w:t>亞洲主要貨幣兌美元多走貶</w:t>
      </w:r>
    </w:p>
    <w:p w:rsidR="00F87B68" w:rsidRPr="00131B9D" w:rsidRDefault="00F87B68" w:rsidP="00F87B68">
      <w:pPr>
        <w:pStyle w:val="-"/>
        <w:spacing w:before="72" w:after="72"/>
        <w:ind w:firstLine="560"/>
      </w:pPr>
      <w:r w:rsidRPr="00131B9D">
        <w:t>圖</w:t>
      </w:r>
      <w:r w:rsidRPr="00131B9D">
        <w:t>2-</w:t>
      </w:r>
      <w:r w:rsidR="002865CA" w:rsidRPr="00131B9D">
        <w:t>7</w:t>
      </w:r>
      <w:r w:rsidRPr="00131B9D">
        <w:t>顯示</w:t>
      </w:r>
      <w:r w:rsidRPr="00131B9D">
        <w:t>2015</w:t>
      </w:r>
      <w:r w:rsidRPr="00131B9D">
        <w:t>年主要國家對美元匯率走勢，</w:t>
      </w:r>
      <w:r w:rsidRPr="00131B9D">
        <w:t>2015</w:t>
      </w:r>
      <w:r w:rsidRPr="00131B9D">
        <w:t>年初以來亞洲主要貨幣兌美元多持續</w:t>
      </w:r>
      <w:r w:rsidRPr="00131B9D">
        <w:t>2014</w:t>
      </w:r>
      <w:r w:rsidRPr="00131B9D">
        <w:t>年來之走貶趨勢。在亞洲國家中，以馬來西亞兌美元貶值幅度最大，</w:t>
      </w:r>
      <w:r w:rsidRPr="00131B9D">
        <w:t>2015</w:t>
      </w:r>
      <w:r w:rsidRPr="00131B9D">
        <w:t>年迄今貶值達</w:t>
      </w:r>
      <w:r w:rsidRPr="00131B9D">
        <w:t>23.63%</w:t>
      </w:r>
      <w:r w:rsidRPr="00131B9D">
        <w:t>，若併計</w:t>
      </w:r>
      <w:r w:rsidRPr="00131B9D">
        <w:t>2014</w:t>
      </w:r>
      <w:r w:rsidRPr="00131B9D">
        <w:t>年跌幅，則跌幅超過</w:t>
      </w:r>
      <w:r w:rsidRPr="00131B9D">
        <w:t>25%</w:t>
      </w:r>
      <w:r w:rsidRPr="00131B9D">
        <w:t>以上，韓元與人民幣兌美元分別貶值</w:t>
      </w:r>
      <w:r w:rsidRPr="00131B9D">
        <w:t>4.86%</w:t>
      </w:r>
      <w:r w:rsidRPr="00131B9D">
        <w:t>與</w:t>
      </w:r>
      <w:r w:rsidRPr="00131B9D">
        <w:t>2.48%</w:t>
      </w:r>
      <w:r w:rsidRPr="00131B9D">
        <w:t>，台幣兌美元貶值約</w:t>
      </w:r>
      <w:r w:rsidRPr="00131B9D">
        <w:t>2.82%</w:t>
      </w:r>
      <w:r w:rsidRPr="00131B9D">
        <w:t>，而日圓兌美元則貶值</w:t>
      </w:r>
      <w:r w:rsidRPr="00131B9D">
        <w:t>1.92%</w:t>
      </w:r>
      <w:r w:rsidRPr="00131B9D">
        <w:t>。</w:t>
      </w:r>
    </w:p>
    <w:tbl>
      <w:tblPr>
        <w:tblW w:w="9463" w:type="dxa"/>
        <w:jc w:val="center"/>
        <w:tblCellMar>
          <w:left w:w="28" w:type="dxa"/>
          <w:right w:w="28" w:type="dxa"/>
        </w:tblCellMar>
        <w:tblLook w:val="04A0" w:firstRow="1" w:lastRow="0" w:firstColumn="1" w:lastColumn="0" w:noHBand="0" w:noVBand="1"/>
      </w:tblPr>
      <w:tblGrid>
        <w:gridCol w:w="9463"/>
      </w:tblGrid>
      <w:tr w:rsidR="00F87B68" w:rsidRPr="00131B9D" w:rsidTr="005F3282">
        <w:trPr>
          <w:trHeight w:val="20"/>
          <w:jc w:val="center"/>
        </w:trPr>
        <w:tc>
          <w:tcPr>
            <w:tcW w:w="9463" w:type="dxa"/>
            <w:shd w:val="clear" w:color="auto" w:fill="auto"/>
          </w:tcPr>
          <w:p w:rsidR="00F87B68" w:rsidRPr="00131B9D" w:rsidRDefault="00F87B68" w:rsidP="002865CA">
            <w:pPr>
              <w:jc w:val="center"/>
              <w:rPr>
                <w:rFonts w:eastAsia="SimSun"/>
                <w:sz w:val="20"/>
                <w:szCs w:val="20"/>
                <w:lang w:eastAsia="zh-CN"/>
              </w:rPr>
            </w:pPr>
            <w:r w:rsidRPr="00131B9D">
              <w:rPr>
                <w:noProof/>
              </w:rPr>
              <w:drawing>
                <wp:inline distT="0" distB="0" distL="0" distR="0" wp14:anchorId="0A2E2636" wp14:editId="277C9DE4">
                  <wp:extent cx="5733495" cy="2066925"/>
                  <wp:effectExtent l="0" t="0" r="635" b="0"/>
                  <wp:docPr id="51" name="圖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2992" cy="2073954"/>
                          </a:xfrm>
                          <a:prstGeom prst="rect">
                            <a:avLst/>
                          </a:prstGeom>
                          <a:noFill/>
                        </pic:spPr>
                      </pic:pic>
                    </a:graphicData>
                  </a:graphic>
                </wp:inline>
              </w:drawing>
            </w:r>
          </w:p>
        </w:tc>
      </w:tr>
      <w:tr w:rsidR="00F87B68" w:rsidRPr="00131B9D" w:rsidTr="005F3282">
        <w:tblPrEx>
          <w:tblCellMar>
            <w:left w:w="108" w:type="dxa"/>
            <w:right w:w="108" w:type="dxa"/>
          </w:tblCellMar>
        </w:tblPrEx>
        <w:trPr>
          <w:trHeight w:val="20"/>
          <w:jc w:val="center"/>
        </w:trPr>
        <w:tc>
          <w:tcPr>
            <w:tcW w:w="9463" w:type="dxa"/>
            <w:shd w:val="clear" w:color="auto" w:fill="auto"/>
          </w:tcPr>
          <w:p w:rsidR="00F87B68" w:rsidRPr="00131B9D" w:rsidRDefault="00F87B68" w:rsidP="005F3282">
            <w:pPr>
              <w:adjustRightInd w:val="0"/>
              <w:snapToGrid w:val="0"/>
              <w:spacing w:line="0" w:lineRule="atLeast"/>
              <w:ind w:firstLineChars="247" w:firstLine="494"/>
              <w:rPr>
                <w:rFonts w:eastAsia="SimSun"/>
                <w:sz w:val="20"/>
                <w:szCs w:val="20"/>
                <w:lang w:eastAsia="zh-CN"/>
              </w:rPr>
            </w:pPr>
            <w:r w:rsidRPr="00131B9D">
              <w:rPr>
                <w:sz w:val="20"/>
                <w:szCs w:val="20"/>
              </w:rPr>
              <w:t>說明：統計至</w:t>
            </w:r>
            <w:r w:rsidRPr="00131B9D">
              <w:rPr>
                <w:sz w:val="20"/>
                <w:szCs w:val="20"/>
              </w:rPr>
              <w:t>2015</w:t>
            </w:r>
            <w:r w:rsidRPr="00131B9D">
              <w:rPr>
                <w:sz w:val="20"/>
                <w:szCs w:val="20"/>
              </w:rPr>
              <w:t>年</w:t>
            </w:r>
            <w:r w:rsidRPr="00131B9D">
              <w:rPr>
                <w:sz w:val="20"/>
                <w:szCs w:val="20"/>
              </w:rPr>
              <w:t>11</w:t>
            </w:r>
            <w:r w:rsidRPr="00131B9D">
              <w:rPr>
                <w:sz w:val="20"/>
                <w:szCs w:val="20"/>
              </w:rPr>
              <w:t>月</w:t>
            </w:r>
            <w:r w:rsidRPr="00131B9D">
              <w:rPr>
                <w:sz w:val="20"/>
                <w:szCs w:val="20"/>
              </w:rPr>
              <w:t>13</w:t>
            </w:r>
            <w:r w:rsidRPr="00131B9D">
              <w:rPr>
                <w:sz w:val="20"/>
                <w:szCs w:val="20"/>
              </w:rPr>
              <w:t>日，正值表示兌美元升值，負值則爲貶值。</w:t>
            </w:r>
          </w:p>
        </w:tc>
      </w:tr>
      <w:tr w:rsidR="00F87B68" w:rsidRPr="00131B9D" w:rsidTr="005F3282">
        <w:tblPrEx>
          <w:tblCellMar>
            <w:left w:w="108" w:type="dxa"/>
            <w:right w:w="108" w:type="dxa"/>
          </w:tblCellMar>
        </w:tblPrEx>
        <w:trPr>
          <w:trHeight w:val="20"/>
          <w:jc w:val="center"/>
        </w:trPr>
        <w:tc>
          <w:tcPr>
            <w:tcW w:w="9463" w:type="dxa"/>
            <w:shd w:val="clear" w:color="auto" w:fill="auto"/>
          </w:tcPr>
          <w:p w:rsidR="00F87B68" w:rsidRPr="00131B9D" w:rsidRDefault="00F87B68" w:rsidP="005F3282">
            <w:pPr>
              <w:adjustRightInd w:val="0"/>
              <w:snapToGrid w:val="0"/>
              <w:spacing w:line="0" w:lineRule="atLeast"/>
              <w:ind w:firstLineChars="247" w:firstLine="494"/>
              <w:rPr>
                <w:sz w:val="23"/>
                <w:szCs w:val="23"/>
                <w:lang w:eastAsia="zh-CN"/>
              </w:rPr>
            </w:pPr>
            <w:r w:rsidRPr="00131B9D">
              <w:rPr>
                <w:sz w:val="20"/>
                <w:szCs w:val="20"/>
              </w:rPr>
              <w:t>資料來源：臺灣經濟新報，中經院整理。</w:t>
            </w:r>
          </w:p>
        </w:tc>
      </w:tr>
    </w:tbl>
    <w:p w:rsidR="00F87B68" w:rsidRPr="00131B9D" w:rsidRDefault="00F87B68" w:rsidP="00F87B68">
      <w:pPr>
        <w:pStyle w:val="afff5"/>
        <w:spacing w:line="0" w:lineRule="atLeast"/>
        <w:jc w:val="center"/>
        <w:rPr>
          <w:rFonts w:eastAsia="標楷體"/>
          <w:b/>
          <w:bCs/>
          <w:kern w:val="52"/>
          <w:sz w:val="28"/>
          <w:szCs w:val="28"/>
        </w:rPr>
      </w:pPr>
      <w:bookmarkStart w:id="20" w:name="_Toc438823215"/>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7</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2015</w:t>
      </w:r>
      <w:r w:rsidRPr="00131B9D">
        <w:rPr>
          <w:rFonts w:eastAsia="標楷體"/>
          <w:b/>
          <w:bCs/>
          <w:kern w:val="52"/>
          <w:sz w:val="28"/>
          <w:szCs w:val="28"/>
        </w:rPr>
        <w:t>年以來各國貨幣兌美元匯率升貶幅度</w:t>
      </w:r>
      <w:bookmarkEnd w:id="20"/>
    </w:p>
    <w:p w:rsidR="002865CA" w:rsidRPr="00131B9D" w:rsidRDefault="002865CA" w:rsidP="00406AF9">
      <w:pPr>
        <w:sectPr w:rsidR="002865CA" w:rsidRPr="00131B9D" w:rsidSect="00097B8D">
          <w:pgSz w:w="11906" w:h="16838"/>
          <w:pgMar w:top="1440" w:right="1800" w:bottom="1440" w:left="1800" w:header="851" w:footer="992" w:gutter="0"/>
          <w:cols w:space="425"/>
          <w:docGrid w:type="lines" w:linePitch="360"/>
        </w:sectPr>
      </w:pPr>
    </w:p>
    <w:p w:rsidR="007850BB" w:rsidRPr="00131B9D" w:rsidRDefault="007850BB" w:rsidP="007850BB">
      <w:pPr>
        <w:pStyle w:val="3"/>
        <w:rPr>
          <w:rFonts w:ascii="Times New Roman" w:hAnsi="Times New Roman"/>
        </w:rPr>
      </w:pPr>
      <w:r w:rsidRPr="00131B9D">
        <w:rPr>
          <w:rFonts w:ascii="Times New Roman" w:hAnsi="Times New Roman"/>
        </w:rPr>
        <w:lastRenderedPageBreak/>
        <w:t>（三）股市</w:t>
      </w:r>
    </w:p>
    <w:p w:rsidR="007850BB" w:rsidRPr="00131B9D" w:rsidRDefault="007850BB" w:rsidP="005C4854">
      <w:pPr>
        <w:pStyle w:val="-"/>
        <w:spacing w:before="72" w:after="72"/>
        <w:ind w:firstLine="560"/>
      </w:pPr>
      <w:r w:rsidRPr="00131B9D">
        <w:t>自</w:t>
      </w:r>
      <w:r w:rsidRPr="00131B9D">
        <w:t>2014</w:t>
      </w:r>
      <w:r w:rsidRPr="00131B9D">
        <w:t>年以來，中國大陸官方連續四次降息，輔以扶持</w:t>
      </w:r>
      <w:r w:rsidRPr="00131B9D">
        <w:t xml:space="preserve"> IT</w:t>
      </w:r>
      <w:r w:rsidRPr="00131B9D">
        <w:t>、醫療等中小企業的措施，希望以股市財富效果刺激消費，使企業得到喘息空間。從政治與社會面來看，股市飆漲能掩蓋經濟不振的頹勢，帶來痲痺效果。高盛研究</w:t>
      </w:r>
      <w:r w:rsidRPr="00131B9D">
        <w:t>(2015/5/5)</w:t>
      </w:r>
      <w:r w:rsidRPr="00131B9D">
        <w:t>亦指出：</w:t>
      </w:r>
      <w:r w:rsidRPr="00131B9D">
        <w:t>2015</w:t>
      </w:r>
      <w:r w:rsidRPr="00131B9D">
        <w:t>年Ｑ</w:t>
      </w:r>
      <w:r w:rsidRPr="00131B9D">
        <w:t>1</w:t>
      </w:r>
      <w:r w:rsidRPr="00131B9D">
        <w:t>股市成交帶動的相關金融交易可讓金融業產值年增率較去年同期提高</w:t>
      </w:r>
      <w:r w:rsidRPr="00131B9D">
        <w:t>6.4</w:t>
      </w:r>
      <w:r w:rsidRPr="00131B9D">
        <w:t>個百分點，可推升</w:t>
      </w:r>
      <w:r w:rsidRPr="00131B9D">
        <w:t>GDP</w:t>
      </w:r>
      <w:r w:rsidRPr="00131B9D">
        <w:t>名目年增率約達</w:t>
      </w:r>
      <w:r w:rsidRPr="00131B9D">
        <w:t>0.5</w:t>
      </w:r>
      <w:r w:rsidRPr="00131B9D">
        <w:t>個百分點。再以中國民眾投資組合中的股票配置比重</w:t>
      </w:r>
      <w:r w:rsidRPr="00131B9D">
        <w:t>(</w:t>
      </w:r>
      <w:r w:rsidRPr="00131B9D">
        <w:t>約</w:t>
      </w:r>
      <w:r w:rsidRPr="00131B9D">
        <w:t>5%~10%)</w:t>
      </w:r>
      <w:r w:rsidRPr="00131B9D">
        <w:t>、股市市值增長並轉為消費比重</w:t>
      </w:r>
      <w:r w:rsidRPr="00131B9D">
        <w:t>(</w:t>
      </w:r>
      <w:r w:rsidRPr="00131B9D">
        <w:t>保守推估約</w:t>
      </w:r>
      <w:r w:rsidRPr="00131B9D">
        <w:t>1%)</w:t>
      </w:r>
      <w:r w:rsidRPr="00131B9D">
        <w:t>來推算，潛在新增總消費金額至少人民幣</w:t>
      </w:r>
      <w:r w:rsidRPr="00131B9D">
        <w:t>1,400</w:t>
      </w:r>
      <w:r w:rsidRPr="00131B9D">
        <w:t>億左右，可推升消費</w:t>
      </w:r>
      <w:r w:rsidRPr="00131B9D">
        <w:t>0.6</w:t>
      </w:r>
      <w:r w:rsidRPr="00131B9D">
        <w:t>個百分點或</w:t>
      </w:r>
      <w:r w:rsidRPr="00131B9D">
        <w:t>GDP0.2</w:t>
      </w:r>
      <w:r w:rsidRPr="00131B9D">
        <w:t>個百分點。然而</w:t>
      </w:r>
      <w:r w:rsidRPr="00131B9D">
        <w:t>6</w:t>
      </w:r>
      <w:r w:rsidRPr="00131B9D">
        <w:t>月的降息並無法抑制股價下跌，若與</w:t>
      </w:r>
      <w:r w:rsidRPr="00131B9D">
        <w:t>2014</w:t>
      </w:r>
      <w:r w:rsidRPr="00131B9D">
        <w:t>年</w:t>
      </w:r>
      <w:r w:rsidRPr="00131B9D">
        <w:t>7</w:t>
      </w:r>
      <w:r w:rsidRPr="00131B9D">
        <w:t>月起漲波段相比，</w:t>
      </w:r>
      <w:r w:rsidR="00F87B68" w:rsidRPr="00131B9D">
        <w:t>上半年累積</w:t>
      </w:r>
      <w:r w:rsidRPr="00131B9D">
        <w:t>跌幅已達</w:t>
      </w:r>
      <w:r w:rsidRPr="00131B9D">
        <w:t>50%</w:t>
      </w:r>
      <w:r w:rsidRPr="00131B9D">
        <w:t>（請見圖</w:t>
      </w:r>
      <w:r w:rsidR="003E0B7E" w:rsidRPr="00131B9D">
        <w:t>2</w:t>
      </w:r>
      <w:r w:rsidR="002865CA" w:rsidRPr="00131B9D">
        <w:t>-8</w:t>
      </w:r>
      <w:r w:rsidRPr="00131B9D">
        <w:t>）。</w:t>
      </w:r>
    </w:p>
    <w:p w:rsidR="007850BB" w:rsidRPr="00131B9D" w:rsidRDefault="007850BB" w:rsidP="005C4854">
      <w:pPr>
        <w:pStyle w:val="-"/>
        <w:spacing w:before="72" w:after="72"/>
        <w:ind w:firstLine="560"/>
      </w:pPr>
      <w:r w:rsidRPr="00131B9D">
        <w:t>市場上認為此次中國股市大跌對</w:t>
      </w:r>
      <w:r w:rsidR="00595FF8" w:rsidRPr="00131B9D">
        <w:t>臺灣</w:t>
      </w:r>
      <w:r w:rsidRPr="00131B9D">
        <w:t>經濟與金融的影響力可能高於希臘公投之影響。另外</w:t>
      </w:r>
      <w:r w:rsidR="00595FF8" w:rsidRPr="00131B9D">
        <w:t>臺灣</w:t>
      </w:r>
      <w:r w:rsidRPr="00131B9D">
        <w:t>出口市場也面臨問題：</w:t>
      </w:r>
      <w:r w:rsidRPr="00131B9D">
        <w:t>2015</w:t>
      </w:r>
      <w:r w:rsidRPr="00131B9D">
        <w:t>年以來中國大陸市場對</w:t>
      </w:r>
      <w:r w:rsidR="00595FF8" w:rsidRPr="00131B9D">
        <w:t>臺灣</w:t>
      </w:r>
      <w:r w:rsidRPr="00131B9D">
        <w:t>出口的負貢獻最大，主要係國際油價低迷、大陸經濟成長減緩及產業供應鏈在地化（紅色供應鏈）。近來台股因受中國股市拖累及國內出口受挫，開始出現走跌現象，</w:t>
      </w:r>
      <w:r w:rsidRPr="00131B9D">
        <w:t>7</w:t>
      </w:r>
      <w:r w:rsidRPr="00131B9D">
        <w:t>月迄今已跌</w:t>
      </w:r>
      <w:r w:rsidRPr="00131B9D">
        <w:t>5.71%</w:t>
      </w:r>
      <w:r w:rsidRPr="00131B9D">
        <w:t>。</w:t>
      </w:r>
    </w:p>
    <w:p w:rsidR="00F87B68" w:rsidRPr="00131B9D" w:rsidRDefault="00F87B68" w:rsidP="00F87B68">
      <w:pPr>
        <w:pStyle w:val="-"/>
        <w:spacing w:before="72" w:after="72"/>
        <w:ind w:firstLine="560"/>
      </w:pPr>
      <w:r w:rsidRPr="00131B9D">
        <w:t>國際金融市場第</w:t>
      </w:r>
      <w:r w:rsidRPr="00131B9D">
        <w:t>3</w:t>
      </w:r>
      <w:r w:rsidRPr="00131B9D">
        <w:t>季創下歐債危機以來最大單季跌幅。其中，中國股市震盪對臺灣經濟與金融的影響力特別顯著，臺灣加權指數一度挫低</w:t>
      </w:r>
      <w:r w:rsidRPr="00131B9D">
        <w:t>12.2%</w:t>
      </w:r>
      <w:r w:rsidRPr="00131B9D">
        <w:t>。由於股市震盪引發之財富效果以及主要國家之間相對匯率變化，使得臺灣出口至中國大陸之産品銷售量下跌。以汽車産業爲例，中國大陸車市</w:t>
      </w:r>
      <w:r w:rsidRPr="00131B9D">
        <w:t>7</w:t>
      </w:r>
      <w:r w:rsidRPr="00131B9D">
        <w:t>月新車銷售更比去年同期衰退</w:t>
      </w:r>
      <w:r w:rsidRPr="00131B9D">
        <w:t>6.6%</w:t>
      </w:r>
      <w:r w:rsidRPr="00131B9D">
        <w:t>，臺灣相關汽車零件用品之出口亦同步受到衝擊。</w:t>
      </w:r>
    </w:p>
    <w:p w:rsidR="00F87B68" w:rsidRPr="00131B9D" w:rsidRDefault="00F87B68" w:rsidP="00F87B68"/>
    <w:p w:rsidR="00F87B68" w:rsidRPr="00131B9D" w:rsidRDefault="00F87B68" w:rsidP="00F87B68">
      <w:pPr>
        <w:spacing w:line="0" w:lineRule="atLeast"/>
        <w:ind w:leftChars="-20" w:left="2" w:hangingChars="21" w:hanging="50"/>
        <w:jc w:val="center"/>
      </w:pPr>
      <w:r w:rsidRPr="00131B9D">
        <w:rPr>
          <w:noProof/>
        </w:rPr>
        <w:lastRenderedPageBreak/>
        <w:drawing>
          <wp:inline distT="0" distB="0" distL="0" distR="0" wp14:anchorId="72C1F71C" wp14:editId="1631F1B9">
            <wp:extent cx="5400040" cy="2171065"/>
            <wp:effectExtent l="0" t="0" r="0" b="635"/>
            <wp:docPr id="54" name="圖片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2171065"/>
                    </a:xfrm>
                    <a:prstGeom prst="rect">
                      <a:avLst/>
                    </a:prstGeom>
                    <a:noFill/>
                  </pic:spPr>
                </pic:pic>
              </a:graphicData>
            </a:graphic>
          </wp:inline>
        </w:drawing>
      </w:r>
    </w:p>
    <w:p w:rsidR="00F87B68" w:rsidRPr="00131B9D" w:rsidRDefault="00F87B68" w:rsidP="00F87B68">
      <w:pPr>
        <w:adjustRightInd w:val="0"/>
        <w:snapToGrid w:val="0"/>
        <w:spacing w:line="0" w:lineRule="atLeast"/>
        <w:rPr>
          <w:sz w:val="20"/>
          <w:szCs w:val="20"/>
        </w:rPr>
      </w:pPr>
      <w:r w:rsidRPr="00131B9D">
        <w:rPr>
          <w:sz w:val="20"/>
          <w:szCs w:val="20"/>
        </w:rPr>
        <w:t>資料來源：臺灣經濟新報、中華經濟研究院整理</w:t>
      </w:r>
    </w:p>
    <w:p w:rsidR="00F87B68" w:rsidRPr="00131B9D" w:rsidRDefault="002865CA" w:rsidP="00F87B68">
      <w:pPr>
        <w:pStyle w:val="afff5"/>
        <w:spacing w:line="0" w:lineRule="atLeast"/>
        <w:jc w:val="center"/>
      </w:pPr>
      <w:bookmarkStart w:id="21" w:name="_Toc438823216"/>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8</w:t>
      </w:r>
      <w:r w:rsidRPr="00131B9D">
        <w:rPr>
          <w:rFonts w:eastAsia="標楷體"/>
          <w:b/>
          <w:bCs/>
          <w:kern w:val="52"/>
          <w:sz w:val="28"/>
          <w:szCs w:val="28"/>
        </w:rPr>
        <w:fldChar w:fldCharType="end"/>
      </w:r>
      <w:r w:rsidR="00F87B68" w:rsidRPr="00131B9D">
        <w:rPr>
          <w:rFonts w:eastAsia="標楷體"/>
          <w:b/>
          <w:bCs/>
          <w:kern w:val="52"/>
          <w:sz w:val="28"/>
          <w:szCs w:val="28"/>
        </w:rPr>
        <w:t xml:space="preserve">　臺灣景氣對策信號與加權指數與走勢圖</w:t>
      </w:r>
      <w:bookmarkEnd w:id="21"/>
    </w:p>
    <w:p w:rsidR="00F87B68" w:rsidRPr="00131B9D" w:rsidRDefault="00F87B68" w:rsidP="00406AF9"/>
    <w:p w:rsidR="007850BB" w:rsidRPr="00131B9D" w:rsidRDefault="007850BB" w:rsidP="007850BB">
      <w:pPr>
        <w:pStyle w:val="3"/>
        <w:rPr>
          <w:rFonts w:ascii="Times New Roman" w:hAnsi="Times New Roman"/>
          <w:spacing w:val="4"/>
          <w:sz w:val="26"/>
        </w:rPr>
      </w:pPr>
      <w:r w:rsidRPr="00131B9D">
        <w:rPr>
          <w:rFonts w:ascii="Times New Roman" w:hAnsi="Times New Roman"/>
        </w:rPr>
        <w:t>（四）房地產市場</w:t>
      </w:r>
    </w:p>
    <w:p w:rsidR="00F87B68" w:rsidRPr="00131B9D" w:rsidRDefault="00F87B68" w:rsidP="00F87B68">
      <w:pPr>
        <w:pStyle w:val="-"/>
        <w:spacing w:before="72" w:after="72"/>
        <w:ind w:firstLine="560"/>
      </w:pPr>
      <w:r w:rsidRPr="00131B9D">
        <w:t>9</w:t>
      </w:r>
      <w:r w:rsidRPr="00131B9D">
        <w:t>月住展風向球爲</w:t>
      </w:r>
      <w:r w:rsidRPr="00131B9D">
        <w:t>28.6</w:t>
      </w:r>
      <w:r w:rsidRPr="00131B9D">
        <w:t>分，連續</w:t>
      </w:r>
      <w:r w:rsidRPr="00131B9D">
        <w:t>2</w:t>
      </w:r>
      <w:r w:rsidRPr="00131B9D">
        <w:t>個月亮出藍燈。儘管</w:t>
      </w:r>
      <w:r w:rsidRPr="00131B9D">
        <w:t>10</w:t>
      </w:r>
      <w:r w:rsidRPr="00131B9D">
        <w:t>月住展風向球回升至</w:t>
      </w:r>
      <w:r w:rsidRPr="00131B9D">
        <w:t>32.0</w:t>
      </w:r>
      <w:r w:rsidRPr="00131B9D">
        <w:t>分，燈號由藍燈轉爲黃藍燈，似有回溫的現象，惟回升主要動力來自於預售推案量的增加而非需求面因素拉動。此外，中經院編製之非製造業經理人指數</w:t>
      </w:r>
      <w:r w:rsidRPr="00131B9D">
        <w:t>(NMI)</w:t>
      </w:r>
      <w:r w:rsidRPr="00131B9D">
        <w:t>顯示，營造暨不動産業之未來六個月景氣狀况指數僅</w:t>
      </w:r>
      <w:r w:rsidRPr="00131B9D">
        <w:t>17.6%</w:t>
      </w:r>
      <w:r w:rsidRPr="00131B9D">
        <w:t>。業者表示因兩稅合一等打房政策使得買方觀望，産業對未來景氣看法與推案量均較過去保守</w:t>
      </w:r>
      <w:r w:rsidRPr="00131B9D">
        <w:t xml:space="preserve"> (</w:t>
      </w:r>
      <w:r w:rsidRPr="00131B9D">
        <w:t>表</w:t>
      </w:r>
      <w:r w:rsidRPr="00131B9D">
        <w:t>2-</w:t>
      </w:r>
      <w:r w:rsidR="002865CA" w:rsidRPr="00131B9D">
        <w:t>2</w:t>
      </w:r>
      <w:r w:rsidRPr="00131B9D">
        <w:t>)</w:t>
      </w:r>
      <w:r w:rsidRPr="00131B9D">
        <w:t>。</w:t>
      </w:r>
    </w:p>
    <w:p w:rsidR="00F87B68" w:rsidRPr="00131B9D" w:rsidRDefault="00F87B68" w:rsidP="002865CA"/>
    <w:p w:rsidR="00F87B68" w:rsidRPr="00131B9D" w:rsidRDefault="00F87B68" w:rsidP="00F87B68">
      <w:pPr>
        <w:pStyle w:val="aff1"/>
        <w:spacing w:line="0" w:lineRule="atLeast"/>
        <w:rPr>
          <w:szCs w:val="28"/>
        </w:rPr>
      </w:pPr>
      <w:bookmarkStart w:id="22" w:name="_Toc439162988"/>
      <w:r w:rsidRPr="00131B9D">
        <w:rPr>
          <w:szCs w:val="28"/>
        </w:rPr>
        <w:t>表</w:t>
      </w:r>
      <w:r w:rsidRPr="00131B9D">
        <w:rPr>
          <w:szCs w:val="28"/>
        </w:rPr>
        <w:t xml:space="preserve">2- </w:t>
      </w:r>
      <w:r w:rsidRPr="00131B9D">
        <w:rPr>
          <w:szCs w:val="28"/>
        </w:rPr>
        <w:fldChar w:fldCharType="begin"/>
      </w:r>
      <w:r w:rsidRPr="00131B9D">
        <w:rPr>
          <w:szCs w:val="28"/>
        </w:rPr>
        <w:instrText xml:space="preserve"> SEQ </w:instrText>
      </w:r>
      <w:r w:rsidRPr="00131B9D">
        <w:rPr>
          <w:szCs w:val="28"/>
        </w:rPr>
        <w:instrText>表</w:instrText>
      </w:r>
      <w:r w:rsidRPr="00131B9D">
        <w:rPr>
          <w:szCs w:val="28"/>
        </w:rPr>
        <w:instrText xml:space="preserve">2- \* ARABIC </w:instrText>
      </w:r>
      <w:r w:rsidRPr="00131B9D">
        <w:rPr>
          <w:szCs w:val="28"/>
        </w:rPr>
        <w:fldChar w:fldCharType="separate"/>
      </w:r>
      <w:r w:rsidR="001641D3">
        <w:rPr>
          <w:noProof/>
          <w:szCs w:val="28"/>
        </w:rPr>
        <w:t>2</w:t>
      </w:r>
      <w:r w:rsidRPr="00131B9D">
        <w:rPr>
          <w:szCs w:val="28"/>
        </w:rPr>
        <w:fldChar w:fldCharType="end"/>
      </w:r>
      <w:r w:rsidRPr="00131B9D">
        <w:rPr>
          <w:szCs w:val="28"/>
        </w:rPr>
        <w:t xml:space="preserve">　臺灣營造暨不動産業</w:t>
      </w:r>
      <w:r w:rsidRPr="00131B9D">
        <w:rPr>
          <w:szCs w:val="28"/>
        </w:rPr>
        <w:t>NMI</w:t>
      </w:r>
      <w:r w:rsidRPr="00131B9D">
        <w:rPr>
          <w:szCs w:val="28"/>
        </w:rPr>
        <w:t>指數彙整表</w:t>
      </w:r>
      <w:bookmarkEnd w:id="22"/>
    </w:p>
    <w:tbl>
      <w:tblPr>
        <w:tblW w:w="7850" w:type="dxa"/>
        <w:jc w:val="center"/>
        <w:tblCellMar>
          <w:left w:w="28" w:type="dxa"/>
          <w:right w:w="28" w:type="dxa"/>
        </w:tblCellMar>
        <w:tblLook w:val="04A0" w:firstRow="1" w:lastRow="0" w:firstColumn="1" w:lastColumn="0" w:noHBand="0" w:noVBand="1"/>
      </w:tblPr>
      <w:tblGrid>
        <w:gridCol w:w="2129"/>
        <w:gridCol w:w="660"/>
        <w:gridCol w:w="1130"/>
        <w:gridCol w:w="916"/>
        <w:gridCol w:w="1105"/>
        <w:gridCol w:w="1243"/>
        <w:gridCol w:w="667"/>
      </w:tblGrid>
      <w:tr w:rsidR="00F87B68" w:rsidRPr="00131B9D" w:rsidTr="005F3282">
        <w:trPr>
          <w:trHeight w:val="136"/>
          <w:jc w:val="center"/>
        </w:trPr>
        <w:tc>
          <w:tcPr>
            <w:tcW w:w="2129" w:type="dxa"/>
            <w:tcBorders>
              <w:top w:val="nil"/>
              <w:left w:val="nil"/>
              <w:bottom w:val="nil"/>
              <w:right w:val="nil"/>
            </w:tcBorders>
            <w:shd w:val="clear" w:color="auto" w:fill="auto"/>
            <w:noWrap/>
            <w:vAlign w:val="center"/>
            <w:hideMark/>
          </w:tcPr>
          <w:p w:rsidR="00F87B68" w:rsidRPr="00131B9D" w:rsidRDefault="00F87B68" w:rsidP="005F3282">
            <w:pPr>
              <w:widowControl/>
              <w:spacing w:line="0" w:lineRule="atLeast"/>
              <w:jc w:val="center"/>
              <w:rPr>
                <w:rFonts w:eastAsia="Times New Roman"/>
                <w:kern w:val="0"/>
                <w:sz w:val="20"/>
                <w:szCs w:val="20"/>
              </w:rPr>
            </w:pPr>
          </w:p>
        </w:tc>
        <w:tc>
          <w:tcPr>
            <w:tcW w:w="5721" w:type="dxa"/>
            <w:gridSpan w:val="6"/>
            <w:tcBorders>
              <w:top w:val="nil"/>
              <w:left w:val="nil"/>
              <w:bottom w:val="single" w:sz="8"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b/>
                <w:bCs/>
                <w:color w:val="000000"/>
                <w:kern w:val="0"/>
                <w:sz w:val="20"/>
                <w:szCs w:val="20"/>
              </w:rPr>
            </w:pPr>
            <w:r w:rsidRPr="00131B9D">
              <w:rPr>
                <w:rFonts w:eastAsia="微軟正黑體"/>
                <w:b/>
                <w:bCs/>
                <w:color w:val="000000"/>
                <w:kern w:val="0"/>
                <w:sz w:val="20"/>
                <w:szCs w:val="20"/>
              </w:rPr>
              <w:t>產業別</w:t>
            </w:r>
          </w:p>
        </w:tc>
      </w:tr>
      <w:tr w:rsidR="00F87B68" w:rsidRPr="00131B9D" w:rsidTr="005F3282">
        <w:trPr>
          <w:trHeight w:val="906"/>
          <w:jc w:val="center"/>
        </w:trPr>
        <w:tc>
          <w:tcPr>
            <w:tcW w:w="2129" w:type="dxa"/>
            <w:tcBorders>
              <w:top w:val="nil"/>
              <w:left w:val="nil"/>
              <w:bottom w:val="single" w:sz="8"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color w:val="000000"/>
                <w:kern w:val="0"/>
                <w:sz w:val="20"/>
                <w:szCs w:val="20"/>
              </w:rPr>
            </w:pPr>
            <w:r w:rsidRPr="00131B9D">
              <w:rPr>
                <w:color w:val="000000"/>
                <w:kern w:val="0"/>
                <w:sz w:val="20"/>
                <w:szCs w:val="20"/>
              </w:rPr>
              <w:t xml:space="preserve">　</w:t>
            </w:r>
          </w:p>
        </w:tc>
        <w:tc>
          <w:tcPr>
            <w:tcW w:w="660" w:type="dxa"/>
            <w:tcBorders>
              <w:top w:val="nil"/>
              <w:left w:val="nil"/>
              <w:bottom w:val="single" w:sz="8" w:space="0" w:color="auto"/>
              <w:right w:val="nil"/>
            </w:tcBorders>
            <w:shd w:val="clear" w:color="auto" w:fill="auto"/>
            <w:vAlign w:val="center"/>
            <w:hideMark/>
          </w:tcPr>
          <w:p w:rsidR="00F87B68" w:rsidRPr="00131B9D" w:rsidRDefault="00F87B68" w:rsidP="005F3282">
            <w:pPr>
              <w:widowControl/>
              <w:spacing w:line="0" w:lineRule="atLeast"/>
              <w:jc w:val="center"/>
              <w:rPr>
                <w:rFonts w:eastAsia="微軟正黑體"/>
                <w:bCs/>
                <w:color w:val="000000"/>
                <w:kern w:val="0"/>
                <w:sz w:val="20"/>
                <w:szCs w:val="20"/>
              </w:rPr>
            </w:pPr>
            <w:r w:rsidRPr="00131B9D">
              <w:rPr>
                <w:bCs/>
                <w:color w:val="000000"/>
                <w:kern w:val="0"/>
                <w:sz w:val="20"/>
                <w:szCs w:val="20"/>
              </w:rPr>
              <w:t>營造暨</w:t>
            </w:r>
          </w:p>
          <w:p w:rsidR="00F87B68" w:rsidRPr="00131B9D" w:rsidRDefault="00F87B68" w:rsidP="005F3282">
            <w:pPr>
              <w:widowControl/>
              <w:spacing w:line="0" w:lineRule="atLeast"/>
              <w:jc w:val="center"/>
              <w:rPr>
                <w:rFonts w:eastAsia="微軟正黑體"/>
                <w:bCs/>
                <w:color w:val="000000"/>
                <w:kern w:val="0"/>
                <w:sz w:val="20"/>
                <w:szCs w:val="20"/>
              </w:rPr>
            </w:pPr>
            <w:r w:rsidRPr="00131B9D">
              <w:rPr>
                <w:bCs/>
                <w:color w:val="000000"/>
                <w:kern w:val="0"/>
                <w:sz w:val="20"/>
                <w:szCs w:val="20"/>
              </w:rPr>
              <w:t>不動産</w:t>
            </w:r>
            <w:r w:rsidRPr="00131B9D">
              <w:rPr>
                <w:rFonts w:eastAsia="微軟正黑體"/>
                <w:bCs/>
                <w:color w:val="000000"/>
                <w:kern w:val="0"/>
                <w:sz w:val="20"/>
                <w:szCs w:val="20"/>
              </w:rPr>
              <w:br/>
            </w:r>
            <w:r w:rsidRPr="00131B9D">
              <w:rPr>
                <w:bCs/>
                <w:color w:val="000000"/>
                <w:kern w:val="0"/>
                <w:sz w:val="20"/>
                <w:szCs w:val="20"/>
              </w:rPr>
              <w:t>10</w:t>
            </w:r>
            <w:r w:rsidRPr="00131B9D">
              <w:rPr>
                <w:bCs/>
                <w:color w:val="000000"/>
                <w:kern w:val="0"/>
                <w:sz w:val="20"/>
                <w:szCs w:val="20"/>
              </w:rPr>
              <w:t>月</w:t>
            </w:r>
          </w:p>
        </w:tc>
        <w:tc>
          <w:tcPr>
            <w:tcW w:w="1130" w:type="dxa"/>
            <w:tcBorders>
              <w:top w:val="nil"/>
              <w:left w:val="nil"/>
              <w:bottom w:val="single" w:sz="8" w:space="0" w:color="auto"/>
              <w:right w:val="nil"/>
            </w:tcBorders>
            <w:shd w:val="clear" w:color="auto" w:fill="auto"/>
            <w:vAlign w:val="center"/>
            <w:hideMark/>
          </w:tcPr>
          <w:p w:rsidR="00F87B68" w:rsidRPr="00131B9D" w:rsidRDefault="00F87B68" w:rsidP="005F3282">
            <w:pPr>
              <w:widowControl/>
              <w:spacing w:line="0" w:lineRule="atLeast"/>
              <w:jc w:val="center"/>
              <w:rPr>
                <w:rFonts w:eastAsia="微軟正黑體"/>
                <w:bCs/>
                <w:color w:val="000000"/>
                <w:kern w:val="0"/>
                <w:sz w:val="20"/>
                <w:szCs w:val="20"/>
              </w:rPr>
            </w:pPr>
            <w:r w:rsidRPr="00131B9D">
              <w:rPr>
                <w:bCs/>
                <w:color w:val="000000"/>
                <w:kern w:val="0"/>
                <w:sz w:val="20"/>
                <w:szCs w:val="20"/>
              </w:rPr>
              <w:t>營造暨</w:t>
            </w:r>
          </w:p>
          <w:p w:rsidR="00F87B68" w:rsidRPr="00131B9D" w:rsidRDefault="00F87B68" w:rsidP="005F3282">
            <w:pPr>
              <w:widowControl/>
              <w:spacing w:line="0" w:lineRule="atLeast"/>
              <w:jc w:val="center"/>
              <w:rPr>
                <w:rFonts w:eastAsia="微軟正黑體"/>
                <w:bCs/>
                <w:color w:val="000000"/>
                <w:kern w:val="0"/>
                <w:sz w:val="20"/>
                <w:szCs w:val="20"/>
              </w:rPr>
            </w:pPr>
            <w:r w:rsidRPr="00131B9D">
              <w:rPr>
                <w:bCs/>
                <w:color w:val="000000"/>
                <w:kern w:val="0"/>
                <w:sz w:val="20"/>
                <w:szCs w:val="20"/>
              </w:rPr>
              <w:t>不動産</w:t>
            </w:r>
            <w:r w:rsidRPr="00131B9D">
              <w:rPr>
                <w:rFonts w:eastAsia="微軟正黑體"/>
                <w:bCs/>
                <w:color w:val="000000"/>
                <w:kern w:val="0"/>
                <w:sz w:val="20"/>
                <w:szCs w:val="20"/>
              </w:rPr>
              <w:br/>
            </w:r>
            <w:r w:rsidRPr="00131B9D">
              <w:rPr>
                <w:bCs/>
                <w:color w:val="000000"/>
                <w:kern w:val="0"/>
                <w:sz w:val="20"/>
                <w:szCs w:val="20"/>
              </w:rPr>
              <w:t>9</w:t>
            </w:r>
            <w:r w:rsidRPr="00131B9D">
              <w:rPr>
                <w:bCs/>
                <w:color w:val="000000"/>
                <w:kern w:val="0"/>
                <w:sz w:val="20"/>
                <w:szCs w:val="20"/>
              </w:rPr>
              <w:t>月</w:t>
            </w:r>
          </w:p>
        </w:tc>
        <w:tc>
          <w:tcPr>
            <w:tcW w:w="916" w:type="dxa"/>
            <w:tcBorders>
              <w:top w:val="nil"/>
              <w:left w:val="nil"/>
              <w:bottom w:val="single" w:sz="8" w:space="0" w:color="auto"/>
              <w:right w:val="nil"/>
            </w:tcBorders>
            <w:shd w:val="clear" w:color="auto" w:fill="auto"/>
            <w:vAlign w:val="center"/>
            <w:hideMark/>
          </w:tcPr>
          <w:p w:rsidR="00F87B68" w:rsidRPr="00131B9D" w:rsidRDefault="00F87B68" w:rsidP="005F3282">
            <w:pPr>
              <w:widowControl/>
              <w:spacing w:line="0" w:lineRule="atLeast"/>
              <w:jc w:val="center"/>
              <w:rPr>
                <w:rFonts w:eastAsia="微軟正黑體"/>
                <w:bCs/>
                <w:color w:val="000000"/>
                <w:kern w:val="0"/>
                <w:sz w:val="20"/>
                <w:szCs w:val="20"/>
              </w:rPr>
            </w:pPr>
            <w:r w:rsidRPr="00131B9D">
              <w:rPr>
                <w:bCs/>
                <w:color w:val="000000"/>
                <w:kern w:val="0"/>
                <w:sz w:val="20"/>
                <w:szCs w:val="20"/>
              </w:rPr>
              <w:t>百分比</w:t>
            </w:r>
            <w:r w:rsidRPr="00131B9D">
              <w:rPr>
                <w:rFonts w:eastAsia="微軟正黑體"/>
                <w:bCs/>
                <w:color w:val="000000"/>
                <w:kern w:val="0"/>
                <w:sz w:val="20"/>
                <w:szCs w:val="20"/>
              </w:rPr>
              <w:br/>
            </w:r>
            <w:r w:rsidRPr="00131B9D">
              <w:rPr>
                <w:bCs/>
                <w:color w:val="000000"/>
                <w:kern w:val="0"/>
                <w:sz w:val="20"/>
                <w:szCs w:val="20"/>
              </w:rPr>
              <w:t>變化</w:t>
            </w:r>
          </w:p>
        </w:tc>
        <w:tc>
          <w:tcPr>
            <w:tcW w:w="1105" w:type="dxa"/>
            <w:tcBorders>
              <w:top w:val="nil"/>
              <w:left w:val="nil"/>
              <w:bottom w:val="single" w:sz="8" w:space="0" w:color="auto"/>
              <w:right w:val="nil"/>
            </w:tcBorders>
            <w:shd w:val="clear" w:color="auto" w:fill="auto"/>
            <w:vAlign w:val="center"/>
            <w:hideMark/>
          </w:tcPr>
          <w:p w:rsidR="00F87B68" w:rsidRPr="00131B9D" w:rsidRDefault="00F87B68" w:rsidP="005F3282">
            <w:pPr>
              <w:widowControl/>
              <w:spacing w:line="0" w:lineRule="atLeast"/>
              <w:jc w:val="center"/>
              <w:rPr>
                <w:rFonts w:eastAsia="微軟正黑體"/>
                <w:bCs/>
                <w:color w:val="000000"/>
                <w:kern w:val="0"/>
                <w:sz w:val="20"/>
                <w:szCs w:val="20"/>
              </w:rPr>
            </w:pPr>
            <w:r w:rsidRPr="00131B9D">
              <w:rPr>
                <w:bCs/>
                <w:color w:val="000000"/>
                <w:kern w:val="0"/>
                <w:sz w:val="20"/>
                <w:szCs w:val="20"/>
              </w:rPr>
              <w:t>方向</w:t>
            </w:r>
            <w:r w:rsidRPr="00131B9D">
              <w:rPr>
                <w:rFonts w:eastAsia="微軟正黑體"/>
                <w:bCs/>
                <w:color w:val="000000"/>
                <w:kern w:val="0"/>
                <w:sz w:val="20"/>
                <w:szCs w:val="20"/>
              </w:rPr>
              <w:br/>
            </w:r>
            <w:r w:rsidRPr="00131B9D">
              <w:rPr>
                <w:bCs/>
                <w:color w:val="000000"/>
                <w:kern w:val="0"/>
                <w:sz w:val="20"/>
                <w:szCs w:val="20"/>
              </w:rPr>
              <w:t>(Direction)</w:t>
            </w:r>
          </w:p>
        </w:tc>
        <w:tc>
          <w:tcPr>
            <w:tcW w:w="1243" w:type="dxa"/>
            <w:tcBorders>
              <w:top w:val="nil"/>
              <w:left w:val="nil"/>
              <w:bottom w:val="single" w:sz="8" w:space="0" w:color="auto"/>
              <w:right w:val="nil"/>
            </w:tcBorders>
            <w:shd w:val="clear" w:color="auto" w:fill="auto"/>
            <w:vAlign w:val="center"/>
            <w:hideMark/>
          </w:tcPr>
          <w:p w:rsidR="00F87B68" w:rsidRPr="00131B9D" w:rsidRDefault="00F87B68" w:rsidP="005F3282">
            <w:pPr>
              <w:widowControl/>
              <w:spacing w:line="0" w:lineRule="atLeast"/>
              <w:jc w:val="center"/>
              <w:rPr>
                <w:rFonts w:eastAsia="微軟正黑體"/>
                <w:bCs/>
                <w:color w:val="000000"/>
                <w:kern w:val="0"/>
                <w:sz w:val="20"/>
                <w:szCs w:val="20"/>
              </w:rPr>
            </w:pPr>
            <w:r w:rsidRPr="00131B9D">
              <w:rPr>
                <w:bCs/>
                <w:color w:val="000000"/>
                <w:kern w:val="0"/>
                <w:sz w:val="20"/>
                <w:szCs w:val="20"/>
              </w:rPr>
              <w:t>速度</w:t>
            </w:r>
            <w:r w:rsidRPr="00131B9D">
              <w:rPr>
                <w:rFonts w:eastAsia="微軟正黑體"/>
                <w:bCs/>
                <w:color w:val="000000"/>
                <w:kern w:val="0"/>
                <w:sz w:val="20"/>
                <w:szCs w:val="20"/>
              </w:rPr>
              <w:br/>
            </w:r>
            <w:r w:rsidRPr="00131B9D">
              <w:rPr>
                <w:bCs/>
                <w:color w:val="000000"/>
                <w:kern w:val="0"/>
                <w:sz w:val="20"/>
                <w:szCs w:val="20"/>
              </w:rPr>
              <w:t>(Rate of Change)</w:t>
            </w:r>
          </w:p>
        </w:tc>
        <w:tc>
          <w:tcPr>
            <w:tcW w:w="667" w:type="dxa"/>
            <w:tcBorders>
              <w:top w:val="nil"/>
              <w:left w:val="nil"/>
              <w:bottom w:val="single" w:sz="8" w:space="0" w:color="auto"/>
              <w:right w:val="nil"/>
            </w:tcBorders>
            <w:shd w:val="clear" w:color="auto" w:fill="auto"/>
            <w:vAlign w:val="center"/>
            <w:hideMark/>
          </w:tcPr>
          <w:p w:rsidR="00F87B68" w:rsidRPr="00131B9D" w:rsidRDefault="00F87B68" w:rsidP="005F3282">
            <w:pPr>
              <w:widowControl/>
              <w:spacing w:line="0" w:lineRule="atLeast"/>
              <w:jc w:val="center"/>
              <w:rPr>
                <w:rFonts w:eastAsia="微軟正黑體"/>
                <w:bCs/>
                <w:color w:val="000000"/>
                <w:kern w:val="0"/>
                <w:sz w:val="20"/>
                <w:szCs w:val="20"/>
              </w:rPr>
            </w:pPr>
            <w:r w:rsidRPr="00131B9D">
              <w:rPr>
                <w:bCs/>
                <w:color w:val="000000"/>
                <w:kern w:val="0"/>
                <w:sz w:val="20"/>
                <w:szCs w:val="20"/>
              </w:rPr>
              <w:t>趨勢</w:t>
            </w:r>
            <w:r w:rsidRPr="00131B9D">
              <w:rPr>
                <w:rFonts w:eastAsia="微軟正黑體"/>
                <w:bCs/>
                <w:color w:val="000000"/>
                <w:kern w:val="0"/>
                <w:sz w:val="20"/>
                <w:szCs w:val="20"/>
              </w:rPr>
              <w:br/>
            </w:r>
            <w:r w:rsidRPr="00131B9D">
              <w:rPr>
                <w:bCs/>
                <w:color w:val="000000"/>
                <w:kern w:val="0"/>
                <w:sz w:val="20"/>
                <w:szCs w:val="20"/>
              </w:rPr>
              <w:t>(Trend)</w:t>
            </w:r>
            <w:r w:rsidRPr="00131B9D">
              <w:rPr>
                <w:rFonts w:eastAsia="微軟正黑體"/>
                <w:bCs/>
                <w:color w:val="000000"/>
                <w:kern w:val="0"/>
                <w:sz w:val="20"/>
                <w:szCs w:val="20"/>
              </w:rPr>
              <w:br/>
            </w:r>
            <w:r w:rsidRPr="00131B9D">
              <w:rPr>
                <w:bCs/>
                <w:color w:val="000000"/>
                <w:kern w:val="0"/>
                <w:sz w:val="20"/>
                <w:szCs w:val="20"/>
              </w:rPr>
              <w:t>連續</w:t>
            </w:r>
            <w:r w:rsidRPr="00131B9D">
              <w:rPr>
                <w:rFonts w:eastAsia="微軟正黑體"/>
                <w:bCs/>
                <w:color w:val="000000"/>
                <w:kern w:val="0"/>
                <w:sz w:val="20"/>
                <w:szCs w:val="20"/>
              </w:rPr>
              <w:br/>
            </w:r>
            <w:r w:rsidRPr="00131B9D">
              <w:rPr>
                <w:bCs/>
                <w:color w:val="000000"/>
                <w:kern w:val="0"/>
                <w:sz w:val="20"/>
                <w:szCs w:val="20"/>
              </w:rPr>
              <w:t>月份</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臺灣</w:t>
            </w:r>
            <w:r w:rsidRPr="00131B9D">
              <w:rPr>
                <w:b/>
                <w:bCs/>
                <w:color w:val="000000"/>
                <w:kern w:val="0"/>
                <w:sz w:val="20"/>
                <w:szCs w:val="20"/>
              </w:rPr>
              <w:t>NMI/PMI</w:t>
            </w:r>
          </w:p>
        </w:tc>
        <w:tc>
          <w:tcPr>
            <w:tcW w:w="660" w:type="dxa"/>
            <w:tcBorders>
              <w:top w:val="single" w:sz="4" w:space="0" w:color="auto"/>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51.5</w:t>
            </w:r>
          </w:p>
        </w:tc>
        <w:tc>
          <w:tcPr>
            <w:tcW w:w="1130" w:type="dxa"/>
            <w:tcBorders>
              <w:top w:val="single" w:sz="4" w:space="0" w:color="auto"/>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41.1</w:t>
            </w:r>
          </w:p>
        </w:tc>
        <w:tc>
          <w:tcPr>
            <w:tcW w:w="916" w:type="dxa"/>
            <w:tcBorders>
              <w:top w:val="single" w:sz="4" w:space="0" w:color="auto"/>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10.4</w:t>
            </w:r>
          </w:p>
        </w:tc>
        <w:tc>
          <w:tcPr>
            <w:tcW w:w="1105" w:type="dxa"/>
            <w:tcBorders>
              <w:top w:val="single" w:sz="4" w:space="0" w:color="auto"/>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擴張</w:t>
            </w:r>
          </w:p>
        </w:tc>
        <w:tc>
          <w:tcPr>
            <w:tcW w:w="1243" w:type="dxa"/>
            <w:tcBorders>
              <w:top w:val="single" w:sz="4" w:space="0" w:color="auto"/>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前月爲緊縮</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1</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商業活動</w:t>
            </w:r>
            <w:r w:rsidRPr="00131B9D">
              <w:rPr>
                <w:b/>
                <w:bCs/>
                <w:color w:val="000000"/>
                <w:kern w:val="0"/>
                <w:sz w:val="20"/>
                <w:szCs w:val="20"/>
              </w:rPr>
              <w:t>/</w:t>
            </w:r>
            <w:r w:rsidRPr="00131B9D">
              <w:rPr>
                <w:b/>
                <w:bCs/>
                <w:color w:val="000000"/>
                <w:kern w:val="0"/>
                <w:sz w:val="20"/>
                <w:szCs w:val="20"/>
              </w:rPr>
              <w:t>生産</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47.1</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32.9</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14.2</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緊縮</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趨緩</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6</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新增訂單</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50.0</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27.6</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22.4</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持平</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前月爲緊縮</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1</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人力雇用</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50.0</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50.0</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0.0</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持平</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不變</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2</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供貨商交貨時間</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58.8</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53.9</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4.9</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上升</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加快</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3</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存貨</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54.4</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56.6</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-2.2</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擴張</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趨緩</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2</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原物料價格</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27.9</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35.5</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-7.6</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下降</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加快</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12</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未完成訂單</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38.2</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28.9</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9.3</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緊縮</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趨緩</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7</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服務輸出</w:t>
            </w:r>
            <w:r w:rsidRPr="00131B9D">
              <w:rPr>
                <w:b/>
                <w:bCs/>
                <w:color w:val="000000"/>
                <w:kern w:val="0"/>
                <w:sz w:val="20"/>
                <w:szCs w:val="20"/>
              </w:rPr>
              <w:t>/</w:t>
            </w:r>
            <w:r w:rsidRPr="00131B9D">
              <w:rPr>
                <w:b/>
                <w:bCs/>
                <w:color w:val="000000"/>
                <w:kern w:val="0"/>
                <w:sz w:val="20"/>
                <w:szCs w:val="20"/>
              </w:rPr>
              <w:t>出口</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41.7</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41.7</w:t>
            </w:r>
          </w:p>
        </w:tc>
        <w:tc>
          <w:tcPr>
            <w:tcW w:w="916" w:type="dxa"/>
            <w:tcBorders>
              <w:top w:val="nil"/>
              <w:left w:val="nil"/>
              <w:bottom w:val="single" w:sz="4" w:space="0" w:color="auto"/>
              <w:right w:val="nil"/>
            </w:tcBorders>
            <w:shd w:val="clear" w:color="000000" w:fill="FFFFFF"/>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0.0</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緊縮</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不變</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5</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服務輸入</w:t>
            </w:r>
            <w:r w:rsidRPr="00131B9D">
              <w:rPr>
                <w:b/>
                <w:bCs/>
                <w:color w:val="000000"/>
                <w:kern w:val="0"/>
                <w:sz w:val="20"/>
                <w:szCs w:val="20"/>
              </w:rPr>
              <w:t>/</w:t>
            </w:r>
            <w:r w:rsidRPr="00131B9D">
              <w:rPr>
                <w:b/>
                <w:bCs/>
                <w:color w:val="000000"/>
                <w:kern w:val="0"/>
                <w:sz w:val="20"/>
                <w:szCs w:val="20"/>
              </w:rPr>
              <w:t>進口</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32.5</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47.8</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-15.3</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緊縮</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加快</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3</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服務收費價格</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41.2</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35.5</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5.7</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下降</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趨緩</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6</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存貨觀感</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55.9</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56.6</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-0.7</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過高</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kern w:val="0"/>
                <w:sz w:val="20"/>
                <w:szCs w:val="20"/>
              </w:rPr>
            </w:pPr>
            <w:r w:rsidRPr="00131B9D">
              <w:rPr>
                <w:kern w:val="0"/>
                <w:sz w:val="20"/>
                <w:szCs w:val="20"/>
              </w:rPr>
              <w:t>趨緩</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kern w:val="0"/>
                <w:sz w:val="20"/>
                <w:szCs w:val="20"/>
              </w:rPr>
            </w:pPr>
            <w:r w:rsidRPr="00131B9D">
              <w:rPr>
                <w:kern w:val="0"/>
                <w:sz w:val="20"/>
                <w:szCs w:val="20"/>
              </w:rPr>
              <w:t>9</w:t>
            </w:r>
          </w:p>
        </w:tc>
      </w:tr>
      <w:tr w:rsidR="00F87B68" w:rsidRPr="00131B9D" w:rsidTr="005F3282">
        <w:trPr>
          <w:trHeight w:val="19"/>
          <w:jc w:val="center"/>
        </w:trPr>
        <w:tc>
          <w:tcPr>
            <w:tcW w:w="2129"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rPr>
                <w:rFonts w:eastAsia="微軟正黑體"/>
                <w:b/>
                <w:bCs/>
                <w:color w:val="000000"/>
                <w:kern w:val="0"/>
                <w:sz w:val="20"/>
                <w:szCs w:val="20"/>
              </w:rPr>
            </w:pPr>
            <w:r w:rsidRPr="00131B9D">
              <w:rPr>
                <w:b/>
                <w:bCs/>
                <w:color w:val="000000"/>
                <w:kern w:val="0"/>
                <w:sz w:val="20"/>
                <w:szCs w:val="20"/>
              </w:rPr>
              <w:t>未來六個月的景氣狀况</w:t>
            </w:r>
          </w:p>
        </w:tc>
        <w:tc>
          <w:tcPr>
            <w:tcW w:w="66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17.6</w:t>
            </w:r>
          </w:p>
        </w:tc>
        <w:tc>
          <w:tcPr>
            <w:tcW w:w="1130"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11.8</w:t>
            </w:r>
          </w:p>
        </w:tc>
        <w:tc>
          <w:tcPr>
            <w:tcW w:w="916"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5.8</w:t>
            </w:r>
          </w:p>
        </w:tc>
        <w:tc>
          <w:tcPr>
            <w:tcW w:w="1105"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緊縮</w:t>
            </w:r>
          </w:p>
        </w:tc>
        <w:tc>
          <w:tcPr>
            <w:tcW w:w="1243"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center"/>
              <w:rPr>
                <w:rFonts w:eastAsia="微軟正黑體"/>
                <w:color w:val="000000"/>
                <w:kern w:val="0"/>
                <w:sz w:val="20"/>
                <w:szCs w:val="20"/>
              </w:rPr>
            </w:pPr>
            <w:r w:rsidRPr="00131B9D">
              <w:rPr>
                <w:color w:val="000000"/>
                <w:kern w:val="0"/>
                <w:sz w:val="20"/>
                <w:szCs w:val="20"/>
              </w:rPr>
              <w:t>趨緩</w:t>
            </w:r>
          </w:p>
        </w:tc>
        <w:tc>
          <w:tcPr>
            <w:tcW w:w="667" w:type="dxa"/>
            <w:tcBorders>
              <w:top w:val="nil"/>
              <w:left w:val="nil"/>
              <w:bottom w:val="single" w:sz="4" w:space="0" w:color="auto"/>
              <w:right w:val="nil"/>
            </w:tcBorders>
            <w:shd w:val="clear" w:color="auto" w:fill="auto"/>
            <w:noWrap/>
            <w:vAlign w:val="center"/>
            <w:hideMark/>
          </w:tcPr>
          <w:p w:rsidR="00F87B68" w:rsidRPr="00131B9D" w:rsidRDefault="00F87B68" w:rsidP="005F3282">
            <w:pPr>
              <w:widowControl/>
              <w:spacing w:line="0" w:lineRule="atLeast"/>
              <w:jc w:val="right"/>
              <w:rPr>
                <w:rFonts w:eastAsia="微軟正黑體"/>
                <w:color w:val="000000"/>
                <w:kern w:val="0"/>
                <w:sz w:val="20"/>
                <w:szCs w:val="20"/>
              </w:rPr>
            </w:pPr>
            <w:r w:rsidRPr="00131B9D">
              <w:rPr>
                <w:color w:val="000000"/>
                <w:kern w:val="0"/>
                <w:sz w:val="20"/>
                <w:szCs w:val="20"/>
              </w:rPr>
              <w:t>14</w:t>
            </w:r>
          </w:p>
        </w:tc>
      </w:tr>
    </w:tbl>
    <w:p w:rsidR="00F87B68" w:rsidRPr="00131B9D" w:rsidRDefault="00F87B68" w:rsidP="00F87B68">
      <w:pPr>
        <w:adjustRightInd w:val="0"/>
        <w:snapToGrid w:val="0"/>
        <w:spacing w:line="0" w:lineRule="atLeast"/>
        <w:rPr>
          <w:rFonts w:eastAsia="SimSun"/>
          <w:sz w:val="20"/>
          <w:szCs w:val="20"/>
          <w:lang w:eastAsia="zh-CN"/>
        </w:rPr>
      </w:pPr>
      <w:r w:rsidRPr="00131B9D">
        <w:rPr>
          <w:sz w:val="20"/>
          <w:szCs w:val="20"/>
        </w:rPr>
        <w:t>資料來源：中華經濟研究院</w:t>
      </w:r>
    </w:p>
    <w:p w:rsidR="002865CA" w:rsidRPr="00131B9D" w:rsidRDefault="002865CA" w:rsidP="00F87B68">
      <w:pPr>
        <w:sectPr w:rsidR="002865CA" w:rsidRPr="00131B9D" w:rsidSect="00097B8D">
          <w:pgSz w:w="11906" w:h="16838"/>
          <w:pgMar w:top="1440" w:right="1800" w:bottom="1440" w:left="1800" w:header="851" w:footer="992" w:gutter="0"/>
          <w:cols w:space="425"/>
          <w:docGrid w:type="lines" w:linePitch="360"/>
        </w:sectPr>
      </w:pPr>
    </w:p>
    <w:p w:rsidR="008A7271" w:rsidRPr="00131B9D" w:rsidRDefault="002865CA" w:rsidP="008A7271">
      <w:pPr>
        <w:pStyle w:val="2"/>
        <w:spacing w:before="108" w:after="108"/>
        <w:rPr>
          <w:rFonts w:ascii="Times New Roman" w:hAnsi="Times New Roman"/>
        </w:rPr>
      </w:pPr>
      <w:bookmarkStart w:id="23" w:name="_Toc322706918"/>
      <w:bookmarkStart w:id="24" w:name="_Toc373760881"/>
      <w:bookmarkStart w:id="25" w:name="_Toc373761938"/>
      <w:bookmarkStart w:id="26" w:name="_Toc439162949"/>
      <w:r w:rsidRPr="00131B9D">
        <w:rPr>
          <w:rFonts w:ascii="Times New Roman" w:hAnsi="Times New Roman"/>
        </w:rPr>
        <w:lastRenderedPageBreak/>
        <w:t>二</w:t>
      </w:r>
      <w:r w:rsidR="008A7271" w:rsidRPr="00131B9D">
        <w:rPr>
          <w:rFonts w:ascii="Times New Roman" w:hAnsi="Times New Roman"/>
        </w:rPr>
        <w:t>、</w:t>
      </w:r>
      <w:bookmarkEnd w:id="23"/>
      <w:bookmarkEnd w:id="24"/>
      <w:bookmarkEnd w:id="25"/>
      <w:r w:rsidR="00CE63C6" w:rsidRPr="00131B9D">
        <w:rPr>
          <w:rFonts w:ascii="Times New Roman" w:hAnsi="Times New Roman"/>
        </w:rPr>
        <w:t>相關經濟指數</w:t>
      </w:r>
      <w:bookmarkEnd w:id="26"/>
    </w:p>
    <w:p w:rsidR="008A7271" w:rsidRPr="00131B9D" w:rsidRDefault="008A7271" w:rsidP="008A7271">
      <w:pPr>
        <w:pStyle w:val="-"/>
        <w:spacing w:before="72" w:after="72"/>
        <w:ind w:firstLine="560"/>
      </w:pPr>
      <w:r w:rsidRPr="00131B9D">
        <w:t>2015</w:t>
      </w:r>
      <w:r w:rsidRPr="00131B9D">
        <w:t>上半年國際主要預測機構紛紛下調今年全球經濟成長率，根據經濟合作暨發展組織（</w:t>
      </w:r>
      <w:r w:rsidRPr="00131B9D">
        <w:t>OECD</w:t>
      </w:r>
      <w:r w:rsidRPr="00131B9D">
        <w:t>）於</w:t>
      </w:r>
      <w:r w:rsidRPr="00131B9D">
        <w:t>6</w:t>
      </w:r>
      <w:r w:rsidRPr="00131B9D">
        <w:t>月</w:t>
      </w:r>
      <w:r w:rsidRPr="00131B9D">
        <w:t>3</w:t>
      </w:r>
      <w:r w:rsidRPr="00131B9D">
        <w:t>日發佈之《經濟展望（</w:t>
      </w:r>
      <w:r w:rsidRPr="00131B9D">
        <w:t>Economic Outlook</w:t>
      </w:r>
      <w:r w:rsidRPr="00131B9D">
        <w:t>）》報告顯示，預估</w:t>
      </w:r>
      <w:r w:rsidRPr="00131B9D">
        <w:t>2015</w:t>
      </w:r>
      <w:r w:rsidRPr="00131B9D">
        <w:t>年全球經濟成長率為</w:t>
      </w:r>
      <w:r w:rsidRPr="00131B9D">
        <w:t>3.1%</w:t>
      </w:r>
      <w:r w:rsidRPr="00131B9D">
        <w:t>，較</w:t>
      </w:r>
      <w:r w:rsidRPr="00131B9D">
        <w:t>2014</w:t>
      </w:r>
      <w:r w:rsidRPr="00131B9D">
        <w:t>年</w:t>
      </w:r>
      <w:r w:rsidRPr="00131B9D">
        <w:t>11</w:t>
      </w:r>
      <w:r w:rsidRPr="00131B9D">
        <w:t>月預測下修</w:t>
      </w:r>
      <w:r w:rsidRPr="00131B9D">
        <w:t>0.5</w:t>
      </w:r>
      <w:r w:rsidRPr="00131B9D">
        <w:t>個百分點，並預估明年經濟將加速成長至</w:t>
      </w:r>
      <w:r w:rsidRPr="00131B9D">
        <w:t>3.8%</w:t>
      </w:r>
      <w:r w:rsidRPr="00131B9D">
        <w:t>，略低於先前預估</w:t>
      </w:r>
      <w:r w:rsidRPr="00131B9D">
        <w:t>3.9%</w:t>
      </w:r>
      <w:r w:rsidRPr="00131B9D">
        <w:t>的成長率，主要原因為美國、中國大陸與</w:t>
      </w:r>
      <w:r w:rsidR="00B22890" w:rsidRPr="00131B9D">
        <w:t>部分</w:t>
      </w:r>
      <w:r w:rsidRPr="00131B9D">
        <w:t>新興市場成長動能減緩所致。此外，根據世界銀行（</w:t>
      </w:r>
      <w:r w:rsidRPr="00131B9D">
        <w:t>World Bank</w:t>
      </w:r>
      <w:r w:rsidRPr="00131B9D">
        <w:t>）於</w:t>
      </w:r>
      <w:r w:rsidRPr="00131B9D">
        <w:t>6</w:t>
      </w:r>
      <w:r w:rsidRPr="00131B9D">
        <w:t>月</w:t>
      </w:r>
      <w:r w:rsidRPr="00131B9D">
        <w:t>11</w:t>
      </w:r>
      <w:r w:rsidRPr="00131B9D">
        <w:t>日發佈之《全球經濟展望（</w:t>
      </w:r>
      <w:r w:rsidRPr="00131B9D">
        <w:t>Global Economic Prospects</w:t>
      </w:r>
      <w:r w:rsidRPr="00131B9D">
        <w:t>）》報告，預估</w:t>
      </w:r>
      <w:r w:rsidRPr="00131B9D">
        <w:t>2015</w:t>
      </w:r>
      <w:r w:rsidRPr="00131B9D">
        <w:t>年全球經濟成長率較</w:t>
      </w:r>
      <w:r w:rsidRPr="00131B9D">
        <w:t>1</w:t>
      </w:r>
      <w:r w:rsidRPr="00131B9D">
        <w:t>月預估值下調</w:t>
      </w:r>
      <w:r w:rsidRPr="00131B9D">
        <w:t>0.2</w:t>
      </w:r>
      <w:r w:rsidRPr="00131B9D">
        <w:t>個百分點來到</w:t>
      </w:r>
      <w:r w:rsidRPr="00131B9D">
        <w:t>2.8%</w:t>
      </w:r>
      <w:r w:rsidRPr="00131B9D">
        <w:t>，主要原因亦為全球經濟成長疲軟所致。儘管目前許多經濟體投資狀況低迷，惟</w:t>
      </w:r>
      <w:r w:rsidRPr="00131B9D">
        <w:t>OECD</w:t>
      </w:r>
      <w:r w:rsidRPr="00131B9D">
        <w:t>仍樂觀預估國際油價下跌將提振全球</w:t>
      </w:r>
      <w:r w:rsidRPr="00131B9D">
        <w:t>2015-16</w:t>
      </w:r>
      <w:r w:rsidRPr="00131B9D">
        <w:t>年經濟成長率約</w:t>
      </w:r>
      <w:r w:rsidRPr="00131B9D">
        <w:t>0.25</w:t>
      </w:r>
      <w:r w:rsidRPr="00131B9D">
        <w:t>個百分點。</w:t>
      </w:r>
    </w:p>
    <w:p w:rsidR="00B26941" w:rsidRPr="00131B9D" w:rsidRDefault="00B26941" w:rsidP="008A7271">
      <w:pPr>
        <w:pStyle w:val="-"/>
        <w:spacing w:before="72" w:after="72"/>
        <w:ind w:firstLine="560"/>
      </w:pPr>
      <w:r w:rsidRPr="00131B9D">
        <w:t>自今年</w:t>
      </w:r>
      <w:r w:rsidRPr="00131B9D">
        <w:t>9</w:t>
      </w:r>
      <w:r w:rsidRPr="00131B9D">
        <w:t>月後國際主要預測機構再度下修</w:t>
      </w:r>
      <w:r w:rsidRPr="00131B9D">
        <w:t>2015-16</w:t>
      </w:r>
      <w:r w:rsidRPr="00131B9D">
        <w:t>年全球經濟成長率。根據經濟合作暨發展組織（</w:t>
      </w:r>
      <w:r w:rsidRPr="00131B9D">
        <w:t>OECD</w:t>
      </w:r>
      <w:r w:rsidRPr="00131B9D">
        <w:t>）於</w:t>
      </w:r>
      <w:r w:rsidRPr="00131B9D">
        <w:t>2015</w:t>
      </w:r>
      <w:r w:rsidRPr="00131B9D">
        <w:t>年</w:t>
      </w:r>
      <w:r w:rsidRPr="00131B9D">
        <w:t>9</w:t>
      </w:r>
      <w:r w:rsidRPr="00131B9D">
        <w:t>月</w:t>
      </w:r>
      <w:r w:rsidRPr="00131B9D">
        <w:t>16</w:t>
      </w:r>
      <w:r w:rsidRPr="00131B9D">
        <w:t>日發布最新的《中期經濟評估（</w:t>
      </w:r>
      <w:r w:rsidRPr="00131B9D">
        <w:t>Interim Economic Assessment</w:t>
      </w:r>
      <w:r w:rsidRPr="00131B9D">
        <w:t>）》報告，下修</w:t>
      </w:r>
      <w:r w:rsidRPr="00131B9D">
        <w:t>2015-16</w:t>
      </w:r>
      <w:r w:rsidRPr="00131B9D">
        <w:t>年全球經濟成長率分別為</w:t>
      </w:r>
      <w:r w:rsidRPr="00131B9D">
        <w:t>3.0</w:t>
      </w:r>
      <w:r w:rsidRPr="00131B9D">
        <w:t>％與</w:t>
      </w:r>
      <w:r w:rsidRPr="00131B9D">
        <w:t>3.6</w:t>
      </w:r>
      <w:r w:rsidRPr="00131B9D">
        <w:t>％，</w:t>
      </w:r>
      <w:r w:rsidR="00A70B9E" w:rsidRPr="00131B9D">
        <w:t>2015</w:t>
      </w:r>
      <w:r w:rsidR="00A70B9E" w:rsidRPr="00131B9D">
        <w:t>下半年</w:t>
      </w:r>
      <w:r w:rsidRPr="00131B9D">
        <w:t>全球經濟前景略有減弱，主要原因為中國大陸與新興市場國家經濟持續放緩。而亞洲開發銀行（</w:t>
      </w:r>
      <w:r w:rsidRPr="00131B9D">
        <w:t>ADB</w:t>
      </w:r>
      <w:r w:rsidRPr="00131B9D">
        <w:t>）於</w:t>
      </w:r>
      <w:r w:rsidRPr="00131B9D">
        <w:t>2015</w:t>
      </w:r>
      <w:r w:rsidRPr="00131B9D">
        <w:t>年</w:t>
      </w:r>
      <w:r w:rsidRPr="00131B9D">
        <w:t>9</w:t>
      </w:r>
      <w:r w:rsidRPr="00131B9D">
        <w:t>月</w:t>
      </w:r>
      <w:r w:rsidRPr="00131B9D">
        <w:t>22</w:t>
      </w:r>
      <w:r w:rsidRPr="00131B9D">
        <w:t>日發布《</w:t>
      </w:r>
      <w:r w:rsidRPr="00131B9D">
        <w:t>2015</w:t>
      </w:r>
      <w:r w:rsidRPr="00131B9D">
        <w:t>亞洲發展前景更新報告（</w:t>
      </w:r>
      <w:r w:rsidRPr="00131B9D">
        <w:t>Asian Development Outlook 2015 Update</w:t>
      </w:r>
      <w:r w:rsidRPr="00131B9D">
        <w:t>）》，預估開發中亞洲國家</w:t>
      </w:r>
      <w:r w:rsidRPr="00131B9D">
        <w:t>2015-16</w:t>
      </w:r>
      <w:r w:rsidRPr="00131B9D">
        <w:t>年經濟成長率分別</w:t>
      </w:r>
      <w:r w:rsidRPr="00131B9D">
        <w:t>5.8</w:t>
      </w:r>
      <w:r w:rsidRPr="00131B9D">
        <w:t>％和</w:t>
      </w:r>
      <w:r w:rsidRPr="00131B9D">
        <w:t>6.0</w:t>
      </w:r>
      <w:r w:rsidRPr="00131B9D">
        <w:t>％，</w:t>
      </w:r>
      <w:r w:rsidR="00F2101A" w:rsidRPr="00131B9D">
        <w:t>開發中亞洲國家成長轉為新常態，同時亞銀也預估中國大陸</w:t>
      </w:r>
      <w:r w:rsidR="00F2101A" w:rsidRPr="00131B9D">
        <w:t>2016</w:t>
      </w:r>
      <w:r w:rsidR="00F2101A" w:rsidRPr="00131B9D">
        <w:t>年仍將保有</w:t>
      </w:r>
      <w:r w:rsidR="00F2101A" w:rsidRPr="00131B9D">
        <w:t>6.7</w:t>
      </w:r>
      <w:r w:rsidR="00F2101A" w:rsidRPr="00131B9D">
        <w:t>％的成長率。</w:t>
      </w:r>
    </w:p>
    <w:p w:rsidR="008A7271" w:rsidRPr="00131B9D" w:rsidRDefault="008A7271" w:rsidP="008A7271">
      <w:pPr>
        <w:pStyle w:val="-"/>
        <w:spacing w:before="72" w:after="72"/>
        <w:ind w:firstLine="560"/>
      </w:pPr>
      <w:r w:rsidRPr="00131B9D">
        <w:t>觀察主要區域國家景氣動向，</w:t>
      </w:r>
      <w:r w:rsidR="00F2101A" w:rsidRPr="00131B9D">
        <w:t>2015</w:t>
      </w:r>
      <w:r w:rsidR="00F2101A" w:rsidRPr="00131B9D">
        <w:t>上半年</w:t>
      </w:r>
      <w:r w:rsidRPr="00131B9D">
        <w:t>美國景氣逐漸恢復成長動能，歐元區景氣持續擴張，中國大陸雖有止跌回穩跡象</w:t>
      </w:r>
      <w:r w:rsidR="00BC42BF" w:rsidRPr="00131B9D">
        <w:t>，惟整體經濟仍不佳</w:t>
      </w:r>
      <w:r w:rsidR="00F2101A" w:rsidRPr="00131B9D">
        <w:t>，時序邁入下半年，美國景氣擴張力道轉弱、歐元區景氣溫和擴張，中國大陸景氣則趨緩</w:t>
      </w:r>
      <w:r w:rsidRPr="00131B9D">
        <w:t>（如表</w:t>
      </w:r>
      <w:r w:rsidR="00C665AA" w:rsidRPr="00131B9D">
        <w:t>2-</w:t>
      </w:r>
      <w:r w:rsidR="002865CA" w:rsidRPr="00131B9D">
        <w:t>3</w:t>
      </w:r>
      <w:r w:rsidRPr="00131B9D">
        <w:t>）。</w:t>
      </w:r>
    </w:p>
    <w:p w:rsidR="002865CA" w:rsidRPr="00131B9D" w:rsidRDefault="002865CA" w:rsidP="002865CA">
      <w:pPr>
        <w:sectPr w:rsidR="002865CA" w:rsidRPr="00131B9D" w:rsidSect="00097B8D">
          <w:pgSz w:w="11906" w:h="16838"/>
          <w:pgMar w:top="1440" w:right="1800" w:bottom="1440" w:left="1800" w:header="851" w:footer="992" w:gutter="0"/>
          <w:cols w:space="425"/>
          <w:docGrid w:type="lines" w:linePitch="360"/>
        </w:sectPr>
      </w:pPr>
    </w:p>
    <w:p w:rsidR="008A7271" w:rsidRPr="00131B9D" w:rsidRDefault="006C61BF" w:rsidP="00CD2B44">
      <w:pPr>
        <w:pStyle w:val="aff1"/>
        <w:spacing w:line="0" w:lineRule="atLeast"/>
        <w:rPr>
          <w:b w:val="0"/>
          <w:szCs w:val="28"/>
        </w:rPr>
      </w:pPr>
      <w:bookmarkStart w:id="27" w:name="_Toc439162989"/>
      <w:r w:rsidRPr="00131B9D">
        <w:rPr>
          <w:szCs w:val="28"/>
        </w:rPr>
        <w:lastRenderedPageBreak/>
        <w:t>表</w:t>
      </w:r>
      <w:r w:rsidRPr="00131B9D">
        <w:rPr>
          <w:szCs w:val="28"/>
        </w:rPr>
        <w:t xml:space="preserve">2- </w:t>
      </w:r>
      <w:r w:rsidRPr="00131B9D">
        <w:rPr>
          <w:b w:val="0"/>
          <w:szCs w:val="28"/>
        </w:rPr>
        <w:fldChar w:fldCharType="begin"/>
      </w:r>
      <w:r w:rsidRPr="00131B9D">
        <w:rPr>
          <w:szCs w:val="28"/>
        </w:rPr>
        <w:instrText xml:space="preserve"> SEQ </w:instrText>
      </w:r>
      <w:r w:rsidRPr="00131B9D">
        <w:rPr>
          <w:szCs w:val="28"/>
        </w:rPr>
        <w:instrText>表</w:instrText>
      </w:r>
      <w:r w:rsidRPr="00131B9D">
        <w:rPr>
          <w:szCs w:val="28"/>
        </w:rPr>
        <w:instrText xml:space="preserve">2- \* ARABIC </w:instrText>
      </w:r>
      <w:r w:rsidRPr="00131B9D">
        <w:rPr>
          <w:b w:val="0"/>
          <w:szCs w:val="28"/>
        </w:rPr>
        <w:fldChar w:fldCharType="separate"/>
      </w:r>
      <w:r w:rsidR="001641D3">
        <w:rPr>
          <w:noProof/>
          <w:szCs w:val="28"/>
        </w:rPr>
        <w:t>3</w:t>
      </w:r>
      <w:r w:rsidRPr="00131B9D">
        <w:rPr>
          <w:b w:val="0"/>
          <w:szCs w:val="28"/>
        </w:rPr>
        <w:fldChar w:fldCharType="end"/>
      </w:r>
      <w:r w:rsidR="005B3BCA" w:rsidRPr="00131B9D">
        <w:rPr>
          <w:szCs w:val="28"/>
        </w:rPr>
        <w:t xml:space="preserve">　主要區域國家製造業</w:t>
      </w:r>
      <w:r w:rsidR="005B3BCA" w:rsidRPr="00131B9D">
        <w:rPr>
          <w:szCs w:val="28"/>
        </w:rPr>
        <w:t>2015</w:t>
      </w:r>
      <w:r w:rsidR="008A7271" w:rsidRPr="00131B9D">
        <w:rPr>
          <w:szCs w:val="28"/>
        </w:rPr>
        <w:t>年</w:t>
      </w:r>
      <w:r w:rsidR="008A7271" w:rsidRPr="00131B9D">
        <w:rPr>
          <w:szCs w:val="28"/>
        </w:rPr>
        <w:t>PMI</w:t>
      </w:r>
      <w:r w:rsidR="008A7271" w:rsidRPr="00131B9D">
        <w:rPr>
          <w:szCs w:val="28"/>
        </w:rPr>
        <w:t>變動</w:t>
      </w:r>
      <w:bookmarkEnd w:id="27"/>
    </w:p>
    <w:tbl>
      <w:tblPr>
        <w:tblStyle w:val="aff5"/>
        <w:tblW w:w="8647" w:type="dxa"/>
        <w:jc w:val="center"/>
        <w:tblLook w:val="04A0" w:firstRow="1" w:lastRow="0" w:firstColumn="1" w:lastColumn="0" w:noHBand="0" w:noVBand="1"/>
      </w:tblPr>
      <w:tblGrid>
        <w:gridCol w:w="617"/>
        <w:gridCol w:w="1329"/>
        <w:gridCol w:w="656"/>
        <w:gridCol w:w="656"/>
        <w:gridCol w:w="656"/>
        <w:gridCol w:w="656"/>
        <w:gridCol w:w="656"/>
        <w:gridCol w:w="656"/>
        <w:gridCol w:w="656"/>
        <w:gridCol w:w="656"/>
        <w:gridCol w:w="656"/>
        <w:gridCol w:w="797"/>
      </w:tblGrid>
      <w:tr w:rsidR="005B3BCA" w:rsidRPr="00131B9D" w:rsidTr="005B3BCA">
        <w:trPr>
          <w:trHeight w:val="85"/>
          <w:jc w:val="center"/>
        </w:trPr>
        <w:tc>
          <w:tcPr>
            <w:tcW w:w="1946" w:type="dxa"/>
            <w:gridSpan w:val="2"/>
            <w:shd w:val="clear" w:color="auto" w:fill="FFC000"/>
          </w:tcPr>
          <w:p w:rsidR="005B3BCA" w:rsidRPr="00131B9D" w:rsidRDefault="005B3BCA" w:rsidP="005B3BCA">
            <w:pPr>
              <w:spacing w:line="0" w:lineRule="atLeast"/>
              <w:jc w:val="center"/>
              <w:rPr>
                <w:rFonts w:eastAsia="標楷體"/>
              </w:rPr>
            </w:pPr>
            <w:r w:rsidRPr="00131B9D">
              <w:rPr>
                <w:rFonts w:eastAsia="標楷體"/>
              </w:rPr>
              <w:t>國家</w:t>
            </w:r>
            <w:r w:rsidRPr="00131B9D">
              <w:rPr>
                <w:rFonts w:eastAsia="標楷體"/>
              </w:rPr>
              <w:t>/</w:t>
            </w:r>
            <w:r w:rsidRPr="00131B9D">
              <w:rPr>
                <w:rFonts w:eastAsia="標楷體"/>
              </w:rPr>
              <w:t>月份</w:t>
            </w:r>
          </w:p>
        </w:tc>
        <w:tc>
          <w:tcPr>
            <w:tcW w:w="656" w:type="dxa"/>
            <w:shd w:val="clear" w:color="auto" w:fill="FFC000"/>
            <w:vAlign w:val="center"/>
          </w:tcPr>
          <w:p w:rsidR="005B3BCA" w:rsidRPr="00131B9D" w:rsidRDefault="005B3BCA" w:rsidP="005B3BCA">
            <w:pPr>
              <w:spacing w:line="0" w:lineRule="atLeast"/>
              <w:jc w:val="center"/>
              <w:rPr>
                <w:rFonts w:eastAsia="標楷體"/>
              </w:rPr>
            </w:pPr>
            <w:r w:rsidRPr="00131B9D">
              <w:rPr>
                <w:rFonts w:eastAsia="標楷體"/>
              </w:rPr>
              <w:t>1</w:t>
            </w:r>
            <w:r w:rsidRPr="00131B9D">
              <w:rPr>
                <w:rFonts w:eastAsia="標楷體"/>
              </w:rPr>
              <w:t>月</w:t>
            </w:r>
          </w:p>
        </w:tc>
        <w:tc>
          <w:tcPr>
            <w:tcW w:w="656" w:type="dxa"/>
            <w:shd w:val="clear" w:color="auto" w:fill="FFC000"/>
            <w:vAlign w:val="center"/>
          </w:tcPr>
          <w:p w:rsidR="005B3BCA" w:rsidRPr="00131B9D" w:rsidRDefault="005B3BCA" w:rsidP="005B3BCA">
            <w:pPr>
              <w:spacing w:line="0" w:lineRule="atLeast"/>
              <w:jc w:val="center"/>
              <w:rPr>
                <w:rFonts w:eastAsia="標楷體"/>
              </w:rPr>
            </w:pPr>
            <w:r w:rsidRPr="00131B9D">
              <w:rPr>
                <w:rFonts w:eastAsia="標楷體"/>
              </w:rPr>
              <w:t>2</w:t>
            </w:r>
            <w:r w:rsidRPr="00131B9D">
              <w:rPr>
                <w:rFonts w:eastAsia="標楷體"/>
              </w:rPr>
              <w:t>月</w:t>
            </w:r>
          </w:p>
        </w:tc>
        <w:tc>
          <w:tcPr>
            <w:tcW w:w="656" w:type="dxa"/>
            <w:shd w:val="clear" w:color="auto" w:fill="FFC000"/>
            <w:vAlign w:val="center"/>
          </w:tcPr>
          <w:p w:rsidR="005B3BCA" w:rsidRPr="00131B9D" w:rsidRDefault="005B3BCA" w:rsidP="005B3BCA">
            <w:pPr>
              <w:spacing w:line="0" w:lineRule="atLeast"/>
              <w:jc w:val="center"/>
              <w:rPr>
                <w:rFonts w:eastAsia="標楷體"/>
              </w:rPr>
            </w:pPr>
            <w:r w:rsidRPr="00131B9D">
              <w:rPr>
                <w:rFonts w:eastAsia="標楷體"/>
              </w:rPr>
              <w:t>3</w:t>
            </w:r>
            <w:r w:rsidRPr="00131B9D">
              <w:rPr>
                <w:rFonts w:eastAsia="標楷體"/>
              </w:rPr>
              <w:t>月</w:t>
            </w:r>
          </w:p>
        </w:tc>
        <w:tc>
          <w:tcPr>
            <w:tcW w:w="656" w:type="dxa"/>
            <w:shd w:val="clear" w:color="auto" w:fill="FFC000"/>
            <w:vAlign w:val="center"/>
          </w:tcPr>
          <w:p w:rsidR="005B3BCA" w:rsidRPr="00131B9D" w:rsidRDefault="005B3BCA" w:rsidP="005B3BCA">
            <w:pPr>
              <w:spacing w:line="0" w:lineRule="atLeast"/>
              <w:jc w:val="center"/>
              <w:rPr>
                <w:rFonts w:eastAsia="標楷體"/>
              </w:rPr>
            </w:pPr>
            <w:r w:rsidRPr="00131B9D">
              <w:rPr>
                <w:rFonts w:eastAsia="標楷體"/>
              </w:rPr>
              <w:t>4</w:t>
            </w:r>
            <w:r w:rsidRPr="00131B9D">
              <w:rPr>
                <w:rFonts w:eastAsia="標楷體"/>
              </w:rPr>
              <w:t>月</w:t>
            </w:r>
          </w:p>
        </w:tc>
        <w:tc>
          <w:tcPr>
            <w:tcW w:w="656" w:type="dxa"/>
            <w:shd w:val="clear" w:color="auto" w:fill="FFC000"/>
            <w:vAlign w:val="center"/>
          </w:tcPr>
          <w:p w:rsidR="005B3BCA" w:rsidRPr="00131B9D" w:rsidRDefault="005B3BCA" w:rsidP="005B3BCA">
            <w:pPr>
              <w:spacing w:line="0" w:lineRule="atLeast"/>
              <w:jc w:val="center"/>
              <w:rPr>
                <w:rFonts w:eastAsia="標楷體"/>
              </w:rPr>
            </w:pPr>
            <w:r w:rsidRPr="00131B9D">
              <w:rPr>
                <w:rFonts w:eastAsia="標楷體"/>
              </w:rPr>
              <w:t>5</w:t>
            </w:r>
            <w:r w:rsidRPr="00131B9D">
              <w:rPr>
                <w:rFonts w:eastAsia="標楷體"/>
              </w:rPr>
              <w:t>月</w:t>
            </w:r>
          </w:p>
        </w:tc>
        <w:tc>
          <w:tcPr>
            <w:tcW w:w="656" w:type="dxa"/>
            <w:shd w:val="clear" w:color="auto" w:fill="FFC000"/>
            <w:vAlign w:val="center"/>
          </w:tcPr>
          <w:p w:rsidR="005B3BCA" w:rsidRPr="00131B9D" w:rsidRDefault="005B3BCA" w:rsidP="005B3BCA">
            <w:pPr>
              <w:spacing w:line="0" w:lineRule="atLeast"/>
              <w:jc w:val="center"/>
              <w:rPr>
                <w:rFonts w:eastAsia="標楷體"/>
              </w:rPr>
            </w:pPr>
            <w:r w:rsidRPr="00131B9D">
              <w:rPr>
                <w:rFonts w:eastAsia="標楷體"/>
              </w:rPr>
              <w:t>6</w:t>
            </w:r>
            <w:r w:rsidRPr="00131B9D">
              <w:rPr>
                <w:rFonts w:eastAsia="標楷體"/>
              </w:rPr>
              <w:t>月</w:t>
            </w:r>
          </w:p>
        </w:tc>
        <w:tc>
          <w:tcPr>
            <w:tcW w:w="656" w:type="dxa"/>
            <w:shd w:val="clear" w:color="auto" w:fill="FFC000"/>
            <w:vAlign w:val="center"/>
          </w:tcPr>
          <w:p w:rsidR="005B3BCA" w:rsidRPr="00131B9D" w:rsidRDefault="005B3BCA" w:rsidP="005B3BCA">
            <w:pPr>
              <w:spacing w:line="0" w:lineRule="atLeast"/>
              <w:jc w:val="center"/>
            </w:pPr>
            <w:r w:rsidRPr="00131B9D">
              <w:rPr>
                <w:rFonts w:eastAsia="標楷體"/>
              </w:rPr>
              <w:t>7</w:t>
            </w:r>
            <w:r w:rsidRPr="00131B9D">
              <w:rPr>
                <w:rFonts w:eastAsia="標楷體"/>
              </w:rPr>
              <w:t>月</w:t>
            </w:r>
          </w:p>
        </w:tc>
        <w:tc>
          <w:tcPr>
            <w:tcW w:w="656" w:type="dxa"/>
            <w:shd w:val="clear" w:color="auto" w:fill="FFC000"/>
            <w:vAlign w:val="center"/>
          </w:tcPr>
          <w:p w:rsidR="005B3BCA" w:rsidRPr="00131B9D" w:rsidRDefault="005B3BCA" w:rsidP="005B3BCA">
            <w:pPr>
              <w:spacing w:line="0" w:lineRule="atLeast"/>
              <w:jc w:val="center"/>
            </w:pPr>
            <w:r w:rsidRPr="00131B9D">
              <w:rPr>
                <w:rFonts w:eastAsia="標楷體"/>
              </w:rPr>
              <w:t>8</w:t>
            </w:r>
            <w:r w:rsidRPr="00131B9D">
              <w:rPr>
                <w:rFonts w:eastAsia="標楷體"/>
              </w:rPr>
              <w:t>月</w:t>
            </w:r>
          </w:p>
        </w:tc>
        <w:tc>
          <w:tcPr>
            <w:tcW w:w="656" w:type="dxa"/>
            <w:shd w:val="clear" w:color="auto" w:fill="FFC000"/>
            <w:vAlign w:val="center"/>
          </w:tcPr>
          <w:p w:rsidR="005B3BCA" w:rsidRPr="00131B9D" w:rsidRDefault="005B3BCA" w:rsidP="005B3BCA">
            <w:pPr>
              <w:spacing w:line="0" w:lineRule="atLeast"/>
              <w:jc w:val="center"/>
            </w:pPr>
            <w:r w:rsidRPr="00131B9D">
              <w:rPr>
                <w:rFonts w:eastAsia="標楷體"/>
              </w:rPr>
              <w:t>9</w:t>
            </w:r>
            <w:r w:rsidRPr="00131B9D">
              <w:rPr>
                <w:rFonts w:eastAsia="標楷體"/>
              </w:rPr>
              <w:t>月</w:t>
            </w:r>
          </w:p>
        </w:tc>
        <w:tc>
          <w:tcPr>
            <w:tcW w:w="797" w:type="dxa"/>
            <w:shd w:val="clear" w:color="auto" w:fill="FFC000"/>
            <w:vAlign w:val="center"/>
          </w:tcPr>
          <w:p w:rsidR="005B3BCA" w:rsidRPr="00131B9D" w:rsidRDefault="005B3BCA" w:rsidP="005B3BCA">
            <w:pPr>
              <w:spacing w:line="0" w:lineRule="atLeast"/>
              <w:jc w:val="center"/>
            </w:pPr>
            <w:r w:rsidRPr="00131B9D">
              <w:rPr>
                <w:rFonts w:eastAsia="標楷體"/>
              </w:rPr>
              <w:t>10</w:t>
            </w:r>
            <w:r w:rsidRPr="00131B9D">
              <w:rPr>
                <w:rFonts w:eastAsia="標楷體"/>
              </w:rPr>
              <w:t>月</w:t>
            </w:r>
          </w:p>
        </w:tc>
      </w:tr>
      <w:tr w:rsidR="005B3BCA" w:rsidRPr="00131B9D" w:rsidTr="005B3BCA">
        <w:trPr>
          <w:jc w:val="center"/>
        </w:trPr>
        <w:tc>
          <w:tcPr>
            <w:tcW w:w="1946" w:type="dxa"/>
            <w:gridSpan w:val="2"/>
            <w:shd w:val="clear" w:color="auto" w:fill="D9D9D9" w:themeFill="background1" w:themeFillShade="D9"/>
          </w:tcPr>
          <w:p w:rsidR="005B3BCA" w:rsidRPr="00131B9D" w:rsidRDefault="005B3BCA" w:rsidP="005B3BCA">
            <w:pPr>
              <w:spacing w:line="0" w:lineRule="atLeast"/>
              <w:rPr>
                <w:rFonts w:eastAsia="標楷體"/>
              </w:rPr>
            </w:pPr>
            <w:r w:rsidRPr="00131B9D">
              <w:rPr>
                <w:rFonts w:eastAsia="標楷體"/>
              </w:rPr>
              <w:t>美國</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53.5</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52.9</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51.5</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51.5</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52.8</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53.5</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 xml:space="preserve">52.7 </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51.1</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50.2</w:t>
            </w:r>
          </w:p>
        </w:tc>
        <w:tc>
          <w:tcPr>
            <w:tcW w:w="797" w:type="dxa"/>
            <w:vAlign w:val="center"/>
          </w:tcPr>
          <w:p w:rsidR="005B3BCA" w:rsidRPr="00131B9D" w:rsidRDefault="005B3BCA" w:rsidP="005B3BCA">
            <w:pPr>
              <w:widowControl/>
              <w:spacing w:line="0" w:lineRule="atLeast"/>
              <w:jc w:val="center"/>
              <w:rPr>
                <w:rFonts w:eastAsia="標楷體"/>
              </w:rPr>
            </w:pPr>
            <w:r w:rsidRPr="00131B9D">
              <w:rPr>
                <w:color w:val="000000"/>
              </w:rPr>
              <w:t>50.1</w:t>
            </w:r>
          </w:p>
        </w:tc>
      </w:tr>
      <w:tr w:rsidR="005B3BCA" w:rsidRPr="00131B9D" w:rsidTr="005B3BCA">
        <w:trPr>
          <w:jc w:val="center"/>
        </w:trPr>
        <w:tc>
          <w:tcPr>
            <w:tcW w:w="617" w:type="dxa"/>
            <w:vMerge w:val="restart"/>
            <w:shd w:val="clear" w:color="auto" w:fill="D9D9D9" w:themeFill="background1" w:themeFillShade="D9"/>
            <w:vAlign w:val="center"/>
          </w:tcPr>
          <w:p w:rsidR="005B3BCA" w:rsidRPr="00131B9D" w:rsidRDefault="005B3BCA" w:rsidP="005B3BCA">
            <w:pPr>
              <w:spacing w:line="0" w:lineRule="atLeast"/>
              <w:jc w:val="both"/>
              <w:rPr>
                <w:rFonts w:eastAsia="標楷體"/>
              </w:rPr>
            </w:pPr>
            <w:r w:rsidRPr="00131B9D">
              <w:rPr>
                <w:rFonts w:eastAsia="標楷體"/>
              </w:rPr>
              <w:t>中國大陸</w:t>
            </w:r>
          </w:p>
        </w:tc>
        <w:tc>
          <w:tcPr>
            <w:tcW w:w="1329" w:type="dxa"/>
            <w:shd w:val="clear" w:color="auto" w:fill="D9D9D9" w:themeFill="background1" w:themeFillShade="D9"/>
          </w:tcPr>
          <w:p w:rsidR="005B3BCA" w:rsidRPr="00131B9D" w:rsidRDefault="005B3BCA" w:rsidP="005B3BCA">
            <w:pPr>
              <w:spacing w:line="0" w:lineRule="atLeast"/>
              <w:rPr>
                <w:rFonts w:eastAsia="標楷體"/>
              </w:rPr>
            </w:pPr>
            <w:r w:rsidRPr="00131B9D">
              <w:rPr>
                <w:rFonts w:eastAsia="標楷體"/>
              </w:rPr>
              <w:t>CFLP</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49.8</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49.9</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50.1</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50.1</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50.2</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50.2</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50.0</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 xml:space="preserve">49.7 </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 xml:space="preserve">49.8 </w:t>
            </w:r>
          </w:p>
        </w:tc>
        <w:tc>
          <w:tcPr>
            <w:tcW w:w="797" w:type="dxa"/>
            <w:vAlign w:val="center"/>
          </w:tcPr>
          <w:p w:rsidR="005B3BCA" w:rsidRPr="00131B9D" w:rsidRDefault="005B3BCA" w:rsidP="005B3BCA">
            <w:pPr>
              <w:widowControl/>
              <w:spacing w:line="0" w:lineRule="atLeast"/>
              <w:jc w:val="center"/>
              <w:rPr>
                <w:rFonts w:eastAsia="標楷體"/>
              </w:rPr>
            </w:pPr>
            <w:r w:rsidRPr="00131B9D">
              <w:rPr>
                <w:color w:val="000000"/>
              </w:rPr>
              <w:t xml:space="preserve">49.8 </w:t>
            </w:r>
          </w:p>
        </w:tc>
      </w:tr>
      <w:tr w:rsidR="005B3BCA" w:rsidRPr="00131B9D" w:rsidTr="005B3BCA">
        <w:trPr>
          <w:jc w:val="center"/>
        </w:trPr>
        <w:tc>
          <w:tcPr>
            <w:tcW w:w="617" w:type="dxa"/>
            <w:vMerge/>
            <w:shd w:val="clear" w:color="auto" w:fill="D9D9D9" w:themeFill="background1" w:themeFillShade="D9"/>
          </w:tcPr>
          <w:p w:rsidR="005B3BCA" w:rsidRPr="00131B9D" w:rsidRDefault="005B3BCA" w:rsidP="005B3BCA">
            <w:pPr>
              <w:spacing w:line="0" w:lineRule="atLeast"/>
              <w:rPr>
                <w:rFonts w:eastAsia="標楷體"/>
              </w:rPr>
            </w:pPr>
          </w:p>
        </w:tc>
        <w:tc>
          <w:tcPr>
            <w:tcW w:w="1329" w:type="dxa"/>
            <w:shd w:val="clear" w:color="auto" w:fill="D9D9D9" w:themeFill="background1" w:themeFillShade="D9"/>
          </w:tcPr>
          <w:p w:rsidR="005B3BCA" w:rsidRPr="00131B9D" w:rsidRDefault="005B3BCA" w:rsidP="005B3BCA">
            <w:pPr>
              <w:spacing w:line="0" w:lineRule="atLeast"/>
              <w:rPr>
                <w:rFonts w:eastAsia="標楷體"/>
              </w:rPr>
            </w:pPr>
            <w:r w:rsidRPr="00131B9D">
              <w:rPr>
                <w:rFonts w:eastAsia="標楷體"/>
              </w:rPr>
              <w:t>HSBC/Caixin</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49.7</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50.7</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49.6</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48.9</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49.2</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49.4</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47.8</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47.3</w:t>
            </w:r>
          </w:p>
        </w:tc>
        <w:tc>
          <w:tcPr>
            <w:tcW w:w="656" w:type="dxa"/>
            <w:vAlign w:val="center"/>
          </w:tcPr>
          <w:p w:rsidR="005B3BCA" w:rsidRPr="00131B9D" w:rsidRDefault="005B3BCA" w:rsidP="005B3BCA">
            <w:pPr>
              <w:widowControl/>
              <w:spacing w:line="0" w:lineRule="atLeast"/>
              <w:jc w:val="center"/>
              <w:rPr>
                <w:rFonts w:eastAsia="標楷體"/>
              </w:rPr>
            </w:pPr>
            <w:r w:rsidRPr="00131B9D">
              <w:t>47.2</w:t>
            </w:r>
          </w:p>
        </w:tc>
        <w:tc>
          <w:tcPr>
            <w:tcW w:w="797" w:type="dxa"/>
            <w:vAlign w:val="center"/>
          </w:tcPr>
          <w:p w:rsidR="005B3BCA" w:rsidRPr="00131B9D" w:rsidRDefault="005B3BCA" w:rsidP="005B3BCA">
            <w:pPr>
              <w:widowControl/>
              <w:spacing w:line="0" w:lineRule="atLeast"/>
              <w:jc w:val="center"/>
              <w:rPr>
                <w:rFonts w:eastAsia="標楷體"/>
              </w:rPr>
            </w:pPr>
            <w:r w:rsidRPr="00131B9D">
              <w:t>48.3</w:t>
            </w:r>
          </w:p>
        </w:tc>
      </w:tr>
      <w:tr w:rsidR="005B3BCA" w:rsidRPr="00131B9D" w:rsidTr="005B3BCA">
        <w:trPr>
          <w:jc w:val="center"/>
        </w:trPr>
        <w:tc>
          <w:tcPr>
            <w:tcW w:w="1946" w:type="dxa"/>
            <w:gridSpan w:val="2"/>
            <w:shd w:val="clear" w:color="auto" w:fill="D9D9D9" w:themeFill="background1" w:themeFillShade="D9"/>
          </w:tcPr>
          <w:p w:rsidR="005B3BCA" w:rsidRPr="00131B9D" w:rsidRDefault="005B3BCA" w:rsidP="005B3BCA">
            <w:pPr>
              <w:spacing w:line="0" w:lineRule="atLeast"/>
              <w:rPr>
                <w:rFonts w:eastAsia="標楷體"/>
              </w:rPr>
            </w:pPr>
            <w:r w:rsidRPr="00131B9D">
              <w:rPr>
                <w:rFonts w:eastAsia="標楷體"/>
              </w:rPr>
              <w:t>日本</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52.2</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51.6</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50.3</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49.9</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50.9</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50.1</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51.2</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51.7</w:t>
            </w:r>
          </w:p>
        </w:tc>
        <w:tc>
          <w:tcPr>
            <w:tcW w:w="656" w:type="dxa"/>
            <w:vAlign w:val="center"/>
          </w:tcPr>
          <w:p w:rsidR="005B3BCA" w:rsidRPr="00131B9D" w:rsidRDefault="005B3BCA" w:rsidP="005B3BCA">
            <w:pPr>
              <w:widowControl/>
              <w:spacing w:line="0" w:lineRule="atLeast"/>
              <w:jc w:val="center"/>
              <w:rPr>
                <w:rFonts w:eastAsia="標楷體"/>
              </w:rPr>
            </w:pPr>
            <w:r w:rsidRPr="00131B9D">
              <w:t>51.0</w:t>
            </w:r>
          </w:p>
        </w:tc>
        <w:tc>
          <w:tcPr>
            <w:tcW w:w="797" w:type="dxa"/>
            <w:vAlign w:val="center"/>
          </w:tcPr>
          <w:p w:rsidR="005B3BCA" w:rsidRPr="00131B9D" w:rsidRDefault="005B3BCA" w:rsidP="005B3BCA">
            <w:pPr>
              <w:widowControl/>
              <w:spacing w:line="0" w:lineRule="atLeast"/>
              <w:jc w:val="center"/>
              <w:rPr>
                <w:rFonts w:eastAsia="標楷體"/>
              </w:rPr>
            </w:pPr>
            <w:r w:rsidRPr="00131B9D">
              <w:t>52.4</w:t>
            </w:r>
          </w:p>
        </w:tc>
      </w:tr>
      <w:tr w:rsidR="005B3BCA" w:rsidRPr="00131B9D" w:rsidTr="005B3BCA">
        <w:trPr>
          <w:jc w:val="center"/>
        </w:trPr>
        <w:tc>
          <w:tcPr>
            <w:tcW w:w="1946" w:type="dxa"/>
            <w:gridSpan w:val="2"/>
            <w:shd w:val="clear" w:color="auto" w:fill="D9D9D9" w:themeFill="background1" w:themeFillShade="D9"/>
          </w:tcPr>
          <w:p w:rsidR="005B3BCA" w:rsidRPr="00131B9D" w:rsidRDefault="005B3BCA" w:rsidP="005B3BCA">
            <w:pPr>
              <w:spacing w:line="0" w:lineRule="atLeast"/>
              <w:rPr>
                <w:rFonts w:eastAsia="標楷體"/>
              </w:rPr>
            </w:pPr>
            <w:r w:rsidRPr="00131B9D">
              <w:rPr>
                <w:rFonts w:eastAsia="標楷體"/>
              </w:rPr>
              <w:t>歐元區</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51.0</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51.0</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52.2</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52.0</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52.2</w:t>
            </w:r>
          </w:p>
        </w:tc>
        <w:tc>
          <w:tcPr>
            <w:tcW w:w="656" w:type="dxa"/>
            <w:vAlign w:val="center"/>
          </w:tcPr>
          <w:p w:rsidR="005B3BCA" w:rsidRPr="00131B9D" w:rsidRDefault="005B3BCA" w:rsidP="005B3BCA">
            <w:pPr>
              <w:spacing w:line="0" w:lineRule="atLeast"/>
              <w:jc w:val="center"/>
              <w:rPr>
                <w:rFonts w:eastAsia="標楷體"/>
              </w:rPr>
            </w:pPr>
            <w:r w:rsidRPr="00131B9D">
              <w:rPr>
                <w:rFonts w:eastAsia="標楷體"/>
              </w:rPr>
              <w:t>52.5</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52.4</w:t>
            </w:r>
          </w:p>
        </w:tc>
        <w:tc>
          <w:tcPr>
            <w:tcW w:w="656" w:type="dxa"/>
            <w:vAlign w:val="center"/>
          </w:tcPr>
          <w:p w:rsidR="005B3BCA" w:rsidRPr="00131B9D" w:rsidRDefault="005B3BCA" w:rsidP="005B3BCA">
            <w:pPr>
              <w:widowControl/>
              <w:spacing w:line="0" w:lineRule="atLeast"/>
              <w:jc w:val="center"/>
              <w:rPr>
                <w:rFonts w:eastAsia="標楷體"/>
              </w:rPr>
            </w:pPr>
            <w:r w:rsidRPr="00131B9D">
              <w:rPr>
                <w:color w:val="000000"/>
              </w:rPr>
              <w:t>52.3</w:t>
            </w:r>
          </w:p>
        </w:tc>
        <w:tc>
          <w:tcPr>
            <w:tcW w:w="656" w:type="dxa"/>
            <w:vAlign w:val="center"/>
          </w:tcPr>
          <w:p w:rsidR="005B3BCA" w:rsidRPr="00131B9D" w:rsidRDefault="005B3BCA" w:rsidP="005B3BCA">
            <w:pPr>
              <w:widowControl/>
              <w:spacing w:line="0" w:lineRule="atLeast"/>
              <w:jc w:val="center"/>
              <w:rPr>
                <w:rFonts w:eastAsia="標楷體"/>
              </w:rPr>
            </w:pPr>
            <w:r w:rsidRPr="00131B9D">
              <w:t>52.0</w:t>
            </w:r>
          </w:p>
        </w:tc>
        <w:tc>
          <w:tcPr>
            <w:tcW w:w="797" w:type="dxa"/>
            <w:vAlign w:val="center"/>
          </w:tcPr>
          <w:p w:rsidR="005B3BCA" w:rsidRPr="00131B9D" w:rsidRDefault="005B3BCA" w:rsidP="005B3BCA">
            <w:pPr>
              <w:widowControl/>
              <w:spacing w:line="0" w:lineRule="atLeast"/>
              <w:jc w:val="center"/>
              <w:rPr>
                <w:rFonts w:eastAsia="標楷體"/>
              </w:rPr>
            </w:pPr>
            <w:r w:rsidRPr="00131B9D">
              <w:t>52.3</w:t>
            </w:r>
          </w:p>
        </w:tc>
      </w:tr>
    </w:tbl>
    <w:p w:rsidR="008A7271" w:rsidRPr="00131B9D" w:rsidRDefault="008A7271" w:rsidP="008A7271">
      <w:pPr>
        <w:rPr>
          <w:rFonts w:eastAsia="標楷體"/>
          <w:sz w:val="20"/>
        </w:rPr>
      </w:pPr>
      <w:r w:rsidRPr="00131B9D">
        <w:rPr>
          <w:rFonts w:eastAsia="標楷體"/>
          <w:sz w:val="20"/>
        </w:rPr>
        <w:t>資料來源：本研究整理</w:t>
      </w:r>
    </w:p>
    <w:p w:rsidR="00381BB7" w:rsidRPr="00131B9D" w:rsidRDefault="00381BB7" w:rsidP="00381BB7">
      <w:pPr>
        <w:pStyle w:val="-"/>
        <w:spacing w:before="72" w:after="72"/>
        <w:ind w:firstLine="560"/>
      </w:pPr>
      <w:r w:rsidRPr="00131B9D">
        <w:t>縱觀各項重要商品價格指標，</w:t>
      </w:r>
      <w:r w:rsidRPr="00131B9D">
        <w:t>2015</w:t>
      </w:r>
      <w:r w:rsidRPr="00131B9D">
        <w:t>年全球商品指數（</w:t>
      </w:r>
      <w:r w:rsidRPr="00131B9D">
        <w:t>Thomson Reuters/Jefferies CRB</w:t>
      </w:r>
      <w:r w:rsidRPr="00131B9D">
        <w:t>）大致呈現下跌走勢，今年第</w:t>
      </w:r>
      <w:r w:rsidRPr="00131B9D">
        <w:t>1</w:t>
      </w:r>
      <w:r w:rsidRPr="00131B9D">
        <w:t>季末指數</w:t>
      </w:r>
      <w:r w:rsidRPr="00131B9D">
        <w:t>211.86</w:t>
      </w:r>
      <w:r w:rsidRPr="00131B9D">
        <w:t>較季初時的</w:t>
      </w:r>
      <w:r w:rsidRPr="00131B9D">
        <w:t>229.96</w:t>
      </w:r>
      <w:r w:rsidRPr="00131B9D">
        <w:t>下跌</w:t>
      </w:r>
      <w:r w:rsidRPr="00131B9D">
        <w:t>7.9%</w:t>
      </w:r>
      <w:r w:rsidRPr="00131B9D">
        <w:t>，主要因大宗物品供應充裕，鐵礦石價格走低，全球經濟動能有待復甦，中國大陸內需放緩。而到了第</w:t>
      </w:r>
      <w:r w:rsidRPr="00131B9D">
        <w:t>2</w:t>
      </w:r>
      <w:r w:rsidRPr="00131B9D">
        <w:t>，全球商品指數自</w:t>
      </w:r>
      <w:r w:rsidRPr="00131B9D">
        <w:t>4</w:t>
      </w:r>
      <w:r w:rsidRPr="00131B9D">
        <w:t>月初止穩反彈，因中國大陸與印度、巴西、緬甸等新興國家基礎建設需求持續增溫，連漲</w:t>
      </w:r>
      <w:r w:rsidRPr="00131B9D">
        <w:t>7</w:t>
      </w:r>
      <w:r w:rsidRPr="00131B9D">
        <w:t>週，到了</w:t>
      </w:r>
      <w:r w:rsidRPr="00131B9D">
        <w:t>5</w:t>
      </w:r>
      <w:r w:rsidRPr="00131B9D">
        <w:t>月</w:t>
      </w:r>
      <w:r w:rsidRPr="00131B9D">
        <w:t>22</w:t>
      </w:r>
      <w:r w:rsidRPr="00131B9D">
        <w:t>日當週開始拉回，之後連續</w:t>
      </w:r>
      <w:r w:rsidRPr="00131B9D">
        <w:t>3</w:t>
      </w:r>
      <w:r w:rsidRPr="00131B9D">
        <w:t>週盤整的格局，於</w:t>
      </w:r>
      <w:r w:rsidRPr="00131B9D">
        <w:t>7</w:t>
      </w:r>
      <w:r w:rsidRPr="00131B9D">
        <w:t>月之後，因國際金價「閃崩」的帶動下，加上美聯儲加息態度開始明朗化，美元走強使商品市場尤其是原油、黃金等品種的避險作用下降，許多大宗商品價格又開始紛紛下挫走跌。</w:t>
      </w:r>
      <w:r w:rsidRPr="00131B9D">
        <w:t>8</w:t>
      </w:r>
      <w:r w:rsidRPr="00131B9D">
        <w:t>月底因油價大漲的激勵，使</w:t>
      </w:r>
      <w:r w:rsidRPr="00131B9D">
        <w:t>CRB</w:t>
      </w:r>
      <w:r w:rsidRPr="00131B9D">
        <w:t>指數上升，</w:t>
      </w:r>
      <w:r w:rsidRPr="00131B9D">
        <w:t>9</w:t>
      </w:r>
      <w:r w:rsidRPr="00131B9D">
        <w:t>月過後，受全球商品市場普跌的拖累，</w:t>
      </w:r>
      <w:r w:rsidRPr="00131B9D">
        <w:t>CRB</w:t>
      </w:r>
      <w:r w:rsidRPr="00131B9D">
        <w:t>指數又緩慢走跌，而</w:t>
      </w:r>
      <w:r w:rsidRPr="00131B9D">
        <w:t>10</w:t>
      </w:r>
      <w:r w:rsidRPr="00131B9D">
        <w:t>月初受到美股及油價、金價上漲的激勵，使</w:t>
      </w:r>
      <w:r w:rsidRPr="00131B9D">
        <w:t>CRB</w:t>
      </w:r>
      <w:r w:rsidRPr="00131B9D">
        <w:t>指數走升，然隨後因主要大宗商品价格大多持續走跌，油價趨勢也一路走跌，使</w:t>
      </w:r>
      <w:r w:rsidRPr="00131B9D">
        <w:t>CRB</w:t>
      </w:r>
      <w:r w:rsidRPr="00131B9D">
        <w:t>指數持續滑落，截至</w:t>
      </w:r>
      <w:r w:rsidRPr="00131B9D">
        <w:t>11</w:t>
      </w:r>
      <w:r w:rsidRPr="00131B9D">
        <w:t>月</w:t>
      </w:r>
      <w:r w:rsidRPr="00131B9D">
        <w:t>20</w:t>
      </w:r>
      <w:r w:rsidRPr="00131B9D">
        <w:t>日止，已處於</w:t>
      </w:r>
      <w:r w:rsidRPr="00131B9D">
        <w:t>2015</w:t>
      </w:r>
      <w:r w:rsidRPr="00131B9D">
        <w:t>年初以來最低位置。（如圖</w:t>
      </w:r>
      <w:r w:rsidRPr="00131B9D">
        <w:t>2-</w:t>
      </w:r>
      <w:r w:rsidR="002865CA" w:rsidRPr="00131B9D">
        <w:t>9</w:t>
      </w:r>
      <w:r w:rsidRPr="00131B9D">
        <w:t>）。</w:t>
      </w:r>
    </w:p>
    <w:p w:rsidR="00381BB7" w:rsidRPr="00131B9D" w:rsidRDefault="00381BB7" w:rsidP="00381BB7">
      <w:pPr>
        <w:pStyle w:val="-"/>
        <w:spacing w:before="72" w:after="72"/>
        <w:ind w:firstLine="560"/>
      </w:pPr>
      <w:r w:rsidRPr="00131B9D">
        <w:t>在石油方面，供給端，美國原油產量未有明顯下降，</w:t>
      </w:r>
      <w:r w:rsidRPr="00131B9D">
        <w:t>OPEC</w:t>
      </w:r>
      <w:r w:rsidRPr="00131B9D">
        <w:t>也無意減產以調節油價，俄羅斯原油多次創歷史新高，雖然低油價造成原油需求量增達</w:t>
      </w:r>
      <w:r w:rsidRPr="00131B9D">
        <w:t>5</w:t>
      </w:r>
      <w:r w:rsidRPr="00131B9D">
        <w:t>年來新高，但供過於求之情況仍然持續，也因此全球原油庫存突破</w:t>
      </w:r>
      <w:r w:rsidRPr="00131B9D">
        <w:t>30</w:t>
      </w:r>
      <w:r w:rsidRPr="00131B9D">
        <w:t>億桶，同時美國原油庫存也接近歷史高位。預期未來非</w:t>
      </w:r>
      <w:r w:rsidRPr="00131B9D">
        <w:t>OPEC</w:t>
      </w:r>
      <w:r w:rsidRPr="00131B9D">
        <w:t>國家之原油供給量將進一步下降，惟</w:t>
      </w:r>
      <w:r w:rsidR="00821D0B" w:rsidRPr="00131B9D">
        <w:t>OPEC 12</w:t>
      </w:r>
      <w:r w:rsidR="00821D0B" w:rsidRPr="00131B9D">
        <w:t>月會議未制定原油生產配額，加上伊朗解除</w:t>
      </w:r>
      <w:r w:rsidRPr="00131B9D">
        <w:t>制裁後恐增加原油出口。故未來原油價格恐仍然疲緩（如圖</w:t>
      </w:r>
      <w:r w:rsidRPr="00131B9D">
        <w:t>2-</w:t>
      </w:r>
      <w:r w:rsidR="008635E4" w:rsidRPr="00131B9D">
        <w:t>1</w:t>
      </w:r>
      <w:r w:rsidR="002865CA" w:rsidRPr="00131B9D">
        <w:t>0</w:t>
      </w:r>
      <w:r w:rsidRPr="00131B9D">
        <w:t>）。</w:t>
      </w:r>
    </w:p>
    <w:p w:rsidR="00381BB7" w:rsidRPr="00131B9D" w:rsidRDefault="00381BB7" w:rsidP="00381BB7">
      <w:pPr>
        <w:pStyle w:val="-"/>
        <w:spacing w:before="72" w:after="72"/>
        <w:ind w:firstLine="560"/>
      </w:pPr>
      <w:r w:rsidRPr="00131B9D">
        <w:t>至於波羅的海乾散裝航運指數（</w:t>
      </w:r>
      <w:r w:rsidRPr="00131B9D">
        <w:t>Baltic Dry Index, BDI</w:t>
      </w:r>
      <w:r w:rsidRPr="00131B9D">
        <w:t>），自去年</w:t>
      </w:r>
      <w:r w:rsidRPr="00131B9D">
        <w:lastRenderedPageBreak/>
        <w:t>11</w:t>
      </w:r>
      <w:r w:rsidRPr="00131B9D">
        <w:t>月</w:t>
      </w:r>
      <w:r w:rsidRPr="00131B9D">
        <w:t>4</w:t>
      </w:r>
      <w:r w:rsidRPr="00131B9D">
        <w:t>日達到</w:t>
      </w:r>
      <w:r w:rsidRPr="00131B9D">
        <w:t>1,184</w:t>
      </w:r>
      <w:r w:rsidRPr="00131B9D">
        <w:t>點高點後，一路下探至今年</w:t>
      </w:r>
      <w:r w:rsidRPr="00131B9D">
        <w:t>2</w:t>
      </w:r>
      <w:r w:rsidRPr="00131B9D">
        <w:t>月</w:t>
      </w:r>
      <w:r w:rsidRPr="00131B9D">
        <w:t>18</w:t>
      </w:r>
      <w:r w:rsidRPr="00131B9D">
        <w:t>日創下歷史最低點的</w:t>
      </w:r>
      <w:r w:rsidRPr="00131B9D">
        <w:t>509</w:t>
      </w:r>
      <w:r w:rsidRPr="00131B9D">
        <w:t>點，隨後便因每年中國大陸農曆春節假期之後，航運需求上升，緩慢上漲，</w:t>
      </w:r>
      <w:r w:rsidRPr="00131B9D">
        <w:t>3-5</w:t>
      </w:r>
      <w:r w:rsidRPr="00131B9D">
        <w:t>月份指數變動不大，</w:t>
      </w:r>
      <w:r w:rsidRPr="00131B9D">
        <w:t>6</w:t>
      </w:r>
      <w:r w:rsidRPr="00131B9D">
        <w:t>月份以來，</w:t>
      </w:r>
      <w:r w:rsidRPr="00131B9D">
        <w:t>BDI</w:t>
      </w:r>
      <w:r w:rsidRPr="00131B9D">
        <w:t>指數受到南美物流旺季帶動，加之鐵礦石需求有所回升，因此海岬型船租金的相對穩定以及巴拿馬型船的運費穩定回升，一路從</w:t>
      </w:r>
      <w:r w:rsidRPr="00131B9D">
        <w:t>589</w:t>
      </w:r>
      <w:r w:rsidRPr="00131B9D">
        <w:t>點上漲至</w:t>
      </w:r>
      <w:r w:rsidRPr="00131B9D">
        <w:t>8</w:t>
      </w:r>
      <w:r w:rsidRPr="00131B9D">
        <w:t>月</w:t>
      </w:r>
      <w:r w:rsidRPr="00131B9D">
        <w:t>5</w:t>
      </w:r>
      <w:r w:rsidRPr="00131B9D">
        <w:t>日的</w:t>
      </w:r>
      <w:r w:rsidRPr="00131B9D">
        <w:t>1,222</w:t>
      </w:r>
      <w:r w:rsidRPr="00131B9D">
        <w:t>點，為</w:t>
      </w:r>
      <w:r w:rsidRPr="00131B9D">
        <w:t>2015</w:t>
      </w:r>
      <w:r w:rsidRPr="00131B9D">
        <w:t>年新高位置，漲幅超過</w:t>
      </w:r>
      <w:r w:rsidRPr="00131B9D">
        <w:t>100%</w:t>
      </w:r>
      <w:r w:rsidRPr="00131B9D">
        <w:t>。然</w:t>
      </w:r>
      <w:r w:rsidRPr="00131B9D">
        <w:t>8</w:t>
      </w:r>
      <w:r w:rsidRPr="00131B9D">
        <w:t>月初過後，原本已經運力過剩的乾散貨運市場，面臨商品市場價格驟降，且新貨船仍舊不斷投入，擴大船舶供過於求的問題，而全球經濟走勢低迷、中國大陸經濟仍在調節階段，貿易需求也受到壓抑，加上恐怖攻擊頻傳，也影響國際消費信心，使</w:t>
      </w:r>
      <w:r w:rsidRPr="00131B9D">
        <w:t>BDI</w:t>
      </w:r>
      <w:r w:rsidRPr="00131B9D">
        <w:t>指數一路下滑（如圖</w:t>
      </w:r>
      <w:r w:rsidRPr="00131B9D">
        <w:t>2-1</w:t>
      </w:r>
      <w:r w:rsidR="002865CA" w:rsidRPr="00131B9D">
        <w:t>1</w:t>
      </w:r>
      <w:r w:rsidRPr="00131B9D">
        <w:t>），而</w:t>
      </w:r>
      <w:r w:rsidRPr="00131B9D">
        <w:t>11</w:t>
      </w:r>
      <w:r w:rsidRPr="00131B9D">
        <w:t>月</w:t>
      </w:r>
      <w:r w:rsidRPr="00131B9D">
        <w:t>20</w:t>
      </w:r>
      <w:r w:rsidRPr="00131B9D">
        <w:t>日因巴西水壩潰堤，衝擊鐵礦砂出貨減少，已經低迷的散裝航運市場再受拖累，</w:t>
      </w:r>
      <w:r w:rsidRPr="00131B9D">
        <w:t>BDI</w:t>
      </w:r>
      <w:r w:rsidRPr="00131B9D">
        <w:t>指數跌至紀錄低點。</w:t>
      </w:r>
    </w:p>
    <w:p w:rsidR="00381BB7" w:rsidRPr="00131B9D" w:rsidRDefault="00381BB7" w:rsidP="00381BB7"/>
    <w:p w:rsidR="00381BB7" w:rsidRPr="00131B9D" w:rsidRDefault="00381BB7" w:rsidP="00381BB7">
      <w:pPr>
        <w:rPr>
          <w:rFonts w:eastAsia="標楷體"/>
        </w:rPr>
      </w:pPr>
      <w:r w:rsidRPr="00131B9D">
        <w:rPr>
          <w:noProof/>
        </w:rPr>
        <w:drawing>
          <wp:inline distT="0" distB="0" distL="0" distR="0" wp14:anchorId="15130620" wp14:editId="15DEAAC8">
            <wp:extent cx="5274310" cy="2828260"/>
            <wp:effectExtent l="0" t="0" r="2540" b="10795"/>
            <wp:docPr id="18469" name="圖表 18469"/>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381BB7" w:rsidRPr="00131B9D" w:rsidRDefault="00381BB7" w:rsidP="00381BB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381BB7" w:rsidRPr="00131B9D" w:rsidRDefault="00381BB7" w:rsidP="00381BB7">
      <w:pPr>
        <w:pStyle w:val="afff5"/>
        <w:spacing w:line="0" w:lineRule="atLeast"/>
        <w:jc w:val="center"/>
        <w:rPr>
          <w:rFonts w:eastAsia="標楷體"/>
          <w:b/>
          <w:bCs/>
          <w:kern w:val="52"/>
          <w:sz w:val="28"/>
          <w:szCs w:val="28"/>
        </w:rPr>
      </w:pPr>
      <w:bookmarkStart w:id="28" w:name="_Toc398882630"/>
      <w:bookmarkStart w:id="29" w:name="_Toc438823217"/>
      <w:bookmarkStart w:id="30" w:name="_Ref375149556"/>
      <w:bookmarkStart w:id="31" w:name="_Toc322706919"/>
      <w:bookmarkStart w:id="32" w:name="_Toc364346851"/>
      <w:bookmarkStart w:id="33" w:name="_Toc365017331"/>
      <w:bookmarkStart w:id="34" w:name="_Toc373423044"/>
      <w:bookmarkStart w:id="35" w:name="_Toc373682428"/>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9</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CRB</w:t>
      </w:r>
      <w:r w:rsidRPr="00131B9D">
        <w:rPr>
          <w:rFonts w:eastAsia="標楷體"/>
          <w:b/>
          <w:bCs/>
          <w:kern w:val="52"/>
          <w:sz w:val="28"/>
          <w:szCs w:val="28"/>
        </w:rPr>
        <w:t>全球商品指數</w:t>
      </w:r>
      <w:bookmarkEnd w:id="28"/>
      <w:bookmarkEnd w:id="29"/>
    </w:p>
    <w:p w:rsidR="002865CA" w:rsidRPr="00131B9D" w:rsidRDefault="002865CA" w:rsidP="002865CA">
      <w:pPr>
        <w:sectPr w:rsidR="002865CA" w:rsidRPr="00131B9D" w:rsidSect="00097B8D">
          <w:pgSz w:w="11906" w:h="16838"/>
          <w:pgMar w:top="1440" w:right="1800" w:bottom="1440" w:left="1800" w:header="851" w:footer="992" w:gutter="0"/>
          <w:cols w:space="425"/>
          <w:docGrid w:type="lines" w:linePitch="360"/>
        </w:sectPr>
      </w:pPr>
    </w:p>
    <w:p w:rsidR="00381BB7" w:rsidRPr="00131B9D" w:rsidRDefault="00381BB7" w:rsidP="00381BB7">
      <w:pPr>
        <w:spacing w:beforeLines="100" w:before="360" w:line="0" w:lineRule="atLeast"/>
        <w:jc w:val="center"/>
        <w:rPr>
          <w:rFonts w:eastAsia="標楷體"/>
          <w:noProof/>
          <w:sz w:val="20"/>
          <w:szCs w:val="20"/>
        </w:rPr>
      </w:pPr>
      <w:bookmarkStart w:id="36" w:name="_Toc322706920"/>
      <w:bookmarkEnd w:id="30"/>
      <w:bookmarkEnd w:id="31"/>
      <w:bookmarkEnd w:id="32"/>
      <w:bookmarkEnd w:id="33"/>
      <w:bookmarkEnd w:id="34"/>
      <w:bookmarkEnd w:id="35"/>
      <w:r w:rsidRPr="00131B9D">
        <w:rPr>
          <w:rFonts w:eastAsia="標楷體"/>
          <w:noProof/>
          <w:sz w:val="20"/>
          <w:szCs w:val="20"/>
        </w:rPr>
        <w:lastRenderedPageBreak/>
        <w:drawing>
          <wp:inline distT="0" distB="0" distL="0" distR="0" wp14:anchorId="1A4A7421" wp14:editId="3555D5AE">
            <wp:extent cx="5274310" cy="3200400"/>
            <wp:effectExtent l="0" t="0" r="2540" b="0"/>
            <wp:docPr id="18470" name="圖表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381BB7" w:rsidRPr="00131B9D" w:rsidRDefault="00381BB7" w:rsidP="00381BB7">
      <w:pPr>
        <w:spacing w:line="0" w:lineRule="atLeas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381BB7" w:rsidRPr="00131B9D" w:rsidRDefault="00381BB7" w:rsidP="00381BB7">
      <w:pPr>
        <w:pStyle w:val="afff5"/>
        <w:spacing w:line="0" w:lineRule="atLeast"/>
        <w:jc w:val="center"/>
        <w:rPr>
          <w:rFonts w:eastAsia="標楷體"/>
          <w:b/>
          <w:bCs/>
          <w:kern w:val="52"/>
          <w:sz w:val="28"/>
          <w:szCs w:val="28"/>
        </w:rPr>
      </w:pPr>
      <w:bookmarkStart w:id="37" w:name="_Toc398882631"/>
      <w:bookmarkStart w:id="38" w:name="_Toc364346852"/>
      <w:bookmarkStart w:id="39" w:name="_Toc365017332"/>
      <w:bookmarkStart w:id="40" w:name="_Toc373423045"/>
      <w:bookmarkStart w:id="41" w:name="_Toc373682429"/>
      <w:bookmarkStart w:id="42" w:name="_Toc438823218"/>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10</w:t>
      </w:r>
      <w:r w:rsidRPr="00131B9D">
        <w:rPr>
          <w:rFonts w:eastAsia="標楷體"/>
          <w:b/>
          <w:bCs/>
          <w:kern w:val="52"/>
          <w:sz w:val="28"/>
          <w:szCs w:val="28"/>
        </w:rPr>
        <w:fldChar w:fldCharType="end"/>
      </w:r>
      <w:r w:rsidRPr="00131B9D">
        <w:rPr>
          <w:rFonts w:eastAsia="標楷體"/>
          <w:b/>
          <w:bCs/>
          <w:kern w:val="52"/>
          <w:sz w:val="28"/>
          <w:szCs w:val="28"/>
        </w:rPr>
        <w:t xml:space="preserve">　布蘭特原油現貨價</w:t>
      </w:r>
      <w:bookmarkEnd w:id="36"/>
      <w:bookmarkEnd w:id="37"/>
      <w:bookmarkEnd w:id="38"/>
      <w:bookmarkEnd w:id="39"/>
      <w:bookmarkEnd w:id="40"/>
      <w:bookmarkEnd w:id="41"/>
      <w:bookmarkEnd w:id="42"/>
    </w:p>
    <w:p w:rsidR="00381BB7" w:rsidRPr="00131B9D" w:rsidRDefault="00381BB7" w:rsidP="00381BB7">
      <w:pPr>
        <w:spacing w:line="0" w:lineRule="atLeast"/>
        <w:rPr>
          <w:rFonts w:eastAsia="標楷體"/>
        </w:rPr>
      </w:pPr>
      <w:r w:rsidRPr="00131B9D">
        <w:rPr>
          <w:noProof/>
        </w:rPr>
        <w:drawing>
          <wp:inline distT="0" distB="0" distL="0" distR="0" wp14:anchorId="38F336D3" wp14:editId="658B027C">
            <wp:extent cx="5274310" cy="3497177"/>
            <wp:effectExtent l="0" t="0" r="21590" b="27305"/>
            <wp:docPr id="18471" name="圖表 1847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381BB7" w:rsidRPr="00131B9D" w:rsidRDefault="00381BB7" w:rsidP="00381BB7">
      <w:pPr>
        <w:spacing w:line="0" w:lineRule="atLeas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8A7271" w:rsidRPr="00131B9D" w:rsidRDefault="00381BB7" w:rsidP="00381BB7">
      <w:pPr>
        <w:pStyle w:val="afff5"/>
        <w:spacing w:line="0" w:lineRule="atLeast"/>
        <w:jc w:val="center"/>
        <w:rPr>
          <w:rFonts w:eastAsia="標楷體"/>
          <w:b/>
          <w:bCs/>
          <w:kern w:val="52"/>
          <w:sz w:val="28"/>
          <w:szCs w:val="28"/>
        </w:rPr>
      </w:pPr>
      <w:bookmarkStart w:id="43" w:name="_Toc398882632"/>
      <w:bookmarkStart w:id="44" w:name="_Toc438823219"/>
      <w:r w:rsidRPr="00131B9D">
        <w:rPr>
          <w:rFonts w:eastAsia="標楷體"/>
          <w:b/>
          <w:bCs/>
          <w:kern w:val="52"/>
          <w:sz w:val="28"/>
          <w:szCs w:val="28"/>
        </w:rPr>
        <w:t>圖</w:t>
      </w:r>
      <w:r w:rsidRPr="00131B9D">
        <w:rPr>
          <w:rFonts w:eastAsia="標楷體"/>
          <w:b/>
          <w:bCs/>
          <w:kern w:val="52"/>
          <w:sz w:val="28"/>
          <w:szCs w:val="28"/>
        </w:rPr>
        <w:t xml:space="preserve">2-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2- \* ARABIC </w:instrText>
      </w:r>
      <w:r w:rsidRPr="00131B9D">
        <w:rPr>
          <w:rFonts w:eastAsia="標楷體"/>
          <w:b/>
          <w:bCs/>
          <w:kern w:val="52"/>
          <w:sz w:val="28"/>
          <w:szCs w:val="28"/>
        </w:rPr>
        <w:fldChar w:fldCharType="separate"/>
      </w:r>
      <w:r w:rsidR="001641D3">
        <w:rPr>
          <w:rFonts w:eastAsia="標楷體"/>
          <w:b/>
          <w:bCs/>
          <w:noProof/>
          <w:kern w:val="52"/>
          <w:sz w:val="28"/>
          <w:szCs w:val="28"/>
        </w:rPr>
        <w:t>11</w:t>
      </w:r>
      <w:r w:rsidRPr="00131B9D">
        <w:rPr>
          <w:rFonts w:eastAsia="標楷體"/>
          <w:b/>
          <w:bCs/>
          <w:kern w:val="52"/>
          <w:sz w:val="28"/>
          <w:szCs w:val="28"/>
        </w:rPr>
        <w:fldChar w:fldCharType="end"/>
      </w:r>
      <w:r w:rsidRPr="00131B9D">
        <w:rPr>
          <w:rFonts w:eastAsia="標楷體"/>
          <w:b/>
          <w:bCs/>
          <w:kern w:val="52"/>
          <w:sz w:val="28"/>
          <w:szCs w:val="28"/>
        </w:rPr>
        <w:t xml:space="preserve">　波羅的海乾散貨綜合航運指數</w:t>
      </w:r>
      <w:bookmarkEnd w:id="43"/>
      <w:bookmarkEnd w:id="44"/>
    </w:p>
    <w:p w:rsidR="008A7271" w:rsidRPr="00131B9D" w:rsidRDefault="008A7271" w:rsidP="008A7271">
      <w:pPr>
        <w:sectPr w:rsidR="008A7271" w:rsidRPr="00131B9D" w:rsidSect="00097B8D">
          <w:pgSz w:w="11906" w:h="16838"/>
          <w:pgMar w:top="1440" w:right="1800" w:bottom="1440" w:left="1800" w:header="851" w:footer="992" w:gutter="0"/>
          <w:cols w:space="425"/>
          <w:docGrid w:type="lines" w:linePitch="360"/>
        </w:sectPr>
      </w:pPr>
    </w:p>
    <w:p w:rsidR="009B62F2" w:rsidRPr="00131B9D" w:rsidRDefault="00333A52" w:rsidP="00402957">
      <w:pPr>
        <w:pStyle w:val="1"/>
        <w:spacing w:after="360"/>
        <w:rPr>
          <w:rFonts w:hAnsi="Times New Roman"/>
        </w:rPr>
      </w:pPr>
      <w:bookmarkStart w:id="45" w:name="_Toc439162950"/>
      <w:r w:rsidRPr="00131B9D">
        <w:rPr>
          <w:rFonts w:hAnsi="Times New Roman"/>
        </w:rPr>
        <w:lastRenderedPageBreak/>
        <w:t>參</w:t>
      </w:r>
      <w:r w:rsidR="009B62F2" w:rsidRPr="00131B9D">
        <w:rPr>
          <w:rFonts w:hAnsi="Times New Roman"/>
        </w:rPr>
        <w:t>、</w:t>
      </w:r>
      <w:bookmarkEnd w:id="8"/>
      <w:bookmarkEnd w:id="9"/>
      <w:r w:rsidR="00CE63C6" w:rsidRPr="00131B9D">
        <w:rPr>
          <w:rFonts w:hAnsi="Times New Roman"/>
        </w:rPr>
        <w:t>2015</w:t>
      </w:r>
      <w:r w:rsidR="00CE63C6" w:rsidRPr="00131B9D">
        <w:rPr>
          <w:rFonts w:hAnsi="Times New Roman"/>
        </w:rPr>
        <w:t>年重要原物料整體價格情勢</w:t>
      </w:r>
      <w:bookmarkEnd w:id="45"/>
    </w:p>
    <w:p w:rsidR="008A7271" w:rsidRPr="00131B9D" w:rsidRDefault="008A7271" w:rsidP="008A7271">
      <w:pPr>
        <w:pStyle w:val="2"/>
        <w:spacing w:before="108" w:after="108"/>
        <w:rPr>
          <w:rFonts w:ascii="Times New Roman" w:hAnsi="Times New Roman"/>
        </w:rPr>
      </w:pPr>
      <w:bookmarkStart w:id="46" w:name="_Toc439162951"/>
      <w:bookmarkStart w:id="47" w:name="_Toc322706922"/>
      <w:bookmarkStart w:id="48" w:name="_Toc373760882"/>
      <w:bookmarkStart w:id="49" w:name="_Toc373761939"/>
      <w:bookmarkStart w:id="50" w:name="_Toc238376000"/>
      <w:bookmarkStart w:id="51" w:name="_Toc322706921"/>
      <w:bookmarkStart w:id="52" w:name="_Toc365017333"/>
      <w:r w:rsidRPr="00131B9D">
        <w:rPr>
          <w:rFonts w:ascii="Times New Roman" w:hAnsi="Times New Roman"/>
        </w:rPr>
        <w:t>一、</w:t>
      </w:r>
      <w:r w:rsidR="00CE63C6" w:rsidRPr="00131B9D">
        <w:rPr>
          <w:rFonts w:ascii="Times New Roman" w:hAnsi="Times New Roman"/>
        </w:rPr>
        <w:t>整體摘要</w:t>
      </w:r>
      <w:bookmarkEnd w:id="46"/>
    </w:p>
    <w:p w:rsidR="00127C79" w:rsidRPr="00131B9D" w:rsidRDefault="00127C79" w:rsidP="00127C79">
      <w:pPr>
        <w:pStyle w:val="-"/>
        <w:spacing w:before="72" w:after="72"/>
        <w:ind w:firstLine="560"/>
      </w:pPr>
      <w:r w:rsidRPr="00131B9D">
        <w:t>重要農工原物料主要包含大宗物資（黃豆、小麥、玉米、糖）、基本金屬（銅、鋁、鎳、鋅、鉛、錫、鎂、鈦、釹、鈷）、金屬工業原料（廢鋼、小鋼胚、平板鋼類、長條鋼類）、石化（乙烯、丙烯、苯、聚氯乙烯、低密度聚乙烯及高密度聚乙烯、聚苯乙烯、</w:t>
      </w:r>
      <w:r w:rsidRPr="00131B9D">
        <w:t>ABS</w:t>
      </w:r>
      <w:r w:rsidRPr="00131B9D">
        <w:t>樹脂、己內醯胺、純對苯二甲酸、乙二醇）、紙（紙漿、廢紙）、水泥、砂石、預拌混凝土、咖啡豆。表</w:t>
      </w:r>
      <w:r w:rsidRPr="00131B9D">
        <w:t>3-1</w:t>
      </w:r>
      <w:r w:rsidRPr="00131B9D">
        <w:t>簡要整理出部分農工原物料品項，並加入</w:t>
      </w:r>
      <w:r w:rsidRPr="00131B9D">
        <w:t>CRB</w:t>
      </w:r>
      <w:r w:rsidRPr="00131B9D">
        <w:t>商品指數、波羅的海航運指數（</w:t>
      </w:r>
      <w:r w:rsidRPr="00131B9D">
        <w:t>BDI</w:t>
      </w:r>
      <w:r w:rsidRPr="00131B9D">
        <w:t>）及布蘭特原油價格，以便快速了解大宗物資</w:t>
      </w:r>
      <w:r w:rsidRPr="00131B9D">
        <w:t>2015</w:t>
      </w:r>
      <w:r w:rsidRPr="00131B9D">
        <w:t>年</w:t>
      </w:r>
      <w:r w:rsidRPr="00131B9D">
        <w:t>1-11</w:t>
      </w:r>
      <w:r w:rsidRPr="00131B9D">
        <w:t>月份價格變化，並對未來一年各品項價格趨勢做預判。</w:t>
      </w:r>
    </w:p>
    <w:p w:rsidR="008A7271" w:rsidRPr="00131B9D" w:rsidRDefault="008A7271" w:rsidP="008A7271">
      <w:pPr>
        <w:rPr>
          <w:rFonts w:eastAsia="標楷體"/>
        </w:rPr>
      </w:pPr>
    </w:p>
    <w:p w:rsidR="008A7271" w:rsidRPr="00131B9D" w:rsidRDefault="006C61BF" w:rsidP="00CD2B44">
      <w:pPr>
        <w:pStyle w:val="aff1"/>
        <w:spacing w:line="0" w:lineRule="atLeast"/>
        <w:rPr>
          <w:b w:val="0"/>
          <w:szCs w:val="28"/>
        </w:rPr>
      </w:pPr>
      <w:bookmarkStart w:id="53" w:name="_Toc439162990"/>
      <w:r w:rsidRPr="00131B9D">
        <w:rPr>
          <w:szCs w:val="28"/>
        </w:rPr>
        <w:t>表</w:t>
      </w:r>
      <w:r w:rsidRPr="00131B9D">
        <w:rPr>
          <w:szCs w:val="28"/>
        </w:rPr>
        <w:t xml:space="preserve">3- </w:t>
      </w:r>
      <w:r w:rsidRPr="00131B9D">
        <w:rPr>
          <w:b w:val="0"/>
          <w:szCs w:val="28"/>
        </w:rPr>
        <w:fldChar w:fldCharType="begin"/>
      </w:r>
      <w:r w:rsidRPr="00131B9D">
        <w:rPr>
          <w:szCs w:val="28"/>
        </w:rPr>
        <w:instrText xml:space="preserve"> SEQ </w:instrText>
      </w:r>
      <w:r w:rsidRPr="00131B9D">
        <w:rPr>
          <w:szCs w:val="28"/>
        </w:rPr>
        <w:instrText>表</w:instrText>
      </w:r>
      <w:r w:rsidRPr="00131B9D">
        <w:rPr>
          <w:szCs w:val="28"/>
        </w:rPr>
        <w:instrText xml:space="preserve">3- \* ARABIC </w:instrText>
      </w:r>
      <w:r w:rsidRPr="00131B9D">
        <w:rPr>
          <w:b w:val="0"/>
          <w:szCs w:val="28"/>
        </w:rPr>
        <w:fldChar w:fldCharType="separate"/>
      </w:r>
      <w:r w:rsidR="001641D3">
        <w:rPr>
          <w:noProof/>
          <w:szCs w:val="28"/>
        </w:rPr>
        <w:t>1</w:t>
      </w:r>
      <w:r w:rsidRPr="00131B9D">
        <w:rPr>
          <w:b w:val="0"/>
          <w:szCs w:val="28"/>
        </w:rPr>
        <w:fldChar w:fldCharType="end"/>
      </w:r>
      <w:r w:rsidR="008A7271" w:rsidRPr="00131B9D">
        <w:rPr>
          <w:szCs w:val="28"/>
        </w:rPr>
        <w:t xml:space="preserve">　</w:t>
      </w:r>
      <w:r w:rsidR="004C5B0A" w:rsidRPr="00131B9D">
        <w:rPr>
          <w:szCs w:val="28"/>
        </w:rPr>
        <w:t>重要原物料市場情勢分析綜合說明表</w:t>
      </w:r>
      <w:bookmarkEnd w:id="53"/>
    </w:p>
    <w:tbl>
      <w:tblPr>
        <w:tblW w:w="10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
        <w:gridCol w:w="1450"/>
        <w:gridCol w:w="1342"/>
        <w:gridCol w:w="1262"/>
        <w:gridCol w:w="1290"/>
        <w:gridCol w:w="1922"/>
        <w:gridCol w:w="2243"/>
      </w:tblGrid>
      <w:tr w:rsidR="004C5B0A" w:rsidRPr="00131B9D" w:rsidTr="004C5B0A">
        <w:trPr>
          <w:trHeight w:val="470"/>
          <w:tblHeader/>
          <w:jc w:val="center"/>
        </w:trPr>
        <w:tc>
          <w:tcPr>
            <w:tcW w:w="2089" w:type="dxa"/>
            <w:gridSpan w:val="2"/>
            <w:vMerge w:val="restart"/>
            <w:tcBorders>
              <w:top w:val="single" w:sz="8" w:space="0" w:color="auto"/>
              <w:left w:val="single" w:sz="8" w:space="0" w:color="auto"/>
              <w:right w:val="single" w:sz="4"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品項</w:t>
            </w:r>
          </w:p>
        </w:tc>
        <w:tc>
          <w:tcPr>
            <w:tcW w:w="3894" w:type="dxa"/>
            <w:gridSpan w:val="3"/>
            <w:tcBorders>
              <w:top w:val="single" w:sz="8" w:space="0" w:color="auto"/>
              <w:left w:val="single" w:sz="4" w:space="0" w:color="auto"/>
              <w:bottom w:val="single" w:sz="4" w:space="0" w:color="auto"/>
              <w:right w:val="single" w:sz="4"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價格趨勢與比較</w:t>
            </w:r>
          </w:p>
        </w:tc>
        <w:tc>
          <w:tcPr>
            <w:tcW w:w="1922" w:type="dxa"/>
            <w:vMerge w:val="restart"/>
            <w:tcBorders>
              <w:top w:val="single" w:sz="8" w:space="0" w:color="auto"/>
              <w:left w:val="single" w:sz="4" w:space="0" w:color="auto"/>
              <w:bottom w:val="single" w:sz="4" w:space="0" w:color="auto"/>
              <w:right w:val="single" w:sz="4" w:space="0" w:color="auto"/>
            </w:tcBorders>
            <w:shd w:val="clear" w:color="auto" w:fill="D9D9D9"/>
            <w:vAlign w:val="center"/>
          </w:tcPr>
          <w:p w:rsidR="004C5B0A" w:rsidRPr="00131B9D" w:rsidRDefault="004C5B0A" w:rsidP="004C5B0A">
            <w:pPr>
              <w:spacing w:line="0" w:lineRule="atLeast"/>
              <w:rPr>
                <w:rFonts w:eastAsia="標楷體"/>
              </w:rPr>
            </w:pPr>
            <w:r w:rsidRPr="00131B9D">
              <w:rPr>
                <w:rFonts w:eastAsia="標楷體"/>
              </w:rPr>
              <w:t>影響</w:t>
            </w:r>
            <w:r w:rsidRPr="00131B9D">
              <w:rPr>
                <w:rFonts w:eastAsia="標楷體"/>
              </w:rPr>
              <w:t>2015</w:t>
            </w:r>
            <w:r w:rsidRPr="00131B9D">
              <w:rPr>
                <w:rFonts w:eastAsia="標楷體"/>
              </w:rPr>
              <w:t>年度價格趨勢的重要因素</w:t>
            </w:r>
          </w:p>
        </w:tc>
        <w:tc>
          <w:tcPr>
            <w:tcW w:w="2243" w:type="dxa"/>
            <w:vMerge w:val="restart"/>
            <w:tcBorders>
              <w:top w:val="single" w:sz="8" w:space="0" w:color="auto"/>
              <w:left w:val="single" w:sz="4" w:space="0" w:color="auto"/>
              <w:bottom w:val="single" w:sz="12" w:space="0" w:color="auto"/>
              <w:right w:val="single" w:sz="8" w:space="0" w:color="auto"/>
            </w:tcBorders>
            <w:shd w:val="clear" w:color="auto" w:fill="D9D9D9"/>
            <w:vAlign w:val="center"/>
          </w:tcPr>
          <w:p w:rsidR="004C5B0A" w:rsidRPr="00131B9D" w:rsidRDefault="004C5B0A" w:rsidP="004C5B0A">
            <w:pPr>
              <w:spacing w:line="0" w:lineRule="atLeast"/>
              <w:rPr>
                <w:rFonts w:eastAsia="標楷體"/>
              </w:rPr>
            </w:pPr>
            <w:r w:rsidRPr="00131B9D">
              <w:rPr>
                <w:rFonts w:eastAsia="標楷體"/>
              </w:rPr>
              <w:t>影響未來價格趨勢之重要因素及未來趨勢研判</w:t>
            </w:r>
          </w:p>
        </w:tc>
      </w:tr>
      <w:tr w:rsidR="004C5B0A" w:rsidRPr="00131B9D" w:rsidTr="004C5B0A">
        <w:trPr>
          <w:tblHeader/>
          <w:jc w:val="center"/>
        </w:trPr>
        <w:tc>
          <w:tcPr>
            <w:tcW w:w="2089" w:type="dxa"/>
            <w:gridSpan w:val="2"/>
            <w:vMerge/>
            <w:tcBorders>
              <w:left w:val="single" w:sz="8" w:space="0" w:color="auto"/>
              <w:bottom w:val="single" w:sz="12"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342" w:type="dxa"/>
            <w:tcBorders>
              <w:top w:val="single" w:sz="4" w:space="0" w:color="auto"/>
              <w:left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2015</w:t>
            </w:r>
            <w:r w:rsidRPr="00131B9D">
              <w:rPr>
                <w:rFonts w:eastAsia="標楷體"/>
              </w:rPr>
              <w:t>年</w:t>
            </w:r>
            <w:r w:rsidRPr="00131B9D">
              <w:rPr>
                <w:rFonts w:eastAsia="標楷體"/>
              </w:rPr>
              <w:t>1-11</w:t>
            </w:r>
            <w:r w:rsidRPr="00131B9D">
              <w:rPr>
                <w:rFonts w:eastAsia="標楷體"/>
              </w:rPr>
              <w:t>月均價</w:t>
            </w:r>
          </w:p>
        </w:tc>
        <w:tc>
          <w:tcPr>
            <w:tcW w:w="1262" w:type="dxa"/>
            <w:tcBorders>
              <w:top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2014</w:t>
            </w:r>
            <w:r w:rsidRPr="00131B9D">
              <w:rPr>
                <w:rFonts w:eastAsia="標楷體"/>
              </w:rPr>
              <w:t>年</w:t>
            </w:r>
            <w:r w:rsidRPr="00131B9D">
              <w:rPr>
                <w:rFonts w:eastAsia="標楷體"/>
              </w:rPr>
              <w:t>1-11</w:t>
            </w:r>
            <w:r w:rsidRPr="00131B9D">
              <w:rPr>
                <w:rFonts w:eastAsia="標楷體"/>
              </w:rPr>
              <w:t>月均價</w:t>
            </w:r>
          </w:p>
        </w:tc>
        <w:tc>
          <w:tcPr>
            <w:tcW w:w="1290" w:type="dxa"/>
            <w:tcBorders>
              <w:top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與</w:t>
            </w:r>
            <w:r w:rsidRPr="00131B9D">
              <w:rPr>
                <w:rFonts w:eastAsia="標楷體"/>
              </w:rPr>
              <w:t>2014</w:t>
            </w:r>
            <w:r w:rsidRPr="00131B9D">
              <w:rPr>
                <w:rFonts w:eastAsia="標楷體"/>
              </w:rPr>
              <w:t>年同期相比漲跌</w:t>
            </w:r>
          </w:p>
        </w:tc>
        <w:tc>
          <w:tcPr>
            <w:tcW w:w="1922" w:type="dxa"/>
            <w:vMerge/>
            <w:tcBorders>
              <w:top w:val="single" w:sz="4" w:space="0" w:color="auto"/>
              <w:bottom w:val="single" w:sz="12" w:space="0" w:color="auto"/>
            </w:tcBorders>
            <w:shd w:val="clear" w:color="auto" w:fill="auto"/>
            <w:vAlign w:val="center"/>
          </w:tcPr>
          <w:p w:rsidR="004C5B0A" w:rsidRPr="00131B9D" w:rsidRDefault="004C5B0A" w:rsidP="004C5B0A">
            <w:pPr>
              <w:spacing w:line="0" w:lineRule="atLeast"/>
              <w:rPr>
                <w:rFonts w:eastAsia="標楷體"/>
              </w:rPr>
            </w:pPr>
          </w:p>
        </w:tc>
        <w:tc>
          <w:tcPr>
            <w:tcW w:w="2243" w:type="dxa"/>
            <w:vMerge/>
            <w:tcBorders>
              <w:top w:val="single" w:sz="4" w:space="0" w:color="auto"/>
              <w:bottom w:val="single" w:sz="12" w:space="0" w:color="auto"/>
              <w:right w:val="single" w:sz="8" w:space="0" w:color="auto"/>
            </w:tcBorders>
            <w:shd w:val="clear" w:color="auto" w:fill="auto"/>
            <w:vAlign w:val="center"/>
          </w:tcPr>
          <w:p w:rsidR="004C5B0A" w:rsidRPr="00131B9D" w:rsidRDefault="004C5B0A" w:rsidP="004C5B0A">
            <w:pPr>
              <w:spacing w:line="0" w:lineRule="atLeast"/>
              <w:rPr>
                <w:rFonts w:eastAsia="標楷體"/>
              </w:rPr>
            </w:pPr>
          </w:p>
        </w:tc>
      </w:tr>
      <w:tr w:rsidR="004C5B0A" w:rsidRPr="00131B9D" w:rsidTr="004C5B0A">
        <w:trPr>
          <w:jc w:val="center"/>
        </w:trPr>
        <w:tc>
          <w:tcPr>
            <w:tcW w:w="639" w:type="dxa"/>
            <w:vMerge w:val="restart"/>
            <w:tcBorders>
              <w:top w:val="single" w:sz="12" w:space="0" w:color="auto"/>
              <w:left w:val="single" w:sz="8" w:space="0" w:color="auto"/>
              <w:right w:val="single" w:sz="4" w:space="0" w:color="auto"/>
            </w:tcBorders>
            <w:shd w:val="clear" w:color="auto" w:fill="auto"/>
            <w:textDirection w:val="tbRlV"/>
            <w:vAlign w:val="center"/>
          </w:tcPr>
          <w:p w:rsidR="004C5B0A" w:rsidRPr="00131B9D" w:rsidRDefault="004C5B0A" w:rsidP="004C5B0A">
            <w:pPr>
              <w:spacing w:line="0" w:lineRule="atLeast"/>
              <w:jc w:val="center"/>
              <w:rPr>
                <w:rFonts w:eastAsia="標楷體"/>
              </w:rPr>
            </w:pPr>
            <w:r w:rsidRPr="00131B9D">
              <w:rPr>
                <w:rFonts w:eastAsia="標楷體"/>
              </w:rPr>
              <w:t>大宗物資</w:t>
            </w:r>
          </w:p>
        </w:tc>
        <w:tc>
          <w:tcPr>
            <w:tcW w:w="1450" w:type="dxa"/>
            <w:tcBorders>
              <w:top w:val="single" w:sz="12" w:space="0" w:color="auto"/>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CBOT</w:t>
            </w:r>
            <w:r w:rsidRPr="00131B9D">
              <w:rPr>
                <w:rFonts w:eastAsia="標楷體"/>
              </w:rPr>
              <w:t>黃豆</w:t>
            </w:r>
          </w:p>
        </w:tc>
        <w:tc>
          <w:tcPr>
            <w:tcW w:w="1342" w:type="dxa"/>
            <w:tcBorders>
              <w:top w:val="single" w:sz="12" w:space="0" w:color="auto"/>
            </w:tcBorders>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350.33</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tcBorders>
              <w:top w:val="single" w:sz="12" w:space="0" w:color="auto"/>
            </w:tcBorders>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467.11</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tcBorders>
              <w:top w:val="single" w:sz="12" w:space="0" w:color="auto"/>
            </w:tcBorders>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-25.00%</w:t>
            </w:r>
          </w:p>
        </w:tc>
        <w:tc>
          <w:tcPr>
            <w:tcW w:w="1922" w:type="dxa"/>
            <w:tcBorders>
              <w:top w:val="single" w:sz="12"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主產國產量及出口、美元匯率走勢、壓榨需求、氣候因素、庫存</w:t>
            </w:r>
          </w:p>
        </w:tc>
        <w:tc>
          <w:tcPr>
            <w:tcW w:w="2243" w:type="dxa"/>
            <w:tcBorders>
              <w:top w:val="single" w:sz="12" w:space="0" w:color="auto"/>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產量增長、氣候有利、中國大陸需求減緩</w:t>
            </w:r>
          </w:p>
          <w:p w:rsidR="004C5B0A" w:rsidRPr="00131B9D" w:rsidRDefault="004C5B0A" w:rsidP="004C5B0A">
            <w:pPr>
              <w:spacing w:line="0" w:lineRule="atLeast"/>
              <w:rPr>
                <w:rFonts w:eastAsia="標楷體"/>
              </w:rPr>
            </w:pPr>
            <w:r w:rsidRPr="00131B9D">
              <w:rPr>
                <w:rFonts w:eastAsia="標楷體"/>
                <w:b/>
              </w:rPr>
              <w:t>（跌）</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CBOT</w:t>
            </w:r>
            <w:r w:rsidRPr="00131B9D">
              <w:rPr>
                <w:rFonts w:eastAsia="標楷體"/>
              </w:rPr>
              <w:t>小麥</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188.21</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215.41</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-12.63%</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主產國產量、出口競爭、氣候因素、需求</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供給過剩、庫存增加、需求下滑</w:t>
            </w:r>
            <w:r w:rsidRPr="00131B9D">
              <w:rPr>
                <w:rFonts w:eastAsia="標楷體"/>
                <w:b/>
              </w:rPr>
              <w:t>（跌）</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CBOT</w:t>
            </w:r>
            <w:r w:rsidRPr="00131B9D">
              <w:rPr>
                <w:rFonts w:eastAsia="標楷體"/>
              </w:rPr>
              <w:t>玉米</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138.89</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153.83</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-9.71%</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主產國產量及市場需求、氣候因素、庫存、美元走勢</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聖嬰現象</w:t>
            </w:r>
            <w:r w:rsidRPr="00131B9D">
              <w:rPr>
                <w:rFonts w:eastAsia="標楷體"/>
              </w:rPr>
              <w:t>/</w:t>
            </w:r>
            <w:r w:rsidRPr="00131B9D">
              <w:rPr>
                <w:rFonts w:eastAsia="標楷體"/>
              </w:rPr>
              <w:t>歐洲產區氣候高溫乾燥、產量減損</w:t>
            </w:r>
            <w:r w:rsidRPr="00131B9D">
              <w:rPr>
                <w:rFonts w:eastAsia="標楷體"/>
                <w:b/>
              </w:rPr>
              <w:t>（漲）</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LIFFE</w:t>
            </w:r>
            <w:r w:rsidRPr="00131B9D">
              <w:rPr>
                <w:rFonts w:eastAsia="標楷體"/>
              </w:rPr>
              <w:t>糖</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368.56</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445.29</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-17.23%</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巴西貨幣貶值、庫存量、主產國產量、需求</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需求提升、聖嬰現象</w:t>
            </w:r>
            <w:r w:rsidRPr="00131B9D">
              <w:rPr>
                <w:rFonts w:eastAsia="標楷體"/>
              </w:rPr>
              <w:t>/</w:t>
            </w:r>
            <w:r w:rsidRPr="00131B9D">
              <w:rPr>
                <w:rFonts w:eastAsia="標楷體"/>
              </w:rPr>
              <w:t>歐洲產區氣候乾熱</w:t>
            </w:r>
          </w:p>
          <w:p w:rsidR="004C5B0A" w:rsidRPr="00131B9D" w:rsidRDefault="004C5B0A" w:rsidP="004C5B0A">
            <w:pPr>
              <w:spacing w:line="0" w:lineRule="atLeast"/>
              <w:rPr>
                <w:rFonts w:eastAsia="標楷體"/>
              </w:rPr>
            </w:pPr>
            <w:r w:rsidRPr="00131B9D">
              <w:rPr>
                <w:rFonts w:eastAsia="標楷體"/>
                <w:b/>
              </w:rPr>
              <w:t>（漲）</w:t>
            </w:r>
          </w:p>
        </w:tc>
      </w:tr>
    </w:tbl>
    <w:p w:rsidR="004C5B0A" w:rsidRPr="00131B9D" w:rsidRDefault="004C5B0A" w:rsidP="004C5B0A">
      <w:pPr>
        <w:sectPr w:rsidR="004C5B0A" w:rsidRPr="00131B9D" w:rsidSect="00097B8D">
          <w:pgSz w:w="11906" w:h="16838"/>
          <w:pgMar w:top="1440" w:right="1800" w:bottom="1440" w:left="1800" w:header="851" w:footer="992" w:gutter="0"/>
          <w:cols w:space="425"/>
          <w:docGrid w:type="lines" w:linePitch="360"/>
        </w:sectPr>
      </w:pPr>
    </w:p>
    <w:p w:rsidR="004C5B0A" w:rsidRPr="00131B9D" w:rsidRDefault="004C5B0A" w:rsidP="00C665AA">
      <w:pPr>
        <w:spacing w:line="0" w:lineRule="atLeast"/>
        <w:jc w:val="center"/>
        <w:rPr>
          <w:rFonts w:eastAsia="標楷體"/>
          <w:b/>
          <w:sz w:val="28"/>
          <w:szCs w:val="28"/>
        </w:rPr>
      </w:pPr>
      <w:r w:rsidRPr="00131B9D">
        <w:rPr>
          <w:rFonts w:eastAsia="標楷體"/>
          <w:b/>
          <w:sz w:val="28"/>
          <w:szCs w:val="28"/>
        </w:rPr>
        <w:lastRenderedPageBreak/>
        <w:t>表</w:t>
      </w:r>
      <w:r w:rsidRPr="00131B9D">
        <w:rPr>
          <w:rFonts w:eastAsia="標楷體"/>
          <w:b/>
          <w:sz w:val="28"/>
          <w:szCs w:val="28"/>
        </w:rPr>
        <w:t>3- 1</w:t>
      </w:r>
      <w:r w:rsidRPr="00131B9D">
        <w:rPr>
          <w:rFonts w:eastAsia="標楷體"/>
          <w:b/>
          <w:sz w:val="28"/>
          <w:szCs w:val="28"/>
        </w:rPr>
        <w:t xml:space="preserve">　重要原物料市場情勢分析綜合說明表</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10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
        <w:gridCol w:w="1450"/>
        <w:gridCol w:w="1342"/>
        <w:gridCol w:w="1262"/>
        <w:gridCol w:w="1290"/>
        <w:gridCol w:w="1922"/>
        <w:gridCol w:w="2243"/>
      </w:tblGrid>
      <w:tr w:rsidR="004C5B0A" w:rsidRPr="00131B9D" w:rsidTr="004C5B0A">
        <w:trPr>
          <w:trHeight w:val="470"/>
          <w:tblHeader/>
          <w:jc w:val="center"/>
        </w:trPr>
        <w:tc>
          <w:tcPr>
            <w:tcW w:w="2089" w:type="dxa"/>
            <w:gridSpan w:val="2"/>
            <w:vMerge w:val="restart"/>
            <w:tcBorders>
              <w:top w:val="single" w:sz="8" w:space="0" w:color="auto"/>
              <w:left w:val="single" w:sz="8" w:space="0" w:color="auto"/>
              <w:right w:val="single" w:sz="4"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品項</w:t>
            </w:r>
          </w:p>
        </w:tc>
        <w:tc>
          <w:tcPr>
            <w:tcW w:w="3894" w:type="dxa"/>
            <w:gridSpan w:val="3"/>
            <w:tcBorders>
              <w:top w:val="single" w:sz="8" w:space="0" w:color="auto"/>
              <w:left w:val="single" w:sz="4" w:space="0" w:color="auto"/>
              <w:bottom w:val="single" w:sz="4" w:space="0" w:color="auto"/>
              <w:right w:val="single" w:sz="4"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價格趨勢與比較</w:t>
            </w:r>
          </w:p>
        </w:tc>
        <w:tc>
          <w:tcPr>
            <w:tcW w:w="1922" w:type="dxa"/>
            <w:vMerge w:val="restart"/>
            <w:tcBorders>
              <w:top w:val="single" w:sz="8" w:space="0" w:color="auto"/>
              <w:left w:val="single" w:sz="4" w:space="0" w:color="auto"/>
              <w:bottom w:val="single" w:sz="4" w:space="0" w:color="auto"/>
              <w:right w:val="single" w:sz="4" w:space="0" w:color="auto"/>
            </w:tcBorders>
            <w:shd w:val="clear" w:color="auto" w:fill="D9D9D9"/>
            <w:vAlign w:val="center"/>
          </w:tcPr>
          <w:p w:rsidR="004C5B0A" w:rsidRPr="00131B9D" w:rsidRDefault="004C5B0A" w:rsidP="004C5B0A">
            <w:pPr>
              <w:spacing w:line="0" w:lineRule="atLeast"/>
              <w:rPr>
                <w:rFonts w:eastAsia="標楷體"/>
              </w:rPr>
            </w:pPr>
            <w:r w:rsidRPr="00131B9D">
              <w:rPr>
                <w:rFonts w:eastAsia="標楷體"/>
              </w:rPr>
              <w:t>影響</w:t>
            </w:r>
            <w:r w:rsidRPr="00131B9D">
              <w:rPr>
                <w:rFonts w:eastAsia="標楷體"/>
              </w:rPr>
              <w:t>2015</w:t>
            </w:r>
            <w:r w:rsidRPr="00131B9D">
              <w:rPr>
                <w:rFonts w:eastAsia="標楷體"/>
              </w:rPr>
              <w:t>年度價格趨勢的重要因素</w:t>
            </w:r>
          </w:p>
        </w:tc>
        <w:tc>
          <w:tcPr>
            <w:tcW w:w="2243" w:type="dxa"/>
            <w:vMerge w:val="restart"/>
            <w:tcBorders>
              <w:top w:val="single" w:sz="8" w:space="0" w:color="auto"/>
              <w:left w:val="single" w:sz="4" w:space="0" w:color="auto"/>
              <w:bottom w:val="single" w:sz="12" w:space="0" w:color="auto"/>
              <w:right w:val="single" w:sz="8" w:space="0" w:color="auto"/>
            </w:tcBorders>
            <w:shd w:val="clear" w:color="auto" w:fill="D9D9D9"/>
            <w:vAlign w:val="center"/>
          </w:tcPr>
          <w:p w:rsidR="004C5B0A" w:rsidRPr="00131B9D" w:rsidRDefault="004C5B0A" w:rsidP="004C5B0A">
            <w:pPr>
              <w:spacing w:line="0" w:lineRule="atLeast"/>
              <w:rPr>
                <w:rFonts w:eastAsia="標楷體"/>
              </w:rPr>
            </w:pPr>
            <w:r w:rsidRPr="00131B9D">
              <w:rPr>
                <w:rFonts w:eastAsia="標楷體"/>
              </w:rPr>
              <w:t>影響未來價格趨勢之重要因素及未來趨勢研判</w:t>
            </w:r>
          </w:p>
        </w:tc>
      </w:tr>
      <w:tr w:rsidR="004C5B0A" w:rsidRPr="00131B9D" w:rsidTr="004C5B0A">
        <w:trPr>
          <w:tblHeader/>
          <w:jc w:val="center"/>
        </w:trPr>
        <w:tc>
          <w:tcPr>
            <w:tcW w:w="2089" w:type="dxa"/>
            <w:gridSpan w:val="2"/>
            <w:vMerge/>
            <w:tcBorders>
              <w:left w:val="single" w:sz="8" w:space="0" w:color="auto"/>
              <w:bottom w:val="single" w:sz="12"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342" w:type="dxa"/>
            <w:tcBorders>
              <w:top w:val="single" w:sz="4" w:space="0" w:color="auto"/>
              <w:left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2015</w:t>
            </w:r>
            <w:r w:rsidRPr="00131B9D">
              <w:rPr>
                <w:rFonts w:eastAsia="標楷體"/>
              </w:rPr>
              <w:t>年</w:t>
            </w:r>
            <w:r w:rsidRPr="00131B9D">
              <w:rPr>
                <w:rFonts w:eastAsia="標楷體"/>
              </w:rPr>
              <w:t>1-11</w:t>
            </w:r>
            <w:r w:rsidRPr="00131B9D">
              <w:rPr>
                <w:rFonts w:eastAsia="標楷體"/>
              </w:rPr>
              <w:t>月均價</w:t>
            </w:r>
          </w:p>
        </w:tc>
        <w:tc>
          <w:tcPr>
            <w:tcW w:w="1262" w:type="dxa"/>
            <w:tcBorders>
              <w:top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2014</w:t>
            </w:r>
            <w:r w:rsidRPr="00131B9D">
              <w:rPr>
                <w:rFonts w:eastAsia="標楷體"/>
              </w:rPr>
              <w:t>年</w:t>
            </w:r>
            <w:r w:rsidRPr="00131B9D">
              <w:rPr>
                <w:rFonts w:eastAsia="標楷體"/>
              </w:rPr>
              <w:t>1-11</w:t>
            </w:r>
            <w:r w:rsidRPr="00131B9D">
              <w:rPr>
                <w:rFonts w:eastAsia="標楷體"/>
              </w:rPr>
              <w:t>月均價</w:t>
            </w:r>
          </w:p>
        </w:tc>
        <w:tc>
          <w:tcPr>
            <w:tcW w:w="1290" w:type="dxa"/>
            <w:tcBorders>
              <w:top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與</w:t>
            </w:r>
            <w:r w:rsidRPr="00131B9D">
              <w:rPr>
                <w:rFonts w:eastAsia="標楷體"/>
              </w:rPr>
              <w:t>2014</w:t>
            </w:r>
            <w:r w:rsidRPr="00131B9D">
              <w:rPr>
                <w:rFonts w:eastAsia="標楷體"/>
              </w:rPr>
              <w:t>年同期相比漲跌</w:t>
            </w:r>
          </w:p>
        </w:tc>
        <w:tc>
          <w:tcPr>
            <w:tcW w:w="1922" w:type="dxa"/>
            <w:vMerge/>
            <w:tcBorders>
              <w:top w:val="single" w:sz="4" w:space="0" w:color="auto"/>
              <w:bottom w:val="single" w:sz="12" w:space="0" w:color="auto"/>
            </w:tcBorders>
            <w:shd w:val="clear" w:color="auto" w:fill="auto"/>
            <w:vAlign w:val="center"/>
          </w:tcPr>
          <w:p w:rsidR="004C5B0A" w:rsidRPr="00131B9D" w:rsidRDefault="004C5B0A" w:rsidP="004C5B0A">
            <w:pPr>
              <w:spacing w:line="0" w:lineRule="atLeast"/>
              <w:rPr>
                <w:rFonts w:eastAsia="標楷體"/>
              </w:rPr>
            </w:pPr>
          </w:p>
        </w:tc>
        <w:tc>
          <w:tcPr>
            <w:tcW w:w="2243" w:type="dxa"/>
            <w:vMerge/>
            <w:tcBorders>
              <w:top w:val="single" w:sz="4" w:space="0" w:color="auto"/>
              <w:bottom w:val="single" w:sz="12" w:space="0" w:color="auto"/>
              <w:right w:val="single" w:sz="8" w:space="0" w:color="auto"/>
            </w:tcBorders>
            <w:shd w:val="clear" w:color="auto" w:fill="auto"/>
            <w:vAlign w:val="center"/>
          </w:tcPr>
          <w:p w:rsidR="004C5B0A" w:rsidRPr="00131B9D" w:rsidRDefault="004C5B0A" w:rsidP="004C5B0A">
            <w:pPr>
              <w:spacing w:line="0" w:lineRule="atLeast"/>
              <w:rPr>
                <w:rFonts w:eastAsia="標楷體"/>
              </w:rPr>
            </w:pPr>
          </w:p>
        </w:tc>
      </w:tr>
      <w:tr w:rsidR="004C5B0A" w:rsidRPr="00131B9D" w:rsidTr="004C5B0A">
        <w:trPr>
          <w:jc w:val="center"/>
        </w:trPr>
        <w:tc>
          <w:tcPr>
            <w:tcW w:w="639" w:type="dxa"/>
            <w:vMerge w:val="restart"/>
            <w:tcBorders>
              <w:left w:val="single" w:sz="8" w:space="0" w:color="auto"/>
              <w:right w:val="single" w:sz="4" w:space="0" w:color="auto"/>
            </w:tcBorders>
            <w:shd w:val="clear" w:color="auto" w:fill="auto"/>
            <w:textDirection w:val="tbRlV"/>
            <w:vAlign w:val="center"/>
          </w:tcPr>
          <w:p w:rsidR="004C5B0A" w:rsidRPr="00131B9D" w:rsidRDefault="004C5B0A" w:rsidP="004C5B0A">
            <w:pPr>
              <w:spacing w:line="0" w:lineRule="atLeast"/>
              <w:jc w:val="center"/>
              <w:rPr>
                <w:rFonts w:eastAsia="標楷體"/>
              </w:rPr>
            </w:pPr>
            <w:r w:rsidRPr="00131B9D">
              <w:rPr>
                <w:rFonts w:eastAsia="標楷體"/>
              </w:rPr>
              <w:t>基本金屬</w:t>
            </w: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LME</w:t>
            </w:r>
            <w:r w:rsidRPr="00131B9D">
              <w:rPr>
                <w:rFonts w:eastAsia="標楷體"/>
              </w:rPr>
              <w:t>銅</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5,624.23</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6912.34</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-18.63%</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銅礦廠產能、銅礦產量、中國大陸消費</w:t>
            </w:r>
          </w:p>
        </w:tc>
        <w:tc>
          <w:tcPr>
            <w:tcW w:w="2243" w:type="dxa"/>
            <w:tcBorders>
              <w:right w:val="single" w:sz="8" w:space="0" w:color="auto"/>
            </w:tcBorders>
            <w:shd w:val="clear" w:color="auto" w:fill="auto"/>
            <w:vAlign w:val="center"/>
          </w:tcPr>
          <w:p w:rsidR="00127C79" w:rsidRPr="00131B9D" w:rsidRDefault="00127C79" w:rsidP="00127C79">
            <w:pPr>
              <w:spacing w:line="0" w:lineRule="atLeast"/>
              <w:rPr>
                <w:rFonts w:eastAsia="標楷體"/>
              </w:rPr>
            </w:pPr>
            <w:r w:rsidRPr="00131B9D">
              <w:rPr>
                <w:rFonts w:eastAsia="標楷體"/>
              </w:rPr>
              <w:t>供給缺口、消費小幅增長</w:t>
            </w:r>
          </w:p>
          <w:p w:rsidR="004C5B0A" w:rsidRPr="00131B9D" w:rsidRDefault="00127C79" w:rsidP="00127C79">
            <w:pPr>
              <w:spacing w:line="0" w:lineRule="atLeast"/>
              <w:rPr>
                <w:rFonts w:eastAsia="標楷體"/>
                <w:b/>
              </w:rPr>
            </w:pPr>
            <w:r w:rsidRPr="00131B9D">
              <w:rPr>
                <w:rFonts w:eastAsia="標楷體"/>
                <w:b/>
              </w:rPr>
              <w:t>（漲）</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LME</w:t>
            </w:r>
            <w:r w:rsidRPr="00131B9D">
              <w:rPr>
                <w:rFonts w:eastAsia="標楷體"/>
              </w:rPr>
              <w:t>鋁</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1,687.09</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1857.6</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-9.18%</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中國大陸產量、鋁價升水</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中國大陸產量和出口增加、減產計畫</w:t>
            </w:r>
          </w:p>
          <w:p w:rsidR="004C5B0A" w:rsidRPr="00131B9D" w:rsidRDefault="004C5B0A" w:rsidP="004C5B0A">
            <w:pPr>
              <w:spacing w:line="0" w:lineRule="atLeast"/>
              <w:rPr>
                <w:rFonts w:eastAsia="標楷體"/>
                <w:b/>
              </w:rPr>
            </w:pPr>
            <w:r w:rsidRPr="00131B9D">
              <w:rPr>
                <w:rFonts w:eastAsia="標楷體"/>
                <w:b/>
              </w:rPr>
              <w:t>（漲）</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LME</w:t>
            </w:r>
            <w:r w:rsidRPr="00131B9D">
              <w:rPr>
                <w:rFonts w:eastAsia="標楷體"/>
              </w:rPr>
              <w:t>鎳</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1,2247.7</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17008.1</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-27.99%</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供給量、中國大陸需求、印尼礦石出口禁令</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美國升息、鎳庫存龐大、中國大陸消費</w:t>
            </w:r>
            <w:r w:rsidRPr="00131B9D">
              <w:rPr>
                <w:rFonts w:eastAsia="標楷體"/>
              </w:rPr>
              <w:t>/</w:t>
            </w:r>
            <w:r w:rsidRPr="00131B9D">
              <w:rPr>
                <w:rFonts w:eastAsia="標楷體"/>
              </w:rPr>
              <w:t>需求疲弱、歐美需求微增、產能調整</w:t>
            </w:r>
          </w:p>
          <w:p w:rsidR="004C5B0A" w:rsidRPr="00131B9D" w:rsidRDefault="004C5B0A" w:rsidP="004C5B0A">
            <w:pPr>
              <w:spacing w:line="0" w:lineRule="atLeast"/>
              <w:rPr>
                <w:rFonts w:eastAsia="標楷體"/>
              </w:rPr>
            </w:pPr>
            <w:r w:rsidRPr="00131B9D">
              <w:rPr>
                <w:rFonts w:eastAsia="標楷體"/>
                <w:b/>
              </w:rPr>
              <w:t>（跌）</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LME</w:t>
            </w:r>
            <w:r w:rsidRPr="00131B9D">
              <w:rPr>
                <w:rFonts w:eastAsia="標楷體"/>
              </w:rPr>
              <w:t>鋅</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1,981.69</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2157.95</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-8.17%</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供給量、庫存、消費、美元指數</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大型礦場關閉、龐大庫存、美國升息</w:t>
            </w:r>
            <w:r w:rsidRPr="00131B9D">
              <w:rPr>
                <w:rFonts w:eastAsia="標楷體"/>
                <w:b/>
              </w:rPr>
              <w:t>（跌）</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LME</w:t>
            </w:r>
            <w:r w:rsidRPr="00131B9D">
              <w:rPr>
                <w:rFonts w:eastAsia="標楷體"/>
              </w:rPr>
              <w:t>鉛</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1,800.73</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2111.88</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-14.73%</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全球經濟情勢、中國大陸供需狀況</w:t>
            </w:r>
            <w:r w:rsidRPr="00131B9D">
              <w:rPr>
                <w:rFonts w:eastAsia="標楷體"/>
              </w:rPr>
              <w:t xml:space="preserve">   </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下游消費持續低迷、產量充足、礦場減產影響尚未顯現</w:t>
            </w:r>
          </w:p>
          <w:p w:rsidR="004C5B0A" w:rsidRPr="00131B9D" w:rsidRDefault="004C5B0A" w:rsidP="004C5B0A">
            <w:pPr>
              <w:spacing w:line="0" w:lineRule="atLeast"/>
              <w:rPr>
                <w:rFonts w:eastAsia="標楷體"/>
              </w:rPr>
            </w:pPr>
            <w:r w:rsidRPr="00131B9D">
              <w:rPr>
                <w:rFonts w:eastAsia="標楷體"/>
                <w:b/>
              </w:rPr>
              <w:t>（跌）</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LME</w:t>
            </w:r>
            <w:r w:rsidRPr="00131B9D">
              <w:rPr>
                <w:rFonts w:eastAsia="標楷體"/>
              </w:rPr>
              <w:t>錫</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16,237.72</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22127.47</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-26.62%</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印尼礦石出口限制、緬甸錫出口、供給量、需求</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kern w:val="0"/>
              </w:rPr>
              <w:t>印尼礦石出口限制</w:t>
            </w:r>
            <w:r w:rsidRPr="00131B9D">
              <w:rPr>
                <w:rFonts w:eastAsia="標楷體"/>
                <w:b/>
              </w:rPr>
              <w:t>（漲）</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鎂</w:t>
            </w:r>
            <w:r w:rsidRPr="00131B9D">
              <w:rPr>
                <w:rFonts w:eastAsia="標楷體"/>
              </w:rPr>
              <w:t>&gt;99.8%</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2,282.18</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2714.57</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-15.93%</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鎂市季節性需求、中國大陸供應量</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供大於求、經濟環境未明顯回暖</w:t>
            </w:r>
          </w:p>
          <w:p w:rsidR="004C5B0A" w:rsidRPr="00131B9D" w:rsidRDefault="004C5B0A" w:rsidP="004C5B0A">
            <w:pPr>
              <w:spacing w:line="0" w:lineRule="atLeast"/>
              <w:rPr>
                <w:rFonts w:eastAsia="標楷體"/>
              </w:rPr>
            </w:pPr>
            <w:r w:rsidRPr="00131B9D">
              <w:rPr>
                <w:rFonts w:eastAsia="標楷體"/>
                <w:b/>
              </w:rPr>
              <w:t>（跌）</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海綿鈦</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9.48</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公斤</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10.05</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公斤</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-5.67%</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產能、需求、價格競爭</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行業需求弱、經濟環境不佳</w:t>
            </w:r>
          </w:p>
          <w:p w:rsidR="004C5B0A" w:rsidRPr="00131B9D" w:rsidRDefault="004C5B0A" w:rsidP="004C5B0A">
            <w:pPr>
              <w:spacing w:line="0" w:lineRule="atLeast"/>
              <w:rPr>
                <w:rFonts w:eastAsia="標楷體"/>
              </w:rPr>
            </w:pPr>
            <w:r w:rsidRPr="00131B9D">
              <w:rPr>
                <w:rFonts w:eastAsia="標楷體"/>
                <w:b/>
              </w:rPr>
              <w:t>（跌）</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燒結釹鐵硼</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127.12</w:t>
            </w:r>
          </w:p>
          <w:p w:rsidR="004C5B0A" w:rsidRPr="00131B9D" w:rsidRDefault="004C5B0A" w:rsidP="004C5B0A">
            <w:pPr>
              <w:spacing w:line="0" w:lineRule="atLeast"/>
              <w:jc w:val="center"/>
              <w:rPr>
                <w:rFonts w:eastAsia="標楷體"/>
                <w:sz w:val="20"/>
                <w:szCs w:val="20"/>
              </w:rPr>
            </w:pPr>
            <w:r w:rsidRPr="00131B9D">
              <w:rPr>
                <w:rFonts w:eastAsia="標楷體"/>
                <w:sz w:val="20"/>
                <w:szCs w:val="20"/>
              </w:rPr>
              <w:t>人民幣</w:t>
            </w:r>
            <w:r w:rsidRPr="00131B9D">
              <w:rPr>
                <w:rFonts w:eastAsia="標楷體"/>
                <w:sz w:val="20"/>
                <w:szCs w:val="20"/>
              </w:rPr>
              <w:t>/</w:t>
            </w:r>
            <w:r w:rsidRPr="00131B9D">
              <w:rPr>
                <w:rFonts w:eastAsia="標楷體"/>
                <w:sz w:val="20"/>
                <w:szCs w:val="20"/>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145.33</w:t>
            </w:r>
          </w:p>
          <w:p w:rsidR="004C5B0A" w:rsidRPr="00131B9D" w:rsidRDefault="004C5B0A" w:rsidP="004C5B0A">
            <w:pPr>
              <w:spacing w:line="0" w:lineRule="atLeast"/>
              <w:jc w:val="center"/>
              <w:rPr>
                <w:rFonts w:eastAsia="標楷體"/>
                <w:sz w:val="20"/>
                <w:szCs w:val="20"/>
              </w:rPr>
            </w:pPr>
            <w:r w:rsidRPr="00131B9D">
              <w:rPr>
                <w:rFonts w:eastAsia="標楷體"/>
                <w:sz w:val="20"/>
                <w:szCs w:val="20"/>
              </w:rPr>
              <w:t>人民幣</w:t>
            </w:r>
            <w:r w:rsidRPr="00131B9D">
              <w:rPr>
                <w:rFonts w:eastAsia="標楷體"/>
                <w:sz w:val="20"/>
                <w:szCs w:val="20"/>
              </w:rPr>
              <w:t>/</w:t>
            </w:r>
            <w:r w:rsidRPr="00131B9D">
              <w:rPr>
                <w:rFonts w:eastAsia="標楷體"/>
                <w:sz w:val="20"/>
                <w:szCs w:val="20"/>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-12.53%</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行業需求、季節性因素、出口配額政策</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限產保價、打擊非法黑稀土</w:t>
            </w:r>
          </w:p>
          <w:p w:rsidR="004C5B0A" w:rsidRPr="00131B9D" w:rsidRDefault="004C5B0A" w:rsidP="004C5B0A">
            <w:pPr>
              <w:spacing w:line="0" w:lineRule="atLeast"/>
              <w:rPr>
                <w:rFonts w:eastAsia="標楷體"/>
              </w:rPr>
            </w:pPr>
            <w:r w:rsidRPr="00131B9D">
              <w:rPr>
                <w:rFonts w:eastAsia="標楷體"/>
                <w:b/>
              </w:rPr>
              <w:t>（待觀察）</w:t>
            </w:r>
          </w:p>
        </w:tc>
      </w:tr>
      <w:tr w:rsidR="004C5B0A" w:rsidRPr="00131B9D" w:rsidTr="004C5B0A">
        <w:trPr>
          <w:jc w:val="center"/>
        </w:trPr>
        <w:tc>
          <w:tcPr>
            <w:tcW w:w="639" w:type="dxa"/>
            <w:vMerge/>
            <w:tcBorders>
              <w:left w:val="single" w:sz="8"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450" w:type="dxa"/>
            <w:tcBorders>
              <w:left w:val="single" w:sz="4" w:space="0" w:color="auto"/>
              <w:bottom w:val="single" w:sz="4"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LME</w:t>
            </w:r>
            <w:r w:rsidRPr="00131B9D">
              <w:rPr>
                <w:rFonts w:eastAsia="標楷體"/>
              </w:rPr>
              <w:t>鈷</w:t>
            </w:r>
          </w:p>
        </w:tc>
        <w:tc>
          <w:tcPr>
            <w:tcW w:w="134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29,040.9</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30855.09</w:t>
            </w:r>
          </w:p>
          <w:p w:rsidR="004C5B0A" w:rsidRPr="00131B9D" w:rsidRDefault="004C5B0A" w:rsidP="004C5B0A">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4C5B0A" w:rsidRPr="00131B9D" w:rsidRDefault="004C5B0A" w:rsidP="004C5B0A">
            <w:pPr>
              <w:spacing w:line="0" w:lineRule="atLeast"/>
              <w:jc w:val="center"/>
              <w:rPr>
                <w:rFonts w:eastAsia="標楷體"/>
              </w:rPr>
            </w:pPr>
            <w:r w:rsidRPr="00131B9D">
              <w:rPr>
                <w:rFonts w:eastAsia="標楷體"/>
              </w:rPr>
              <w:t>-5.88%</w:t>
            </w:r>
          </w:p>
        </w:tc>
        <w:tc>
          <w:tcPr>
            <w:tcW w:w="1922" w:type="dxa"/>
            <w:shd w:val="clear" w:color="auto" w:fill="auto"/>
            <w:vAlign w:val="center"/>
          </w:tcPr>
          <w:p w:rsidR="004C5B0A" w:rsidRPr="00131B9D" w:rsidRDefault="004C5B0A" w:rsidP="004C5B0A">
            <w:pPr>
              <w:spacing w:line="0" w:lineRule="atLeast"/>
              <w:rPr>
                <w:rFonts w:eastAsia="標楷體"/>
              </w:rPr>
            </w:pPr>
            <w:r w:rsidRPr="00131B9D">
              <w:rPr>
                <w:rFonts w:eastAsia="標楷體"/>
              </w:rPr>
              <w:t>季節性因素、產量、消費</w:t>
            </w:r>
          </w:p>
        </w:tc>
        <w:tc>
          <w:tcPr>
            <w:tcW w:w="2243" w:type="dxa"/>
            <w:tcBorders>
              <w:right w:val="single" w:sz="8" w:space="0" w:color="auto"/>
            </w:tcBorders>
            <w:shd w:val="clear" w:color="auto" w:fill="auto"/>
            <w:vAlign w:val="center"/>
          </w:tcPr>
          <w:p w:rsidR="004C5B0A" w:rsidRPr="00131B9D" w:rsidRDefault="004C5B0A" w:rsidP="004C5B0A">
            <w:pPr>
              <w:spacing w:line="0" w:lineRule="atLeast"/>
              <w:rPr>
                <w:rFonts w:eastAsia="標楷體"/>
              </w:rPr>
            </w:pPr>
            <w:r w:rsidRPr="00131B9D">
              <w:rPr>
                <w:rFonts w:eastAsia="標楷體"/>
              </w:rPr>
              <w:t>供給量可能受限、需求增長</w:t>
            </w:r>
          </w:p>
          <w:p w:rsidR="004C5B0A" w:rsidRPr="00131B9D" w:rsidRDefault="004C5B0A" w:rsidP="004C5B0A">
            <w:pPr>
              <w:spacing w:line="0" w:lineRule="atLeast"/>
              <w:rPr>
                <w:rFonts w:eastAsia="標楷體"/>
              </w:rPr>
            </w:pPr>
            <w:r w:rsidRPr="00131B9D">
              <w:rPr>
                <w:rFonts w:eastAsia="標楷體"/>
                <w:b/>
              </w:rPr>
              <w:t>（漲）</w:t>
            </w:r>
          </w:p>
        </w:tc>
      </w:tr>
    </w:tbl>
    <w:p w:rsidR="004C5B0A" w:rsidRPr="00131B9D" w:rsidRDefault="004C5B0A" w:rsidP="004C5B0A">
      <w:pPr>
        <w:sectPr w:rsidR="004C5B0A" w:rsidRPr="00131B9D" w:rsidSect="00097B8D">
          <w:pgSz w:w="11906" w:h="16838"/>
          <w:pgMar w:top="1440" w:right="1800" w:bottom="1440" w:left="1800" w:header="851" w:footer="992" w:gutter="0"/>
          <w:cols w:space="425"/>
          <w:docGrid w:type="lines" w:linePitch="360"/>
        </w:sectPr>
      </w:pPr>
    </w:p>
    <w:p w:rsidR="004C5B0A" w:rsidRPr="00131B9D" w:rsidRDefault="004C5B0A" w:rsidP="00C665AA">
      <w:pPr>
        <w:spacing w:line="0" w:lineRule="atLeast"/>
        <w:jc w:val="center"/>
        <w:rPr>
          <w:rFonts w:eastAsia="標楷體"/>
          <w:b/>
          <w:sz w:val="28"/>
          <w:szCs w:val="28"/>
        </w:rPr>
      </w:pPr>
      <w:r w:rsidRPr="00131B9D">
        <w:rPr>
          <w:rFonts w:eastAsia="標楷體"/>
          <w:b/>
          <w:sz w:val="28"/>
          <w:szCs w:val="28"/>
        </w:rPr>
        <w:lastRenderedPageBreak/>
        <w:t>表</w:t>
      </w:r>
      <w:r w:rsidRPr="00131B9D">
        <w:rPr>
          <w:rFonts w:eastAsia="標楷體"/>
          <w:b/>
          <w:sz w:val="28"/>
          <w:szCs w:val="28"/>
        </w:rPr>
        <w:t>3- 1</w:t>
      </w:r>
      <w:r w:rsidRPr="00131B9D">
        <w:rPr>
          <w:rFonts w:eastAsia="標楷體"/>
          <w:b/>
          <w:sz w:val="28"/>
          <w:szCs w:val="28"/>
        </w:rPr>
        <w:t xml:space="preserve">　重要原物料市場情勢分析綜合說明表</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10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
        <w:gridCol w:w="1450"/>
        <w:gridCol w:w="1342"/>
        <w:gridCol w:w="1262"/>
        <w:gridCol w:w="1290"/>
        <w:gridCol w:w="1922"/>
        <w:gridCol w:w="2243"/>
      </w:tblGrid>
      <w:tr w:rsidR="004C5B0A" w:rsidRPr="00131B9D" w:rsidTr="004C5B0A">
        <w:trPr>
          <w:trHeight w:val="470"/>
          <w:tblHeader/>
          <w:jc w:val="center"/>
        </w:trPr>
        <w:tc>
          <w:tcPr>
            <w:tcW w:w="2089" w:type="dxa"/>
            <w:gridSpan w:val="2"/>
            <w:vMerge w:val="restart"/>
            <w:tcBorders>
              <w:top w:val="single" w:sz="8" w:space="0" w:color="auto"/>
              <w:left w:val="single" w:sz="8" w:space="0" w:color="auto"/>
              <w:right w:val="single" w:sz="4"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品項</w:t>
            </w:r>
          </w:p>
        </w:tc>
        <w:tc>
          <w:tcPr>
            <w:tcW w:w="3894" w:type="dxa"/>
            <w:gridSpan w:val="3"/>
            <w:tcBorders>
              <w:top w:val="single" w:sz="8" w:space="0" w:color="auto"/>
              <w:left w:val="single" w:sz="4" w:space="0" w:color="auto"/>
              <w:bottom w:val="single" w:sz="4" w:space="0" w:color="auto"/>
              <w:right w:val="single" w:sz="4"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價格趨勢與比較</w:t>
            </w:r>
          </w:p>
        </w:tc>
        <w:tc>
          <w:tcPr>
            <w:tcW w:w="1922" w:type="dxa"/>
            <w:vMerge w:val="restart"/>
            <w:tcBorders>
              <w:top w:val="single" w:sz="8" w:space="0" w:color="auto"/>
              <w:left w:val="single" w:sz="4" w:space="0" w:color="auto"/>
              <w:bottom w:val="single" w:sz="4" w:space="0" w:color="auto"/>
              <w:right w:val="single" w:sz="4" w:space="0" w:color="auto"/>
            </w:tcBorders>
            <w:shd w:val="clear" w:color="auto" w:fill="D9D9D9"/>
            <w:vAlign w:val="center"/>
          </w:tcPr>
          <w:p w:rsidR="004C5B0A" w:rsidRPr="00131B9D" w:rsidRDefault="004C5B0A" w:rsidP="004C5B0A">
            <w:pPr>
              <w:spacing w:line="0" w:lineRule="atLeast"/>
              <w:rPr>
                <w:rFonts w:eastAsia="標楷體"/>
              </w:rPr>
            </w:pPr>
            <w:r w:rsidRPr="00131B9D">
              <w:rPr>
                <w:rFonts w:eastAsia="標楷體"/>
              </w:rPr>
              <w:t>影響</w:t>
            </w:r>
            <w:r w:rsidRPr="00131B9D">
              <w:rPr>
                <w:rFonts w:eastAsia="標楷體"/>
              </w:rPr>
              <w:t>2015</w:t>
            </w:r>
            <w:r w:rsidRPr="00131B9D">
              <w:rPr>
                <w:rFonts w:eastAsia="標楷體"/>
              </w:rPr>
              <w:t>年度價格趨勢的重要因素</w:t>
            </w:r>
          </w:p>
        </w:tc>
        <w:tc>
          <w:tcPr>
            <w:tcW w:w="2243" w:type="dxa"/>
            <w:vMerge w:val="restart"/>
            <w:tcBorders>
              <w:top w:val="single" w:sz="8" w:space="0" w:color="auto"/>
              <w:left w:val="single" w:sz="4" w:space="0" w:color="auto"/>
              <w:bottom w:val="single" w:sz="12" w:space="0" w:color="auto"/>
              <w:right w:val="single" w:sz="8" w:space="0" w:color="auto"/>
            </w:tcBorders>
            <w:shd w:val="clear" w:color="auto" w:fill="D9D9D9"/>
            <w:vAlign w:val="center"/>
          </w:tcPr>
          <w:p w:rsidR="004C5B0A" w:rsidRPr="00131B9D" w:rsidRDefault="004C5B0A" w:rsidP="004C5B0A">
            <w:pPr>
              <w:spacing w:line="0" w:lineRule="atLeast"/>
              <w:rPr>
                <w:rFonts w:eastAsia="標楷體"/>
              </w:rPr>
            </w:pPr>
            <w:r w:rsidRPr="00131B9D">
              <w:rPr>
                <w:rFonts w:eastAsia="標楷體"/>
              </w:rPr>
              <w:t>影響未來價格趨勢之重要因素及未來趨勢研判</w:t>
            </w:r>
          </w:p>
        </w:tc>
      </w:tr>
      <w:tr w:rsidR="004C5B0A" w:rsidRPr="00131B9D" w:rsidTr="004C5B0A">
        <w:trPr>
          <w:tblHeader/>
          <w:jc w:val="center"/>
        </w:trPr>
        <w:tc>
          <w:tcPr>
            <w:tcW w:w="2089" w:type="dxa"/>
            <w:gridSpan w:val="2"/>
            <w:vMerge/>
            <w:tcBorders>
              <w:left w:val="single" w:sz="8" w:space="0" w:color="auto"/>
              <w:bottom w:val="single" w:sz="12"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342" w:type="dxa"/>
            <w:tcBorders>
              <w:top w:val="single" w:sz="4" w:space="0" w:color="auto"/>
              <w:left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2015</w:t>
            </w:r>
            <w:r w:rsidRPr="00131B9D">
              <w:rPr>
                <w:rFonts w:eastAsia="標楷體"/>
              </w:rPr>
              <w:t>年</w:t>
            </w:r>
            <w:r w:rsidRPr="00131B9D">
              <w:rPr>
                <w:rFonts w:eastAsia="標楷體"/>
              </w:rPr>
              <w:t>1-11</w:t>
            </w:r>
            <w:r w:rsidRPr="00131B9D">
              <w:rPr>
                <w:rFonts w:eastAsia="標楷體"/>
              </w:rPr>
              <w:t>月均價</w:t>
            </w:r>
          </w:p>
        </w:tc>
        <w:tc>
          <w:tcPr>
            <w:tcW w:w="1262" w:type="dxa"/>
            <w:tcBorders>
              <w:top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2014</w:t>
            </w:r>
            <w:r w:rsidRPr="00131B9D">
              <w:rPr>
                <w:rFonts w:eastAsia="標楷體"/>
              </w:rPr>
              <w:t>年</w:t>
            </w:r>
            <w:r w:rsidRPr="00131B9D">
              <w:rPr>
                <w:rFonts w:eastAsia="標楷體"/>
              </w:rPr>
              <w:t>1-11</w:t>
            </w:r>
            <w:r w:rsidRPr="00131B9D">
              <w:rPr>
                <w:rFonts w:eastAsia="標楷體"/>
              </w:rPr>
              <w:t>月均價</w:t>
            </w:r>
          </w:p>
        </w:tc>
        <w:tc>
          <w:tcPr>
            <w:tcW w:w="1290" w:type="dxa"/>
            <w:tcBorders>
              <w:top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與</w:t>
            </w:r>
            <w:r w:rsidRPr="00131B9D">
              <w:rPr>
                <w:rFonts w:eastAsia="標楷體"/>
              </w:rPr>
              <w:t>2014</w:t>
            </w:r>
            <w:r w:rsidRPr="00131B9D">
              <w:rPr>
                <w:rFonts w:eastAsia="標楷體"/>
              </w:rPr>
              <w:t>年同期相比漲跌</w:t>
            </w:r>
          </w:p>
        </w:tc>
        <w:tc>
          <w:tcPr>
            <w:tcW w:w="1922" w:type="dxa"/>
            <w:vMerge/>
            <w:tcBorders>
              <w:top w:val="single" w:sz="4" w:space="0" w:color="auto"/>
              <w:bottom w:val="single" w:sz="12" w:space="0" w:color="auto"/>
            </w:tcBorders>
            <w:shd w:val="clear" w:color="auto" w:fill="auto"/>
            <w:vAlign w:val="center"/>
          </w:tcPr>
          <w:p w:rsidR="004C5B0A" w:rsidRPr="00131B9D" w:rsidRDefault="004C5B0A" w:rsidP="004C5B0A">
            <w:pPr>
              <w:spacing w:line="0" w:lineRule="atLeast"/>
              <w:rPr>
                <w:rFonts w:eastAsia="標楷體"/>
              </w:rPr>
            </w:pPr>
          </w:p>
        </w:tc>
        <w:tc>
          <w:tcPr>
            <w:tcW w:w="2243" w:type="dxa"/>
            <w:vMerge/>
            <w:tcBorders>
              <w:top w:val="single" w:sz="4" w:space="0" w:color="auto"/>
              <w:bottom w:val="single" w:sz="12" w:space="0" w:color="auto"/>
              <w:right w:val="single" w:sz="8" w:space="0" w:color="auto"/>
            </w:tcBorders>
            <w:shd w:val="clear" w:color="auto" w:fill="auto"/>
            <w:vAlign w:val="center"/>
          </w:tcPr>
          <w:p w:rsidR="004C5B0A" w:rsidRPr="00131B9D" w:rsidRDefault="004C5B0A" w:rsidP="004C5B0A">
            <w:pPr>
              <w:spacing w:line="0" w:lineRule="atLeast"/>
              <w:rPr>
                <w:rFonts w:eastAsia="標楷體"/>
              </w:rPr>
            </w:pPr>
          </w:p>
        </w:tc>
      </w:tr>
      <w:tr w:rsidR="00BC42BF" w:rsidRPr="00131B9D" w:rsidTr="004C5B0A">
        <w:trPr>
          <w:jc w:val="center"/>
        </w:trPr>
        <w:tc>
          <w:tcPr>
            <w:tcW w:w="639" w:type="dxa"/>
            <w:vMerge w:val="restart"/>
            <w:tcBorders>
              <w:left w:val="single" w:sz="8" w:space="0" w:color="auto"/>
              <w:right w:val="single" w:sz="4" w:space="0" w:color="auto"/>
            </w:tcBorders>
            <w:shd w:val="clear" w:color="auto" w:fill="auto"/>
            <w:textDirection w:val="tbRlV"/>
            <w:vAlign w:val="center"/>
          </w:tcPr>
          <w:p w:rsidR="00BC42BF" w:rsidRPr="00131B9D" w:rsidRDefault="00BC42BF" w:rsidP="00BC42BF">
            <w:pPr>
              <w:spacing w:line="0" w:lineRule="atLeast"/>
              <w:jc w:val="center"/>
              <w:rPr>
                <w:rFonts w:eastAsia="標楷體"/>
              </w:rPr>
            </w:pPr>
            <w:r w:rsidRPr="00131B9D">
              <w:rPr>
                <w:rFonts w:eastAsia="標楷體"/>
              </w:rPr>
              <w:t>金屬工業原料</w:t>
            </w: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廢鋼</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196.93</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329.25</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-40.19%</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鋼市需求、中國經濟成長</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鐵礦石價格未來可能下跌、鋼鐵產量過剩</w:t>
            </w:r>
          </w:p>
          <w:p w:rsidR="00BC42BF" w:rsidRPr="00131B9D" w:rsidRDefault="00BC42BF" w:rsidP="00BC42BF">
            <w:pPr>
              <w:spacing w:line="0" w:lineRule="atLeast"/>
              <w:jc w:val="both"/>
              <w:rPr>
                <w:rFonts w:eastAsia="標楷體"/>
                <w:b/>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小鋼胚</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366.33</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512.36</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-28.50%</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中國大陸小鋼胚出口價格</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中國大陸鋼材需求不振，且庫存水準高</w:t>
            </w:r>
          </w:p>
          <w:p w:rsidR="00BC42BF" w:rsidRPr="00131B9D" w:rsidRDefault="00BC42BF" w:rsidP="00BC42BF">
            <w:pPr>
              <w:spacing w:line="0" w:lineRule="atLeast"/>
              <w:jc w:val="both"/>
              <w:rPr>
                <w:rFonts w:eastAsia="標楷體"/>
              </w:rPr>
            </w:pPr>
            <w:r w:rsidRPr="00131B9D">
              <w:rPr>
                <w:rFonts w:eastAsia="標楷體"/>
              </w:rPr>
              <w:t>(</w:t>
            </w:r>
            <w:r w:rsidRPr="00131B9D">
              <w:rPr>
                <w:rFonts w:eastAsia="標楷體"/>
                <w:b/>
              </w:rPr>
              <w:t>跌</w:t>
            </w:r>
            <w:r w:rsidRPr="00131B9D">
              <w:rPr>
                <w:rFonts w:eastAsia="標楷體"/>
                <w:b/>
              </w:rPr>
              <w:t>)</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熱軋鋼捲</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505.97</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630.58</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-19.76%</w:t>
            </w:r>
          </w:p>
        </w:tc>
        <w:tc>
          <w:tcPr>
            <w:tcW w:w="1922" w:type="dxa"/>
            <w:vMerge w:val="restart"/>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中國大陸經濟發展，鋼市需求</w:t>
            </w:r>
          </w:p>
        </w:tc>
        <w:tc>
          <w:tcPr>
            <w:tcW w:w="2243" w:type="dxa"/>
            <w:vMerge w:val="restart"/>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中國大陸鋼材需求不振，且庫存水準高</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trHeight w:val="437"/>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冷軋鋼捲</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582.11</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725.08</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-19.72%</w:t>
            </w:r>
          </w:p>
        </w:tc>
        <w:tc>
          <w:tcPr>
            <w:tcW w:w="1922" w:type="dxa"/>
            <w:vMerge/>
            <w:shd w:val="clear" w:color="auto" w:fill="auto"/>
            <w:vAlign w:val="center"/>
          </w:tcPr>
          <w:p w:rsidR="00BC42BF" w:rsidRPr="00131B9D" w:rsidRDefault="00BC42BF" w:rsidP="00BC42BF">
            <w:pPr>
              <w:spacing w:line="0" w:lineRule="atLeast"/>
              <w:rPr>
                <w:rFonts w:eastAsia="標楷體"/>
              </w:rPr>
            </w:pPr>
          </w:p>
        </w:tc>
        <w:tc>
          <w:tcPr>
            <w:tcW w:w="2243" w:type="dxa"/>
            <w:vMerge/>
            <w:tcBorders>
              <w:right w:val="single" w:sz="8" w:space="0" w:color="auto"/>
            </w:tcBorders>
            <w:shd w:val="clear" w:color="auto" w:fill="auto"/>
            <w:vAlign w:val="center"/>
          </w:tcPr>
          <w:p w:rsidR="00BC42BF" w:rsidRPr="00131B9D" w:rsidRDefault="00BC42BF" w:rsidP="00BC42BF">
            <w:pPr>
              <w:spacing w:line="0" w:lineRule="atLeast"/>
              <w:rPr>
                <w:rFonts w:eastAsia="標楷體"/>
              </w:rPr>
            </w:pP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鍍鋅鋼捲</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673.64</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795.65</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-15.33%</w:t>
            </w:r>
          </w:p>
        </w:tc>
        <w:tc>
          <w:tcPr>
            <w:tcW w:w="1922" w:type="dxa"/>
            <w:vMerge/>
            <w:shd w:val="clear" w:color="auto" w:fill="auto"/>
            <w:vAlign w:val="center"/>
          </w:tcPr>
          <w:p w:rsidR="00BC42BF" w:rsidRPr="00131B9D" w:rsidRDefault="00BC42BF" w:rsidP="00BC42BF">
            <w:pPr>
              <w:spacing w:line="0" w:lineRule="atLeast"/>
              <w:rPr>
                <w:rFonts w:eastAsia="標楷體"/>
              </w:rPr>
            </w:pPr>
          </w:p>
        </w:tc>
        <w:tc>
          <w:tcPr>
            <w:tcW w:w="2243" w:type="dxa"/>
            <w:vMerge/>
            <w:tcBorders>
              <w:right w:val="single" w:sz="8" w:space="0" w:color="auto"/>
            </w:tcBorders>
            <w:shd w:val="clear" w:color="auto" w:fill="auto"/>
            <w:vAlign w:val="center"/>
          </w:tcPr>
          <w:p w:rsidR="00BC42BF" w:rsidRPr="00131B9D" w:rsidRDefault="00BC42BF" w:rsidP="00BC42BF">
            <w:pPr>
              <w:spacing w:line="0" w:lineRule="atLeast"/>
              <w:rPr>
                <w:rFonts w:eastAsia="標楷體"/>
              </w:rPr>
            </w:pPr>
          </w:p>
        </w:tc>
      </w:tr>
      <w:tr w:rsidR="00BC42BF" w:rsidRPr="00131B9D" w:rsidTr="004C5B0A">
        <w:trPr>
          <w:trHeight w:val="649"/>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鋼筋</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442.69</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585.79</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-24.43%</w:t>
            </w:r>
          </w:p>
        </w:tc>
        <w:tc>
          <w:tcPr>
            <w:tcW w:w="1922" w:type="dxa"/>
            <w:vMerge w:val="restart"/>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建築業景氣、廢鋼價格</w:t>
            </w:r>
          </w:p>
        </w:tc>
        <w:tc>
          <w:tcPr>
            <w:tcW w:w="2243" w:type="dxa"/>
            <w:vMerge w:val="restart"/>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中國大陸鋼材需求不振，且庫存水準高</w:t>
            </w:r>
          </w:p>
          <w:p w:rsidR="00BC42BF" w:rsidRPr="00131B9D" w:rsidRDefault="00BC42BF" w:rsidP="00BC42BF">
            <w:pPr>
              <w:spacing w:line="0" w:lineRule="atLeast"/>
              <w:jc w:val="both"/>
              <w:rPr>
                <w:rFonts w:eastAsia="標楷體"/>
                <w:b/>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H</w:t>
            </w:r>
            <w:r w:rsidRPr="00131B9D">
              <w:rPr>
                <w:rFonts w:eastAsia="標楷體"/>
              </w:rPr>
              <w:t>型鋼</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679.35</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776.98</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-12.56%</w:t>
            </w:r>
          </w:p>
        </w:tc>
        <w:tc>
          <w:tcPr>
            <w:tcW w:w="1922" w:type="dxa"/>
            <w:vMerge/>
            <w:shd w:val="clear" w:color="auto" w:fill="auto"/>
            <w:vAlign w:val="center"/>
          </w:tcPr>
          <w:p w:rsidR="00BC42BF" w:rsidRPr="00131B9D" w:rsidRDefault="00BC42BF" w:rsidP="00BC42BF">
            <w:pPr>
              <w:spacing w:line="0" w:lineRule="atLeast"/>
              <w:rPr>
                <w:rFonts w:eastAsia="標楷體"/>
              </w:rPr>
            </w:pPr>
          </w:p>
        </w:tc>
        <w:tc>
          <w:tcPr>
            <w:tcW w:w="2243" w:type="dxa"/>
            <w:vMerge/>
            <w:tcBorders>
              <w:right w:val="single" w:sz="8" w:space="0" w:color="auto"/>
            </w:tcBorders>
            <w:shd w:val="clear" w:color="auto" w:fill="auto"/>
            <w:vAlign w:val="center"/>
          </w:tcPr>
          <w:p w:rsidR="00BC42BF" w:rsidRPr="00131B9D" w:rsidRDefault="00BC42BF" w:rsidP="00BC42BF">
            <w:pPr>
              <w:spacing w:line="0" w:lineRule="atLeast"/>
              <w:rPr>
                <w:rFonts w:eastAsia="標楷體"/>
              </w:rPr>
            </w:pPr>
          </w:p>
        </w:tc>
      </w:tr>
      <w:tr w:rsidR="00BC42BF" w:rsidRPr="00131B9D" w:rsidTr="004C5B0A">
        <w:trPr>
          <w:jc w:val="center"/>
        </w:trPr>
        <w:tc>
          <w:tcPr>
            <w:tcW w:w="639" w:type="dxa"/>
            <w:vMerge w:val="restart"/>
            <w:tcBorders>
              <w:left w:val="single" w:sz="8" w:space="0" w:color="auto"/>
              <w:right w:val="single" w:sz="4" w:space="0" w:color="auto"/>
            </w:tcBorders>
            <w:shd w:val="clear" w:color="auto" w:fill="auto"/>
            <w:textDirection w:val="tbRlV"/>
            <w:vAlign w:val="center"/>
          </w:tcPr>
          <w:p w:rsidR="00BC42BF" w:rsidRPr="00131B9D" w:rsidRDefault="00BC42BF" w:rsidP="00BC42BF">
            <w:pPr>
              <w:spacing w:line="0" w:lineRule="atLeast"/>
              <w:jc w:val="center"/>
              <w:rPr>
                <w:rFonts w:eastAsia="標楷體"/>
              </w:rPr>
            </w:pPr>
            <w:r w:rsidRPr="00131B9D">
              <w:rPr>
                <w:rFonts w:eastAsia="標楷體"/>
              </w:rPr>
              <w:t>石化</w:t>
            </w: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乙烯</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1,537.35</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1,932.82</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-20.46%</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原油價格、下游需求</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原油價格走弱、中國大陸經濟放緩</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丙烯</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848.41</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1,390.43</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-38.98%</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原油價格，新增產能供給</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地區供應充足</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苯</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706.47</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1,283.91</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-44.98%</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原油價格、下游需求</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原油價格走弱</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聚氯乙烯</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956.92</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1,115.77</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-14.24%</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原油價格走弱、中國大陸經濟趨緩</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低密度聚乙烯</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2,064.40</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2,315.38</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-10.84%</w:t>
            </w:r>
          </w:p>
        </w:tc>
        <w:tc>
          <w:tcPr>
            <w:tcW w:w="1922" w:type="dxa"/>
            <w:vMerge w:val="restart"/>
            <w:tcBorders>
              <w:right w:val="single" w:sz="12"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原油價格、需求</w:t>
            </w:r>
          </w:p>
        </w:tc>
        <w:tc>
          <w:tcPr>
            <w:tcW w:w="2243" w:type="dxa"/>
            <w:vMerge w:val="restart"/>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原油價格走弱、</w:t>
            </w:r>
          </w:p>
          <w:p w:rsidR="00BC42BF" w:rsidRPr="00131B9D" w:rsidRDefault="00BC42BF" w:rsidP="00BC42BF">
            <w:pPr>
              <w:spacing w:line="0" w:lineRule="atLeast"/>
              <w:jc w:val="both"/>
              <w:rPr>
                <w:rFonts w:eastAsia="標楷體"/>
              </w:rPr>
            </w:pPr>
            <w:r w:rsidRPr="00131B9D">
              <w:rPr>
                <w:rFonts w:eastAsia="標楷體"/>
              </w:rPr>
              <w:t>預期未來供給增加</w:t>
            </w:r>
          </w:p>
          <w:p w:rsidR="00BC42BF" w:rsidRPr="00131B9D" w:rsidRDefault="00BC42BF" w:rsidP="00BC42BF">
            <w:pPr>
              <w:spacing w:line="0" w:lineRule="atLeast"/>
              <w:jc w:val="both"/>
              <w:rPr>
                <w:rFonts w:eastAsia="標楷體"/>
                <w:b/>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高密度聚乙烯</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1,762.49</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2,083.51</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-15.41%</w:t>
            </w:r>
          </w:p>
        </w:tc>
        <w:tc>
          <w:tcPr>
            <w:tcW w:w="1922" w:type="dxa"/>
            <w:vMerge/>
            <w:tcBorders>
              <w:right w:val="single" w:sz="12" w:space="0" w:color="auto"/>
            </w:tcBorders>
            <w:shd w:val="clear" w:color="auto" w:fill="auto"/>
            <w:vAlign w:val="center"/>
          </w:tcPr>
          <w:p w:rsidR="00BC42BF" w:rsidRPr="00131B9D" w:rsidRDefault="00BC42BF" w:rsidP="00BC42BF">
            <w:pPr>
              <w:spacing w:line="0" w:lineRule="atLeast"/>
              <w:rPr>
                <w:rFonts w:eastAsia="標楷體"/>
              </w:rPr>
            </w:pPr>
          </w:p>
        </w:tc>
        <w:tc>
          <w:tcPr>
            <w:tcW w:w="2243" w:type="dxa"/>
            <w:vMerge/>
            <w:tcBorders>
              <w:right w:val="single" w:sz="8" w:space="0" w:color="auto"/>
            </w:tcBorders>
            <w:shd w:val="clear" w:color="auto" w:fill="auto"/>
            <w:vAlign w:val="center"/>
          </w:tcPr>
          <w:p w:rsidR="00BC42BF" w:rsidRPr="00131B9D" w:rsidRDefault="00BC42BF" w:rsidP="00BC42BF">
            <w:pPr>
              <w:spacing w:line="0" w:lineRule="atLeast"/>
              <w:rPr>
                <w:rFonts w:eastAsia="標楷體"/>
              </w:rPr>
            </w:pP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聚苯乙烯</w:t>
            </w:r>
          </w:p>
        </w:tc>
        <w:tc>
          <w:tcPr>
            <w:tcW w:w="1342" w:type="dxa"/>
            <w:shd w:val="clear" w:color="auto" w:fill="auto"/>
            <w:vAlign w:val="center"/>
          </w:tcPr>
          <w:p w:rsidR="00BC42BF" w:rsidRPr="00131B9D" w:rsidRDefault="00BC42BF" w:rsidP="00BC42BF">
            <w:pPr>
              <w:widowControl/>
              <w:spacing w:line="0" w:lineRule="atLeast"/>
              <w:jc w:val="center"/>
              <w:rPr>
                <w:color w:val="000000"/>
              </w:rPr>
            </w:pPr>
            <w:r w:rsidRPr="00131B9D">
              <w:rPr>
                <w:color w:val="000000"/>
              </w:rPr>
              <w:t>1,443.16</w:t>
            </w:r>
          </w:p>
          <w:p w:rsidR="00BC42BF" w:rsidRPr="00131B9D" w:rsidRDefault="00BC42BF" w:rsidP="00BC42BF">
            <w:pPr>
              <w:widowControl/>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1,846.24</w:t>
            </w:r>
          </w:p>
          <w:p w:rsidR="00BC42BF" w:rsidRPr="00131B9D" w:rsidRDefault="00BC42BF" w:rsidP="00BC42BF">
            <w:pPr>
              <w:spacing w:line="0" w:lineRule="atLeast"/>
              <w:jc w:val="center"/>
              <w:rPr>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-21.83%</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原油價格、需求不佳</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原油價格走弱、預期未來供給增加、替代品價格下跌</w:t>
            </w:r>
          </w:p>
          <w:p w:rsidR="00BC42BF" w:rsidRPr="00131B9D" w:rsidRDefault="00BC42BF" w:rsidP="00BC42BF">
            <w:pPr>
              <w:spacing w:line="0" w:lineRule="atLeast"/>
              <w:jc w:val="both"/>
              <w:rPr>
                <w:rFonts w:eastAsia="標楷體"/>
              </w:rPr>
            </w:pPr>
            <w:r w:rsidRPr="00131B9D">
              <w:rPr>
                <w:rFonts w:eastAsia="標楷體"/>
                <w:b/>
              </w:rPr>
              <w:t>（跌）</w:t>
            </w:r>
          </w:p>
        </w:tc>
      </w:tr>
    </w:tbl>
    <w:p w:rsidR="004C5B0A" w:rsidRPr="00131B9D" w:rsidRDefault="004C5B0A" w:rsidP="004C5B0A">
      <w:pPr>
        <w:sectPr w:rsidR="004C5B0A" w:rsidRPr="00131B9D" w:rsidSect="00097B8D">
          <w:pgSz w:w="11906" w:h="16838"/>
          <w:pgMar w:top="1440" w:right="1800" w:bottom="1440" w:left="1800" w:header="851" w:footer="992" w:gutter="0"/>
          <w:cols w:space="425"/>
          <w:docGrid w:type="lines" w:linePitch="360"/>
        </w:sectPr>
      </w:pPr>
    </w:p>
    <w:p w:rsidR="004C5B0A" w:rsidRPr="00131B9D" w:rsidRDefault="004C5B0A" w:rsidP="00C665AA">
      <w:pPr>
        <w:spacing w:line="0" w:lineRule="atLeast"/>
        <w:jc w:val="center"/>
        <w:rPr>
          <w:rFonts w:eastAsia="標楷體"/>
          <w:b/>
          <w:sz w:val="28"/>
          <w:szCs w:val="28"/>
        </w:rPr>
      </w:pPr>
      <w:r w:rsidRPr="00131B9D">
        <w:rPr>
          <w:rFonts w:eastAsia="標楷體"/>
          <w:b/>
          <w:sz w:val="28"/>
          <w:szCs w:val="28"/>
        </w:rPr>
        <w:lastRenderedPageBreak/>
        <w:t>表</w:t>
      </w:r>
      <w:r w:rsidRPr="00131B9D">
        <w:rPr>
          <w:rFonts w:eastAsia="標楷體"/>
          <w:b/>
          <w:sz w:val="28"/>
          <w:szCs w:val="28"/>
        </w:rPr>
        <w:t>3- 1</w:t>
      </w:r>
      <w:r w:rsidRPr="00131B9D">
        <w:rPr>
          <w:rFonts w:eastAsia="標楷體"/>
          <w:b/>
          <w:sz w:val="28"/>
          <w:szCs w:val="28"/>
        </w:rPr>
        <w:t xml:space="preserve">　重要原物料市場情勢分析綜合說明表</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101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
        <w:gridCol w:w="1450"/>
        <w:gridCol w:w="1342"/>
        <w:gridCol w:w="1262"/>
        <w:gridCol w:w="1290"/>
        <w:gridCol w:w="1922"/>
        <w:gridCol w:w="2243"/>
      </w:tblGrid>
      <w:tr w:rsidR="004C5B0A" w:rsidRPr="00131B9D" w:rsidTr="004C5B0A">
        <w:trPr>
          <w:trHeight w:val="470"/>
          <w:tblHeader/>
          <w:jc w:val="center"/>
        </w:trPr>
        <w:tc>
          <w:tcPr>
            <w:tcW w:w="2089" w:type="dxa"/>
            <w:gridSpan w:val="2"/>
            <w:vMerge w:val="restart"/>
            <w:tcBorders>
              <w:top w:val="single" w:sz="8" w:space="0" w:color="auto"/>
              <w:left w:val="single" w:sz="8" w:space="0" w:color="auto"/>
              <w:right w:val="single" w:sz="4"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品項</w:t>
            </w:r>
          </w:p>
        </w:tc>
        <w:tc>
          <w:tcPr>
            <w:tcW w:w="3894" w:type="dxa"/>
            <w:gridSpan w:val="3"/>
            <w:tcBorders>
              <w:top w:val="single" w:sz="8" w:space="0" w:color="auto"/>
              <w:left w:val="single" w:sz="4" w:space="0" w:color="auto"/>
              <w:bottom w:val="single" w:sz="4" w:space="0" w:color="auto"/>
              <w:right w:val="single" w:sz="4"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價格趨勢與比較</w:t>
            </w:r>
          </w:p>
        </w:tc>
        <w:tc>
          <w:tcPr>
            <w:tcW w:w="1922" w:type="dxa"/>
            <w:vMerge w:val="restart"/>
            <w:tcBorders>
              <w:top w:val="single" w:sz="8" w:space="0" w:color="auto"/>
              <w:left w:val="single" w:sz="4" w:space="0" w:color="auto"/>
              <w:bottom w:val="single" w:sz="4" w:space="0" w:color="auto"/>
              <w:right w:val="single" w:sz="4" w:space="0" w:color="auto"/>
            </w:tcBorders>
            <w:shd w:val="clear" w:color="auto" w:fill="D9D9D9"/>
            <w:vAlign w:val="center"/>
          </w:tcPr>
          <w:p w:rsidR="004C5B0A" w:rsidRPr="00131B9D" w:rsidRDefault="004C5B0A" w:rsidP="004C5B0A">
            <w:pPr>
              <w:spacing w:line="0" w:lineRule="atLeast"/>
              <w:rPr>
                <w:rFonts w:eastAsia="標楷體"/>
              </w:rPr>
            </w:pPr>
            <w:r w:rsidRPr="00131B9D">
              <w:rPr>
                <w:rFonts w:eastAsia="標楷體"/>
              </w:rPr>
              <w:t>影響</w:t>
            </w:r>
            <w:r w:rsidRPr="00131B9D">
              <w:rPr>
                <w:rFonts w:eastAsia="標楷體"/>
              </w:rPr>
              <w:t>2015</w:t>
            </w:r>
            <w:r w:rsidRPr="00131B9D">
              <w:rPr>
                <w:rFonts w:eastAsia="標楷體"/>
              </w:rPr>
              <w:t>年度價格趨勢的重要因素</w:t>
            </w:r>
          </w:p>
        </w:tc>
        <w:tc>
          <w:tcPr>
            <w:tcW w:w="2243" w:type="dxa"/>
            <w:vMerge w:val="restart"/>
            <w:tcBorders>
              <w:top w:val="single" w:sz="8" w:space="0" w:color="auto"/>
              <w:left w:val="single" w:sz="4" w:space="0" w:color="auto"/>
              <w:bottom w:val="single" w:sz="12" w:space="0" w:color="auto"/>
              <w:right w:val="single" w:sz="8" w:space="0" w:color="auto"/>
            </w:tcBorders>
            <w:shd w:val="clear" w:color="auto" w:fill="D9D9D9"/>
            <w:vAlign w:val="center"/>
          </w:tcPr>
          <w:p w:rsidR="004C5B0A" w:rsidRPr="00131B9D" w:rsidRDefault="004C5B0A" w:rsidP="004C5B0A">
            <w:pPr>
              <w:spacing w:line="0" w:lineRule="atLeast"/>
              <w:rPr>
                <w:rFonts w:eastAsia="標楷體"/>
              </w:rPr>
            </w:pPr>
            <w:r w:rsidRPr="00131B9D">
              <w:rPr>
                <w:rFonts w:eastAsia="標楷體"/>
              </w:rPr>
              <w:t>影響未來價格趨勢之重要因素及未來趨勢研判</w:t>
            </w:r>
          </w:p>
        </w:tc>
      </w:tr>
      <w:tr w:rsidR="004C5B0A" w:rsidRPr="00131B9D" w:rsidTr="004C5B0A">
        <w:trPr>
          <w:tblHeader/>
          <w:jc w:val="center"/>
        </w:trPr>
        <w:tc>
          <w:tcPr>
            <w:tcW w:w="2089" w:type="dxa"/>
            <w:gridSpan w:val="2"/>
            <w:vMerge/>
            <w:tcBorders>
              <w:left w:val="single" w:sz="8" w:space="0" w:color="auto"/>
              <w:bottom w:val="single" w:sz="12" w:space="0" w:color="auto"/>
              <w:right w:val="single" w:sz="4" w:space="0" w:color="auto"/>
            </w:tcBorders>
            <w:shd w:val="clear" w:color="auto" w:fill="auto"/>
          </w:tcPr>
          <w:p w:rsidR="004C5B0A" w:rsidRPr="00131B9D" w:rsidRDefault="004C5B0A" w:rsidP="004C5B0A">
            <w:pPr>
              <w:spacing w:line="0" w:lineRule="atLeast"/>
              <w:rPr>
                <w:rFonts w:eastAsia="標楷體"/>
              </w:rPr>
            </w:pPr>
          </w:p>
        </w:tc>
        <w:tc>
          <w:tcPr>
            <w:tcW w:w="1342" w:type="dxa"/>
            <w:tcBorders>
              <w:top w:val="single" w:sz="4" w:space="0" w:color="auto"/>
              <w:left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2015</w:t>
            </w:r>
            <w:r w:rsidRPr="00131B9D">
              <w:rPr>
                <w:rFonts w:eastAsia="標楷體"/>
              </w:rPr>
              <w:t>年</w:t>
            </w:r>
            <w:r w:rsidRPr="00131B9D">
              <w:rPr>
                <w:rFonts w:eastAsia="標楷體"/>
              </w:rPr>
              <w:t>1-11</w:t>
            </w:r>
            <w:r w:rsidRPr="00131B9D">
              <w:rPr>
                <w:rFonts w:eastAsia="標楷體"/>
              </w:rPr>
              <w:t>月均價</w:t>
            </w:r>
          </w:p>
        </w:tc>
        <w:tc>
          <w:tcPr>
            <w:tcW w:w="1262" w:type="dxa"/>
            <w:tcBorders>
              <w:top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2014</w:t>
            </w:r>
            <w:r w:rsidRPr="00131B9D">
              <w:rPr>
                <w:rFonts w:eastAsia="標楷體"/>
              </w:rPr>
              <w:t>年</w:t>
            </w:r>
            <w:r w:rsidRPr="00131B9D">
              <w:rPr>
                <w:rFonts w:eastAsia="標楷體"/>
              </w:rPr>
              <w:t>1-11</w:t>
            </w:r>
            <w:r w:rsidRPr="00131B9D">
              <w:rPr>
                <w:rFonts w:eastAsia="標楷體"/>
              </w:rPr>
              <w:t>月均價</w:t>
            </w:r>
          </w:p>
        </w:tc>
        <w:tc>
          <w:tcPr>
            <w:tcW w:w="1290" w:type="dxa"/>
            <w:tcBorders>
              <w:top w:val="single" w:sz="4" w:space="0" w:color="auto"/>
              <w:bottom w:val="single" w:sz="12" w:space="0" w:color="auto"/>
            </w:tcBorders>
            <w:shd w:val="clear" w:color="auto" w:fill="D9D9D9"/>
            <w:vAlign w:val="center"/>
          </w:tcPr>
          <w:p w:rsidR="004C5B0A" w:rsidRPr="00131B9D" w:rsidRDefault="004C5B0A" w:rsidP="004C5B0A">
            <w:pPr>
              <w:spacing w:line="0" w:lineRule="atLeast"/>
              <w:jc w:val="center"/>
              <w:rPr>
                <w:rFonts w:eastAsia="標楷體"/>
              </w:rPr>
            </w:pPr>
            <w:r w:rsidRPr="00131B9D">
              <w:rPr>
                <w:rFonts w:eastAsia="標楷體"/>
              </w:rPr>
              <w:t>與</w:t>
            </w:r>
            <w:r w:rsidRPr="00131B9D">
              <w:rPr>
                <w:rFonts w:eastAsia="標楷體"/>
              </w:rPr>
              <w:t>2014</w:t>
            </w:r>
            <w:r w:rsidRPr="00131B9D">
              <w:rPr>
                <w:rFonts w:eastAsia="標楷體"/>
              </w:rPr>
              <w:t>年同期相比漲跌</w:t>
            </w:r>
          </w:p>
        </w:tc>
        <w:tc>
          <w:tcPr>
            <w:tcW w:w="1922" w:type="dxa"/>
            <w:vMerge/>
            <w:tcBorders>
              <w:top w:val="single" w:sz="4" w:space="0" w:color="auto"/>
              <w:bottom w:val="single" w:sz="12" w:space="0" w:color="auto"/>
            </w:tcBorders>
            <w:shd w:val="clear" w:color="auto" w:fill="auto"/>
            <w:vAlign w:val="center"/>
          </w:tcPr>
          <w:p w:rsidR="004C5B0A" w:rsidRPr="00131B9D" w:rsidRDefault="004C5B0A" w:rsidP="004C5B0A">
            <w:pPr>
              <w:spacing w:line="0" w:lineRule="atLeast"/>
              <w:rPr>
                <w:rFonts w:eastAsia="標楷體"/>
              </w:rPr>
            </w:pPr>
          </w:p>
        </w:tc>
        <w:tc>
          <w:tcPr>
            <w:tcW w:w="2243" w:type="dxa"/>
            <w:vMerge/>
            <w:tcBorders>
              <w:top w:val="single" w:sz="4" w:space="0" w:color="auto"/>
              <w:bottom w:val="single" w:sz="12" w:space="0" w:color="auto"/>
              <w:right w:val="single" w:sz="8" w:space="0" w:color="auto"/>
            </w:tcBorders>
            <w:shd w:val="clear" w:color="auto" w:fill="auto"/>
            <w:vAlign w:val="center"/>
          </w:tcPr>
          <w:p w:rsidR="004C5B0A" w:rsidRPr="00131B9D" w:rsidRDefault="004C5B0A" w:rsidP="004C5B0A">
            <w:pPr>
              <w:spacing w:line="0" w:lineRule="atLeast"/>
              <w:rPr>
                <w:rFonts w:eastAsia="標楷體"/>
              </w:rPr>
            </w:pPr>
          </w:p>
        </w:tc>
      </w:tr>
      <w:tr w:rsidR="00BC42BF" w:rsidRPr="00131B9D" w:rsidTr="004C5B0A">
        <w:trPr>
          <w:jc w:val="center"/>
        </w:trPr>
        <w:tc>
          <w:tcPr>
            <w:tcW w:w="639" w:type="dxa"/>
            <w:vMerge w:val="restart"/>
            <w:tcBorders>
              <w:left w:val="single" w:sz="8" w:space="0" w:color="auto"/>
              <w:right w:val="single" w:sz="4" w:space="0" w:color="auto"/>
            </w:tcBorders>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石化</w:t>
            </w: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ABS</w:t>
            </w:r>
            <w:r w:rsidRPr="00131B9D">
              <w:rPr>
                <w:rFonts w:eastAsia="標楷體"/>
              </w:rPr>
              <w:t>樹脂</w:t>
            </w:r>
          </w:p>
        </w:tc>
        <w:tc>
          <w:tcPr>
            <w:tcW w:w="1342" w:type="dxa"/>
            <w:shd w:val="clear" w:color="auto" w:fill="auto"/>
            <w:vAlign w:val="center"/>
          </w:tcPr>
          <w:p w:rsidR="00BC42BF" w:rsidRPr="00131B9D" w:rsidRDefault="00BC42BF" w:rsidP="00BC42BF">
            <w:pPr>
              <w:widowControl/>
              <w:spacing w:line="0" w:lineRule="atLeast"/>
              <w:jc w:val="center"/>
              <w:rPr>
                <w:rFonts w:eastAsia="標楷體"/>
                <w:color w:val="000000"/>
              </w:rPr>
            </w:pPr>
            <w:r w:rsidRPr="00131B9D">
              <w:rPr>
                <w:rFonts w:eastAsia="標楷體"/>
                <w:color w:val="000000"/>
              </w:rPr>
              <w:t>1,705.20</w:t>
            </w:r>
          </w:p>
          <w:p w:rsidR="00BC42BF" w:rsidRPr="00131B9D" w:rsidRDefault="00BC42BF" w:rsidP="00BC42BF">
            <w:pPr>
              <w:widowControl/>
              <w:spacing w:line="0" w:lineRule="atLeast"/>
              <w:jc w:val="center"/>
              <w:rPr>
                <w:rFonts w:eastAsia="標楷體"/>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rFonts w:eastAsia="標楷體"/>
                <w:color w:val="000000"/>
              </w:rPr>
            </w:pPr>
            <w:r w:rsidRPr="00131B9D">
              <w:rPr>
                <w:rFonts w:eastAsia="標楷體"/>
                <w:color w:val="000000"/>
              </w:rPr>
              <w:t>2,091.92</w:t>
            </w:r>
          </w:p>
          <w:p w:rsidR="00BC42BF" w:rsidRPr="00131B9D" w:rsidRDefault="00BC42BF" w:rsidP="00BC42BF">
            <w:pPr>
              <w:spacing w:line="0" w:lineRule="atLeast"/>
              <w:jc w:val="center"/>
              <w:rPr>
                <w:rFonts w:eastAsia="標楷體"/>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-18.49%</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原油價格、終端需求</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原油價格走弱、中國大陸經濟放緩</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己內醯胺</w:t>
            </w:r>
          </w:p>
        </w:tc>
        <w:tc>
          <w:tcPr>
            <w:tcW w:w="1342" w:type="dxa"/>
            <w:shd w:val="clear" w:color="auto" w:fill="auto"/>
            <w:vAlign w:val="center"/>
          </w:tcPr>
          <w:p w:rsidR="00BC42BF" w:rsidRPr="00131B9D" w:rsidRDefault="00BC42BF" w:rsidP="00BC42BF">
            <w:pPr>
              <w:widowControl/>
              <w:spacing w:line="0" w:lineRule="atLeast"/>
              <w:jc w:val="center"/>
              <w:rPr>
                <w:rFonts w:eastAsia="標楷體"/>
                <w:color w:val="000000"/>
              </w:rPr>
            </w:pPr>
            <w:r w:rsidRPr="00131B9D">
              <w:rPr>
                <w:rFonts w:eastAsia="標楷體"/>
                <w:color w:val="000000"/>
              </w:rPr>
              <w:t>1,610.22</w:t>
            </w:r>
          </w:p>
          <w:p w:rsidR="00BC42BF" w:rsidRPr="00131B9D" w:rsidRDefault="00BC42BF" w:rsidP="00BC42BF">
            <w:pPr>
              <w:widowControl/>
              <w:spacing w:line="0" w:lineRule="atLeast"/>
              <w:jc w:val="center"/>
              <w:rPr>
                <w:rFonts w:eastAsia="標楷體"/>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rFonts w:eastAsia="標楷體"/>
                <w:color w:val="000000"/>
              </w:rPr>
            </w:pPr>
            <w:r w:rsidRPr="00131B9D">
              <w:rPr>
                <w:rFonts w:eastAsia="標楷體"/>
                <w:color w:val="000000"/>
              </w:rPr>
              <w:t>2,234.38</w:t>
            </w:r>
          </w:p>
          <w:p w:rsidR="00BC42BF" w:rsidRPr="00131B9D" w:rsidRDefault="00BC42BF" w:rsidP="00BC42BF">
            <w:pPr>
              <w:spacing w:line="0" w:lineRule="atLeast"/>
              <w:jc w:val="center"/>
              <w:rPr>
                <w:rFonts w:eastAsia="標楷體"/>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-27.93%</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原油價格、中國大陸經濟</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原油價格走弱、中國大陸經濟放緩</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純對苯二甲酸</w:t>
            </w:r>
          </w:p>
        </w:tc>
        <w:tc>
          <w:tcPr>
            <w:tcW w:w="1342" w:type="dxa"/>
            <w:shd w:val="clear" w:color="auto" w:fill="auto"/>
            <w:vAlign w:val="center"/>
          </w:tcPr>
          <w:p w:rsidR="00BC42BF" w:rsidRPr="00131B9D" w:rsidRDefault="00BC42BF" w:rsidP="00BC42BF">
            <w:pPr>
              <w:widowControl/>
              <w:spacing w:line="0" w:lineRule="atLeast"/>
              <w:jc w:val="center"/>
              <w:rPr>
                <w:rFonts w:eastAsia="標楷體"/>
                <w:color w:val="000000"/>
              </w:rPr>
            </w:pPr>
            <w:r w:rsidRPr="00131B9D">
              <w:rPr>
                <w:rFonts w:eastAsia="標楷體"/>
                <w:color w:val="000000"/>
              </w:rPr>
              <w:t>664.91</w:t>
            </w:r>
          </w:p>
          <w:p w:rsidR="00BC42BF" w:rsidRPr="00131B9D" w:rsidRDefault="00BC42BF" w:rsidP="00BC42BF">
            <w:pPr>
              <w:widowControl/>
              <w:spacing w:line="0" w:lineRule="atLeast"/>
              <w:jc w:val="center"/>
              <w:rPr>
                <w:rFonts w:eastAsia="標楷體"/>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rFonts w:eastAsia="標楷體"/>
                <w:color w:val="000000"/>
              </w:rPr>
            </w:pPr>
            <w:r w:rsidRPr="00131B9D">
              <w:rPr>
                <w:rFonts w:eastAsia="標楷體"/>
                <w:color w:val="000000"/>
              </w:rPr>
              <w:t>939.83</w:t>
            </w:r>
          </w:p>
          <w:p w:rsidR="00BC42BF" w:rsidRPr="00131B9D" w:rsidRDefault="00BC42BF" w:rsidP="00BC42BF">
            <w:pPr>
              <w:spacing w:line="0" w:lineRule="atLeast"/>
              <w:jc w:val="center"/>
              <w:rPr>
                <w:rFonts w:eastAsia="標楷體"/>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-29.25%</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原油價格，聚酯纖維需求。</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印度產能增加</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乙二醇</w:t>
            </w:r>
          </w:p>
        </w:tc>
        <w:tc>
          <w:tcPr>
            <w:tcW w:w="1342" w:type="dxa"/>
            <w:shd w:val="clear" w:color="auto" w:fill="auto"/>
            <w:vAlign w:val="center"/>
          </w:tcPr>
          <w:p w:rsidR="00BC42BF" w:rsidRPr="00131B9D" w:rsidRDefault="00BC42BF" w:rsidP="00BC42BF">
            <w:pPr>
              <w:widowControl/>
              <w:spacing w:line="0" w:lineRule="atLeast"/>
              <w:jc w:val="center"/>
              <w:rPr>
                <w:rFonts w:eastAsia="標楷體"/>
                <w:color w:val="000000"/>
              </w:rPr>
            </w:pPr>
            <w:r w:rsidRPr="00131B9D">
              <w:rPr>
                <w:rFonts w:eastAsia="標楷體"/>
                <w:color w:val="000000"/>
              </w:rPr>
              <w:t>830.46</w:t>
            </w:r>
          </w:p>
          <w:p w:rsidR="00BC42BF" w:rsidRPr="00131B9D" w:rsidRDefault="00BC42BF" w:rsidP="00BC42BF">
            <w:pPr>
              <w:widowControl/>
              <w:spacing w:line="0" w:lineRule="atLeast"/>
              <w:jc w:val="center"/>
              <w:rPr>
                <w:rFonts w:eastAsia="標楷體"/>
                <w:color w:val="000000"/>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rFonts w:eastAsia="標楷體"/>
                <w:color w:val="000000"/>
              </w:rPr>
            </w:pPr>
            <w:r w:rsidRPr="00131B9D">
              <w:rPr>
                <w:rFonts w:eastAsia="標楷體"/>
                <w:color w:val="000000"/>
              </w:rPr>
              <w:t>969.29</w:t>
            </w:r>
          </w:p>
          <w:p w:rsidR="00BC42BF" w:rsidRPr="00131B9D" w:rsidRDefault="00BC42BF" w:rsidP="00BC42BF">
            <w:pPr>
              <w:spacing w:line="0" w:lineRule="atLeast"/>
              <w:jc w:val="center"/>
              <w:rPr>
                <w:rFonts w:eastAsia="標楷體"/>
                <w:color w:val="000000"/>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-14.32%</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原油價格下跌，聚酯纖維需求</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原油價格走弱、中國大陸經濟放緩</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val="restart"/>
            <w:tcBorders>
              <w:left w:val="single" w:sz="8" w:space="0" w:color="auto"/>
              <w:right w:val="single" w:sz="4" w:space="0" w:color="auto"/>
            </w:tcBorders>
            <w:shd w:val="clear" w:color="auto" w:fill="auto"/>
            <w:textDirection w:val="tbRlV"/>
            <w:vAlign w:val="center"/>
          </w:tcPr>
          <w:p w:rsidR="00BC42BF" w:rsidRPr="00131B9D" w:rsidRDefault="00BC42BF" w:rsidP="00BC42BF">
            <w:pPr>
              <w:spacing w:line="0" w:lineRule="atLeast"/>
              <w:jc w:val="center"/>
              <w:rPr>
                <w:rFonts w:eastAsia="標楷體"/>
              </w:rPr>
            </w:pPr>
            <w:r w:rsidRPr="00131B9D">
              <w:rPr>
                <w:rFonts w:eastAsia="標楷體"/>
              </w:rPr>
              <w:t>紙</w:t>
            </w: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紙漿短纖</w:t>
            </w:r>
            <w:r w:rsidRPr="00131B9D">
              <w:rPr>
                <w:rFonts w:eastAsia="標楷體"/>
              </w:rPr>
              <w:t>-</w:t>
            </w:r>
            <w:r w:rsidRPr="00131B9D">
              <w:rPr>
                <w:rFonts w:eastAsia="標楷體"/>
              </w:rPr>
              <w:t>闊葉樹</w:t>
            </w:r>
          </w:p>
        </w:tc>
        <w:tc>
          <w:tcPr>
            <w:tcW w:w="1342" w:type="dxa"/>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706.21</w:t>
            </w:r>
          </w:p>
          <w:p w:rsidR="00BC42BF" w:rsidRPr="00131B9D" w:rsidRDefault="00BC42BF" w:rsidP="00BC42BF">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629.43</w:t>
            </w:r>
          </w:p>
          <w:p w:rsidR="00BC42BF" w:rsidRPr="00131B9D" w:rsidRDefault="00BC42BF" w:rsidP="00BC42BF">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12.20%</w:t>
            </w:r>
          </w:p>
        </w:tc>
        <w:tc>
          <w:tcPr>
            <w:tcW w:w="1922" w:type="dxa"/>
            <w:shd w:val="clear" w:color="auto" w:fill="auto"/>
            <w:vAlign w:val="center"/>
          </w:tcPr>
          <w:p w:rsidR="00BC42BF" w:rsidRPr="00131B9D" w:rsidRDefault="00BC42BF" w:rsidP="00BC42BF">
            <w:pPr>
              <w:spacing w:line="0" w:lineRule="atLeast"/>
              <w:rPr>
                <w:rFonts w:eastAsia="標楷體"/>
              </w:rPr>
            </w:pPr>
            <w:r w:rsidRPr="00131B9D">
              <w:rPr>
                <w:rFonts w:eastAsia="標楷體"/>
              </w:rPr>
              <w:t>季節性需求、紙漿庫存、加工行業景氣</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紙漿庫存與需求持平</w:t>
            </w:r>
          </w:p>
          <w:p w:rsidR="00BC42BF" w:rsidRPr="00131B9D" w:rsidRDefault="00BC42BF" w:rsidP="00BC42BF">
            <w:pPr>
              <w:spacing w:line="0" w:lineRule="atLeast"/>
              <w:rPr>
                <w:rFonts w:eastAsia="標楷體"/>
                <w:b/>
              </w:rPr>
            </w:pPr>
            <w:r w:rsidRPr="00131B9D">
              <w:rPr>
                <w:rFonts w:eastAsia="標楷體"/>
                <w:b/>
              </w:rPr>
              <w:t>（區間震盪）</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廢紙國產</w:t>
            </w:r>
          </w:p>
        </w:tc>
        <w:tc>
          <w:tcPr>
            <w:tcW w:w="1342" w:type="dxa"/>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106.60</w:t>
            </w:r>
          </w:p>
          <w:p w:rsidR="00BC42BF" w:rsidRPr="00131B9D" w:rsidRDefault="00BC42BF" w:rsidP="00BC42BF">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116.81</w:t>
            </w:r>
          </w:p>
          <w:p w:rsidR="00BC42BF" w:rsidRPr="00131B9D" w:rsidRDefault="00BC42BF" w:rsidP="00BC42BF">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-8.74%</w:t>
            </w:r>
          </w:p>
        </w:tc>
        <w:tc>
          <w:tcPr>
            <w:tcW w:w="1922" w:type="dxa"/>
            <w:shd w:val="clear" w:color="auto" w:fill="auto"/>
            <w:vAlign w:val="center"/>
          </w:tcPr>
          <w:p w:rsidR="00BC42BF" w:rsidRPr="00131B9D" w:rsidRDefault="00BC42BF" w:rsidP="00BC42BF">
            <w:pPr>
              <w:spacing w:line="0" w:lineRule="atLeast"/>
              <w:rPr>
                <w:rFonts w:eastAsia="標楷體"/>
              </w:rPr>
            </w:pPr>
            <w:r w:rsidRPr="00131B9D">
              <w:rPr>
                <w:rFonts w:eastAsia="標楷體"/>
              </w:rPr>
              <w:t>需求、加工行業景氣、淡旺季、人民幣貶值</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廢紙市場與需求持續成長</w:t>
            </w:r>
          </w:p>
          <w:p w:rsidR="00BC42BF" w:rsidRPr="00131B9D" w:rsidRDefault="00BC42BF" w:rsidP="00BC42BF">
            <w:pPr>
              <w:spacing w:line="0" w:lineRule="atLeast"/>
              <w:rPr>
                <w:rFonts w:eastAsia="標楷體"/>
              </w:rPr>
            </w:pPr>
            <w:r w:rsidRPr="00131B9D">
              <w:rPr>
                <w:rFonts w:eastAsia="標楷體"/>
                <w:b/>
              </w:rPr>
              <w:t>（漲）</w:t>
            </w:r>
          </w:p>
        </w:tc>
      </w:tr>
      <w:tr w:rsidR="00BC42BF" w:rsidRPr="00131B9D" w:rsidTr="004C5B0A">
        <w:trPr>
          <w:jc w:val="center"/>
        </w:trPr>
        <w:tc>
          <w:tcPr>
            <w:tcW w:w="639" w:type="dxa"/>
            <w:vMerge w:val="restart"/>
            <w:tcBorders>
              <w:left w:val="single" w:sz="8" w:space="0" w:color="auto"/>
              <w:right w:val="single" w:sz="4" w:space="0" w:color="auto"/>
            </w:tcBorders>
            <w:shd w:val="clear" w:color="auto" w:fill="auto"/>
            <w:textDirection w:val="tbRlV"/>
            <w:vAlign w:val="center"/>
          </w:tcPr>
          <w:p w:rsidR="00BC42BF" w:rsidRPr="00131B9D" w:rsidRDefault="00BC42BF" w:rsidP="00BC42BF">
            <w:pPr>
              <w:spacing w:line="0" w:lineRule="atLeast"/>
              <w:jc w:val="center"/>
              <w:rPr>
                <w:rFonts w:eastAsia="標楷體"/>
              </w:rPr>
            </w:pPr>
            <w:r w:rsidRPr="00131B9D">
              <w:rPr>
                <w:rFonts w:eastAsia="標楷體"/>
              </w:rPr>
              <w:t>其他</w:t>
            </w: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水泥</w:t>
            </w:r>
          </w:p>
        </w:tc>
        <w:tc>
          <w:tcPr>
            <w:tcW w:w="1342" w:type="dxa"/>
            <w:shd w:val="clear" w:color="auto" w:fill="auto"/>
            <w:vAlign w:val="center"/>
          </w:tcPr>
          <w:p w:rsidR="00BC42BF" w:rsidRPr="00131B9D" w:rsidRDefault="00BC42BF" w:rsidP="00BC42BF">
            <w:pPr>
              <w:widowControl/>
              <w:spacing w:line="0" w:lineRule="atLeast"/>
              <w:jc w:val="center"/>
              <w:rPr>
                <w:rFonts w:eastAsia="標楷體"/>
                <w:color w:val="000000"/>
              </w:rPr>
            </w:pPr>
            <w:r w:rsidRPr="00131B9D">
              <w:rPr>
                <w:rFonts w:eastAsia="標楷體"/>
                <w:color w:val="000000"/>
              </w:rPr>
              <w:t>2,314.58</w:t>
            </w:r>
          </w:p>
          <w:p w:rsidR="00BC42BF" w:rsidRPr="00131B9D" w:rsidRDefault="00BC42BF" w:rsidP="00BC42BF">
            <w:pPr>
              <w:widowControl/>
              <w:spacing w:line="0" w:lineRule="atLeast"/>
              <w:jc w:val="center"/>
              <w:rPr>
                <w:rFonts w:eastAsia="標楷體"/>
                <w:color w:val="000000"/>
              </w:rPr>
            </w:pPr>
            <w:r w:rsidRPr="00131B9D">
              <w:rPr>
                <w:rFonts w:eastAsia="標楷體"/>
                <w:color w:val="000000"/>
              </w:rPr>
              <w:t>元</w:t>
            </w:r>
            <w:r w:rsidRPr="00131B9D">
              <w:rPr>
                <w:rFonts w:eastAsia="標楷體"/>
                <w:color w:val="000000"/>
              </w:rPr>
              <w:t>/</w:t>
            </w:r>
            <w:r w:rsidRPr="00131B9D">
              <w:rPr>
                <w:rFonts w:eastAsia="標楷體"/>
                <w:color w:val="000000"/>
              </w:rPr>
              <w:t>公噸</w:t>
            </w:r>
          </w:p>
        </w:tc>
        <w:tc>
          <w:tcPr>
            <w:tcW w:w="1262" w:type="dxa"/>
            <w:shd w:val="clear" w:color="auto" w:fill="auto"/>
            <w:vAlign w:val="center"/>
          </w:tcPr>
          <w:p w:rsidR="00BC42BF" w:rsidRPr="00131B9D" w:rsidRDefault="00BC42BF" w:rsidP="00BC42BF">
            <w:pPr>
              <w:spacing w:line="0" w:lineRule="atLeast"/>
              <w:jc w:val="center"/>
              <w:rPr>
                <w:rFonts w:eastAsia="標楷體"/>
                <w:color w:val="000000"/>
              </w:rPr>
            </w:pPr>
            <w:r w:rsidRPr="00131B9D">
              <w:rPr>
                <w:rFonts w:eastAsia="標楷體"/>
                <w:color w:val="000000"/>
              </w:rPr>
              <w:t>2,350.00</w:t>
            </w:r>
          </w:p>
          <w:p w:rsidR="00BC42BF" w:rsidRPr="00131B9D" w:rsidRDefault="00BC42BF" w:rsidP="00BC42BF">
            <w:pPr>
              <w:spacing w:line="0" w:lineRule="atLeast"/>
              <w:jc w:val="center"/>
              <w:rPr>
                <w:rFonts w:eastAsia="標楷體"/>
                <w:color w:val="000000"/>
              </w:rPr>
            </w:pPr>
            <w:r w:rsidRPr="00131B9D">
              <w:rPr>
                <w:rFonts w:eastAsia="標楷體"/>
                <w:color w:val="000000"/>
              </w:rPr>
              <w:t>元</w:t>
            </w:r>
            <w:r w:rsidRPr="00131B9D">
              <w:rPr>
                <w:rFonts w:eastAsia="標楷體"/>
                <w:color w:val="000000"/>
              </w:rPr>
              <w:t>/</w:t>
            </w:r>
            <w:r w:rsidRPr="00131B9D">
              <w:rPr>
                <w:rFonts w:eastAsia="標楷體"/>
                <w:color w:val="000000"/>
              </w:rPr>
              <w:t>公噸</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-1.51%</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中國大陸經濟，水泥需求</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若禁用低階水泥有助於提升價格</w:t>
            </w:r>
          </w:p>
          <w:p w:rsidR="00BC42BF" w:rsidRPr="00131B9D" w:rsidRDefault="00BC42BF" w:rsidP="00BC42BF">
            <w:pPr>
              <w:spacing w:line="0" w:lineRule="atLeast"/>
              <w:jc w:val="both"/>
              <w:rPr>
                <w:rFonts w:eastAsia="標楷體"/>
              </w:rPr>
            </w:pPr>
            <w:r w:rsidRPr="00131B9D">
              <w:rPr>
                <w:rFonts w:eastAsia="標楷體"/>
                <w:b/>
              </w:rPr>
              <w:t>（漲）</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砂石</w:t>
            </w:r>
          </w:p>
        </w:tc>
        <w:tc>
          <w:tcPr>
            <w:tcW w:w="1342" w:type="dxa"/>
            <w:shd w:val="clear" w:color="auto" w:fill="auto"/>
            <w:vAlign w:val="center"/>
          </w:tcPr>
          <w:p w:rsidR="00BC42BF" w:rsidRPr="00131B9D" w:rsidRDefault="00BC42BF" w:rsidP="00BC42BF">
            <w:pPr>
              <w:widowControl/>
              <w:spacing w:line="0" w:lineRule="atLeast"/>
              <w:jc w:val="center"/>
              <w:rPr>
                <w:rFonts w:eastAsia="標楷體"/>
                <w:color w:val="000000"/>
              </w:rPr>
            </w:pPr>
            <w:r w:rsidRPr="00131B9D">
              <w:rPr>
                <w:rFonts w:eastAsia="標楷體"/>
                <w:color w:val="000000"/>
              </w:rPr>
              <w:t>619.35</w:t>
            </w:r>
          </w:p>
          <w:p w:rsidR="00BC42BF" w:rsidRPr="00131B9D" w:rsidRDefault="00BC42BF" w:rsidP="00BC42BF">
            <w:pPr>
              <w:widowControl/>
              <w:spacing w:line="0" w:lineRule="atLeast"/>
              <w:jc w:val="center"/>
              <w:rPr>
                <w:rFonts w:eastAsia="標楷體"/>
                <w:color w:val="000000"/>
              </w:rPr>
            </w:pPr>
            <w:r w:rsidRPr="00131B9D">
              <w:rPr>
                <w:rFonts w:eastAsia="標楷體"/>
                <w:color w:val="000000"/>
              </w:rPr>
              <w:t>元</w:t>
            </w:r>
            <w:r w:rsidRPr="00131B9D">
              <w:rPr>
                <w:rFonts w:eastAsia="標楷體"/>
                <w:color w:val="000000"/>
              </w:rPr>
              <w:t>/</w:t>
            </w:r>
            <w:r w:rsidRPr="00131B9D">
              <w:rPr>
                <w:rFonts w:eastAsia="標楷體"/>
                <w:color w:val="000000"/>
              </w:rPr>
              <w:t>立方公尺</w:t>
            </w:r>
          </w:p>
        </w:tc>
        <w:tc>
          <w:tcPr>
            <w:tcW w:w="1262" w:type="dxa"/>
            <w:shd w:val="clear" w:color="auto" w:fill="auto"/>
            <w:vAlign w:val="center"/>
          </w:tcPr>
          <w:p w:rsidR="00BC42BF" w:rsidRPr="00131B9D" w:rsidRDefault="00BC42BF" w:rsidP="00BC42BF">
            <w:pPr>
              <w:spacing w:line="0" w:lineRule="atLeast"/>
              <w:jc w:val="center"/>
              <w:rPr>
                <w:rFonts w:eastAsia="標楷體"/>
                <w:color w:val="000000"/>
              </w:rPr>
            </w:pPr>
            <w:r w:rsidRPr="00131B9D">
              <w:rPr>
                <w:rFonts w:eastAsia="標楷體"/>
                <w:color w:val="000000"/>
              </w:rPr>
              <w:t>632.22</w:t>
            </w:r>
          </w:p>
          <w:p w:rsidR="00BC42BF" w:rsidRPr="00131B9D" w:rsidRDefault="00BC42BF" w:rsidP="00BC42BF">
            <w:pPr>
              <w:spacing w:line="0" w:lineRule="atLeast"/>
              <w:jc w:val="center"/>
              <w:rPr>
                <w:rFonts w:eastAsia="標楷體"/>
                <w:color w:val="000000"/>
              </w:rPr>
            </w:pPr>
            <w:r w:rsidRPr="00131B9D">
              <w:rPr>
                <w:rFonts w:eastAsia="標楷體"/>
                <w:color w:val="000000"/>
              </w:rPr>
              <w:t>元</w:t>
            </w:r>
            <w:r w:rsidRPr="00131B9D">
              <w:rPr>
                <w:rFonts w:eastAsia="標楷體"/>
                <w:color w:val="000000"/>
              </w:rPr>
              <w:t>/</w:t>
            </w:r>
            <w:r w:rsidRPr="00131B9D">
              <w:rPr>
                <w:rFonts w:eastAsia="標楷體"/>
                <w:color w:val="000000"/>
              </w:rPr>
              <w:t>立方公尺</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-2.04%</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房地產景氣</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房地產景氣不振</w:t>
            </w:r>
          </w:p>
          <w:p w:rsidR="00BC42BF" w:rsidRPr="00131B9D" w:rsidRDefault="00BC42BF" w:rsidP="00BC42BF">
            <w:pPr>
              <w:spacing w:line="0" w:lineRule="atLeast"/>
              <w:jc w:val="both"/>
              <w:rPr>
                <w:rFonts w:eastAsia="標楷體"/>
              </w:rPr>
            </w:pPr>
            <w:r w:rsidRPr="00131B9D">
              <w:rPr>
                <w:rFonts w:eastAsia="標楷體"/>
                <w:b/>
              </w:rPr>
              <w:t>（跌）</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預拌混凝土</w:t>
            </w:r>
          </w:p>
        </w:tc>
        <w:tc>
          <w:tcPr>
            <w:tcW w:w="1342" w:type="dxa"/>
            <w:shd w:val="clear" w:color="auto" w:fill="auto"/>
            <w:vAlign w:val="center"/>
          </w:tcPr>
          <w:p w:rsidR="00BC42BF" w:rsidRPr="00131B9D" w:rsidRDefault="00BC42BF" w:rsidP="00BC42BF">
            <w:pPr>
              <w:widowControl/>
              <w:spacing w:line="0" w:lineRule="atLeast"/>
              <w:jc w:val="center"/>
              <w:rPr>
                <w:rFonts w:eastAsia="標楷體"/>
                <w:color w:val="000000"/>
              </w:rPr>
            </w:pPr>
            <w:r w:rsidRPr="00131B9D">
              <w:rPr>
                <w:rFonts w:eastAsia="標楷體"/>
                <w:color w:val="000000"/>
              </w:rPr>
              <w:t>1,900</w:t>
            </w:r>
          </w:p>
          <w:p w:rsidR="00BC42BF" w:rsidRPr="00131B9D" w:rsidRDefault="00BC42BF" w:rsidP="00BC42BF">
            <w:pPr>
              <w:widowControl/>
              <w:spacing w:line="0" w:lineRule="atLeast"/>
              <w:jc w:val="center"/>
              <w:rPr>
                <w:rFonts w:eastAsia="標楷體"/>
                <w:color w:val="000000"/>
              </w:rPr>
            </w:pPr>
            <w:r w:rsidRPr="00131B9D">
              <w:rPr>
                <w:rFonts w:eastAsia="標楷體"/>
                <w:color w:val="000000"/>
              </w:rPr>
              <w:t>元</w:t>
            </w:r>
            <w:r w:rsidRPr="00131B9D">
              <w:rPr>
                <w:rFonts w:eastAsia="標楷體"/>
                <w:color w:val="000000"/>
              </w:rPr>
              <w:t>/</w:t>
            </w:r>
            <w:r w:rsidRPr="00131B9D">
              <w:rPr>
                <w:rFonts w:eastAsia="標楷體"/>
                <w:color w:val="000000"/>
              </w:rPr>
              <w:t>立方公尺</w:t>
            </w:r>
          </w:p>
        </w:tc>
        <w:tc>
          <w:tcPr>
            <w:tcW w:w="1262" w:type="dxa"/>
            <w:shd w:val="clear" w:color="auto" w:fill="auto"/>
            <w:vAlign w:val="center"/>
          </w:tcPr>
          <w:p w:rsidR="00BC42BF" w:rsidRPr="00131B9D" w:rsidRDefault="00BC42BF" w:rsidP="00BC42BF">
            <w:pPr>
              <w:spacing w:line="0" w:lineRule="atLeast"/>
              <w:jc w:val="center"/>
              <w:rPr>
                <w:rFonts w:eastAsia="標楷體"/>
                <w:color w:val="000000"/>
              </w:rPr>
            </w:pPr>
            <w:r w:rsidRPr="00131B9D">
              <w:rPr>
                <w:rFonts w:eastAsia="標楷體"/>
                <w:color w:val="000000"/>
              </w:rPr>
              <w:t>1,900</w:t>
            </w:r>
          </w:p>
          <w:p w:rsidR="00BC42BF" w:rsidRPr="00131B9D" w:rsidRDefault="00BC42BF" w:rsidP="00BC42BF">
            <w:pPr>
              <w:spacing w:line="0" w:lineRule="atLeast"/>
              <w:jc w:val="center"/>
              <w:rPr>
                <w:rFonts w:eastAsia="標楷體"/>
                <w:color w:val="000000"/>
              </w:rPr>
            </w:pPr>
            <w:r w:rsidRPr="00131B9D">
              <w:rPr>
                <w:rFonts w:eastAsia="標楷體"/>
                <w:color w:val="000000"/>
              </w:rPr>
              <w:t>元</w:t>
            </w:r>
            <w:r w:rsidRPr="00131B9D">
              <w:rPr>
                <w:rFonts w:eastAsia="標楷體"/>
                <w:color w:val="000000"/>
              </w:rPr>
              <w:t>/</w:t>
            </w:r>
            <w:r w:rsidRPr="00131B9D">
              <w:rPr>
                <w:rFonts w:eastAsia="標楷體"/>
                <w:color w:val="000000"/>
              </w:rPr>
              <w:t>立方公尺</w:t>
            </w:r>
          </w:p>
        </w:tc>
        <w:tc>
          <w:tcPr>
            <w:tcW w:w="1290" w:type="dxa"/>
            <w:shd w:val="clear" w:color="auto" w:fill="auto"/>
            <w:vAlign w:val="center"/>
          </w:tcPr>
          <w:p w:rsidR="00BC42BF" w:rsidRPr="00131B9D" w:rsidRDefault="00BC42BF" w:rsidP="00BC42BF">
            <w:pPr>
              <w:spacing w:line="0" w:lineRule="atLeast"/>
              <w:jc w:val="center"/>
              <w:rPr>
                <w:color w:val="000000"/>
              </w:rPr>
            </w:pPr>
            <w:r w:rsidRPr="00131B9D">
              <w:rPr>
                <w:color w:val="000000"/>
              </w:rPr>
              <w:t>0%</w:t>
            </w:r>
          </w:p>
        </w:tc>
        <w:tc>
          <w:tcPr>
            <w:tcW w:w="1922" w:type="dxa"/>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中國大陸經濟，預拌混凝土需求</w:t>
            </w:r>
          </w:p>
        </w:tc>
        <w:tc>
          <w:tcPr>
            <w:tcW w:w="2243" w:type="dxa"/>
            <w:tcBorders>
              <w:right w:val="single" w:sz="8" w:space="0" w:color="auto"/>
            </w:tcBorders>
            <w:shd w:val="clear" w:color="auto" w:fill="auto"/>
            <w:vAlign w:val="center"/>
          </w:tcPr>
          <w:p w:rsidR="00BC42BF" w:rsidRPr="00131B9D" w:rsidRDefault="00BC42BF" w:rsidP="00BC42BF">
            <w:pPr>
              <w:spacing w:line="0" w:lineRule="atLeast"/>
              <w:jc w:val="both"/>
              <w:rPr>
                <w:rFonts w:eastAsia="標楷體"/>
              </w:rPr>
            </w:pPr>
            <w:r w:rsidRPr="00131B9D">
              <w:rPr>
                <w:rFonts w:eastAsia="標楷體"/>
              </w:rPr>
              <w:t>若禁用低階水泥有助於提升價格</w:t>
            </w:r>
          </w:p>
          <w:p w:rsidR="00BC42BF" w:rsidRPr="00131B9D" w:rsidRDefault="00BC42BF" w:rsidP="00BC42BF">
            <w:pPr>
              <w:spacing w:line="0" w:lineRule="atLeast"/>
              <w:jc w:val="both"/>
              <w:rPr>
                <w:rFonts w:eastAsia="標楷體"/>
              </w:rPr>
            </w:pPr>
            <w:r w:rsidRPr="00131B9D">
              <w:rPr>
                <w:rFonts w:eastAsia="標楷體"/>
                <w:b/>
              </w:rPr>
              <w:t>（漲）</w:t>
            </w:r>
          </w:p>
        </w:tc>
      </w:tr>
      <w:tr w:rsidR="00BC42BF" w:rsidRPr="00131B9D" w:rsidTr="004C5B0A">
        <w:trPr>
          <w:jc w:val="center"/>
        </w:trPr>
        <w:tc>
          <w:tcPr>
            <w:tcW w:w="639" w:type="dxa"/>
            <w:vMerge/>
            <w:tcBorders>
              <w:left w:val="single" w:sz="8" w:space="0" w:color="auto"/>
              <w:right w:val="single" w:sz="4" w:space="0" w:color="auto"/>
            </w:tcBorders>
            <w:shd w:val="clear" w:color="auto" w:fill="auto"/>
          </w:tcPr>
          <w:p w:rsidR="00BC42BF" w:rsidRPr="00131B9D" w:rsidRDefault="00BC42BF" w:rsidP="00BC42BF">
            <w:pPr>
              <w:spacing w:line="0" w:lineRule="atLeast"/>
              <w:rPr>
                <w:rFonts w:eastAsia="標楷體"/>
              </w:rPr>
            </w:pPr>
          </w:p>
        </w:tc>
        <w:tc>
          <w:tcPr>
            <w:tcW w:w="1450" w:type="dxa"/>
            <w:tcBorders>
              <w:left w:val="single" w:sz="4" w:space="0" w:color="auto"/>
              <w:bottom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ICO</w:t>
            </w:r>
            <w:r w:rsidRPr="00131B9D">
              <w:rPr>
                <w:rFonts w:eastAsia="標楷體"/>
              </w:rPr>
              <w:t>咖啡</w:t>
            </w:r>
          </w:p>
        </w:tc>
        <w:tc>
          <w:tcPr>
            <w:tcW w:w="1342" w:type="dxa"/>
            <w:tcBorders>
              <w:bottom w:val="single" w:sz="4" w:space="0" w:color="auto"/>
            </w:tcBorders>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125.97</w:t>
            </w:r>
          </w:p>
          <w:p w:rsidR="00BC42BF" w:rsidRPr="00131B9D" w:rsidRDefault="00BC42BF" w:rsidP="00BC42BF">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62" w:type="dxa"/>
            <w:tcBorders>
              <w:bottom w:val="single" w:sz="4" w:space="0" w:color="auto"/>
            </w:tcBorders>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154.81</w:t>
            </w:r>
          </w:p>
          <w:p w:rsidR="00BC42BF" w:rsidRPr="00131B9D" w:rsidRDefault="00BC42BF" w:rsidP="00BC42BF">
            <w:pPr>
              <w:spacing w:line="0" w:lineRule="atLeast"/>
              <w:jc w:val="center"/>
              <w:rPr>
                <w:rFonts w:eastAsia="標楷體"/>
              </w:rPr>
            </w:pPr>
            <w:r w:rsidRPr="00131B9D">
              <w:rPr>
                <w:rFonts w:eastAsia="標楷體"/>
              </w:rPr>
              <w:t>美元</w:t>
            </w:r>
            <w:r w:rsidRPr="00131B9D">
              <w:rPr>
                <w:rFonts w:eastAsia="標楷體"/>
              </w:rPr>
              <w:t>/</w:t>
            </w:r>
            <w:r w:rsidRPr="00131B9D">
              <w:rPr>
                <w:rFonts w:eastAsia="標楷體"/>
              </w:rPr>
              <w:t>公噸</w:t>
            </w:r>
          </w:p>
        </w:tc>
        <w:tc>
          <w:tcPr>
            <w:tcW w:w="1290" w:type="dxa"/>
            <w:tcBorders>
              <w:bottom w:val="single" w:sz="4" w:space="0" w:color="auto"/>
            </w:tcBorders>
            <w:shd w:val="clear" w:color="auto" w:fill="auto"/>
            <w:vAlign w:val="center"/>
          </w:tcPr>
          <w:p w:rsidR="00BC42BF" w:rsidRPr="00131B9D" w:rsidRDefault="00BC42BF" w:rsidP="00BC42BF">
            <w:pPr>
              <w:spacing w:line="0" w:lineRule="atLeast"/>
              <w:jc w:val="center"/>
              <w:rPr>
                <w:rFonts w:eastAsia="標楷體"/>
              </w:rPr>
            </w:pPr>
            <w:r w:rsidRPr="00131B9D">
              <w:rPr>
                <w:rFonts w:eastAsia="標楷體"/>
              </w:rPr>
              <w:t>-18.63%</w:t>
            </w:r>
          </w:p>
        </w:tc>
        <w:tc>
          <w:tcPr>
            <w:tcW w:w="1922" w:type="dxa"/>
            <w:tcBorders>
              <w:bottom w:val="single" w:sz="4"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咖啡產量、消費需求、產區貨幣貶值</w:t>
            </w:r>
          </w:p>
        </w:tc>
        <w:tc>
          <w:tcPr>
            <w:tcW w:w="2243" w:type="dxa"/>
            <w:tcBorders>
              <w:bottom w:val="single" w:sz="4" w:space="0" w:color="auto"/>
              <w:right w:val="single" w:sz="8" w:space="0" w:color="auto"/>
            </w:tcBorders>
            <w:shd w:val="clear" w:color="auto" w:fill="auto"/>
            <w:vAlign w:val="center"/>
          </w:tcPr>
          <w:p w:rsidR="00BC42BF" w:rsidRPr="00131B9D" w:rsidRDefault="00BC42BF" w:rsidP="00BC42BF">
            <w:pPr>
              <w:spacing w:line="0" w:lineRule="atLeast"/>
              <w:rPr>
                <w:rFonts w:eastAsia="標楷體"/>
              </w:rPr>
            </w:pPr>
            <w:r w:rsidRPr="00131B9D">
              <w:rPr>
                <w:rFonts w:eastAsia="標楷體"/>
              </w:rPr>
              <w:t>庫存減少、聖嬰現象</w:t>
            </w:r>
            <w:r w:rsidRPr="00131B9D">
              <w:rPr>
                <w:rFonts w:eastAsia="標楷體"/>
              </w:rPr>
              <w:t>/</w:t>
            </w:r>
            <w:r w:rsidRPr="00131B9D">
              <w:rPr>
                <w:rFonts w:eastAsia="標楷體"/>
              </w:rPr>
              <w:t>產區氣候不利、供應短缺</w:t>
            </w:r>
          </w:p>
          <w:p w:rsidR="00BC42BF" w:rsidRPr="00131B9D" w:rsidRDefault="00BC42BF" w:rsidP="00BC42BF">
            <w:pPr>
              <w:spacing w:line="0" w:lineRule="atLeast"/>
              <w:rPr>
                <w:rFonts w:eastAsia="標楷體"/>
                <w:b/>
              </w:rPr>
            </w:pPr>
            <w:r w:rsidRPr="00131B9D">
              <w:rPr>
                <w:rFonts w:eastAsia="標楷體"/>
                <w:b/>
              </w:rPr>
              <w:t>（漲）</w:t>
            </w:r>
          </w:p>
        </w:tc>
      </w:tr>
    </w:tbl>
    <w:p w:rsidR="004C5B0A" w:rsidRPr="00131B9D" w:rsidRDefault="004C5B0A" w:rsidP="004C5B0A">
      <w:pPr>
        <w:snapToGrid w:val="0"/>
        <w:spacing w:before="72" w:after="72"/>
        <w:ind w:leftChars="-354" w:hangingChars="354" w:hanging="850"/>
      </w:pPr>
      <w:r w:rsidRPr="00131B9D">
        <w:rPr>
          <w:rFonts w:eastAsia="標楷體"/>
        </w:rPr>
        <w:t>資料來源：情報贏家，</w:t>
      </w:r>
      <w:r w:rsidRPr="00131B9D">
        <w:rPr>
          <w:rFonts w:eastAsia="標楷體"/>
        </w:rPr>
        <w:t>2015</w:t>
      </w:r>
      <w:r w:rsidRPr="00131B9D">
        <w:rPr>
          <w:rFonts w:eastAsia="標楷體"/>
        </w:rPr>
        <w:t>年</w:t>
      </w:r>
      <w:r w:rsidRPr="00131B9D">
        <w:rPr>
          <w:rFonts w:eastAsia="標楷體"/>
        </w:rPr>
        <w:t>11</w:t>
      </w:r>
      <w:r w:rsidRPr="00131B9D">
        <w:rPr>
          <w:rFonts w:eastAsia="標楷體"/>
        </w:rPr>
        <w:t>月。</w:t>
      </w:r>
    </w:p>
    <w:p w:rsidR="004C5B0A" w:rsidRPr="00131B9D" w:rsidRDefault="004C5B0A" w:rsidP="004C5B0A">
      <w:pPr>
        <w:snapToGrid w:val="0"/>
        <w:ind w:leftChars="-354" w:hangingChars="354" w:hanging="850"/>
        <w:rPr>
          <w:rFonts w:eastAsia="標楷體"/>
        </w:rPr>
      </w:pPr>
      <w:r w:rsidRPr="00131B9D">
        <w:rPr>
          <w:rFonts w:eastAsia="標楷體"/>
        </w:rPr>
        <w:t>註：</w:t>
      </w:r>
      <w:r w:rsidRPr="00131B9D">
        <w:rPr>
          <w:rFonts w:eastAsia="標楷體"/>
        </w:rPr>
        <w:t>11</w:t>
      </w:r>
      <w:r w:rsidRPr="00131B9D">
        <w:rPr>
          <w:rFonts w:eastAsia="標楷體"/>
        </w:rPr>
        <w:t>月份價格截至</w:t>
      </w:r>
      <w:r w:rsidRPr="00131B9D">
        <w:rPr>
          <w:rFonts w:eastAsia="標楷體"/>
        </w:rPr>
        <w:t>11</w:t>
      </w:r>
      <w:r w:rsidRPr="00131B9D">
        <w:rPr>
          <w:rFonts w:eastAsia="標楷體"/>
        </w:rPr>
        <w:t>月</w:t>
      </w:r>
      <w:r w:rsidRPr="00131B9D">
        <w:rPr>
          <w:rFonts w:eastAsia="標楷體"/>
        </w:rPr>
        <w:t>20</w:t>
      </w:r>
      <w:r w:rsidRPr="00131B9D">
        <w:rPr>
          <w:rFonts w:eastAsia="標楷體"/>
        </w:rPr>
        <w:t>日止。</w:t>
      </w:r>
    </w:p>
    <w:p w:rsidR="004C5B0A" w:rsidRPr="00131B9D" w:rsidRDefault="004C5B0A" w:rsidP="004C5B0A">
      <w:pPr>
        <w:sectPr w:rsidR="004C5B0A" w:rsidRPr="00131B9D" w:rsidSect="00097B8D">
          <w:pgSz w:w="11906" w:h="16838"/>
          <w:pgMar w:top="1440" w:right="1800" w:bottom="1440" w:left="1800" w:header="851" w:footer="992" w:gutter="0"/>
          <w:cols w:space="425"/>
          <w:docGrid w:type="lines" w:linePitch="360"/>
        </w:sectPr>
      </w:pPr>
    </w:p>
    <w:p w:rsidR="00626D27" w:rsidRPr="00131B9D" w:rsidRDefault="00626D27" w:rsidP="00626D27">
      <w:pPr>
        <w:pStyle w:val="2"/>
        <w:spacing w:before="108" w:after="108"/>
        <w:rPr>
          <w:rFonts w:ascii="Times New Roman" w:hAnsi="Times New Roman"/>
        </w:rPr>
      </w:pPr>
      <w:bookmarkStart w:id="54" w:name="_Toc439162952"/>
      <w:r w:rsidRPr="00131B9D">
        <w:rPr>
          <w:rFonts w:ascii="Times New Roman" w:hAnsi="Times New Roman"/>
        </w:rPr>
        <w:lastRenderedPageBreak/>
        <w:t>二、大宗物資</w:t>
      </w:r>
      <w:bookmarkEnd w:id="47"/>
      <w:bookmarkEnd w:id="48"/>
      <w:bookmarkEnd w:id="49"/>
      <w:bookmarkEnd w:id="54"/>
    </w:p>
    <w:p w:rsidR="00127C79" w:rsidRPr="00131B9D" w:rsidRDefault="00127C79" w:rsidP="00127C79">
      <w:pPr>
        <w:pStyle w:val="-"/>
        <w:spacing w:before="72" w:after="72"/>
        <w:ind w:firstLine="560"/>
        <w:rPr>
          <w:color w:val="000000"/>
        </w:rPr>
      </w:pPr>
      <w:r w:rsidRPr="00131B9D">
        <w:rPr>
          <w:color w:val="000000"/>
        </w:rPr>
        <w:t>2015</w:t>
      </w:r>
      <w:r w:rsidRPr="00131B9D">
        <w:rPr>
          <w:color w:val="000000"/>
        </w:rPr>
        <w:t>年上半年，聯合國糧農組織（</w:t>
      </w:r>
      <w:r w:rsidRPr="00131B9D">
        <w:rPr>
          <w:color w:val="000000"/>
        </w:rPr>
        <w:t>F</w:t>
      </w:r>
      <w:r w:rsidRPr="00131B9D">
        <w:t>AO</w:t>
      </w:r>
      <w:r w:rsidRPr="00131B9D">
        <w:t>）在</w:t>
      </w:r>
      <w:r w:rsidRPr="00131B9D">
        <w:t>2015</w:t>
      </w:r>
      <w:r w:rsidRPr="00131B9D">
        <w:t>年</w:t>
      </w:r>
      <w:r w:rsidRPr="00131B9D">
        <w:t>4</w:t>
      </w:r>
      <w:r w:rsidRPr="00131B9D">
        <w:t>月所發布的食品價格指數（</w:t>
      </w:r>
      <w:r w:rsidRPr="00131B9D">
        <w:t>FAO Food Price Index</w:t>
      </w:r>
      <w:r w:rsidRPr="00131B9D">
        <w:t>，</w:t>
      </w:r>
      <w:r w:rsidRPr="00131B9D">
        <w:t>FFPI</w:t>
      </w:r>
      <w:r w:rsidRPr="00131B9D">
        <w:t>，衡量一籃子食品類商品國際價格月變化的尺度）表示，</w:t>
      </w:r>
      <w:r w:rsidRPr="00131B9D">
        <w:t>2015</w:t>
      </w:r>
      <w:r w:rsidRPr="00131B9D">
        <w:t>年</w:t>
      </w:r>
      <w:r w:rsidRPr="00131B9D">
        <w:t>3</w:t>
      </w:r>
      <w:r w:rsidRPr="00131B9D">
        <w:t>月的平均為</w:t>
      </w:r>
      <w:r w:rsidRPr="00131B9D">
        <w:t>173.8</w:t>
      </w:r>
      <w:r w:rsidRPr="00131B9D">
        <w:t>點，比</w:t>
      </w:r>
      <w:r w:rsidRPr="00131B9D">
        <w:t>2014</w:t>
      </w:r>
      <w:r w:rsidRPr="00131B9D">
        <w:t>年同期水準下降</w:t>
      </w:r>
      <w:r w:rsidRPr="00131B9D">
        <w:t>40</w:t>
      </w:r>
      <w:r w:rsidRPr="00131B9D">
        <w:t>點（</w:t>
      </w:r>
      <w:r w:rsidRPr="00131B9D">
        <w:t>18.7%</w:t>
      </w:r>
      <w:r w:rsidRPr="00131B9D">
        <w:t>）。乳品價格因紐西蘭乾旱導致乳品產量下降，澳洲出口供給亦受到限制，且歐盟</w:t>
      </w:r>
      <w:r w:rsidRPr="00131B9D">
        <w:t>2014</w:t>
      </w:r>
      <w:r w:rsidRPr="00131B9D">
        <w:t>年</w:t>
      </w:r>
      <w:r w:rsidRPr="00131B9D">
        <w:t>4</w:t>
      </w:r>
      <w:r w:rsidRPr="00131B9D">
        <w:t>月至</w:t>
      </w:r>
      <w:r w:rsidRPr="00131B9D">
        <w:t>2015</w:t>
      </w:r>
      <w:r w:rsidRPr="00131B9D">
        <w:t>年</w:t>
      </w:r>
      <w:r w:rsidRPr="00131B9D">
        <w:t>3</w:t>
      </w:r>
      <w:r w:rsidRPr="00131B9D">
        <w:t>月配額年度即將結束，為避免超出配額的產量被</w:t>
      </w:r>
      <w:r w:rsidRPr="00131B9D">
        <w:rPr>
          <w:color w:val="000000"/>
        </w:rPr>
        <w:t>課稅，導致奶產量總體受到限制。在需求未大幅改變的情況之下，供給減少，造成乳品價格大幅提升，而蔬菜油、穀物、肉類則是下跌，特別是糖價格大幅走跌，以至</w:t>
      </w:r>
      <w:r w:rsidRPr="00131B9D">
        <w:rPr>
          <w:color w:val="000000"/>
        </w:rPr>
        <w:t>FFPI</w:t>
      </w:r>
      <w:r w:rsidRPr="00131B9D">
        <w:rPr>
          <w:color w:val="000000"/>
        </w:rPr>
        <w:t>持續下滑（如圖</w:t>
      </w:r>
      <w:r w:rsidRPr="00131B9D">
        <w:rPr>
          <w:color w:val="000000"/>
        </w:rPr>
        <w:t>3-1</w:t>
      </w:r>
      <w:r w:rsidRPr="00131B9D">
        <w:rPr>
          <w:color w:val="000000"/>
        </w:rPr>
        <w:t>）。另外，小麥、粗糧和稻米的價格下跌，其中，小麥因為</w:t>
      </w:r>
      <w:r w:rsidRPr="00131B9D">
        <w:rPr>
          <w:color w:val="000000"/>
        </w:rPr>
        <w:t>2015</w:t>
      </w:r>
      <w:r w:rsidRPr="00131B9D">
        <w:rPr>
          <w:color w:val="000000"/>
        </w:rPr>
        <w:t>年收成前景看好，加上世界庫存量非常充足，以至其跌幅最大。而糖的價格由於全世界第一大生產及出口國巴西，其主要產區降雨使得收成前景樂觀，此外巴西貨幣對美元的匯率持續走弱以及印度宣佈對糖進行出口補貼，在這些因素多重影響之下，糖的價格下滑。</w:t>
      </w:r>
    </w:p>
    <w:p w:rsidR="00127C79" w:rsidRPr="00131B9D" w:rsidRDefault="00821D0B" w:rsidP="00127C79">
      <w:pPr>
        <w:pStyle w:val="-"/>
        <w:spacing w:before="72" w:after="72"/>
        <w:ind w:firstLine="560"/>
        <w:rPr>
          <w:color w:val="000000"/>
        </w:rPr>
      </w:pPr>
      <w:bookmarkStart w:id="55" w:name="OLE_LINK4"/>
      <w:bookmarkStart w:id="56" w:name="OLE_LINK5"/>
      <w:r w:rsidRPr="00131B9D">
        <w:rPr>
          <w:color w:val="000000"/>
        </w:rPr>
        <w:t>到了</w:t>
      </w:r>
      <w:r w:rsidRPr="00131B9D">
        <w:rPr>
          <w:color w:val="000000"/>
        </w:rPr>
        <w:t>2015</w:t>
      </w:r>
      <w:r w:rsidRPr="00131B9D">
        <w:rPr>
          <w:color w:val="000000"/>
        </w:rPr>
        <w:t>年年中，</w:t>
      </w:r>
      <w:r w:rsidR="00127C79" w:rsidRPr="00131B9D">
        <w:rPr>
          <w:color w:val="000000"/>
        </w:rPr>
        <w:t>FAO</w:t>
      </w:r>
      <w:r w:rsidR="00C665AA" w:rsidRPr="00131B9D">
        <w:rPr>
          <w:color w:val="000000"/>
        </w:rPr>
        <w:t xml:space="preserve"> </w:t>
      </w:r>
      <w:r w:rsidR="00127C79" w:rsidRPr="00131B9D">
        <w:rPr>
          <w:color w:val="000000"/>
        </w:rPr>
        <w:t>6</w:t>
      </w:r>
      <w:r w:rsidR="00127C79" w:rsidRPr="00131B9D">
        <w:rPr>
          <w:color w:val="000000"/>
        </w:rPr>
        <w:t>月發布的食品價格指數表示</w:t>
      </w:r>
      <w:bookmarkEnd w:id="55"/>
      <w:bookmarkEnd w:id="56"/>
      <w:r w:rsidR="00127C79" w:rsidRPr="00131B9D">
        <w:rPr>
          <w:color w:val="000000"/>
        </w:rPr>
        <w:t>，</w:t>
      </w:r>
      <w:r w:rsidR="00127C79" w:rsidRPr="00131B9D">
        <w:rPr>
          <w:color w:val="000000"/>
        </w:rPr>
        <w:t>2015</w:t>
      </w:r>
      <w:r w:rsidR="00127C79" w:rsidRPr="00131B9D">
        <w:rPr>
          <w:color w:val="000000"/>
        </w:rPr>
        <w:t>年</w:t>
      </w:r>
      <w:r w:rsidR="00127C79" w:rsidRPr="00131B9D">
        <w:rPr>
          <w:color w:val="000000"/>
        </w:rPr>
        <w:t>5</w:t>
      </w:r>
      <w:r w:rsidR="00127C79" w:rsidRPr="00131B9D">
        <w:rPr>
          <w:color w:val="000000"/>
        </w:rPr>
        <w:t>月的平均為</w:t>
      </w:r>
      <w:r w:rsidR="00127C79" w:rsidRPr="00131B9D">
        <w:rPr>
          <w:color w:val="000000"/>
        </w:rPr>
        <w:t>166.8</w:t>
      </w:r>
      <w:r w:rsidR="00127C79" w:rsidRPr="00131B9D">
        <w:rPr>
          <w:color w:val="000000"/>
        </w:rPr>
        <w:t>點，為</w:t>
      </w:r>
      <w:r w:rsidR="00127C79" w:rsidRPr="00131B9D">
        <w:rPr>
          <w:color w:val="000000"/>
        </w:rPr>
        <w:t>2009</w:t>
      </w:r>
      <w:r w:rsidR="00127C79" w:rsidRPr="00131B9D">
        <w:rPr>
          <w:color w:val="000000"/>
        </w:rPr>
        <w:t>年</w:t>
      </w:r>
      <w:r w:rsidR="00127C79" w:rsidRPr="00131B9D">
        <w:rPr>
          <w:color w:val="000000"/>
        </w:rPr>
        <w:t>9</w:t>
      </w:r>
      <w:r w:rsidR="00127C79" w:rsidRPr="00131B9D">
        <w:rPr>
          <w:color w:val="000000"/>
        </w:rPr>
        <w:t>月以來的最低點。比起</w:t>
      </w:r>
      <w:r w:rsidR="00127C79" w:rsidRPr="00131B9D">
        <w:rPr>
          <w:color w:val="000000"/>
        </w:rPr>
        <w:t>3</w:t>
      </w:r>
      <w:r w:rsidR="00127C79" w:rsidRPr="00131B9D">
        <w:rPr>
          <w:color w:val="000000"/>
        </w:rPr>
        <w:t>月份下降</w:t>
      </w:r>
      <w:r w:rsidR="00127C79" w:rsidRPr="00131B9D">
        <w:rPr>
          <w:color w:val="000000"/>
        </w:rPr>
        <w:t>7</w:t>
      </w:r>
      <w:r w:rsidR="00127C79" w:rsidRPr="00131B9D">
        <w:rPr>
          <w:color w:val="000000"/>
        </w:rPr>
        <w:t>點（跌幅</w:t>
      </w:r>
      <w:r w:rsidR="00127C79" w:rsidRPr="00131B9D">
        <w:rPr>
          <w:color w:val="000000"/>
        </w:rPr>
        <w:t>4%</w:t>
      </w:r>
      <w:r w:rsidR="00127C79" w:rsidRPr="00131B9D">
        <w:rPr>
          <w:color w:val="000000"/>
        </w:rPr>
        <w:t>），而比起</w:t>
      </w:r>
      <w:r w:rsidR="00127C79" w:rsidRPr="00131B9D">
        <w:rPr>
          <w:color w:val="000000"/>
        </w:rPr>
        <w:t>2014</w:t>
      </w:r>
      <w:r w:rsidR="00127C79" w:rsidRPr="00131B9D">
        <w:rPr>
          <w:color w:val="000000"/>
        </w:rPr>
        <w:t>年同期水準下跌高達</w:t>
      </w:r>
      <w:r w:rsidR="00127C79" w:rsidRPr="00131B9D">
        <w:rPr>
          <w:color w:val="000000"/>
        </w:rPr>
        <w:t>43.6</w:t>
      </w:r>
      <w:r w:rsidR="00127C79" w:rsidRPr="00131B9D">
        <w:rPr>
          <w:color w:val="000000"/>
        </w:rPr>
        <w:t>點（</w:t>
      </w:r>
      <w:r w:rsidR="00127C79" w:rsidRPr="00131B9D">
        <w:rPr>
          <w:color w:val="000000"/>
        </w:rPr>
        <w:t>20.7%</w:t>
      </w:r>
      <w:r w:rsidR="00127C79" w:rsidRPr="00131B9D">
        <w:rPr>
          <w:color w:val="000000"/>
        </w:rPr>
        <w:t>）。穀物和乳製品是</w:t>
      </w:r>
      <w:r w:rsidR="00127C79" w:rsidRPr="00131B9D">
        <w:rPr>
          <w:color w:val="000000"/>
        </w:rPr>
        <w:t>5</w:t>
      </w:r>
      <w:r w:rsidR="00127C79" w:rsidRPr="00131B9D">
        <w:rPr>
          <w:color w:val="000000"/>
        </w:rPr>
        <w:t>月食品價格指數下滑的主要影響因素，但肉類產品價格也呈下跌態勢。</w:t>
      </w:r>
      <w:r w:rsidR="00127C79" w:rsidRPr="00131B9D">
        <w:rPr>
          <w:color w:val="000000"/>
        </w:rPr>
        <w:t>5</w:t>
      </w:r>
      <w:r w:rsidR="00127C79" w:rsidRPr="00131B9D">
        <w:rPr>
          <w:color w:val="000000"/>
        </w:rPr>
        <w:t>月穀物價格指數為自</w:t>
      </w:r>
      <w:r w:rsidR="00127C79" w:rsidRPr="00131B9D">
        <w:rPr>
          <w:color w:val="000000"/>
        </w:rPr>
        <w:t>2010</w:t>
      </w:r>
      <w:r w:rsidR="00127C79" w:rsidRPr="00131B9D">
        <w:rPr>
          <w:color w:val="000000"/>
        </w:rPr>
        <w:t>年</w:t>
      </w:r>
      <w:r w:rsidR="00127C79" w:rsidRPr="00131B9D">
        <w:rPr>
          <w:color w:val="000000"/>
        </w:rPr>
        <w:t>7</w:t>
      </w:r>
      <w:r w:rsidR="00127C79" w:rsidRPr="00131B9D">
        <w:rPr>
          <w:color w:val="000000"/>
        </w:rPr>
        <w:t>月以來的最低點，比</w:t>
      </w:r>
      <w:r w:rsidR="00127C79" w:rsidRPr="00131B9D">
        <w:rPr>
          <w:color w:val="000000"/>
        </w:rPr>
        <w:t>2014</w:t>
      </w:r>
      <w:r w:rsidR="00127C79" w:rsidRPr="00131B9D">
        <w:rPr>
          <w:color w:val="000000"/>
        </w:rPr>
        <w:t>年同期跌幅為</w:t>
      </w:r>
      <w:r w:rsidR="00127C79" w:rsidRPr="00131B9D">
        <w:rPr>
          <w:color w:val="000000"/>
        </w:rPr>
        <w:t>22.4%</w:t>
      </w:r>
      <w:r w:rsidR="00127C79" w:rsidRPr="00131B9D">
        <w:rPr>
          <w:color w:val="000000"/>
        </w:rPr>
        <w:t>，因繼續保持庫存量充足以及有利的作物生產前景狀態，故對國際價格形成下跌壓力。另外，貿易前景暗淡，很多進口國將延遲購買計畫，也刺激價格普遍下滑。乳品在國際市場上呈現較低的價格，因紐西蘭尚有大量未出售庫存；歐洲出口供應量不斷增加；以及北半球產量亦達到季節性峰值，較低的價格雖激發中東和北非的購買興趣，但</w:t>
      </w:r>
      <w:r w:rsidR="00127C79" w:rsidRPr="00131B9D">
        <w:rPr>
          <w:color w:val="000000"/>
        </w:rPr>
        <w:t>2015</w:t>
      </w:r>
      <w:r w:rsidR="00127C79" w:rsidRPr="00131B9D">
        <w:rPr>
          <w:color w:val="000000"/>
        </w:rPr>
        <w:t>年中國大陸奶粉購買數量的不確定性仍影響著市場走勢。</w:t>
      </w:r>
      <w:r w:rsidR="00127C79" w:rsidRPr="00131B9D">
        <w:rPr>
          <w:color w:val="000000"/>
        </w:rPr>
        <w:t>5</w:t>
      </w:r>
      <w:r w:rsidR="00127C79" w:rsidRPr="00131B9D">
        <w:rPr>
          <w:color w:val="000000"/>
        </w:rPr>
        <w:t>月糖價格指數略微上揚是自</w:t>
      </w:r>
      <w:r w:rsidR="00127C79" w:rsidRPr="00131B9D">
        <w:rPr>
          <w:color w:val="000000"/>
        </w:rPr>
        <w:t>2014</w:t>
      </w:r>
      <w:r w:rsidR="00127C79" w:rsidRPr="00131B9D">
        <w:rPr>
          <w:color w:val="000000"/>
        </w:rPr>
        <w:t>年</w:t>
      </w:r>
      <w:r w:rsidR="00127C79" w:rsidRPr="00131B9D">
        <w:rPr>
          <w:color w:val="000000"/>
        </w:rPr>
        <w:t>10</w:t>
      </w:r>
      <w:r w:rsidR="00127C79" w:rsidRPr="00131B9D">
        <w:rPr>
          <w:color w:val="000000"/>
        </w:rPr>
        <w:t>月份以來的首度跌深反彈，主因巴西中、南部榨季啟動緩慢。但糖價</w:t>
      </w:r>
      <w:r w:rsidR="00127C79" w:rsidRPr="00131B9D">
        <w:rPr>
          <w:color w:val="000000"/>
        </w:rPr>
        <w:lastRenderedPageBreak/>
        <w:t>仍受到龐大供給量及</w:t>
      </w:r>
      <w:r w:rsidR="00127C79" w:rsidRPr="00131B9D">
        <w:rPr>
          <w:color w:val="000000"/>
        </w:rPr>
        <w:t>2014/15</w:t>
      </w:r>
      <w:r w:rsidR="00127C79" w:rsidRPr="00131B9D">
        <w:rPr>
          <w:color w:val="000000"/>
        </w:rPr>
        <w:t>年度庫存持續增加的壓力，</w:t>
      </w:r>
      <w:r w:rsidR="00127C79" w:rsidRPr="00131B9D">
        <w:rPr>
          <w:color w:val="000000"/>
        </w:rPr>
        <w:t>5</w:t>
      </w:r>
      <w:r w:rsidR="00127C79" w:rsidRPr="00131B9D">
        <w:rPr>
          <w:color w:val="000000"/>
        </w:rPr>
        <w:t>月後呈現波動狀況</w:t>
      </w:r>
    </w:p>
    <w:p w:rsidR="00127C79" w:rsidRPr="00131B9D" w:rsidRDefault="00127C79" w:rsidP="00127C79">
      <w:pPr>
        <w:pStyle w:val="-"/>
        <w:spacing w:before="72" w:after="72"/>
        <w:ind w:firstLine="560"/>
        <w:rPr>
          <w:color w:val="000000"/>
        </w:rPr>
      </w:pPr>
      <w:r w:rsidRPr="00131B9D">
        <w:rPr>
          <w:color w:val="000000"/>
        </w:rPr>
        <w:t>而到了</w:t>
      </w:r>
      <w:r w:rsidRPr="00131B9D">
        <w:rPr>
          <w:color w:val="000000"/>
        </w:rPr>
        <w:t>2015</w:t>
      </w:r>
      <w:r w:rsidRPr="00131B9D">
        <w:rPr>
          <w:color w:val="000000"/>
        </w:rPr>
        <w:t>年下半年，</w:t>
      </w:r>
      <w:r w:rsidRPr="00131B9D">
        <w:rPr>
          <w:color w:val="000000"/>
        </w:rPr>
        <w:t>11</w:t>
      </w:r>
      <w:r w:rsidRPr="00131B9D">
        <w:rPr>
          <w:color w:val="000000"/>
        </w:rPr>
        <w:t>月</w:t>
      </w:r>
      <w:r w:rsidRPr="00131B9D">
        <w:rPr>
          <w:color w:val="000000"/>
        </w:rPr>
        <w:t>5</w:t>
      </w:r>
      <w:r w:rsidRPr="00131B9D">
        <w:rPr>
          <w:color w:val="000000"/>
        </w:rPr>
        <w:t>日</w:t>
      </w:r>
      <w:r w:rsidRPr="00131B9D">
        <w:rPr>
          <w:color w:val="000000"/>
        </w:rPr>
        <w:t>FAO</w:t>
      </w:r>
      <w:r w:rsidRPr="00131B9D">
        <w:rPr>
          <w:color w:val="000000"/>
        </w:rPr>
        <w:t>發布的食品價格指數顯示，</w:t>
      </w:r>
      <w:r w:rsidRPr="00131B9D">
        <w:rPr>
          <w:color w:val="000000"/>
        </w:rPr>
        <w:t>2015</w:t>
      </w:r>
      <w:r w:rsidRPr="00131B9D">
        <w:rPr>
          <w:color w:val="000000"/>
        </w:rPr>
        <w:t>年</w:t>
      </w:r>
      <w:r w:rsidRPr="00131B9D">
        <w:rPr>
          <w:color w:val="000000"/>
        </w:rPr>
        <w:t>10</w:t>
      </w:r>
      <w:r w:rsidRPr="00131B9D">
        <w:rPr>
          <w:color w:val="000000"/>
        </w:rPr>
        <w:t>月平均為</w:t>
      </w:r>
      <w:r w:rsidRPr="00131B9D">
        <w:rPr>
          <w:color w:val="000000"/>
        </w:rPr>
        <w:t>162</w:t>
      </w:r>
      <w:r w:rsidRPr="00131B9D">
        <w:rPr>
          <w:color w:val="000000"/>
        </w:rPr>
        <w:t>點，呈現跌深後的回升格局，比</w:t>
      </w:r>
      <w:r w:rsidRPr="00131B9D">
        <w:rPr>
          <w:color w:val="000000"/>
        </w:rPr>
        <w:t>9</w:t>
      </w:r>
      <w:r w:rsidRPr="00131B9D">
        <w:rPr>
          <w:color w:val="000000"/>
        </w:rPr>
        <w:t>月上漲多達</w:t>
      </w:r>
      <w:r w:rsidRPr="00131B9D">
        <w:rPr>
          <w:color w:val="000000"/>
        </w:rPr>
        <w:t>6</w:t>
      </w:r>
      <w:r w:rsidRPr="00131B9D">
        <w:rPr>
          <w:color w:val="000000"/>
        </w:rPr>
        <w:t>點（</w:t>
      </w:r>
      <w:r w:rsidRPr="00131B9D">
        <w:rPr>
          <w:color w:val="000000"/>
        </w:rPr>
        <w:t>3.9%</w:t>
      </w:r>
      <w:r w:rsidRPr="00131B9D">
        <w:rPr>
          <w:color w:val="000000"/>
        </w:rPr>
        <w:t>），為</w:t>
      </w:r>
      <w:r w:rsidRPr="00131B9D">
        <w:rPr>
          <w:color w:val="000000"/>
        </w:rPr>
        <w:t>2012</w:t>
      </w:r>
      <w:r w:rsidRPr="00131B9D">
        <w:rPr>
          <w:color w:val="000000"/>
        </w:rPr>
        <w:t>年</w:t>
      </w:r>
      <w:r w:rsidRPr="00131B9D">
        <w:rPr>
          <w:color w:val="000000"/>
        </w:rPr>
        <w:t>7</w:t>
      </w:r>
      <w:r w:rsidRPr="00131B9D">
        <w:rPr>
          <w:color w:val="000000"/>
        </w:rPr>
        <w:t>月以來最大漲幅，但仍比</w:t>
      </w:r>
      <w:r w:rsidRPr="00131B9D">
        <w:rPr>
          <w:color w:val="000000"/>
        </w:rPr>
        <w:t>2014</w:t>
      </w:r>
      <w:r w:rsidRPr="00131B9D">
        <w:rPr>
          <w:color w:val="000000"/>
        </w:rPr>
        <w:t>年同期低</w:t>
      </w:r>
      <w:r w:rsidRPr="00131B9D">
        <w:rPr>
          <w:color w:val="000000"/>
        </w:rPr>
        <w:t>16%</w:t>
      </w:r>
      <w:r w:rsidRPr="00131B9D">
        <w:rPr>
          <w:color w:val="000000"/>
        </w:rPr>
        <w:t>。</w:t>
      </w:r>
      <w:r w:rsidRPr="00131B9D">
        <w:rPr>
          <w:color w:val="000000"/>
        </w:rPr>
        <w:t>10</w:t>
      </w:r>
      <w:r w:rsidRPr="00131B9D">
        <w:rPr>
          <w:color w:val="000000"/>
        </w:rPr>
        <w:t>月指數飆升主要是糖、植物油和乳製品報價上漲所致，而穀物價格則小幅走高，肉類價格維持穩定。其中糖價格指數大幅增長主要為天氣因素，巴西是全球食糖主要生產國，該國中南部產區遭遇過多降水，對甘蔗收割造成不利影響；同時印度、泰國、菲律賓、南非和越南報告作物因旱情而受損，從而對國際糖價形成支撐。至於乳製品價格，因對當前</w:t>
      </w:r>
      <w:r w:rsidRPr="00131B9D">
        <w:rPr>
          <w:color w:val="000000"/>
        </w:rPr>
        <w:t>2015</w:t>
      </w:r>
      <w:r w:rsidRPr="00131B9D">
        <w:rPr>
          <w:color w:val="000000"/>
        </w:rPr>
        <w:t>年</w:t>
      </w:r>
      <w:r w:rsidRPr="00131B9D">
        <w:rPr>
          <w:color w:val="000000"/>
        </w:rPr>
        <w:t>6</w:t>
      </w:r>
      <w:r w:rsidRPr="00131B9D">
        <w:rPr>
          <w:color w:val="000000"/>
        </w:rPr>
        <w:t>月至明年</w:t>
      </w:r>
      <w:r w:rsidRPr="00131B9D">
        <w:rPr>
          <w:color w:val="000000"/>
        </w:rPr>
        <w:t>5</w:t>
      </w:r>
      <w:r w:rsidRPr="00131B9D">
        <w:rPr>
          <w:color w:val="000000"/>
        </w:rPr>
        <w:t>月生產年度紐西蘭牛奶產量下跌的擔憂，導致</w:t>
      </w:r>
      <w:r w:rsidRPr="00131B9D">
        <w:rPr>
          <w:color w:val="000000"/>
        </w:rPr>
        <w:t>9</w:t>
      </w:r>
      <w:r w:rsidRPr="00131B9D">
        <w:rPr>
          <w:color w:val="000000"/>
        </w:rPr>
        <w:t>月和</w:t>
      </w:r>
      <w:r w:rsidRPr="00131B9D">
        <w:rPr>
          <w:color w:val="000000"/>
        </w:rPr>
        <w:t>10</w:t>
      </w:r>
      <w:r w:rsidRPr="00131B9D">
        <w:rPr>
          <w:color w:val="000000"/>
        </w:rPr>
        <w:t>月這兩個月大洋洲價格上漲，同時歐盟出口價格也跟進。全脂奶粉價格一個月的時間飆升近</w:t>
      </w:r>
      <w:r w:rsidRPr="00131B9D">
        <w:rPr>
          <w:color w:val="000000"/>
        </w:rPr>
        <w:t>21%</w:t>
      </w:r>
      <w:r w:rsidRPr="00131B9D">
        <w:rPr>
          <w:color w:val="000000"/>
        </w:rPr>
        <w:t>，所有其他乳製品價格也顯著提高。至於穀物價格指數上升，主要是小麥和玉米價格回升。小麥報價因擔憂乾旱會影響某些國家的冬麥生產，以及澳大利亞小麥生產前景變差，使價格提升。玉米價格則因全球最大的玉米生產國和出口國美國，其農民銷售放緩而上升（如圖</w:t>
      </w:r>
      <w:r w:rsidRPr="00131B9D">
        <w:rPr>
          <w:color w:val="000000"/>
        </w:rPr>
        <w:t>3-2</w:t>
      </w:r>
      <w:r w:rsidRPr="00131B9D">
        <w:rPr>
          <w:color w:val="000000"/>
        </w:rPr>
        <w:t>）</w:t>
      </w:r>
    </w:p>
    <w:p w:rsidR="00AD58FC" w:rsidRPr="00131B9D" w:rsidRDefault="00AD58FC" w:rsidP="00AD58FC">
      <w:pPr>
        <w:jc w:val="center"/>
      </w:pPr>
      <w:r w:rsidRPr="00131B9D">
        <w:rPr>
          <w:noProof/>
        </w:rPr>
        <w:drawing>
          <wp:inline distT="0" distB="0" distL="0" distR="0" wp14:anchorId="20EB33FA" wp14:editId="7A35CAFE">
            <wp:extent cx="5076825" cy="2943225"/>
            <wp:effectExtent l="0" t="0" r="9525" b="9525"/>
            <wp:docPr id="25" name="圖表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AD58FC" w:rsidRPr="00131B9D" w:rsidRDefault="00AD58FC" w:rsidP="00AD58FC">
      <w:pPr>
        <w:spacing w:line="0" w:lineRule="atLeast"/>
        <w:ind w:firstLineChars="150" w:firstLine="300"/>
        <w:rPr>
          <w:rFonts w:eastAsia="標楷體"/>
          <w:sz w:val="20"/>
          <w:szCs w:val="20"/>
        </w:rPr>
      </w:pPr>
      <w:bookmarkStart w:id="57" w:name="_Toc398882633"/>
      <w:bookmarkStart w:id="58" w:name="_Toc365017334"/>
      <w:bookmarkStart w:id="59" w:name="_Toc373423047"/>
      <w:bookmarkStart w:id="60" w:name="_Toc373682430"/>
      <w:bookmarkStart w:id="61" w:name="_Ref364347174"/>
      <w:r w:rsidRPr="00131B9D">
        <w:rPr>
          <w:rFonts w:eastAsia="標楷體"/>
          <w:sz w:val="20"/>
          <w:szCs w:val="20"/>
        </w:rPr>
        <w:t>資料來源：</w:t>
      </w:r>
      <w:r w:rsidRPr="00131B9D">
        <w:rPr>
          <w:rFonts w:eastAsia="標楷體"/>
          <w:sz w:val="20"/>
          <w:szCs w:val="20"/>
        </w:rPr>
        <w:t>FAO</w:t>
      </w:r>
      <w:r w:rsidRPr="00131B9D">
        <w:rPr>
          <w:rFonts w:eastAsia="標楷體"/>
          <w:sz w:val="20"/>
          <w:szCs w:val="20"/>
        </w:rPr>
        <w:t>，</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626D27" w:rsidRPr="00131B9D" w:rsidRDefault="00944F05" w:rsidP="00944F05">
      <w:pPr>
        <w:pStyle w:val="afff5"/>
        <w:spacing w:line="0" w:lineRule="atLeast"/>
        <w:jc w:val="center"/>
        <w:rPr>
          <w:rFonts w:eastAsia="標楷體"/>
          <w:b/>
          <w:bCs/>
          <w:kern w:val="52"/>
          <w:sz w:val="28"/>
          <w:szCs w:val="28"/>
        </w:rPr>
      </w:pPr>
      <w:bookmarkStart w:id="62" w:name="_Toc438223335"/>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w:t>
      </w:r>
      <w:r w:rsidRPr="00131B9D">
        <w:rPr>
          <w:rFonts w:eastAsia="標楷體"/>
          <w:b/>
          <w:bCs/>
          <w:kern w:val="52"/>
          <w:sz w:val="28"/>
          <w:szCs w:val="28"/>
        </w:rPr>
        <w:fldChar w:fldCharType="end"/>
      </w:r>
      <w:r w:rsidR="00626D27" w:rsidRPr="00131B9D">
        <w:rPr>
          <w:rFonts w:eastAsia="標楷體"/>
          <w:b/>
          <w:bCs/>
          <w:kern w:val="52"/>
          <w:sz w:val="28"/>
          <w:szCs w:val="28"/>
        </w:rPr>
        <w:t xml:space="preserve">　聯合國農糧組織（</w:t>
      </w:r>
      <w:r w:rsidR="00626D27" w:rsidRPr="00131B9D">
        <w:rPr>
          <w:rFonts w:eastAsia="標楷體"/>
          <w:b/>
          <w:bCs/>
          <w:kern w:val="52"/>
          <w:sz w:val="28"/>
          <w:szCs w:val="28"/>
        </w:rPr>
        <w:t>FAO</w:t>
      </w:r>
      <w:r w:rsidR="00626D27" w:rsidRPr="00131B9D">
        <w:rPr>
          <w:rFonts w:eastAsia="標楷體"/>
          <w:b/>
          <w:bCs/>
          <w:kern w:val="52"/>
          <w:sz w:val="28"/>
          <w:szCs w:val="28"/>
        </w:rPr>
        <w:t>）糧食價格指數</w:t>
      </w:r>
      <w:bookmarkEnd w:id="57"/>
      <w:bookmarkEnd w:id="62"/>
    </w:p>
    <w:p w:rsidR="00944F05" w:rsidRPr="00131B9D" w:rsidRDefault="00944F05" w:rsidP="00944F05">
      <w:pPr>
        <w:sectPr w:rsidR="00944F05" w:rsidRPr="00131B9D" w:rsidSect="00097B8D">
          <w:pgSz w:w="11906" w:h="16838"/>
          <w:pgMar w:top="1440" w:right="1800" w:bottom="1440" w:left="1800" w:header="851" w:footer="992" w:gutter="0"/>
          <w:cols w:space="425"/>
          <w:docGrid w:type="lines" w:linePitch="360"/>
        </w:sectPr>
      </w:pPr>
    </w:p>
    <w:p w:rsidR="00626D27" w:rsidRPr="00131B9D" w:rsidRDefault="00AD58FC" w:rsidP="00944F05">
      <w:pPr>
        <w:spacing w:line="0" w:lineRule="atLeast"/>
        <w:jc w:val="center"/>
      </w:pPr>
      <w:r w:rsidRPr="00131B9D">
        <w:rPr>
          <w:noProof/>
        </w:rPr>
        <w:lastRenderedPageBreak/>
        <w:drawing>
          <wp:inline distT="0" distB="0" distL="0" distR="0" wp14:anchorId="7CB975EB" wp14:editId="71EDBE1E">
            <wp:extent cx="5048250" cy="3009900"/>
            <wp:effectExtent l="0" t="0" r="19050" b="19050"/>
            <wp:docPr id="27" name="圖表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AD58FC" w:rsidRPr="00131B9D" w:rsidRDefault="00AD58FC" w:rsidP="00AD58FC">
      <w:pPr>
        <w:spacing w:line="0" w:lineRule="atLeast"/>
        <w:ind w:firstLineChars="150" w:firstLine="300"/>
        <w:rPr>
          <w:rFonts w:eastAsia="標楷體"/>
          <w:sz w:val="20"/>
          <w:szCs w:val="20"/>
        </w:rPr>
      </w:pPr>
      <w:bookmarkStart w:id="63" w:name="_Toc398882634"/>
      <w:bookmarkStart w:id="64" w:name="_Toc385232455"/>
      <w:bookmarkEnd w:id="58"/>
      <w:bookmarkEnd w:id="59"/>
      <w:bookmarkEnd w:id="60"/>
      <w:bookmarkEnd w:id="61"/>
      <w:r w:rsidRPr="00131B9D">
        <w:rPr>
          <w:rFonts w:eastAsia="標楷體"/>
          <w:sz w:val="20"/>
          <w:szCs w:val="20"/>
        </w:rPr>
        <w:t>資料來源：</w:t>
      </w:r>
      <w:r w:rsidRPr="00131B9D">
        <w:rPr>
          <w:rFonts w:eastAsia="標楷體"/>
          <w:sz w:val="20"/>
          <w:szCs w:val="20"/>
        </w:rPr>
        <w:t>IGC</w:t>
      </w:r>
      <w:r w:rsidRPr="00131B9D">
        <w:rPr>
          <w:rFonts w:eastAsia="標楷體"/>
          <w:sz w:val="20"/>
          <w:szCs w:val="20"/>
        </w:rPr>
        <w:t>，</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626D27" w:rsidRPr="00131B9D" w:rsidRDefault="00944F05" w:rsidP="00944F05">
      <w:pPr>
        <w:pStyle w:val="afff5"/>
        <w:spacing w:line="0" w:lineRule="atLeast"/>
        <w:jc w:val="center"/>
        <w:rPr>
          <w:rFonts w:eastAsia="標楷體"/>
          <w:b/>
          <w:bCs/>
          <w:kern w:val="52"/>
          <w:sz w:val="28"/>
          <w:szCs w:val="28"/>
        </w:rPr>
      </w:pPr>
      <w:bookmarkStart w:id="65" w:name="_Toc438223336"/>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w:t>
      </w:r>
      <w:r w:rsidRPr="00131B9D">
        <w:rPr>
          <w:rFonts w:eastAsia="標楷體"/>
          <w:b/>
          <w:bCs/>
          <w:kern w:val="52"/>
          <w:sz w:val="28"/>
          <w:szCs w:val="28"/>
        </w:rPr>
        <w:fldChar w:fldCharType="end"/>
      </w:r>
      <w:r w:rsidR="00626D27" w:rsidRPr="00131B9D">
        <w:rPr>
          <w:rFonts w:eastAsia="標楷體"/>
          <w:b/>
          <w:bCs/>
          <w:kern w:val="52"/>
          <w:sz w:val="28"/>
          <w:szCs w:val="28"/>
        </w:rPr>
        <w:t xml:space="preserve">　國際榖物協會（</w:t>
      </w:r>
      <w:r w:rsidR="00626D27" w:rsidRPr="00131B9D">
        <w:rPr>
          <w:rFonts w:eastAsia="標楷體"/>
          <w:b/>
          <w:bCs/>
          <w:kern w:val="52"/>
          <w:sz w:val="28"/>
          <w:szCs w:val="28"/>
        </w:rPr>
        <w:t>IGC</w:t>
      </w:r>
      <w:r w:rsidR="00626D27" w:rsidRPr="00131B9D">
        <w:rPr>
          <w:rFonts w:eastAsia="標楷體"/>
          <w:b/>
          <w:bCs/>
          <w:kern w:val="52"/>
          <w:sz w:val="28"/>
          <w:szCs w:val="28"/>
        </w:rPr>
        <w:t>）榖物及油籽價格指數</w:t>
      </w:r>
      <w:bookmarkEnd w:id="63"/>
      <w:bookmarkEnd w:id="65"/>
    </w:p>
    <w:p w:rsidR="00944F05" w:rsidRPr="00131B9D" w:rsidRDefault="00944F05" w:rsidP="00C665AA"/>
    <w:p w:rsidR="00626D27" w:rsidRPr="00131B9D" w:rsidRDefault="00626D27" w:rsidP="00626D27">
      <w:pPr>
        <w:pStyle w:val="3"/>
        <w:rPr>
          <w:rFonts w:ascii="Times New Roman" w:hAnsi="Times New Roman"/>
        </w:rPr>
      </w:pPr>
      <w:bookmarkStart w:id="66" w:name="_Toc322706923"/>
      <w:bookmarkEnd w:id="64"/>
      <w:r w:rsidRPr="00131B9D">
        <w:rPr>
          <w:rFonts w:ascii="Times New Roman" w:hAnsi="Times New Roman"/>
        </w:rPr>
        <w:t>（一）黃豆</w:t>
      </w:r>
      <w:bookmarkStart w:id="67" w:name="OLE_LINK2"/>
      <w:bookmarkEnd w:id="66"/>
    </w:p>
    <w:bookmarkEnd w:id="67"/>
    <w:p w:rsidR="00626D27" w:rsidRPr="00131B9D" w:rsidRDefault="00626D27" w:rsidP="00626D27">
      <w:pPr>
        <w:pStyle w:val="-"/>
        <w:spacing w:before="72" w:after="72"/>
        <w:ind w:firstLineChars="0" w:firstLine="0"/>
        <w:rPr>
          <w:b/>
        </w:rPr>
      </w:pPr>
      <w:r w:rsidRPr="00131B9D">
        <w:rPr>
          <w:b/>
        </w:rPr>
        <w:t>1.</w:t>
      </w:r>
      <w:r w:rsidRPr="00131B9D">
        <w:rPr>
          <w:b/>
        </w:rPr>
        <w:t xml:space="preserve">　價格走勢</w:t>
      </w:r>
    </w:p>
    <w:p w:rsidR="00127C79" w:rsidRPr="00131B9D" w:rsidRDefault="00127C79" w:rsidP="00127C79">
      <w:pPr>
        <w:pStyle w:val="-"/>
        <w:spacing w:before="72" w:after="72"/>
        <w:ind w:firstLine="560"/>
      </w:pPr>
      <w:r w:rsidRPr="00131B9D">
        <w:t>整體而言，</w:t>
      </w:r>
      <w:r w:rsidRPr="00131B9D">
        <w:t>2015</w:t>
      </w:r>
      <w:r w:rsidRPr="00131B9D">
        <w:t>年國際黃豆價格呈現下跌走勢。第</w:t>
      </w:r>
      <w:r w:rsidRPr="00131B9D">
        <w:t>1</w:t>
      </w:r>
      <w:r w:rsidRPr="00131B9D">
        <w:t>季芝加哥黃豆期貨價格連續</w:t>
      </w:r>
      <w:r w:rsidRPr="00131B9D">
        <w:t>3</w:t>
      </w:r>
      <w:r w:rsidRPr="00131B9D">
        <w:t>個月下跌，</w:t>
      </w:r>
      <w:r w:rsidRPr="00131B9D">
        <w:t>3</w:t>
      </w:r>
      <w:r w:rsidRPr="00131B9D">
        <w:t>月均價為</w:t>
      </w:r>
      <w:r w:rsidRPr="00131B9D">
        <w:t>359.80</w:t>
      </w:r>
      <w:r w:rsidRPr="00131B9D">
        <w:t>美元</w:t>
      </w:r>
      <w:r w:rsidRPr="00131B9D">
        <w:t>/</w:t>
      </w:r>
      <w:r w:rsidRPr="00131B9D">
        <w:t>噸，較</w:t>
      </w:r>
      <w:r w:rsidRPr="00131B9D">
        <w:t>1</w:t>
      </w:r>
      <w:r w:rsidRPr="00131B9D">
        <w:t>月均價</w:t>
      </w:r>
      <w:r w:rsidRPr="00131B9D">
        <w:t>367.5</w:t>
      </w:r>
      <w:r w:rsidRPr="00131B9D">
        <w:t>美元</w:t>
      </w:r>
      <w:r w:rsidRPr="00131B9D">
        <w:t>/</w:t>
      </w:r>
      <w:r w:rsidRPr="00131B9D">
        <w:t>噸下跌</w:t>
      </w:r>
      <w:r w:rsidRPr="00131B9D">
        <w:t>2%</w:t>
      </w:r>
      <w:r w:rsidRPr="00131B9D">
        <w:t>，而第</w:t>
      </w:r>
      <w:r w:rsidRPr="00131B9D">
        <w:t>1</w:t>
      </w:r>
      <w:r w:rsidRPr="00131B9D">
        <w:t>季均價較前一季下跌</w:t>
      </w:r>
      <w:r w:rsidRPr="00131B9D">
        <w:t>1.7%</w:t>
      </w:r>
      <w:r w:rsidRPr="00131B9D">
        <w:t>，第</w:t>
      </w:r>
      <w:r w:rsidRPr="00131B9D">
        <w:t>2</w:t>
      </w:r>
      <w:r w:rsidRPr="00131B9D">
        <w:t>季國際黃豆價格則呈現震盪走勢，第</w:t>
      </w:r>
      <w:r w:rsidRPr="00131B9D">
        <w:t>2</w:t>
      </w:r>
      <w:r w:rsidRPr="00131B9D">
        <w:t>季過後黃豆期貨價格仍持續下跌，惟</w:t>
      </w:r>
      <w:r w:rsidRPr="00131B9D">
        <w:t>7-8</w:t>
      </w:r>
      <w:r w:rsidRPr="00131B9D">
        <w:t>月因阿根廷披索匯率下跌，及美國中西部天氣乾燥、中國大陸經濟狀況改善，和阿根廷國內黃豆壓榨需求增加，對黃豆價格構成支持，使黃豆期貨價格有一波小漲勢，但</w:t>
      </w:r>
      <w:r w:rsidRPr="00131B9D">
        <w:t>8</w:t>
      </w:r>
      <w:r w:rsidRPr="00131B9D">
        <w:t>月初後再因預期產量上升及看壞需求前景而使價格再次大跌，最後第</w:t>
      </w:r>
      <w:r w:rsidRPr="00131B9D">
        <w:t>3</w:t>
      </w:r>
      <w:r w:rsidRPr="00131B9D">
        <w:t>季均價為</w:t>
      </w:r>
      <w:r w:rsidRPr="00131B9D">
        <w:t>348.06</w:t>
      </w:r>
      <w:r w:rsidRPr="00131B9D">
        <w:t>美元</w:t>
      </w:r>
      <w:r w:rsidRPr="00131B9D">
        <w:t>/</w:t>
      </w:r>
      <w:r w:rsidRPr="00131B9D">
        <w:t>公噸，較第</w:t>
      </w:r>
      <w:r w:rsidRPr="00131B9D">
        <w:t>2</w:t>
      </w:r>
      <w:r w:rsidRPr="00131B9D">
        <w:t>季下跌</w:t>
      </w:r>
      <w:r w:rsidRPr="00131B9D">
        <w:t>1.70%</w:t>
      </w:r>
      <w:r w:rsidRPr="00131B9D">
        <w:t>，而芝加哥黃豆期貨</w:t>
      </w:r>
      <w:r w:rsidRPr="00131B9D">
        <w:t>10</w:t>
      </w:r>
      <w:r w:rsidRPr="00131B9D">
        <w:t>月份均價再次小跌為</w:t>
      </w:r>
      <w:r w:rsidRPr="00131B9D">
        <w:t>327.08</w:t>
      </w:r>
      <w:r w:rsidRPr="00131B9D">
        <w:t>美元</w:t>
      </w:r>
      <w:r w:rsidRPr="00131B9D">
        <w:t>/</w:t>
      </w:r>
      <w:r w:rsidRPr="00131B9D">
        <w:t>公噸（如圖</w:t>
      </w:r>
      <w:r w:rsidRPr="00131B9D">
        <w:t>3-3</w:t>
      </w:r>
      <w:r w:rsidRPr="00131B9D">
        <w:t>）。</w:t>
      </w:r>
    </w:p>
    <w:p w:rsidR="00EF2773" w:rsidRPr="00131B9D" w:rsidRDefault="00EF2773" w:rsidP="00EF2773">
      <w:pPr>
        <w:sectPr w:rsidR="00EF2773" w:rsidRPr="00131B9D" w:rsidSect="00097B8D">
          <w:pgSz w:w="11906" w:h="16838"/>
          <w:pgMar w:top="1440" w:right="1800" w:bottom="1440" w:left="1800" w:header="851" w:footer="992" w:gutter="0"/>
          <w:cols w:space="425"/>
          <w:docGrid w:type="lines" w:linePitch="360"/>
        </w:sectPr>
      </w:pPr>
    </w:p>
    <w:p w:rsidR="00A95A73" w:rsidRPr="00131B9D" w:rsidRDefault="00F279F7" w:rsidP="00A95A73">
      <w:pPr>
        <w:spacing w:beforeLines="100" w:before="360" w:line="0" w:lineRule="atLeast"/>
        <w:jc w:val="center"/>
        <w:rPr>
          <w:rFonts w:eastAsia="標楷體"/>
        </w:rPr>
      </w:pPr>
      <w:r w:rsidRPr="00131B9D">
        <w:rPr>
          <w:noProof/>
        </w:rPr>
        <w:lastRenderedPageBreak/>
        <w:drawing>
          <wp:inline distT="0" distB="0" distL="0" distR="0" wp14:anchorId="48A36794" wp14:editId="3FC97B26">
            <wp:extent cx="5274310" cy="3285490"/>
            <wp:effectExtent l="0" t="0" r="2540" b="10160"/>
            <wp:docPr id="28" name="圖表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F279F7" w:rsidRPr="00131B9D" w:rsidRDefault="00F279F7" w:rsidP="00F279F7">
      <w:pPr>
        <w:spacing w:line="0" w:lineRule="atLeast"/>
        <w:ind w:firstLineChars="100" w:firstLine="200"/>
        <w:rPr>
          <w:rFonts w:eastAsia="標楷體"/>
        </w:rPr>
      </w:pPr>
      <w:bookmarkStart w:id="68" w:name="_Toc398882635"/>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r w:rsidRPr="00131B9D">
        <w:rPr>
          <w:rFonts w:eastAsia="標楷體"/>
        </w:rPr>
        <w:t>。</w:t>
      </w:r>
    </w:p>
    <w:p w:rsidR="00A95A73" w:rsidRPr="00131B9D" w:rsidRDefault="00A95A73" w:rsidP="00A95A73">
      <w:pPr>
        <w:pStyle w:val="afff5"/>
        <w:spacing w:line="0" w:lineRule="atLeast"/>
        <w:jc w:val="center"/>
        <w:rPr>
          <w:rFonts w:eastAsia="標楷體"/>
          <w:b/>
          <w:bCs/>
          <w:kern w:val="52"/>
          <w:sz w:val="28"/>
          <w:szCs w:val="28"/>
        </w:rPr>
      </w:pPr>
      <w:bookmarkStart w:id="69" w:name="_Toc438223337"/>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w:t>
      </w:r>
      <w:r w:rsidRPr="00131B9D">
        <w:rPr>
          <w:rFonts w:eastAsia="標楷體"/>
          <w:b/>
          <w:bCs/>
          <w:kern w:val="52"/>
          <w:sz w:val="28"/>
          <w:szCs w:val="28"/>
        </w:rPr>
        <w:fldChar w:fldCharType="end"/>
      </w:r>
      <w:r w:rsidRPr="00131B9D">
        <w:rPr>
          <w:rFonts w:eastAsia="標楷體"/>
          <w:b/>
          <w:bCs/>
          <w:kern w:val="52"/>
          <w:sz w:val="28"/>
          <w:szCs w:val="28"/>
        </w:rPr>
        <w:t xml:space="preserve">　黃豆近一年價格走勢圖</w:t>
      </w:r>
      <w:bookmarkEnd w:id="68"/>
      <w:bookmarkEnd w:id="69"/>
    </w:p>
    <w:p w:rsidR="00A95A73" w:rsidRPr="00131B9D" w:rsidRDefault="00A95A73" w:rsidP="00C665AA"/>
    <w:p w:rsidR="00626D27" w:rsidRPr="00131B9D" w:rsidRDefault="00626D27" w:rsidP="00626D27">
      <w:pPr>
        <w:pStyle w:val="-"/>
        <w:spacing w:before="72" w:after="72"/>
        <w:ind w:firstLineChars="0" w:firstLine="0"/>
        <w:rPr>
          <w:b/>
        </w:rPr>
      </w:pPr>
      <w:r w:rsidRPr="00131B9D">
        <w:rPr>
          <w:b/>
        </w:rPr>
        <w:t>2.</w:t>
      </w:r>
      <w:r w:rsidRPr="00131B9D">
        <w:rPr>
          <w:b/>
        </w:rPr>
        <w:t xml:space="preserve">　主要供需概況</w:t>
      </w:r>
    </w:p>
    <w:p w:rsidR="00F279F7" w:rsidRPr="00131B9D" w:rsidRDefault="00F279F7" w:rsidP="00F279F7">
      <w:pPr>
        <w:pStyle w:val="-"/>
        <w:spacing w:before="72" w:after="72"/>
        <w:ind w:firstLine="521"/>
      </w:pPr>
      <w:r w:rsidRPr="00131B9D">
        <w:rPr>
          <w:b/>
          <w:spacing w:val="-10"/>
        </w:rPr>
        <w:t>供給國：</w:t>
      </w:r>
      <w:r w:rsidRPr="00131B9D">
        <w:rPr>
          <w:spacing w:val="-10"/>
        </w:rPr>
        <w:t>北半球的美國及中國大陸、南半球的巴西、阿根廷及巴拉圭為五大黃豆生產國，依據美國農業部（</w:t>
      </w:r>
      <w:r w:rsidRPr="00131B9D">
        <w:rPr>
          <w:spacing w:val="-10"/>
        </w:rPr>
        <w:t>United States Department of Agriculture, USDA</w:t>
      </w:r>
      <w:r w:rsidRPr="00131B9D">
        <w:rPr>
          <w:spacing w:val="-10"/>
        </w:rPr>
        <w:t>）</w:t>
      </w:r>
      <w:r w:rsidRPr="00131B9D">
        <w:rPr>
          <w:spacing w:val="-10"/>
        </w:rPr>
        <w:t>2015</w:t>
      </w:r>
      <w:r w:rsidRPr="00131B9D">
        <w:rPr>
          <w:spacing w:val="-10"/>
        </w:rPr>
        <w:t>年</w:t>
      </w:r>
      <w:r w:rsidRPr="00131B9D">
        <w:rPr>
          <w:spacing w:val="-10"/>
        </w:rPr>
        <w:t>11</w:t>
      </w:r>
      <w:r w:rsidRPr="00131B9D">
        <w:rPr>
          <w:spacing w:val="-10"/>
        </w:rPr>
        <w:t>月</w:t>
      </w:r>
      <w:r w:rsidRPr="00131B9D">
        <w:rPr>
          <w:spacing w:val="-10"/>
        </w:rPr>
        <w:t>10</w:t>
      </w:r>
      <w:r w:rsidRPr="00131B9D">
        <w:rPr>
          <w:spacing w:val="-10"/>
        </w:rPr>
        <w:t>日發布的世界農業供需估計報告（</w:t>
      </w:r>
      <w:r w:rsidRPr="00131B9D">
        <w:rPr>
          <w:spacing w:val="-10"/>
        </w:rPr>
        <w:t>World Agricultural Supply and Demand Estimates, WASDE</w:t>
      </w:r>
      <w:r w:rsidRPr="00131B9D">
        <w:rPr>
          <w:spacing w:val="-10"/>
        </w:rPr>
        <w:t>），全球</w:t>
      </w:r>
      <w:r w:rsidRPr="00131B9D">
        <w:rPr>
          <w:spacing w:val="-10"/>
        </w:rPr>
        <w:t>2014/2015</w:t>
      </w:r>
      <w:r w:rsidRPr="00131B9D">
        <w:rPr>
          <w:spacing w:val="-10"/>
        </w:rPr>
        <w:t>年度（</w:t>
      </w:r>
      <w:r w:rsidRPr="00131B9D">
        <w:rPr>
          <w:spacing w:val="-10"/>
        </w:rPr>
        <w:t>2014</w:t>
      </w:r>
      <w:r w:rsidRPr="00131B9D">
        <w:rPr>
          <w:spacing w:val="-10"/>
        </w:rPr>
        <w:t>年</w:t>
      </w:r>
      <w:r w:rsidRPr="00131B9D">
        <w:rPr>
          <w:spacing w:val="-10"/>
        </w:rPr>
        <w:t>8</w:t>
      </w:r>
      <w:r w:rsidRPr="00131B9D">
        <w:rPr>
          <w:spacing w:val="-10"/>
        </w:rPr>
        <w:t>月至</w:t>
      </w:r>
      <w:r w:rsidRPr="00131B9D">
        <w:rPr>
          <w:spacing w:val="-10"/>
        </w:rPr>
        <w:t>2015</w:t>
      </w:r>
      <w:r w:rsidRPr="00131B9D">
        <w:rPr>
          <w:spacing w:val="-10"/>
        </w:rPr>
        <w:t>年</w:t>
      </w:r>
      <w:r w:rsidRPr="00131B9D">
        <w:rPr>
          <w:spacing w:val="-10"/>
        </w:rPr>
        <w:t>9</w:t>
      </w:r>
      <w:r w:rsidRPr="00131B9D">
        <w:rPr>
          <w:spacing w:val="-10"/>
        </w:rPr>
        <w:t>月）黃豆產量估計為</w:t>
      </w:r>
      <w:r w:rsidRPr="00131B9D">
        <w:rPr>
          <w:spacing w:val="-10"/>
        </w:rPr>
        <w:t>318.68</w:t>
      </w:r>
      <w:r w:rsidRPr="00131B9D">
        <w:rPr>
          <w:spacing w:val="-10"/>
        </w:rPr>
        <w:t>百萬公噸，其中美國產量為</w:t>
      </w:r>
      <w:r w:rsidRPr="00131B9D">
        <w:rPr>
          <w:spacing w:val="-10"/>
        </w:rPr>
        <w:t>106.88</w:t>
      </w:r>
      <w:r w:rsidRPr="00131B9D">
        <w:rPr>
          <w:spacing w:val="-10"/>
        </w:rPr>
        <w:t>百萬公噸、巴西產量為</w:t>
      </w:r>
      <w:r w:rsidRPr="00131B9D">
        <w:rPr>
          <w:spacing w:val="-10"/>
        </w:rPr>
        <w:t>96.20</w:t>
      </w:r>
      <w:r w:rsidRPr="00131B9D">
        <w:rPr>
          <w:spacing w:val="-10"/>
        </w:rPr>
        <w:t>百萬公噸、阿根廷為</w:t>
      </w:r>
      <w:r w:rsidRPr="00131B9D">
        <w:rPr>
          <w:spacing w:val="-10"/>
        </w:rPr>
        <w:t>60.80</w:t>
      </w:r>
      <w:r w:rsidRPr="00131B9D">
        <w:rPr>
          <w:spacing w:val="-10"/>
        </w:rPr>
        <w:t>百萬公噸、中國大陸為</w:t>
      </w:r>
      <w:r w:rsidRPr="00131B9D">
        <w:rPr>
          <w:spacing w:val="-10"/>
        </w:rPr>
        <w:t>12.35</w:t>
      </w:r>
      <w:r w:rsidRPr="00131B9D">
        <w:rPr>
          <w:spacing w:val="-10"/>
        </w:rPr>
        <w:t>百萬公噸，以及巴拉圭為</w:t>
      </w:r>
      <w:r w:rsidRPr="00131B9D">
        <w:rPr>
          <w:spacing w:val="-10"/>
        </w:rPr>
        <w:t>8.10</w:t>
      </w:r>
      <w:r w:rsidRPr="00131B9D">
        <w:rPr>
          <w:spacing w:val="-10"/>
        </w:rPr>
        <w:t>百萬公噸。中國大陸以自給自足為主，</w:t>
      </w:r>
      <w:r w:rsidRPr="00131B9D">
        <w:t>近年來由於巴西、阿根廷、中國大陸等國家產量增加，使得美國黃豆在國際出口市場中所佔的比率逐漸縮小，且由於巴西里耳嚴重貶值，目前巴西已超越美國成為黃豆的世界最大出口國，</w:t>
      </w:r>
      <w:r w:rsidRPr="00131B9D">
        <w:rPr>
          <w:spacing w:val="-10"/>
        </w:rPr>
        <w:t>因此主要出口國為巴西（</w:t>
      </w:r>
      <w:r w:rsidRPr="00131B9D">
        <w:rPr>
          <w:spacing w:val="-10"/>
        </w:rPr>
        <w:t>51.11</w:t>
      </w:r>
      <w:r w:rsidRPr="00131B9D">
        <w:rPr>
          <w:spacing w:val="-10"/>
        </w:rPr>
        <w:t>百萬公噸）、美國（</w:t>
      </w:r>
      <w:r w:rsidRPr="00131B9D">
        <w:rPr>
          <w:spacing w:val="-10"/>
        </w:rPr>
        <w:t>50.17</w:t>
      </w:r>
      <w:r w:rsidRPr="00131B9D">
        <w:rPr>
          <w:spacing w:val="-10"/>
        </w:rPr>
        <w:t>百萬公噸）、阿根廷（</w:t>
      </w:r>
      <w:r w:rsidRPr="00131B9D">
        <w:rPr>
          <w:spacing w:val="-10"/>
        </w:rPr>
        <w:t>10.57</w:t>
      </w:r>
      <w:r w:rsidRPr="00131B9D">
        <w:rPr>
          <w:spacing w:val="-10"/>
        </w:rPr>
        <w:t>百萬公噸）及巴拉圭（</w:t>
      </w:r>
      <w:r w:rsidRPr="00131B9D">
        <w:rPr>
          <w:spacing w:val="-10"/>
        </w:rPr>
        <w:t>4.38</w:t>
      </w:r>
      <w:r w:rsidRPr="00131B9D">
        <w:rPr>
          <w:spacing w:val="-10"/>
        </w:rPr>
        <w:t>百萬公噸）</w:t>
      </w:r>
      <w:r w:rsidRPr="00131B9D">
        <w:t>（如表</w:t>
      </w:r>
      <w:r w:rsidRPr="00131B9D">
        <w:t>3-2</w:t>
      </w:r>
      <w:r w:rsidRPr="00131B9D">
        <w:t>）。</w:t>
      </w:r>
    </w:p>
    <w:p w:rsidR="00F279F7" w:rsidRPr="00131B9D" w:rsidRDefault="00127C79" w:rsidP="00F279F7">
      <w:pPr>
        <w:pStyle w:val="-"/>
        <w:spacing w:before="72" w:after="72"/>
        <w:ind w:firstLine="560"/>
        <w:rPr>
          <w:spacing w:val="-10"/>
        </w:rPr>
      </w:pPr>
      <w:r w:rsidRPr="00131B9D">
        <w:t>2015</w:t>
      </w:r>
      <w:r w:rsidRPr="00131B9D">
        <w:t>年上半年，黃豆價格整體呈現下跌走勢，惟</w:t>
      </w:r>
      <w:r w:rsidRPr="00131B9D">
        <w:t>2</w:t>
      </w:r>
      <w:r w:rsidRPr="00131B9D">
        <w:t>月份時，因</w:t>
      </w:r>
      <w:r w:rsidRPr="00131B9D">
        <w:lastRenderedPageBreak/>
        <w:t>馬來西亞棕櫚油急升提振豆油上漲，帶動黃豆價格攀升，此外，黃豆出口國巴西因卡車司機之抗議活動導致黃豆交貨量遲緩，較去年同期的</w:t>
      </w:r>
      <w:r w:rsidRPr="00131B9D">
        <w:t>279</w:t>
      </w:r>
      <w:r w:rsidRPr="00131B9D">
        <w:t>萬噸大減</w:t>
      </w:r>
      <w:r w:rsidRPr="00131B9D">
        <w:t>7</w:t>
      </w:r>
      <w:r w:rsidRPr="00131B9D">
        <w:t>成，且</w:t>
      </w:r>
      <w:r w:rsidRPr="00131B9D">
        <w:t>USDA 2</w:t>
      </w:r>
      <w:r w:rsidRPr="00131B9D">
        <w:t>月供需報告小幅調降巴西黃豆產量，使黃豆價格一度反向小幅上漲。</w:t>
      </w:r>
      <w:r w:rsidRPr="00131B9D">
        <w:t>3</w:t>
      </w:r>
      <w:r w:rsidRPr="00131B9D">
        <w:t>月中旬過後，因</w:t>
      </w:r>
      <w:r w:rsidRPr="00131B9D">
        <w:t>USDA 3</w:t>
      </w:r>
      <w:r w:rsidRPr="00131B9D">
        <w:t>月份農作物種植意向報告和季度庫存資料顯示，美國黃豆種植面積以及季度庫存數據皆低於預期，使黃豆價格又有另一波反向小幅漲勢。</w:t>
      </w:r>
      <w:r w:rsidRPr="00131B9D">
        <w:t>4</w:t>
      </w:r>
      <w:r w:rsidRPr="00131B9D">
        <w:t>月中旬之後，巴西卡車司機持續罷工，阿根廷亦出現罷工，加上農戶囤積黃豆，且美國黃豆出口需求增加，提供黃豆價格小幅反彈的動力。</w:t>
      </w:r>
      <w:r w:rsidRPr="00131B9D">
        <w:t>6</w:t>
      </w:r>
      <w:r w:rsidRPr="00131B9D">
        <w:t>月下旬因美國中西部氣候不佳所引發對作物的擔憂，使黃豆價格一度明顯反彈，且漲勢延續至</w:t>
      </w:r>
      <w:r w:rsidRPr="00131B9D">
        <w:t>7</w:t>
      </w:r>
      <w:r w:rsidRPr="00131B9D">
        <w:t>月，然</w:t>
      </w:r>
      <w:r w:rsidRPr="00131B9D">
        <w:t>7</w:t>
      </w:r>
      <w:r w:rsidRPr="00131B9D">
        <w:t>月中旬後，美國氣候改善、美元匯率走強，加上美國黃豆出口開始放慢，這對黃豆價格構成一些壓力，至</w:t>
      </w:r>
      <w:r w:rsidRPr="00131B9D">
        <w:t>7</w:t>
      </w:r>
      <w:r w:rsidRPr="00131B9D">
        <w:t>月底至</w:t>
      </w:r>
      <w:r w:rsidRPr="00131B9D">
        <w:t>8</w:t>
      </w:r>
      <w:r w:rsidRPr="00131B9D">
        <w:t>月上旬，因阿根廷披索匯率下跌，及美國中西部天氣乾燥、中國大陸經濟狀況改善，和阿根廷國內黃豆壓榨需求增加，對黃豆價格構成支持。</w:t>
      </w:r>
      <w:r w:rsidRPr="00131B9D">
        <w:t>8</w:t>
      </w:r>
      <w:r w:rsidRPr="00131B9D">
        <w:t>月上旬過後是黃豆單產形成的關鍵期，適宜的氣候，有利作物生長，加上市場擔心中國大陸需求前景，且美國農業部的供需月報預測上調黃豆的單產與產量預估，對黃豆價格構成利空。</w:t>
      </w:r>
      <w:r w:rsidRPr="00131B9D">
        <w:t>9</w:t>
      </w:r>
      <w:r w:rsidRPr="00131B9D">
        <w:t>月上旬美農業部發布供需報告再度上調黃豆產量預估，使價格再度走低。然</w:t>
      </w:r>
      <w:r w:rsidRPr="00131B9D">
        <w:t>9</w:t>
      </w:r>
      <w:r w:rsidRPr="00131B9D">
        <w:t>月</w:t>
      </w:r>
      <w:r w:rsidRPr="00131B9D">
        <w:t>24</w:t>
      </w:r>
      <w:r w:rsidRPr="00131B9D">
        <w:t>日中國大陸簽署協議購買總值約</w:t>
      </w:r>
      <w:r w:rsidRPr="00131B9D">
        <w:t>53</w:t>
      </w:r>
      <w:r w:rsidRPr="00131B9D">
        <w:t>億美元的美國黃豆，加上</w:t>
      </w:r>
      <w:r w:rsidRPr="00131B9D">
        <w:t>9</w:t>
      </w:r>
      <w:r w:rsidRPr="00131B9D">
        <w:t>月</w:t>
      </w:r>
      <w:r w:rsidRPr="00131B9D">
        <w:t>30</w:t>
      </w:r>
      <w:r w:rsidRPr="00131B9D">
        <w:t>日美國農業部公佈的黃豆季度庫存低於預期，使黃豆價格上漲，然季節性收割壓力令漲幅受限。</w:t>
      </w:r>
      <w:r w:rsidRPr="00131B9D">
        <w:t>10</w:t>
      </w:r>
      <w:r w:rsidRPr="00131B9D">
        <w:t>月過後出口需求強勁，且美國農業部</w:t>
      </w:r>
      <w:r w:rsidRPr="00131B9D">
        <w:t>10</w:t>
      </w:r>
      <w:r w:rsidRPr="00131B9D">
        <w:t>月</w:t>
      </w:r>
      <w:r w:rsidRPr="00131B9D">
        <w:t>9</w:t>
      </w:r>
      <w:r w:rsidRPr="00131B9D">
        <w:t>日供需預測月報指出，預估黃豆產量可能低於預期，加上對巴西地區潮濕天氣影響作物生長的擔憂，一度小幅提振黃豆價格，但隨後天氣預報巴西主要黃豆產區的天氣狀況略有改善，緩和作物生長狀況，加上接近美國中西部地區農戶收割末期，有季節性壓力，且美國農業部</w:t>
      </w:r>
      <w:r w:rsidRPr="00131B9D">
        <w:t>11</w:t>
      </w:r>
      <w:r w:rsidRPr="00131B9D">
        <w:t>月供需報告提高美國</w:t>
      </w:r>
      <w:r w:rsidRPr="00131B9D">
        <w:t>2015/16</w:t>
      </w:r>
      <w:r w:rsidRPr="00131B9D">
        <w:t>黃豆產量和結轉庫存預估，使黃豆價格下跌。</w:t>
      </w:r>
    </w:p>
    <w:p w:rsidR="00F279F7" w:rsidRPr="00131B9D" w:rsidRDefault="00F279F7" w:rsidP="00F279F7">
      <w:pPr>
        <w:pStyle w:val="-"/>
        <w:spacing w:before="72" w:after="72"/>
        <w:ind w:firstLineChars="0" w:firstLine="480"/>
        <w:rPr>
          <w:spacing w:val="-10"/>
        </w:rPr>
      </w:pPr>
      <w:r w:rsidRPr="00131B9D">
        <w:rPr>
          <w:b/>
          <w:spacing w:val="-10"/>
        </w:rPr>
        <w:t>需求國：</w:t>
      </w:r>
      <w:r w:rsidRPr="00131B9D">
        <w:rPr>
          <w:spacing w:val="-10"/>
        </w:rPr>
        <w:t>依據</w:t>
      </w:r>
      <w:r w:rsidRPr="00131B9D">
        <w:rPr>
          <w:spacing w:val="-10"/>
        </w:rPr>
        <w:t>2015</w:t>
      </w:r>
      <w:r w:rsidRPr="00131B9D">
        <w:rPr>
          <w:spacing w:val="-10"/>
        </w:rPr>
        <w:t>年</w:t>
      </w:r>
      <w:r w:rsidRPr="00131B9D">
        <w:rPr>
          <w:spacing w:val="-10"/>
        </w:rPr>
        <w:t>11</w:t>
      </w:r>
      <w:r w:rsidRPr="00131B9D">
        <w:rPr>
          <w:spacing w:val="-10"/>
        </w:rPr>
        <w:t>月</w:t>
      </w:r>
      <w:r w:rsidRPr="00131B9D">
        <w:rPr>
          <w:spacing w:val="-10"/>
        </w:rPr>
        <w:t>10</w:t>
      </w:r>
      <w:r w:rsidRPr="00131B9D">
        <w:rPr>
          <w:spacing w:val="-10"/>
        </w:rPr>
        <w:t>日美國世界農業供需估計報告（</w:t>
      </w:r>
      <w:r w:rsidRPr="00131B9D">
        <w:rPr>
          <w:spacing w:val="-10"/>
        </w:rPr>
        <w:t>WASDE</w:t>
      </w:r>
      <w:r w:rsidRPr="00131B9D">
        <w:rPr>
          <w:spacing w:val="-10"/>
        </w:rPr>
        <w:t>）顯示，全球</w:t>
      </w:r>
      <w:r w:rsidRPr="00131B9D">
        <w:rPr>
          <w:spacing w:val="-10"/>
        </w:rPr>
        <w:t>2014/2015</w:t>
      </w:r>
      <w:r w:rsidRPr="00131B9D">
        <w:rPr>
          <w:spacing w:val="-10"/>
        </w:rPr>
        <w:t>年度黃豆總需求量為</w:t>
      </w:r>
      <w:r w:rsidRPr="00131B9D">
        <w:rPr>
          <w:spacing w:val="-10"/>
        </w:rPr>
        <w:t>299.24</w:t>
      </w:r>
      <w:r w:rsidRPr="00131B9D">
        <w:rPr>
          <w:spacing w:val="-10"/>
        </w:rPr>
        <w:t>百萬公噸，其中壓榨量</w:t>
      </w:r>
      <w:r w:rsidRPr="00131B9D">
        <w:rPr>
          <w:spacing w:val="-10"/>
        </w:rPr>
        <w:lastRenderedPageBreak/>
        <w:t>為</w:t>
      </w:r>
      <w:r w:rsidRPr="00131B9D">
        <w:rPr>
          <w:spacing w:val="-10"/>
        </w:rPr>
        <w:t>261.50</w:t>
      </w:r>
      <w:r w:rsidRPr="00131B9D">
        <w:rPr>
          <w:spacing w:val="-10"/>
        </w:rPr>
        <w:t>百萬公噸；中國大陸需求量為</w:t>
      </w:r>
      <w:r w:rsidRPr="00131B9D">
        <w:rPr>
          <w:spacing w:val="-10"/>
        </w:rPr>
        <w:t>86.70</w:t>
      </w:r>
      <w:r w:rsidRPr="00131B9D">
        <w:rPr>
          <w:spacing w:val="-10"/>
        </w:rPr>
        <w:t>百萬公噸、美國需求量為</w:t>
      </w:r>
      <w:r w:rsidRPr="00131B9D">
        <w:rPr>
          <w:spacing w:val="-10"/>
        </w:rPr>
        <w:t>54.91</w:t>
      </w:r>
      <w:r w:rsidRPr="00131B9D">
        <w:rPr>
          <w:spacing w:val="-10"/>
        </w:rPr>
        <w:t>百萬公噸、阿根廷為</w:t>
      </w:r>
      <w:r w:rsidRPr="00131B9D">
        <w:rPr>
          <w:spacing w:val="-10"/>
        </w:rPr>
        <w:t>45.18</w:t>
      </w:r>
      <w:r w:rsidRPr="00131B9D">
        <w:rPr>
          <w:spacing w:val="-10"/>
        </w:rPr>
        <w:t>百萬公噸、巴西為</w:t>
      </w:r>
      <w:r w:rsidRPr="00131B9D">
        <w:rPr>
          <w:spacing w:val="-10"/>
        </w:rPr>
        <w:t>42.95</w:t>
      </w:r>
      <w:r w:rsidRPr="00131B9D">
        <w:rPr>
          <w:spacing w:val="-10"/>
        </w:rPr>
        <w:t>百萬公噸、歐盟為</w:t>
      </w:r>
      <w:r w:rsidRPr="00131B9D">
        <w:rPr>
          <w:spacing w:val="-10"/>
        </w:rPr>
        <w:t>14.94</w:t>
      </w:r>
      <w:r w:rsidRPr="00131B9D">
        <w:rPr>
          <w:spacing w:val="-10"/>
        </w:rPr>
        <w:t>百萬公噸、墨西哥為</w:t>
      </w:r>
      <w:r w:rsidRPr="00131B9D">
        <w:rPr>
          <w:spacing w:val="-10"/>
        </w:rPr>
        <w:t>4.32</w:t>
      </w:r>
      <w:r w:rsidRPr="00131B9D">
        <w:rPr>
          <w:spacing w:val="-10"/>
        </w:rPr>
        <w:t>百萬公噸、巴拉圭為</w:t>
      </w:r>
      <w:r w:rsidRPr="00131B9D">
        <w:rPr>
          <w:spacing w:val="-10"/>
        </w:rPr>
        <w:t>3.75</w:t>
      </w:r>
      <w:r w:rsidRPr="00131B9D">
        <w:rPr>
          <w:spacing w:val="-10"/>
        </w:rPr>
        <w:t>百萬公噸，以及日本為</w:t>
      </w:r>
      <w:r w:rsidRPr="00131B9D">
        <w:rPr>
          <w:spacing w:val="-10"/>
        </w:rPr>
        <w:t>3.19</w:t>
      </w:r>
      <w:r w:rsidRPr="00131B9D">
        <w:rPr>
          <w:spacing w:val="-10"/>
        </w:rPr>
        <w:t>百萬公噸。主要進口國為中國大陸（</w:t>
      </w:r>
      <w:r w:rsidRPr="00131B9D">
        <w:rPr>
          <w:spacing w:val="-10"/>
        </w:rPr>
        <w:t>78.35</w:t>
      </w:r>
      <w:r w:rsidRPr="00131B9D">
        <w:rPr>
          <w:spacing w:val="-10"/>
        </w:rPr>
        <w:t>百萬公噸）、歐盟（</w:t>
      </w:r>
      <w:r w:rsidRPr="00131B9D">
        <w:rPr>
          <w:spacing w:val="-10"/>
        </w:rPr>
        <w:t>13.55</w:t>
      </w:r>
      <w:r w:rsidRPr="00131B9D">
        <w:rPr>
          <w:spacing w:val="-10"/>
        </w:rPr>
        <w:t>百萬公噸）、墨西哥（</w:t>
      </w:r>
      <w:r w:rsidRPr="00131B9D">
        <w:rPr>
          <w:spacing w:val="-10"/>
        </w:rPr>
        <w:t>4.03</w:t>
      </w:r>
      <w:r w:rsidRPr="00131B9D">
        <w:rPr>
          <w:spacing w:val="-10"/>
        </w:rPr>
        <w:t>百萬公噸）及日本（</w:t>
      </w:r>
      <w:r w:rsidRPr="00131B9D">
        <w:rPr>
          <w:spacing w:val="-10"/>
        </w:rPr>
        <w:t>2.95</w:t>
      </w:r>
      <w:r w:rsidRPr="00131B9D">
        <w:rPr>
          <w:spacing w:val="-10"/>
        </w:rPr>
        <w:t>百萬公噸），估計全球需求量及壓榨量皆微幅增加</w:t>
      </w:r>
      <w:r w:rsidRPr="00131B9D">
        <w:t>（如表</w:t>
      </w:r>
      <w:r w:rsidRPr="00131B9D">
        <w:t>3-2</w:t>
      </w:r>
      <w:r w:rsidRPr="00131B9D">
        <w:t>）</w:t>
      </w:r>
      <w:r w:rsidRPr="00131B9D">
        <w:rPr>
          <w:spacing w:val="-10"/>
        </w:rPr>
        <w:t>。</w:t>
      </w:r>
    </w:p>
    <w:p w:rsidR="00127C79" w:rsidRPr="00131B9D" w:rsidRDefault="00127C79" w:rsidP="00127C79">
      <w:pPr>
        <w:pStyle w:val="-"/>
        <w:spacing w:before="72" w:after="72"/>
        <w:ind w:firstLine="520"/>
        <w:rPr>
          <w:spacing w:val="-10"/>
        </w:rPr>
      </w:pPr>
      <w:r w:rsidRPr="00131B9D">
        <w:rPr>
          <w:spacing w:val="-10"/>
        </w:rPr>
        <w:t>中國大陸是全球最大的黃豆進口國，且中國大陸黃豆需求量亦為全球最高，佔全世界需求量約</w:t>
      </w:r>
      <w:r w:rsidRPr="00131B9D">
        <w:rPr>
          <w:spacing w:val="-10"/>
        </w:rPr>
        <w:t>3</w:t>
      </w:r>
      <w:r w:rsidRPr="00131B9D">
        <w:rPr>
          <w:spacing w:val="-10"/>
        </w:rPr>
        <w:t>成，</w:t>
      </w:r>
      <w:r w:rsidRPr="00131B9D">
        <w:rPr>
          <w:spacing w:val="-10"/>
        </w:rPr>
        <w:t>2015</w:t>
      </w:r>
      <w:r w:rsidRPr="00131B9D">
        <w:rPr>
          <w:spacing w:val="-10"/>
        </w:rPr>
        <w:t>年中國大陸</w:t>
      </w:r>
      <w:r w:rsidRPr="00131B9D">
        <w:rPr>
          <w:spacing w:val="-10"/>
        </w:rPr>
        <w:t>1</w:t>
      </w:r>
      <w:r w:rsidRPr="00131B9D">
        <w:rPr>
          <w:spacing w:val="-10"/>
        </w:rPr>
        <w:t>月黃豆進口量為</w:t>
      </w:r>
      <w:r w:rsidRPr="00131B9D">
        <w:rPr>
          <w:spacing w:val="-10"/>
        </w:rPr>
        <w:t>6.9</w:t>
      </w:r>
      <w:r w:rsidRPr="00131B9D">
        <w:rPr>
          <w:spacing w:val="-10"/>
        </w:rPr>
        <w:t>百萬噸，與</w:t>
      </w:r>
      <w:r w:rsidRPr="00131B9D">
        <w:rPr>
          <w:spacing w:val="-10"/>
        </w:rPr>
        <w:t>2014</w:t>
      </w:r>
      <w:r w:rsidRPr="00131B9D">
        <w:rPr>
          <w:spacing w:val="-10"/>
        </w:rPr>
        <w:t>年同期相比增長</w:t>
      </w:r>
      <w:r w:rsidRPr="00131B9D">
        <w:rPr>
          <w:spacing w:val="-10"/>
        </w:rPr>
        <w:t>16%</w:t>
      </w:r>
      <w:r w:rsidRPr="00131B9D">
        <w:rPr>
          <w:spacing w:val="-10"/>
        </w:rPr>
        <w:t>，但</w:t>
      </w:r>
      <w:r w:rsidRPr="00131B9D">
        <w:rPr>
          <w:spacing w:val="-10"/>
        </w:rPr>
        <w:t>2</w:t>
      </w:r>
      <w:r w:rsidRPr="00131B9D">
        <w:rPr>
          <w:spacing w:val="-10"/>
        </w:rPr>
        <w:t>月份黃豆進口量下滑至</w:t>
      </w:r>
      <w:r w:rsidRPr="00131B9D">
        <w:rPr>
          <w:spacing w:val="-10"/>
        </w:rPr>
        <w:t>4.3</w:t>
      </w:r>
      <w:r w:rsidRPr="00131B9D">
        <w:rPr>
          <w:spacing w:val="-10"/>
        </w:rPr>
        <w:t>百萬噸，主要是受到春節假期的影響；</w:t>
      </w:r>
      <w:r w:rsidRPr="00131B9D">
        <w:rPr>
          <w:spacing w:val="-10"/>
        </w:rPr>
        <w:t>3</w:t>
      </w:r>
      <w:r w:rsidRPr="00131B9D">
        <w:rPr>
          <w:spacing w:val="-10"/>
        </w:rPr>
        <w:t>月份進口</w:t>
      </w:r>
      <w:r w:rsidRPr="00131B9D">
        <w:rPr>
          <w:spacing w:val="-10"/>
        </w:rPr>
        <w:t>4.5</w:t>
      </w:r>
      <w:r w:rsidRPr="00131B9D">
        <w:rPr>
          <w:spacing w:val="-10"/>
        </w:rPr>
        <w:t>百萬噸；而</w:t>
      </w:r>
      <w:r w:rsidRPr="00131B9D">
        <w:rPr>
          <w:spacing w:val="-10"/>
        </w:rPr>
        <w:t>4</w:t>
      </w:r>
      <w:r w:rsidRPr="00131B9D">
        <w:rPr>
          <w:spacing w:val="-10"/>
        </w:rPr>
        <w:t>月份進口黃豆增加至</w:t>
      </w:r>
      <w:r w:rsidRPr="00131B9D">
        <w:rPr>
          <w:spacing w:val="-10"/>
        </w:rPr>
        <w:t>5.3</w:t>
      </w:r>
      <w:r w:rsidRPr="00131B9D">
        <w:rPr>
          <w:spacing w:val="-10"/>
        </w:rPr>
        <w:t>百萬噸，</w:t>
      </w:r>
      <w:r w:rsidRPr="00131B9D">
        <w:rPr>
          <w:spacing w:val="-10"/>
        </w:rPr>
        <w:t xml:space="preserve"> 2015</w:t>
      </w:r>
      <w:r w:rsidRPr="00131B9D">
        <w:rPr>
          <w:spacing w:val="-10"/>
        </w:rPr>
        <w:t>年</w:t>
      </w:r>
      <w:r w:rsidRPr="00131B9D">
        <w:rPr>
          <w:spacing w:val="-10"/>
        </w:rPr>
        <w:t>1-4</w:t>
      </w:r>
      <w:r w:rsidRPr="00131B9D">
        <w:rPr>
          <w:spacing w:val="-10"/>
        </w:rPr>
        <w:t>月中國大陸累計進口黃豆</w:t>
      </w:r>
      <w:r w:rsidRPr="00131B9D">
        <w:rPr>
          <w:spacing w:val="-10"/>
        </w:rPr>
        <w:t>2,094</w:t>
      </w:r>
      <w:r w:rsidRPr="00131B9D">
        <w:rPr>
          <w:spacing w:val="-10"/>
        </w:rPr>
        <w:t>萬噸，較</w:t>
      </w:r>
      <w:r w:rsidRPr="00131B9D">
        <w:rPr>
          <w:spacing w:val="-10"/>
        </w:rPr>
        <w:t>2014</w:t>
      </w:r>
      <w:r w:rsidRPr="00131B9D">
        <w:rPr>
          <w:spacing w:val="-10"/>
        </w:rPr>
        <w:t>年同期減少</w:t>
      </w:r>
      <w:r w:rsidRPr="00131B9D">
        <w:rPr>
          <w:spacing w:val="-10"/>
        </w:rPr>
        <w:t>4.1%</w:t>
      </w:r>
      <w:r w:rsidRPr="00131B9D">
        <w:rPr>
          <w:spacing w:val="-10"/>
        </w:rPr>
        <w:t>。中國大陸進口黃豆到港量在</w:t>
      </w:r>
      <w:r w:rsidRPr="00131B9D">
        <w:rPr>
          <w:spacing w:val="-10"/>
        </w:rPr>
        <w:t>7</w:t>
      </w:r>
      <w:r w:rsidRPr="00131B9D">
        <w:rPr>
          <w:spacing w:val="-10"/>
        </w:rPr>
        <w:t>月份連續第</w:t>
      </w:r>
      <w:r w:rsidRPr="00131B9D">
        <w:rPr>
          <w:spacing w:val="-10"/>
        </w:rPr>
        <w:t>5</w:t>
      </w:r>
      <w:r w:rsidRPr="00131B9D">
        <w:rPr>
          <w:spacing w:val="-10"/>
        </w:rPr>
        <w:t>個月增至</w:t>
      </w:r>
      <w:r w:rsidRPr="00131B9D">
        <w:rPr>
          <w:spacing w:val="-10"/>
        </w:rPr>
        <w:t>950</w:t>
      </w:r>
      <w:r w:rsidRPr="00131B9D">
        <w:rPr>
          <w:spacing w:val="-10"/>
        </w:rPr>
        <w:t>萬噸，並創歷史新高之後，</w:t>
      </w:r>
      <w:r w:rsidRPr="00131B9D">
        <w:rPr>
          <w:spacing w:val="-10"/>
        </w:rPr>
        <w:t>8</w:t>
      </w:r>
      <w:r w:rsidRPr="00131B9D">
        <w:rPr>
          <w:spacing w:val="-10"/>
        </w:rPr>
        <w:t>月份降至</w:t>
      </w:r>
      <w:r w:rsidRPr="00131B9D">
        <w:rPr>
          <w:spacing w:val="-10"/>
        </w:rPr>
        <w:t>850</w:t>
      </w:r>
      <w:r w:rsidRPr="00131B9D">
        <w:rPr>
          <w:spacing w:val="-10"/>
        </w:rPr>
        <w:t>萬噸以下，但仍處於歷史較高水準，且高於當月</w:t>
      </w:r>
      <w:r w:rsidRPr="00131B9D">
        <w:rPr>
          <w:spacing w:val="-10"/>
        </w:rPr>
        <w:t>750</w:t>
      </w:r>
      <w:r w:rsidRPr="00131B9D">
        <w:rPr>
          <w:spacing w:val="-10"/>
        </w:rPr>
        <w:t>萬噸左右的壓榨量，加上進口黃豆監管強度加大，使港口進口黃豆庫存繼續回升。大陸國家糧油資訊中心</w:t>
      </w:r>
      <w:r w:rsidRPr="00131B9D">
        <w:rPr>
          <w:spacing w:val="-10"/>
        </w:rPr>
        <w:t>9</w:t>
      </w:r>
      <w:r w:rsidRPr="00131B9D">
        <w:rPr>
          <w:spacing w:val="-10"/>
        </w:rPr>
        <w:t>月</w:t>
      </w:r>
      <w:r w:rsidRPr="00131B9D">
        <w:rPr>
          <w:spacing w:val="-10"/>
        </w:rPr>
        <w:t>7</w:t>
      </w:r>
      <w:r w:rsidRPr="00131B9D">
        <w:rPr>
          <w:spacing w:val="-10"/>
        </w:rPr>
        <w:t>日發佈的監測報告則顯示，中國大陸國內主要港口進口黃豆庫存超過</w:t>
      </w:r>
      <w:r w:rsidRPr="00131B9D">
        <w:rPr>
          <w:spacing w:val="-10"/>
        </w:rPr>
        <w:t>650</w:t>
      </w:r>
      <w:r w:rsidRPr="00131B9D">
        <w:rPr>
          <w:spacing w:val="-10"/>
        </w:rPr>
        <w:t>萬噸，較</w:t>
      </w:r>
      <w:r w:rsidRPr="00131B9D">
        <w:rPr>
          <w:spacing w:val="-10"/>
        </w:rPr>
        <w:t>8</w:t>
      </w:r>
      <w:r w:rsidRPr="00131B9D">
        <w:rPr>
          <w:spacing w:val="-10"/>
        </w:rPr>
        <w:t>月初增加</w:t>
      </w:r>
      <w:r w:rsidRPr="00131B9D">
        <w:rPr>
          <w:spacing w:val="-10"/>
        </w:rPr>
        <w:t>100</w:t>
      </w:r>
      <w:r w:rsidRPr="00131B9D">
        <w:rPr>
          <w:spacing w:val="-10"/>
        </w:rPr>
        <w:t>萬噸左右，略高於去年同期</w:t>
      </w:r>
      <w:r w:rsidRPr="00131B9D">
        <w:rPr>
          <w:spacing w:val="-10"/>
        </w:rPr>
        <w:t>640</w:t>
      </w:r>
      <w:r w:rsidRPr="00131B9D">
        <w:rPr>
          <w:spacing w:val="-10"/>
        </w:rPr>
        <w:t>萬噸的水準，遠高於今年初</w:t>
      </w:r>
      <w:r w:rsidRPr="00131B9D">
        <w:rPr>
          <w:spacing w:val="-10"/>
        </w:rPr>
        <w:t>400</w:t>
      </w:r>
      <w:r w:rsidRPr="00131B9D">
        <w:rPr>
          <w:spacing w:val="-10"/>
        </w:rPr>
        <w:t>萬噸以下的水準，處於近年來相對高點。而</w:t>
      </w:r>
      <w:r w:rsidRPr="00131B9D">
        <w:rPr>
          <w:spacing w:val="-10"/>
        </w:rPr>
        <w:t>10</w:t>
      </w:r>
      <w:r w:rsidRPr="00131B9D">
        <w:rPr>
          <w:spacing w:val="-10"/>
        </w:rPr>
        <w:t>月中旬庫存約</w:t>
      </w:r>
      <w:r w:rsidRPr="00131B9D">
        <w:rPr>
          <w:spacing w:val="-10"/>
        </w:rPr>
        <w:t>630</w:t>
      </w:r>
      <w:r w:rsidRPr="00131B9D">
        <w:rPr>
          <w:spacing w:val="-10"/>
        </w:rPr>
        <w:t>萬噸，</w:t>
      </w:r>
      <w:r w:rsidRPr="00131B9D">
        <w:rPr>
          <w:spacing w:val="-10"/>
        </w:rPr>
        <w:t>11</w:t>
      </w:r>
      <w:r w:rsidRPr="00131B9D">
        <w:rPr>
          <w:spacing w:val="-10"/>
        </w:rPr>
        <w:t>月</w:t>
      </w:r>
      <w:r w:rsidRPr="00131B9D">
        <w:rPr>
          <w:spacing w:val="-10"/>
        </w:rPr>
        <w:t>17</w:t>
      </w:r>
      <w:r w:rsidRPr="00131B9D">
        <w:rPr>
          <w:spacing w:val="-10"/>
        </w:rPr>
        <w:t>日中國大陸主要港口進口黃豆庫存繼續成長至約</w:t>
      </w:r>
      <w:r w:rsidRPr="00131B9D">
        <w:rPr>
          <w:spacing w:val="-10"/>
        </w:rPr>
        <w:t>710</w:t>
      </w:r>
      <w:r w:rsidRPr="00131B9D">
        <w:rPr>
          <w:spacing w:val="-10"/>
        </w:rPr>
        <w:t>萬噸左右。</w:t>
      </w:r>
    </w:p>
    <w:p w:rsidR="00F279F7" w:rsidRPr="00131B9D" w:rsidRDefault="00F279F7" w:rsidP="00F279F7">
      <w:pPr>
        <w:pStyle w:val="-"/>
        <w:spacing w:before="72" w:after="72"/>
        <w:ind w:firstLine="520"/>
        <w:rPr>
          <w:spacing w:val="-10"/>
        </w:rPr>
      </w:pPr>
      <w:r w:rsidRPr="00131B9D">
        <w:rPr>
          <w:spacing w:val="-10"/>
        </w:rPr>
        <w:t>其次，黃豆壓榨也會影響黃豆需求，依據</w:t>
      </w:r>
      <w:r w:rsidRPr="00131B9D">
        <w:rPr>
          <w:spacing w:val="-10"/>
        </w:rPr>
        <w:t>WASDE 11</w:t>
      </w:r>
      <w:r w:rsidRPr="00131B9D">
        <w:rPr>
          <w:spacing w:val="-10"/>
        </w:rPr>
        <w:t>月報告，</w:t>
      </w:r>
      <w:r w:rsidRPr="00131B9D">
        <w:rPr>
          <w:spacing w:val="-10"/>
        </w:rPr>
        <w:t>2014/2015</w:t>
      </w:r>
      <w:r w:rsidRPr="00131B9D">
        <w:rPr>
          <w:spacing w:val="-10"/>
        </w:rPr>
        <w:t>年全球估計黃豆總壓榨量為</w:t>
      </w:r>
      <w:r w:rsidRPr="00131B9D">
        <w:rPr>
          <w:spacing w:val="-10"/>
        </w:rPr>
        <w:t>261.50</w:t>
      </w:r>
      <w:r w:rsidRPr="00131B9D">
        <w:rPr>
          <w:spacing w:val="-10"/>
        </w:rPr>
        <w:t>百萬公噸，其中中國大陸壓榨</w:t>
      </w:r>
      <w:r w:rsidRPr="00131B9D">
        <w:rPr>
          <w:spacing w:val="-10"/>
        </w:rPr>
        <w:t>74.50</w:t>
      </w:r>
      <w:r w:rsidRPr="00131B9D">
        <w:rPr>
          <w:spacing w:val="-10"/>
        </w:rPr>
        <w:t>百萬公噸、美國壓榨</w:t>
      </w:r>
      <w:r w:rsidRPr="00131B9D">
        <w:rPr>
          <w:spacing w:val="-10"/>
        </w:rPr>
        <w:t>50.98</w:t>
      </w:r>
      <w:r w:rsidRPr="00131B9D">
        <w:rPr>
          <w:spacing w:val="-10"/>
        </w:rPr>
        <w:t>百萬公噸、阿根廷壓榨</w:t>
      </w:r>
      <w:r w:rsidRPr="00131B9D">
        <w:rPr>
          <w:spacing w:val="-10"/>
        </w:rPr>
        <w:t>40.19</w:t>
      </w:r>
      <w:r w:rsidRPr="00131B9D">
        <w:rPr>
          <w:spacing w:val="-10"/>
        </w:rPr>
        <w:t>百萬公噸、巴西壓榨</w:t>
      </w:r>
      <w:r w:rsidRPr="00131B9D">
        <w:rPr>
          <w:spacing w:val="-10"/>
        </w:rPr>
        <w:t>39.90</w:t>
      </w:r>
      <w:r w:rsidRPr="00131B9D">
        <w:rPr>
          <w:spacing w:val="-10"/>
        </w:rPr>
        <w:t>百萬公噸，壓榨量皆較前一次報告略為上調。而美國全國油籽加工商協會（</w:t>
      </w:r>
      <w:r w:rsidRPr="00131B9D">
        <w:rPr>
          <w:spacing w:val="-10"/>
        </w:rPr>
        <w:t>NOPA</w:t>
      </w:r>
      <w:r w:rsidRPr="00131B9D">
        <w:rPr>
          <w:spacing w:val="-10"/>
        </w:rPr>
        <w:t>）發佈的月度壓榨數據顯示，</w:t>
      </w:r>
      <w:r w:rsidRPr="00131B9D">
        <w:rPr>
          <w:spacing w:val="-10"/>
        </w:rPr>
        <w:t>2015</w:t>
      </w:r>
      <w:r w:rsidRPr="00131B9D">
        <w:rPr>
          <w:spacing w:val="-10"/>
        </w:rPr>
        <w:t>年</w:t>
      </w:r>
      <w:r w:rsidRPr="00131B9D">
        <w:rPr>
          <w:spacing w:val="-10"/>
        </w:rPr>
        <w:t>1</w:t>
      </w:r>
      <w:r w:rsidRPr="00131B9D">
        <w:rPr>
          <w:spacing w:val="-10"/>
        </w:rPr>
        <w:t>月份該協會的會員企業壓榨了</w:t>
      </w:r>
      <w:r w:rsidRPr="00131B9D">
        <w:rPr>
          <w:spacing w:val="-10"/>
        </w:rPr>
        <w:t>1.63</w:t>
      </w:r>
      <w:r w:rsidRPr="00131B9D">
        <w:rPr>
          <w:spacing w:val="-10"/>
        </w:rPr>
        <w:t>億英斗黃豆；</w:t>
      </w:r>
      <w:r w:rsidRPr="00131B9D">
        <w:rPr>
          <w:spacing w:val="-10"/>
        </w:rPr>
        <w:t>4</w:t>
      </w:r>
      <w:r w:rsidRPr="00131B9D">
        <w:rPr>
          <w:spacing w:val="-10"/>
        </w:rPr>
        <w:t>月份因部分壓榨廠季節性停工檢修，故壓榨量為</w:t>
      </w:r>
      <w:r w:rsidRPr="00131B9D">
        <w:rPr>
          <w:spacing w:val="-10"/>
        </w:rPr>
        <w:t>1.5</w:t>
      </w:r>
      <w:r w:rsidRPr="00131B9D">
        <w:rPr>
          <w:spacing w:val="-10"/>
        </w:rPr>
        <w:t>億英斗黃豆，低於</w:t>
      </w:r>
      <w:r w:rsidRPr="00131B9D">
        <w:rPr>
          <w:spacing w:val="-10"/>
        </w:rPr>
        <w:t>3</w:t>
      </w:r>
      <w:r w:rsidRPr="00131B9D">
        <w:rPr>
          <w:spacing w:val="-10"/>
        </w:rPr>
        <w:t>月份；而</w:t>
      </w:r>
      <w:r w:rsidRPr="00131B9D">
        <w:rPr>
          <w:spacing w:val="-10"/>
        </w:rPr>
        <w:t>5</w:t>
      </w:r>
      <w:r w:rsidRPr="00131B9D">
        <w:rPr>
          <w:spacing w:val="-10"/>
        </w:rPr>
        <w:t>月及</w:t>
      </w:r>
      <w:r w:rsidRPr="00131B9D">
        <w:rPr>
          <w:spacing w:val="-10"/>
        </w:rPr>
        <w:t>6</w:t>
      </w:r>
      <w:r w:rsidRPr="00131B9D">
        <w:rPr>
          <w:spacing w:val="-10"/>
        </w:rPr>
        <w:t>月的壓榨量分別為</w:t>
      </w:r>
      <w:r w:rsidRPr="00131B9D">
        <w:rPr>
          <w:spacing w:val="-10"/>
        </w:rPr>
        <w:t>1.48</w:t>
      </w:r>
      <w:r w:rsidRPr="00131B9D">
        <w:rPr>
          <w:spacing w:val="-10"/>
        </w:rPr>
        <w:t>億英斗黃豆與</w:t>
      </w:r>
      <w:r w:rsidRPr="00131B9D">
        <w:rPr>
          <w:spacing w:val="-10"/>
        </w:rPr>
        <w:t>1.43</w:t>
      </w:r>
      <w:r w:rsidRPr="00131B9D">
        <w:rPr>
          <w:spacing w:val="-10"/>
        </w:rPr>
        <w:t>億英斗黃豆，其中</w:t>
      </w:r>
      <w:r w:rsidRPr="00131B9D">
        <w:rPr>
          <w:spacing w:val="-10"/>
        </w:rPr>
        <w:t>5</w:t>
      </w:r>
      <w:r w:rsidRPr="00131B9D">
        <w:rPr>
          <w:spacing w:val="-10"/>
        </w:rPr>
        <w:t>月黃豆壓榨量創史上同期新高；</w:t>
      </w:r>
      <w:r w:rsidRPr="00131B9D">
        <w:rPr>
          <w:spacing w:val="-10"/>
        </w:rPr>
        <w:t>7</w:t>
      </w:r>
      <w:r w:rsidRPr="00131B9D">
        <w:rPr>
          <w:spacing w:val="-10"/>
        </w:rPr>
        <w:lastRenderedPageBreak/>
        <w:t>月份的壓榨量為</w:t>
      </w:r>
      <w:r w:rsidRPr="00131B9D">
        <w:rPr>
          <w:spacing w:val="-10"/>
        </w:rPr>
        <w:t>1.45</w:t>
      </w:r>
      <w:r w:rsidRPr="00131B9D">
        <w:rPr>
          <w:spacing w:val="-10"/>
        </w:rPr>
        <w:t>億英斗黃豆，亦創有紀錄以來的</w:t>
      </w:r>
      <w:r w:rsidRPr="00131B9D">
        <w:rPr>
          <w:spacing w:val="-10"/>
        </w:rPr>
        <w:t>7</w:t>
      </w:r>
      <w:r w:rsidRPr="00131B9D">
        <w:rPr>
          <w:spacing w:val="-10"/>
        </w:rPr>
        <w:t>月最高水準；此外，</w:t>
      </w:r>
      <w:r w:rsidRPr="00131B9D">
        <w:rPr>
          <w:spacing w:val="-10"/>
        </w:rPr>
        <w:t>10</w:t>
      </w:r>
      <w:r w:rsidRPr="00131B9D">
        <w:rPr>
          <w:spacing w:val="-10"/>
        </w:rPr>
        <w:t>月份為</w:t>
      </w:r>
      <w:r w:rsidRPr="00131B9D">
        <w:rPr>
          <w:spacing w:val="-10"/>
        </w:rPr>
        <w:t>1.59</w:t>
      </w:r>
      <w:r w:rsidRPr="00131B9D">
        <w:rPr>
          <w:spacing w:val="-10"/>
        </w:rPr>
        <w:t>億英斗黃豆，雖低於市場預期，但為</w:t>
      </w:r>
      <w:r w:rsidRPr="00131B9D">
        <w:rPr>
          <w:spacing w:val="-10"/>
        </w:rPr>
        <w:t>10</w:t>
      </w:r>
      <w:r w:rsidRPr="00131B9D">
        <w:rPr>
          <w:spacing w:val="-10"/>
        </w:rPr>
        <w:t>月份壓榨量的最高紀錄。</w:t>
      </w:r>
    </w:p>
    <w:p w:rsidR="00626D27" w:rsidRPr="00131B9D" w:rsidRDefault="00626D27" w:rsidP="00A95A73"/>
    <w:p w:rsidR="00F279F7" w:rsidRPr="00131B9D" w:rsidRDefault="00F279F7" w:rsidP="00F279F7">
      <w:pPr>
        <w:pStyle w:val="-"/>
        <w:spacing w:before="72" w:after="72"/>
        <w:ind w:firstLineChars="0" w:firstLine="0"/>
        <w:rPr>
          <w:b/>
        </w:rPr>
      </w:pPr>
      <w:r w:rsidRPr="00131B9D">
        <w:rPr>
          <w:b/>
        </w:rPr>
        <w:t>3.</w:t>
      </w:r>
      <w:r w:rsidRPr="00131B9D">
        <w:rPr>
          <w:b/>
        </w:rPr>
        <w:t xml:space="preserve">　</w:t>
      </w:r>
      <w:r w:rsidRPr="00131B9D">
        <w:rPr>
          <w:b/>
        </w:rPr>
        <w:t>2016</w:t>
      </w:r>
      <w:r w:rsidRPr="00131B9D">
        <w:rPr>
          <w:b/>
        </w:rPr>
        <w:t>年展望</w:t>
      </w:r>
    </w:p>
    <w:p w:rsidR="00626D27" w:rsidRPr="00131B9D" w:rsidRDefault="00127C79" w:rsidP="00C665AA">
      <w:pPr>
        <w:pStyle w:val="-"/>
        <w:spacing w:before="72" w:after="72"/>
        <w:ind w:firstLine="560"/>
      </w:pPr>
      <w:r w:rsidRPr="00131B9D">
        <w:t>國際穀物協會（</w:t>
      </w:r>
      <w:r w:rsidRPr="00131B9D">
        <w:t>International Grains Council</w:t>
      </w:r>
      <w:r w:rsidRPr="00131B9D">
        <w:t>）</w:t>
      </w:r>
      <w:r w:rsidRPr="00131B9D">
        <w:t>9</w:t>
      </w:r>
      <w:r w:rsidRPr="00131B9D">
        <w:t>月</w:t>
      </w:r>
      <w:r w:rsidRPr="00131B9D">
        <w:t>24</w:t>
      </w:r>
      <w:r w:rsidRPr="00131B9D">
        <w:t>日發布之穀物市場報告預測，</w:t>
      </w:r>
      <w:bookmarkStart w:id="70" w:name="OLE_LINK31"/>
      <w:bookmarkStart w:id="71" w:name="OLE_LINK32"/>
      <w:r w:rsidRPr="00131B9D">
        <w:t>2015/16</w:t>
      </w:r>
      <w:r w:rsidRPr="00131B9D">
        <w:t>年度全球黃豆產量為</w:t>
      </w:r>
      <w:r w:rsidRPr="00131B9D">
        <w:t>317</w:t>
      </w:r>
      <w:r w:rsidRPr="00131B9D">
        <w:t>百萬噸，僅較前一年度之創紀錄產量略低。儘管預期產量成長將趨緩，然庫存仍會達到高點，估計年度末庫存將提升</w:t>
      </w:r>
      <w:r w:rsidRPr="00131B9D">
        <w:t>5%</w:t>
      </w:r>
      <w:r w:rsidRPr="00131B9D">
        <w:t>。需求預期不會有太大提升，因此估計</w:t>
      </w:r>
      <w:r w:rsidRPr="00131B9D">
        <w:t>2016</w:t>
      </w:r>
      <w:r w:rsidRPr="00131B9D">
        <w:t>年黃豆價格仍會走低。</w:t>
      </w:r>
      <w:bookmarkEnd w:id="70"/>
      <w:bookmarkEnd w:id="71"/>
    </w:p>
    <w:p w:rsidR="00C665AA" w:rsidRPr="00131B9D" w:rsidRDefault="00C665AA" w:rsidP="00C665AA"/>
    <w:p w:rsidR="00626D27" w:rsidRPr="00131B9D" w:rsidRDefault="00A95A73" w:rsidP="00CD2B44">
      <w:pPr>
        <w:pStyle w:val="aff1"/>
        <w:spacing w:line="0" w:lineRule="atLeast"/>
        <w:rPr>
          <w:b w:val="0"/>
          <w:bCs/>
          <w:kern w:val="52"/>
          <w:szCs w:val="28"/>
        </w:rPr>
      </w:pPr>
      <w:bookmarkStart w:id="72" w:name="_Ref375206662"/>
      <w:bookmarkStart w:id="73" w:name="_Toc322707603"/>
      <w:bookmarkStart w:id="74" w:name="_Toc365015460"/>
      <w:bookmarkStart w:id="75" w:name="_Toc373682408"/>
      <w:bookmarkStart w:id="76" w:name="_Toc375298449"/>
      <w:bookmarkStart w:id="77" w:name="_Toc398909986"/>
      <w:bookmarkStart w:id="78" w:name="_Toc439162991"/>
      <w:r w:rsidRPr="00131B9D">
        <w:rPr>
          <w:bCs/>
          <w:kern w:val="52"/>
          <w:szCs w:val="28"/>
        </w:rPr>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2</w:t>
      </w:r>
      <w:r w:rsidRPr="00131B9D">
        <w:rPr>
          <w:b w:val="0"/>
          <w:bCs/>
          <w:kern w:val="52"/>
          <w:szCs w:val="28"/>
        </w:rPr>
        <w:fldChar w:fldCharType="end"/>
      </w:r>
      <w:r w:rsidR="00626D27" w:rsidRPr="00131B9D">
        <w:rPr>
          <w:bCs/>
          <w:kern w:val="52"/>
          <w:szCs w:val="28"/>
        </w:rPr>
        <w:t xml:space="preserve">　全球</w:t>
      </w:r>
      <w:r w:rsidR="00626D27" w:rsidRPr="00131B9D">
        <w:rPr>
          <w:szCs w:val="28"/>
        </w:rPr>
        <w:t>黃豆</w:t>
      </w:r>
      <w:r w:rsidR="00626D27" w:rsidRPr="00131B9D">
        <w:rPr>
          <w:bCs/>
          <w:kern w:val="52"/>
          <w:szCs w:val="28"/>
        </w:rPr>
        <w:t>供需概況</w:t>
      </w:r>
      <w:bookmarkEnd w:id="72"/>
      <w:bookmarkEnd w:id="73"/>
      <w:bookmarkEnd w:id="74"/>
      <w:bookmarkEnd w:id="75"/>
      <w:bookmarkEnd w:id="76"/>
      <w:bookmarkEnd w:id="77"/>
      <w:bookmarkEnd w:id="78"/>
    </w:p>
    <w:tbl>
      <w:tblPr>
        <w:tblW w:w="8640" w:type="dxa"/>
        <w:tblInd w:w="13" w:type="dxa"/>
        <w:tblCellMar>
          <w:left w:w="28" w:type="dxa"/>
          <w:right w:w="28" w:type="dxa"/>
        </w:tblCellMar>
        <w:tblLook w:val="00A0" w:firstRow="1" w:lastRow="0" w:firstColumn="1" w:lastColumn="0" w:noHBand="0" w:noVBand="0"/>
      </w:tblPr>
      <w:tblGrid>
        <w:gridCol w:w="488"/>
        <w:gridCol w:w="2040"/>
        <w:gridCol w:w="850"/>
        <w:gridCol w:w="993"/>
        <w:gridCol w:w="850"/>
        <w:gridCol w:w="851"/>
        <w:gridCol w:w="850"/>
        <w:gridCol w:w="798"/>
        <w:gridCol w:w="920"/>
      </w:tblGrid>
      <w:tr w:rsidR="00F279F7" w:rsidRPr="00131B9D" w:rsidTr="00F279F7">
        <w:trPr>
          <w:trHeight w:val="339"/>
        </w:trPr>
        <w:tc>
          <w:tcPr>
            <w:tcW w:w="2528" w:type="dxa"/>
            <w:gridSpan w:val="2"/>
            <w:vMerge w:val="restart"/>
            <w:tcBorders>
              <w:top w:val="single" w:sz="8" w:space="0" w:color="auto"/>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（百萬公噸）</w:t>
            </w:r>
          </w:p>
        </w:tc>
        <w:tc>
          <w:tcPr>
            <w:tcW w:w="2693" w:type="dxa"/>
            <w:gridSpan w:val="3"/>
            <w:tcBorders>
              <w:top w:val="single" w:sz="8" w:space="0" w:color="auto"/>
              <w:left w:val="nil"/>
              <w:bottom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供給</w:t>
            </w:r>
          </w:p>
        </w:tc>
        <w:tc>
          <w:tcPr>
            <w:tcW w:w="2499" w:type="dxa"/>
            <w:gridSpan w:val="3"/>
            <w:tcBorders>
              <w:top w:val="single" w:sz="8" w:space="0" w:color="auto"/>
              <w:left w:val="nil"/>
              <w:bottom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需求</w:t>
            </w:r>
          </w:p>
        </w:tc>
        <w:tc>
          <w:tcPr>
            <w:tcW w:w="920" w:type="dxa"/>
            <w:vMerge w:val="restart"/>
            <w:tcBorders>
              <w:top w:val="single" w:sz="8" w:space="0" w:color="auto"/>
              <w:left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p w:rsidR="00F279F7" w:rsidRPr="00131B9D" w:rsidRDefault="00F279F7" w:rsidP="00F279F7">
            <w:pPr>
              <w:spacing w:line="240" w:lineRule="exact"/>
              <w:jc w:val="center"/>
              <w:rPr>
                <w:rFonts w:eastAsia="標楷體"/>
                <w:kern w:val="0"/>
              </w:rPr>
            </w:pPr>
            <w:r w:rsidRPr="00131B9D">
              <w:rPr>
                <w:rFonts w:eastAsia="標楷體"/>
                <w:kern w:val="0"/>
              </w:rPr>
              <w:t>變化</w:t>
            </w:r>
          </w:p>
        </w:tc>
      </w:tr>
      <w:tr w:rsidR="00F279F7" w:rsidRPr="00131B9D" w:rsidTr="00F279F7">
        <w:trPr>
          <w:trHeight w:val="336"/>
        </w:trPr>
        <w:tc>
          <w:tcPr>
            <w:tcW w:w="2528" w:type="dxa"/>
            <w:gridSpan w:val="2"/>
            <w:vMerge/>
            <w:tcBorders>
              <w:top w:val="single" w:sz="8" w:space="0" w:color="auto"/>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850" w:type="dxa"/>
            <w:tcBorders>
              <w:top w:val="nil"/>
              <w:left w:val="nil"/>
              <w:bottom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期初</w:t>
            </w:r>
          </w:p>
        </w:tc>
        <w:tc>
          <w:tcPr>
            <w:tcW w:w="993"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生產</w:t>
            </w:r>
          </w:p>
        </w:tc>
        <w:tc>
          <w:tcPr>
            <w:tcW w:w="850"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進口</w:t>
            </w:r>
          </w:p>
        </w:tc>
        <w:tc>
          <w:tcPr>
            <w:tcW w:w="851"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國內</w:t>
            </w:r>
          </w:p>
        </w:tc>
        <w:tc>
          <w:tcPr>
            <w:tcW w:w="850"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出口</w:t>
            </w:r>
          </w:p>
        </w:tc>
        <w:tc>
          <w:tcPr>
            <w:tcW w:w="798" w:type="dxa"/>
            <w:tcBorders>
              <w:top w:val="nil"/>
              <w:left w:val="nil"/>
              <w:bottom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期末</w:t>
            </w:r>
          </w:p>
        </w:tc>
        <w:tc>
          <w:tcPr>
            <w:tcW w:w="920" w:type="dxa"/>
            <w:vMerge/>
            <w:tcBorders>
              <w:left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r>
      <w:tr w:rsidR="00F279F7" w:rsidRPr="00131B9D" w:rsidTr="00F279F7">
        <w:trPr>
          <w:trHeight w:val="53"/>
        </w:trPr>
        <w:tc>
          <w:tcPr>
            <w:tcW w:w="2528" w:type="dxa"/>
            <w:gridSpan w:val="2"/>
            <w:vMerge/>
            <w:tcBorders>
              <w:top w:val="single" w:sz="8" w:space="0" w:color="auto"/>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850" w:type="dxa"/>
            <w:tcBorders>
              <w:top w:val="nil"/>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tc>
        <w:tc>
          <w:tcPr>
            <w:tcW w:w="993"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50"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51"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50"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798" w:type="dxa"/>
            <w:tcBorders>
              <w:top w:val="nil"/>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tc>
        <w:tc>
          <w:tcPr>
            <w:tcW w:w="920" w:type="dxa"/>
            <w:vMerge/>
            <w:tcBorders>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r>
      <w:tr w:rsidR="00F279F7" w:rsidRPr="00131B9D" w:rsidTr="00F279F7">
        <w:trPr>
          <w:trHeight w:val="54"/>
        </w:trPr>
        <w:tc>
          <w:tcPr>
            <w:tcW w:w="488"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bookmarkStart w:id="79" w:name="_Hlk435102714"/>
            <w:r w:rsidRPr="00131B9D">
              <w:rPr>
                <w:rFonts w:eastAsia="標楷體"/>
                <w:kern w:val="0"/>
              </w:rPr>
              <w:t>全</w:t>
            </w:r>
          </w:p>
          <w:p w:rsidR="00F279F7" w:rsidRPr="00131B9D" w:rsidRDefault="00F279F7" w:rsidP="00F279F7">
            <w:pPr>
              <w:widowControl/>
              <w:spacing w:line="240" w:lineRule="exact"/>
              <w:jc w:val="center"/>
              <w:rPr>
                <w:rFonts w:eastAsia="標楷體"/>
                <w:kern w:val="0"/>
              </w:rPr>
            </w:pPr>
            <w:r w:rsidRPr="00131B9D">
              <w:rPr>
                <w:rFonts w:eastAsia="標楷體"/>
                <w:kern w:val="0"/>
              </w:rPr>
              <w:t>球</w:t>
            </w: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56.19</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283.15</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111.71</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275.73</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112.64</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62.68</w:t>
            </w:r>
          </w:p>
        </w:tc>
        <w:tc>
          <w:tcPr>
            <w:tcW w:w="920" w:type="dxa"/>
            <w:tcBorders>
              <w:top w:val="nil"/>
              <w:left w:val="nil"/>
              <w:bottom w:val="single" w:sz="8" w:space="0" w:color="000000"/>
              <w:right w:val="single" w:sz="8" w:space="0" w:color="auto"/>
            </w:tcBorders>
            <w:vAlign w:val="center"/>
          </w:tcPr>
          <w:p w:rsidR="00F279F7" w:rsidRPr="00131B9D" w:rsidRDefault="00F279F7" w:rsidP="00F279F7">
            <w:pPr>
              <w:snapToGrid w:val="0"/>
              <w:jc w:val="center"/>
              <w:rPr>
                <w:sz w:val="23"/>
                <w:szCs w:val="23"/>
              </w:rPr>
            </w:pPr>
            <w:r w:rsidRPr="00131B9D">
              <w:rPr>
                <w:sz w:val="23"/>
                <w:szCs w:val="23"/>
              </w:rPr>
              <w:t>-</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62.68</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318.68</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122.08</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299.24</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126.62</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77.58</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11.55%</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77.97</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320.49</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123.92</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310.47</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126.77</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85.14</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24.39%</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77.58</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321.02</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125.67</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312.33</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129.08</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82.86</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23.77%</w:t>
            </w:r>
          </w:p>
        </w:tc>
      </w:tr>
      <w:bookmarkEnd w:id="79"/>
      <w:tr w:rsidR="00F279F7" w:rsidRPr="00131B9D" w:rsidTr="00F279F7">
        <w:trPr>
          <w:trHeight w:val="54"/>
        </w:trPr>
        <w:tc>
          <w:tcPr>
            <w:tcW w:w="8640" w:type="dxa"/>
            <w:gridSpan w:val="9"/>
            <w:tcBorders>
              <w:top w:val="single" w:sz="8" w:space="0" w:color="auto"/>
              <w:left w:val="single" w:sz="8" w:space="0" w:color="auto"/>
              <w:bottom w:val="single" w:sz="8" w:space="0" w:color="auto"/>
              <w:right w:val="single" w:sz="8" w:space="0" w:color="000000"/>
            </w:tcBorders>
            <w:vAlign w:val="center"/>
          </w:tcPr>
          <w:p w:rsidR="00F279F7" w:rsidRPr="00131B9D" w:rsidRDefault="00F279F7" w:rsidP="00F279F7">
            <w:pPr>
              <w:widowControl/>
              <w:adjustRightInd w:val="0"/>
              <w:snapToGrid w:val="0"/>
              <w:spacing w:beforeLines="10" w:before="36" w:afterLines="10" w:after="36"/>
              <w:jc w:val="center"/>
              <w:rPr>
                <w:rFonts w:eastAsia="標楷體"/>
                <w:b/>
                <w:bCs/>
                <w:kern w:val="0"/>
              </w:rPr>
            </w:pPr>
            <w:r w:rsidRPr="00131B9D">
              <w:rPr>
                <w:rFonts w:eastAsia="標楷體"/>
                <w:b/>
                <w:kern w:val="0"/>
                <w:sz w:val="23"/>
                <w:szCs w:val="23"/>
              </w:rPr>
              <w:t>主要供給國</w:t>
            </w:r>
          </w:p>
        </w:tc>
      </w:tr>
      <w:tr w:rsidR="00F279F7" w:rsidRPr="00131B9D" w:rsidTr="00F279F7">
        <w:trPr>
          <w:trHeight w:val="54"/>
        </w:trPr>
        <w:tc>
          <w:tcPr>
            <w:tcW w:w="488"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美</w:t>
            </w:r>
          </w:p>
          <w:p w:rsidR="00F279F7" w:rsidRPr="00131B9D" w:rsidRDefault="00F279F7" w:rsidP="00F279F7">
            <w:pPr>
              <w:widowControl/>
              <w:spacing w:line="240" w:lineRule="exact"/>
              <w:jc w:val="center"/>
              <w:rPr>
                <w:rFonts w:eastAsia="標楷體"/>
                <w:kern w:val="0"/>
              </w:rPr>
            </w:pPr>
            <w:r w:rsidRPr="00131B9D">
              <w:rPr>
                <w:rFonts w:eastAsia="標楷體"/>
                <w:kern w:val="0"/>
              </w:rPr>
              <w:t>國</w:t>
            </w: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3.83</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91.39</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1.95</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50.09</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44.57</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2.5</w:t>
            </w:r>
          </w:p>
        </w:tc>
        <w:tc>
          <w:tcPr>
            <w:tcW w:w="920" w:type="dxa"/>
            <w:tcBorders>
              <w:top w:val="nil"/>
              <w:left w:val="nil"/>
              <w:bottom w:val="single" w:sz="8" w:space="0" w:color="000000"/>
              <w:right w:val="single" w:sz="8" w:space="0" w:color="auto"/>
            </w:tcBorders>
            <w:vAlign w:val="center"/>
          </w:tcPr>
          <w:p w:rsidR="00F279F7" w:rsidRPr="00131B9D" w:rsidRDefault="00F279F7" w:rsidP="00F279F7">
            <w:pPr>
              <w:adjustRightInd w:val="0"/>
              <w:snapToGrid w:val="0"/>
              <w:jc w:val="center"/>
              <w:rPr>
                <w:sz w:val="23"/>
                <w:szCs w:val="23"/>
              </w:rPr>
            </w:pPr>
            <w:r w:rsidRPr="00131B9D">
              <w:rPr>
                <w:sz w:val="23"/>
                <w:szCs w:val="23"/>
              </w:rPr>
              <w:t>-</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2.5</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106.88</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0.9</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54.91</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50.17</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5.21</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-34.73%</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5.21</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105.81</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0.82</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54.69</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45.59</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11.56</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108.40%</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5.21</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108.35</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0.82</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55.06</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46.68</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12.65</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108.40%</w:t>
            </w:r>
          </w:p>
        </w:tc>
      </w:tr>
      <w:tr w:rsidR="00F279F7" w:rsidRPr="00131B9D" w:rsidTr="00F279F7">
        <w:trPr>
          <w:trHeight w:val="54"/>
        </w:trPr>
        <w:tc>
          <w:tcPr>
            <w:tcW w:w="488"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巴</w:t>
            </w:r>
          </w:p>
          <w:p w:rsidR="00F279F7" w:rsidRPr="00131B9D" w:rsidRDefault="00F279F7" w:rsidP="00F279F7">
            <w:pPr>
              <w:widowControl/>
              <w:spacing w:line="240" w:lineRule="exact"/>
              <w:jc w:val="center"/>
              <w:rPr>
                <w:rFonts w:eastAsia="標楷體"/>
                <w:kern w:val="0"/>
              </w:rPr>
            </w:pPr>
            <w:r w:rsidRPr="00131B9D">
              <w:rPr>
                <w:rFonts w:eastAsia="標楷體"/>
                <w:kern w:val="0"/>
              </w:rPr>
              <w:t>西</w:t>
            </w: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15.33</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86.7</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0.61</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39.86</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46.83</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15.95</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15.95</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96.2</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0.31</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42.95</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51.11</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18.39</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4.04%</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18.71</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100</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0.25</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42.77</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56.45</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19.74</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17.30%</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18.39</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100</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0.3</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43.1</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57</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18.59</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15.30%</w:t>
            </w:r>
          </w:p>
        </w:tc>
      </w:tr>
      <w:tr w:rsidR="00F279F7" w:rsidRPr="00131B9D" w:rsidTr="00F279F7">
        <w:trPr>
          <w:trHeight w:val="54"/>
        </w:trPr>
        <w:tc>
          <w:tcPr>
            <w:tcW w:w="488"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阿根</w:t>
            </w:r>
          </w:p>
          <w:p w:rsidR="00F279F7" w:rsidRPr="00131B9D" w:rsidRDefault="00F279F7" w:rsidP="00F279F7">
            <w:pPr>
              <w:widowControl/>
              <w:spacing w:line="240" w:lineRule="exact"/>
              <w:jc w:val="center"/>
              <w:rPr>
                <w:rFonts w:eastAsia="標楷體"/>
                <w:kern w:val="0"/>
              </w:rPr>
            </w:pPr>
            <w:r w:rsidRPr="00131B9D">
              <w:rPr>
                <w:rFonts w:eastAsia="標楷體"/>
                <w:kern w:val="0"/>
              </w:rPr>
              <w:t>廷</w:t>
            </w: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20.96</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53.5</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40.57</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7.84</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26.05</w:t>
            </w:r>
          </w:p>
        </w:tc>
        <w:tc>
          <w:tcPr>
            <w:tcW w:w="920" w:type="dxa"/>
            <w:tcBorders>
              <w:top w:val="nil"/>
              <w:left w:val="nil"/>
              <w:bottom w:val="single" w:sz="8" w:space="0" w:color="000000"/>
              <w:right w:val="single" w:sz="8" w:space="0" w:color="auto"/>
            </w:tcBorders>
            <w:vAlign w:val="center"/>
          </w:tcPr>
          <w:p w:rsidR="00F279F7" w:rsidRPr="00131B9D" w:rsidRDefault="00F279F7" w:rsidP="00F279F7">
            <w:pPr>
              <w:adjustRightInd w:val="0"/>
              <w:snapToGrid w:val="0"/>
              <w:jc w:val="center"/>
              <w:rPr>
                <w:sz w:val="23"/>
                <w:szCs w:val="23"/>
              </w:rPr>
            </w:pPr>
            <w:r w:rsidRPr="00131B9D">
              <w:rPr>
                <w:sz w:val="23"/>
                <w:szCs w:val="23"/>
              </w:rPr>
              <w:t>-</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26.05</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60.8</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45.18</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10.57</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31.1</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24.28%</w:t>
            </w:r>
          </w:p>
        </w:tc>
      </w:tr>
      <w:tr w:rsidR="00F279F7" w:rsidRPr="00131B9D" w:rsidTr="00F279F7">
        <w:trPr>
          <w:trHeight w:val="54"/>
        </w:trPr>
        <w:tc>
          <w:tcPr>
            <w:tcW w:w="488"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32.25</w:t>
            </w:r>
          </w:p>
        </w:tc>
        <w:tc>
          <w:tcPr>
            <w:tcW w:w="993"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57</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w:t>
            </w:r>
          </w:p>
        </w:tc>
        <w:tc>
          <w:tcPr>
            <w:tcW w:w="851"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46.6</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9.75</w:t>
            </w:r>
          </w:p>
        </w:tc>
        <w:tc>
          <w:tcPr>
            <w:tcW w:w="79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32.9</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23.80%</w:t>
            </w:r>
          </w:p>
        </w:tc>
      </w:tr>
      <w:tr w:rsidR="00F279F7" w:rsidRPr="00131B9D" w:rsidTr="00F279F7">
        <w:trPr>
          <w:trHeight w:val="54"/>
        </w:trPr>
        <w:tc>
          <w:tcPr>
            <w:tcW w:w="488" w:type="dxa"/>
            <w:vMerge/>
            <w:tcBorders>
              <w:top w:val="nil"/>
              <w:left w:val="single" w:sz="8" w:space="0" w:color="auto"/>
              <w:bottom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40" w:type="dxa"/>
            <w:tcBorders>
              <w:top w:val="nil"/>
              <w:left w:val="nil"/>
              <w:bottom w:val="single" w:sz="8" w:space="0" w:color="auto"/>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31.1</w:t>
            </w:r>
          </w:p>
        </w:tc>
        <w:tc>
          <w:tcPr>
            <w:tcW w:w="993"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57</w:t>
            </w:r>
          </w:p>
        </w:tc>
        <w:tc>
          <w:tcPr>
            <w:tcW w:w="850"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w:t>
            </w:r>
          </w:p>
        </w:tc>
        <w:tc>
          <w:tcPr>
            <w:tcW w:w="851"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47.05</w:t>
            </w:r>
          </w:p>
        </w:tc>
        <w:tc>
          <w:tcPr>
            <w:tcW w:w="850"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10.75</w:t>
            </w:r>
          </w:p>
        </w:tc>
        <w:tc>
          <w:tcPr>
            <w:tcW w:w="798"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30.3</w:t>
            </w:r>
          </w:p>
        </w:tc>
        <w:tc>
          <w:tcPr>
            <w:tcW w:w="920"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19.39%</w:t>
            </w:r>
          </w:p>
        </w:tc>
      </w:tr>
    </w:tbl>
    <w:p w:rsidR="00C665AA" w:rsidRPr="00131B9D" w:rsidRDefault="00C665AA" w:rsidP="00626D27">
      <w:pPr>
        <w:spacing w:beforeLines="50" w:before="180" w:line="240" w:lineRule="exact"/>
        <w:rPr>
          <w:rFonts w:eastAsia="標楷體"/>
          <w:sz w:val="20"/>
          <w:szCs w:val="20"/>
        </w:rPr>
        <w:sectPr w:rsidR="00C665AA" w:rsidRPr="00131B9D" w:rsidSect="00097B8D">
          <w:pgSz w:w="11906" w:h="16838"/>
          <w:pgMar w:top="1440" w:right="1800" w:bottom="1440" w:left="1800" w:header="851" w:footer="992" w:gutter="0"/>
          <w:cols w:space="425"/>
          <w:docGrid w:type="lines" w:linePitch="360"/>
        </w:sectPr>
      </w:pPr>
    </w:p>
    <w:p w:rsidR="00C665AA" w:rsidRPr="00131B9D" w:rsidRDefault="00C665AA" w:rsidP="00C665AA">
      <w:pPr>
        <w:spacing w:line="0" w:lineRule="atLeast"/>
        <w:jc w:val="center"/>
      </w:pPr>
      <w:r w:rsidRPr="00131B9D">
        <w:rPr>
          <w:rFonts w:eastAsia="標楷體"/>
          <w:b/>
          <w:sz w:val="28"/>
          <w:szCs w:val="28"/>
        </w:rPr>
        <w:lastRenderedPageBreak/>
        <w:t>表</w:t>
      </w:r>
      <w:r w:rsidRPr="00131B9D">
        <w:rPr>
          <w:rFonts w:eastAsia="標楷體"/>
          <w:b/>
          <w:sz w:val="28"/>
          <w:szCs w:val="28"/>
        </w:rPr>
        <w:t xml:space="preserve">3- </w:t>
      </w:r>
      <w:r w:rsidR="00473701" w:rsidRPr="00131B9D">
        <w:rPr>
          <w:rFonts w:eastAsia="標楷體"/>
          <w:b/>
          <w:sz w:val="28"/>
          <w:szCs w:val="28"/>
        </w:rPr>
        <w:t>2</w:t>
      </w:r>
      <w:r w:rsidRPr="00131B9D">
        <w:rPr>
          <w:rFonts w:eastAsia="標楷體"/>
          <w:b/>
          <w:sz w:val="28"/>
          <w:szCs w:val="28"/>
        </w:rPr>
        <w:t xml:space="preserve">　全球黃豆供需概況</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8640" w:type="dxa"/>
        <w:tblInd w:w="13" w:type="dxa"/>
        <w:tblCellMar>
          <w:left w:w="28" w:type="dxa"/>
          <w:right w:w="28" w:type="dxa"/>
        </w:tblCellMar>
        <w:tblLook w:val="00A0" w:firstRow="1" w:lastRow="0" w:firstColumn="1" w:lastColumn="0" w:noHBand="0" w:noVBand="0"/>
      </w:tblPr>
      <w:tblGrid>
        <w:gridCol w:w="488"/>
        <w:gridCol w:w="2040"/>
        <w:gridCol w:w="850"/>
        <w:gridCol w:w="993"/>
        <w:gridCol w:w="850"/>
        <w:gridCol w:w="851"/>
        <w:gridCol w:w="850"/>
        <w:gridCol w:w="798"/>
        <w:gridCol w:w="920"/>
      </w:tblGrid>
      <w:tr w:rsidR="00C665AA" w:rsidRPr="00131B9D" w:rsidTr="00473701">
        <w:trPr>
          <w:trHeight w:val="339"/>
        </w:trPr>
        <w:tc>
          <w:tcPr>
            <w:tcW w:w="2528" w:type="dxa"/>
            <w:gridSpan w:val="2"/>
            <w:vMerge w:val="restart"/>
            <w:tcBorders>
              <w:top w:val="single" w:sz="8" w:space="0" w:color="auto"/>
              <w:left w:val="single" w:sz="8" w:space="0" w:color="auto"/>
              <w:bottom w:val="single" w:sz="8" w:space="0" w:color="000000"/>
              <w:right w:val="single" w:sz="8" w:space="0" w:color="000000"/>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（百萬公噸）</w:t>
            </w:r>
          </w:p>
        </w:tc>
        <w:tc>
          <w:tcPr>
            <w:tcW w:w="2693" w:type="dxa"/>
            <w:gridSpan w:val="3"/>
            <w:tcBorders>
              <w:top w:val="single" w:sz="8" w:space="0" w:color="auto"/>
              <w:left w:val="nil"/>
              <w:bottom w:val="single" w:sz="8" w:space="0" w:color="auto"/>
              <w:right w:val="single" w:sz="8" w:space="0" w:color="000000"/>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供給</w:t>
            </w:r>
          </w:p>
        </w:tc>
        <w:tc>
          <w:tcPr>
            <w:tcW w:w="2499" w:type="dxa"/>
            <w:gridSpan w:val="3"/>
            <w:tcBorders>
              <w:top w:val="single" w:sz="8" w:space="0" w:color="auto"/>
              <w:left w:val="nil"/>
              <w:bottom w:val="single" w:sz="8" w:space="0" w:color="auto"/>
              <w:right w:val="single" w:sz="8" w:space="0" w:color="000000"/>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需求</w:t>
            </w:r>
          </w:p>
        </w:tc>
        <w:tc>
          <w:tcPr>
            <w:tcW w:w="920" w:type="dxa"/>
            <w:vMerge w:val="restart"/>
            <w:tcBorders>
              <w:top w:val="single" w:sz="8" w:space="0" w:color="auto"/>
              <w:left w:val="nil"/>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庫存</w:t>
            </w:r>
          </w:p>
          <w:p w:rsidR="00C665AA" w:rsidRPr="00131B9D" w:rsidRDefault="00C665AA" w:rsidP="00473701">
            <w:pPr>
              <w:spacing w:line="240" w:lineRule="exact"/>
              <w:jc w:val="center"/>
              <w:rPr>
                <w:rFonts w:eastAsia="標楷體"/>
                <w:kern w:val="0"/>
              </w:rPr>
            </w:pPr>
            <w:r w:rsidRPr="00131B9D">
              <w:rPr>
                <w:rFonts w:eastAsia="標楷體"/>
                <w:kern w:val="0"/>
              </w:rPr>
              <w:t>變化</w:t>
            </w:r>
          </w:p>
        </w:tc>
      </w:tr>
      <w:tr w:rsidR="00C665AA" w:rsidRPr="00131B9D" w:rsidTr="00473701">
        <w:trPr>
          <w:trHeight w:val="336"/>
        </w:trPr>
        <w:tc>
          <w:tcPr>
            <w:tcW w:w="2528" w:type="dxa"/>
            <w:gridSpan w:val="2"/>
            <w:vMerge/>
            <w:tcBorders>
              <w:top w:val="single" w:sz="8" w:space="0" w:color="auto"/>
              <w:left w:val="single" w:sz="8" w:space="0" w:color="auto"/>
              <w:bottom w:val="single" w:sz="8" w:space="0" w:color="000000"/>
              <w:right w:val="single" w:sz="8" w:space="0" w:color="000000"/>
            </w:tcBorders>
            <w:vAlign w:val="center"/>
          </w:tcPr>
          <w:p w:rsidR="00C665AA" w:rsidRPr="00131B9D" w:rsidRDefault="00C665AA" w:rsidP="00473701">
            <w:pPr>
              <w:widowControl/>
              <w:spacing w:line="240" w:lineRule="exact"/>
              <w:jc w:val="center"/>
              <w:rPr>
                <w:rFonts w:eastAsia="標楷體"/>
                <w:kern w:val="0"/>
              </w:rPr>
            </w:pPr>
          </w:p>
        </w:tc>
        <w:tc>
          <w:tcPr>
            <w:tcW w:w="850" w:type="dxa"/>
            <w:tcBorders>
              <w:top w:val="nil"/>
              <w:left w:val="nil"/>
              <w:bottom w:val="nil"/>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期初</w:t>
            </w:r>
          </w:p>
        </w:tc>
        <w:tc>
          <w:tcPr>
            <w:tcW w:w="993" w:type="dxa"/>
            <w:vMerge w:val="restart"/>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生產</w:t>
            </w:r>
          </w:p>
        </w:tc>
        <w:tc>
          <w:tcPr>
            <w:tcW w:w="850" w:type="dxa"/>
            <w:vMerge w:val="restart"/>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進口</w:t>
            </w:r>
          </w:p>
        </w:tc>
        <w:tc>
          <w:tcPr>
            <w:tcW w:w="851" w:type="dxa"/>
            <w:vMerge w:val="restart"/>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國內</w:t>
            </w:r>
          </w:p>
        </w:tc>
        <w:tc>
          <w:tcPr>
            <w:tcW w:w="850" w:type="dxa"/>
            <w:vMerge w:val="restart"/>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出口</w:t>
            </w:r>
          </w:p>
        </w:tc>
        <w:tc>
          <w:tcPr>
            <w:tcW w:w="798" w:type="dxa"/>
            <w:tcBorders>
              <w:top w:val="nil"/>
              <w:left w:val="nil"/>
              <w:bottom w:val="nil"/>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期末</w:t>
            </w:r>
          </w:p>
        </w:tc>
        <w:tc>
          <w:tcPr>
            <w:tcW w:w="920" w:type="dxa"/>
            <w:vMerge/>
            <w:tcBorders>
              <w:left w:val="nil"/>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r>
      <w:tr w:rsidR="00C665AA" w:rsidRPr="00131B9D" w:rsidTr="00473701">
        <w:trPr>
          <w:trHeight w:val="53"/>
        </w:trPr>
        <w:tc>
          <w:tcPr>
            <w:tcW w:w="2528" w:type="dxa"/>
            <w:gridSpan w:val="2"/>
            <w:vMerge/>
            <w:tcBorders>
              <w:top w:val="single" w:sz="8" w:space="0" w:color="auto"/>
              <w:left w:val="single" w:sz="8" w:space="0" w:color="auto"/>
              <w:bottom w:val="single" w:sz="8" w:space="0" w:color="000000"/>
              <w:right w:val="single" w:sz="8" w:space="0" w:color="000000"/>
            </w:tcBorders>
            <w:vAlign w:val="center"/>
          </w:tcPr>
          <w:p w:rsidR="00C665AA" w:rsidRPr="00131B9D" w:rsidRDefault="00C665AA" w:rsidP="00473701">
            <w:pPr>
              <w:widowControl/>
              <w:spacing w:line="240" w:lineRule="exact"/>
              <w:jc w:val="center"/>
              <w:rPr>
                <w:rFonts w:eastAsia="標楷體"/>
                <w:kern w:val="0"/>
              </w:rPr>
            </w:pPr>
          </w:p>
        </w:tc>
        <w:tc>
          <w:tcPr>
            <w:tcW w:w="850" w:type="dxa"/>
            <w:tcBorders>
              <w:top w:val="nil"/>
              <w:left w:val="nil"/>
              <w:bottom w:val="single" w:sz="8" w:space="0" w:color="auto"/>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庫存</w:t>
            </w:r>
          </w:p>
        </w:tc>
        <w:tc>
          <w:tcPr>
            <w:tcW w:w="993"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850"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851"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850"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798" w:type="dxa"/>
            <w:tcBorders>
              <w:top w:val="nil"/>
              <w:left w:val="nil"/>
              <w:bottom w:val="single" w:sz="8" w:space="0" w:color="auto"/>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庫存</w:t>
            </w:r>
          </w:p>
        </w:tc>
        <w:tc>
          <w:tcPr>
            <w:tcW w:w="920" w:type="dxa"/>
            <w:vMerge/>
            <w:tcBorders>
              <w:left w:val="nil"/>
              <w:bottom w:val="single" w:sz="8" w:space="0" w:color="auto"/>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r>
      <w:tr w:rsidR="00C665AA" w:rsidRPr="00131B9D" w:rsidTr="00473701">
        <w:trPr>
          <w:trHeight w:val="54"/>
        </w:trPr>
        <w:tc>
          <w:tcPr>
            <w:tcW w:w="8640" w:type="dxa"/>
            <w:gridSpan w:val="9"/>
            <w:tcBorders>
              <w:left w:val="single" w:sz="8" w:space="0" w:color="auto"/>
              <w:bottom w:val="single" w:sz="8" w:space="0" w:color="auto"/>
              <w:right w:val="single" w:sz="8" w:space="0" w:color="000000"/>
            </w:tcBorders>
            <w:vAlign w:val="center"/>
          </w:tcPr>
          <w:p w:rsidR="00C665AA" w:rsidRPr="00131B9D" w:rsidRDefault="00C665AA" w:rsidP="00473701">
            <w:pPr>
              <w:widowControl/>
              <w:spacing w:beforeLines="10" w:before="36" w:afterLines="10" w:after="36" w:line="240" w:lineRule="exact"/>
              <w:jc w:val="center"/>
              <w:rPr>
                <w:rFonts w:eastAsia="標楷體"/>
                <w:b/>
                <w:kern w:val="0"/>
                <w:sz w:val="23"/>
                <w:szCs w:val="23"/>
              </w:rPr>
            </w:pPr>
            <w:r w:rsidRPr="00131B9D">
              <w:rPr>
                <w:rFonts w:eastAsia="標楷體"/>
                <w:b/>
                <w:kern w:val="0"/>
                <w:sz w:val="23"/>
                <w:szCs w:val="23"/>
              </w:rPr>
              <w:t>主要需求國</w:t>
            </w:r>
          </w:p>
        </w:tc>
      </w:tr>
      <w:tr w:rsidR="00C665AA" w:rsidRPr="00131B9D" w:rsidTr="00473701">
        <w:trPr>
          <w:trHeight w:val="54"/>
        </w:trPr>
        <w:tc>
          <w:tcPr>
            <w:tcW w:w="488" w:type="dxa"/>
            <w:vMerge w:val="restart"/>
            <w:tcBorders>
              <w:top w:val="nil"/>
              <w:left w:val="single" w:sz="8" w:space="0" w:color="auto"/>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中國大陸</w:t>
            </w:r>
          </w:p>
        </w:tc>
        <w:tc>
          <w:tcPr>
            <w:tcW w:w="2040" w:type="dxa"/>
            <w:tcBorders>
              <w:top w:val="nil"/>
              <w:left w:val="nil"/>
              <w:bottom w:val="single" w:sz="8" w:space="0" w:color="000000"/>
              <w:right w:val="single" w:sz="8" w:space="0" w:color="000000"/>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12.38</w:t>
            </w:r>
          </w:p>
        </w:tc>
        <w:tc>
          <w:tcPr>
            <w:tcW w:w="993" w:type="dxa"/>
            <w:tcBorders>
              <w:top w:val="nil"/>
              <w:left w:val="nil"/>
              <w:bottom w:val="single" w:sz="8" w:space="0" w:color="auto"/>
              <w:right w:val="single" w:sz="8" w:space="0" w:color="auto"/>
            </w:tcBorders>
          </w:tcPr>
          <w:p w:rsidR="00C665AA" w:rsidRPr="00131B9D" w:rsidRDefault="00C665AA" w:rsidP="00473701">
            <w:pPr>
              <w:adjustRightInd w:val="0"/>
              <w:snapToGrid w:val="0"/>
              <w:jc w:val="center"/>
              <w:rPr>
                <w:color w:val="000000"/>
                <w:sz w:val="23"/>
                <w:szCs w:val="23"/>
              </w:rPr>
            </w:pPr>
            <w:r w:rsidRPr="00131B9D">
              <w:rPr>
                <w:color w:val="000000"/>
                <w:sz w:val="23"/>
                <w:szCs w:val="23"/>
              </w:rPr>
              <w:t>12.2</w:t>
            </w:r>
          </w:p>
        </w:tc>
        <w:tc>
          <w:tcPr>
            <w:tcW w:w="850" w:type="dxa"/>
            <w:tcBorders>
              <w:top w:val="nil"/>
              <w:left w:val="nil"/>
              <w:bottom w:val="single" w:sz="8" w:space="0" w:color="auto"/>
              <w:right w:val="single" w:sz="8" w:space="0" w:color="auto"/>
            </w:tcBorders>
          </w:tcPr>
          <w:p w:rsidR="00C665AA" w:rsidRPr="00131B9D" w:rsidRDefault="00C665AA" w:rsidP="00473701">
            <w:pPr>
              <w:adjustRightInd w:val="0"/>
              <w:snapToGrid w:val="0"/>
              <w:jc w:val="center"/>
              <w:rPr>
                <w:color w:val="000000"/>
                <w:sz w:val="23"/>
                <w:szCs w:val="23"/>
              </w:rPr>
            </w:pPr>
            <w:r w:rsidRPr="00131B9D">
              <w:rPr>
                <w:color w:val="000000"/>
                <w:sz w:val="23"/>
                <w:szCs w:val="23"/>
              </w:rPr>
              <w:t>70.36</w:t>
            </w:r>
          </w:p>
        </w:tc>
        <w:tc>
          <w:tcPr>
            <w:tcW w:w="851" w:type="dxa"/>
            <w:tcBorders>
              <w:top w:val="nil"/>
              <w:left w:val="nil"/>
              <w:bottom w:val="single" w:sz="8" w:space="0" w:color="auto"/>
              <w:right w:val="single" w:sz="8" w:space="0" w:color="auto"/>
            </w:tcBorders>
          </w:tcPr>
          <w:p w:rsidR="00C665AA" w:rsidRPr="00131B9D" w:rsidRDefault="00C665AA" w:rsidP="00473701">
            <w:pPr>
              <w:adjustRightInd w:val="0"/>
              <w:snapToGrid w:val="0"/>
              <w:jc w:val="center"/>
              <w:rPr>
                <w:color w:val="000000"/>
                <w:sz w:val="23"/>
                <w:szCs w:val="23"/>
              </w:rPr>
            </w:pPr>
            <w:r w:rsidRPr="00131B9D">
              <w:rPr>
                <w:color w:val="000000"/>
                <w:sz w:val="23"/>
                <w:szCs w:val="23"/>
              </w:rPr>
              <w:t>80.6</w:t>
            </w:r>
          </w:p>
        </w:tc>
        <w:tc>
          <w:tcPr>
            <w:tcW w:w="850" w:type="dxa"/>
            <w:tcBorders>
              <w:top w:val="nil"/>
              <w:left w:val="nil"/>
              <w:bottom w:val="single" w:sz="8" w:space="0" w:color="auto"/>
              <w:right w:val="single" w:sz="8" w:space="0" w:color="auto"/>
            </w:tcBorders>
          </w:tcPr>
          <w:p w:rsidR="00C665AA" w:rsidRPr="00131B9D" w:rsidRDefault="00C665AA" w:rsidP="00473701">
            <w:pPr>
              <w:adjustRightInd w:val="0"/>
              <w:snapToGrid w:val="0"/>
              <w:jc w:val="center"/>
              <w:rPr>
                <w:color w:val="000000"/>
                <w:sz w:val="23"/>
                <w:szCs w:val="23"/>
              </w:rPr>
            </w:pPr>
            <w:r w:rsidRPr="00131B9D">
              <w:rPr>
                <w:color w:val="000000"/>
                <w:sz w:val="23"/>
                <w:szCs w:val="23"/>
              </w:rPr>
              <w:t>0.22</w:t>
            </w:r>
          </w:p>
        </w:tc>
        <w:tc>
          <w:tcPr>
            <w:tcW w:w="798" w:type="dxa"/>
            <w:tcBorders>
              <w:top w:val="nil"/>
              <w:left w:val="nil"/>
              <w:bottom w:val="single" w:sz="8" w:space="0" w:color="auto"/>
              <w:right w:val="single" w:sz="8" w:space="0" w:color="auto"/>
            </w:tcBorders>
          </w:tcPr>
          <w:p w:rsidR="00C665AA" w:rsidRPr="00131B9D" w:rsidRDefault="00C665AA" w:rsidP="00473701">
            <w:pPr>
              <w:adjustRightInd w:val="0"/>
              <w:snapToGrid w:val="0"/>
              <w:jc w:val="center"/>
              <w:rPr>
                <w:color w:val="000000"/>
                <w:sz w:val="23"/>
                <w:szCs w:val="23"/>
              </w:rPr>
            </w:pPr>
            <w:r w:rsidRPr="00131B9D">
              <w:rPr>
                <w:color w:val="000000"/>
                <w:sz w:val="23"/>
                <w:szCs w:val="23"/>
              </w:rPr>
              <w:t>14.13</w:t>
            </w:r>
          </w:p>
        </w:tc>
        <w:tc>
          <w:tcPr>
            <w:tcW w:w="920" w:type="dxa"/>
            <w:tcBorders>
              <w:top w:val="nil"/>
              <w:left w:val="nil"/>
              <w:bottom w:val="single" w:sz="8" w:space="0" w:color="000000"/>
              <w:right w:val="single" w:sz="8" w:space="0" w:color="auto"/>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w:t>
            </w:r>
          </w:p>
        </w:tc>
      </w:tr>
      <w:tr w:rsidR="00C665AA" w:rsidRPr="00131B9D" w:rsidTr="00473701">
        <w:trPr>
          <w:trHeight w:val="54"/>
        </w:trPr>
        <w:tc>
          <w:tcPr>
            <w:tcW w:w="488" w:type="dxa"/>
            <w:vMerge/>
            <w:tcBorders>
              <w:left w:val="single" w:sz="8" w:space="0" w:color="auto"/>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14.13</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12.35</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78.35</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86.7</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0.14</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17.98</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14.14%</w:t>
            </w:r>
          </w:p>
        </w:tc>
      </w:tr>
      <w:tr w:rsidR="00C665AA" w:rsidRPr="00131B9D" w:rsidTr="00473701">
        <w:trPr>
          <w:trHeight w:val="54"/>
        </w:trPr>
        <w:tc>
          <w:tcPr>
            <w:tcW w:w="488" w:type="dxa"/>
            <w:vMerge/>
            <w:tcBorders>
              <w:left w:val="single" w:sz="8" w:space="0" w:color="auto"/>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17.55</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11.5</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79</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91.7</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16.15</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24.20%</w:t>
            </w:r>
          </w:p>
        </w:tc>
      </w:tr>
      <w:tr w:rsidR="00C665AA" w:rsidRPr="00131B9D" w:rsidTr="00473701">
        <w:trPr>
          <w:trHeight w:val="54"/>
        </w:trPr>
        <w:tc>
          <w:tcPr>
            <w:tcW w:w="488" w:type="dxa"/>
            <w:vMerge/>
            <w:tcBorders>
              <w:left w:val="single" w:sz="8" w:space="0" w:color="auto"/>
              <w:bottom w:val="single" w:sz="8" w:space="0" w:color="auto"/>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17.98</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11.5</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80.5</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93.2</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16.58</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27.25%</w:t>
            </w:r>
          </w:p>
        </w:tc>
      </w:tr>
      <w:tr w:rsidR="00C665AA" w:rsidRPr="00131B9D" w:rsidTr="00473701">
        <w:trPr>
          <w:trHeight w:val="54"/>
        </w:trPr>
        <w:tc>
          <w:tcPr>
            <w:tcW w:w="488" w:type="dxa"/>
            <w:vMerge w:val="restart"/>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日</w:t>
            </w:r>
          </w:p>
          <w:p w:rsidR="00C665AA" w:rsidRPr="00131B9D" w:rsidRDefault="00C665AA" w:rsidP="00473701">
            <w:pPr>
              <w:widowControl/>
              <w:spacing w:line="240" w:lineRule="exact"/>
              <w:jc w:val="center"/>
              <w:rPr>
                <w:rFonts w:eastAsia="標楷體"/>
                <w:kern w:val="0"/>
              </w:rPr>
            </w:pPr>
            <w:r w:rsidRPr="00131B9D">
              <w:rPr>
                <w:rFonts w:eastAsia="標楷體"/>
                <w:kern w:val="0"/>
              </w:rPr>
              <w:t>本</w:t>
            </w: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0.18</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2.89</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3.05</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0.23</w:t>
            </w:r>
          </w:p>
        </w:tc>
        <w:tc>
          <w:tcPr>
            <w:tcW w:w="920" w:type="dxa"/>
            <w:tcBorders>
              <w:top w:val="nil"/>
              <w:left w:val="nil"/>
              <w:bottom w:val="single" w:sz="8" w:space="0" w:color="000000"/>
              <w:right w:val="single" w:sz="8" w:space="0" w:color="auto"/>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w:t>
            </w:r>
          </w:p>
        </w:tc>
      </w:tr>
      <w:tr w:rsidR="00C665AA" w:rsidRPr="00131B9D" w:rsidTr="00473701">
        <w:trPr>
          <w:trHeight w:val="54"/>
        </w:trPr>
        <w:tc>
          <w:tcPr>
            <w:tcW w:w="488"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tcBorders>
              <w:top w:val="single" w:sz="8" w:space="0" w:color="auto"/>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0.23</w:t>
            </w:r>
          </w:p>
        </w:tc>
        <w:tc>
          <w:tcPr>
            <w:tcW w:w="993" w:type="dxa"/>
            <w:tcBorders>
              <w:top w:val="single" w:sz="8" w:space="0" w:color="auto"/>
              <w:left w:val="single" w:sz="8" w:space="0" w:color="auto"/>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0.23</w:t>
            </w:r>
          </w:p>
        </w:tc>
        <w:tc>
          <w:tcPr>
            <w:tcW w:w="850" w:type="dxa"/>
            <w:tcBorders>
              <w:top w:val="single" w:sz="8" w:space="0" w:color="auto"/>
              <w:left w:val="single" w:sz="8" w:space="0" w:color="auto"/>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2.95</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3.19</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0.21</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27.78%</w:t>
            </w:r>
          </w:p>
        </w:tc>
      </w:tr>
      <w:tr w:rsidR="00C665AA" w:rsidRPr="00131B9D" w:rsidTr="00473701">
        <w:trPr>
          <w:trHeight w:val="54"/>
        </w:trPr>
        <w:tc>
          <w:tcPr>
            <w:tcW w:w="488"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tcBorders>
              <w:top w:val="single" w:sz="8" w:space="0" w:color="auto"/>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0.21</w:t>
            </w:r>
          </w:p>
        </w:tc>
        <w:tc>
          <w:tcPr>
            <w:tcW w:w="993" w:type="dxa"/>
            <w:tcBorders>
              <w:top w:val="single" w:sz="8" w:space="0" w:color="auto"/>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0.22</w:t>
            </w:r>
          </w:p>
        </w:tc>
        <w:tc>
          <w:tcPr>
            <w:tcW w:w="850" w:type="dxa"/>
            <w:tcBorders>
              <w:top w:val="single" w:sz="8" w:space="0" w:color="auto"/>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2.9</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3.1</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0.23</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-8.70%</w:t>
            </w:r>
          </w:p>
        </w:tc>
      </w:tr>
      <w:tr w:rsidR="00C665AA" w:rsidRPr="00131B9D" w:rsidTr="00473701">
        <w:trPr>
          <w:trHeight w:val="54"/>
        </w:trPr>
        <w:tc>
          <w:tcPr>
            <w:tcW w:w="488"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0.21</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0.22</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2.9</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3.1</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0.23</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-8.70%</w:t>
            </w:r>
          </w:p>
        </w:tc>
      </w:tr>
      <w:tr w:rsidR="00C665AA" w:rsidRPr="00131B9D" w:rsidTr="00473701">
        <w:trPr>
          <w:trHeight w:val="54"/>
        </w:trPr>
        <w:tc>
          <w:tcPr>
            <w:tcW w:w="488" w:type="dxa"/>
            <w:vMerge w:val="restart"/>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歐盟</w:t>
            </w:r>
          </w:p>
          <w:p w:rsidR="00C665AA" w:rsidRPr="00131B9D" w:rsidRDefault="00C665AA" w:rsidP="00473701">
            <w:pPr>
              <w:widowControl/>
              <w:spacing w:line="240" w:lineRule="exact"/>
              <w:jc w:val="center"/>
              <w:rPr>
                <w:rFonts w:eastAsia="標楷體"/>
                <w:kern w:val="0"/>
              </w:rPr>
            </w:pPr>
            <w:r w:rsidRPr="00131B9D">
              <w:rPr>
                <w:rFonts w:eastAsia="標楷體"/>
                <w:kern w:val="0"/>
              </w:rPr>
              <w:t>27</w:t>
            </w:r>
            <w:r w:rsidRPr="00131B9D">
              <w:rPr>
                <w:rFonts w:eastAsia="標楷體"/>
                <w:kern w:val="0"/>
              </w:rPr>
              <w:t>國</w:t>
            </w:r>
          </w:p>
        </w:tc>
        <w:tc>
          <w:tcPr>
            <w:tcW w:w="2040" w:type="dxa"/>
            <w:tcBorders>
              <w:top w:val="nil"/>
              <w:left w:val="nil"/>
              <w:bottom w:val="single" w:sz="8" w:space="0" w:color="000000"/>
              <w:right w:val="single" w:sz="8" w:space="0" w:color="000000"/>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0.3</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1.21</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13.29</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14.22</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0.06</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0.53</w:t>
            </w:r>
          </w:p>
        </w:tc>
        <w:tc>
          <w:tcPr>
            <w:tcW w:w="920" w:type="dxa"/>
            <w:tcBorders>
              <w:top w:val="nil"/>
              <w:left w:val="nil"/>
              <w:bottom w:val="single" w:sz="8" w:space="0" w:color="000000"/>
              <w:right w:val="single" w:sz="8" w:space="0" w:color="auto"/>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w:t>
            </w:r>
          </w:p>
        </w:tc>
      </w:tr>
      <w:tr w:rsidR="00C665AA" w:rsidRPr="00131B9D" w:rsidTr="00473701">
        <w:trPr>
          <w:trHeight w:val="54"/>
        </w:trPr>
        <w:tc>
          <w:tcPr>
            <w:tcW w:w="488"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0.53</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1.81</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13.55</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14.94</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0.12</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0.83</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76.67%</w:t>
            </w:r>
          </w:p>
        </w:tc>
      </w:tr>
      <w:tr w:rsidR="00C665AA" w:rsidRPr="00131B9D" w:rsidTr="00473701">
        <w:trPr>
          <w:trHeight w:val="54"/>
        </w:trPr>
        <w:tc>
          <w:tcPr>
            <w:tcW w:w="488"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0.54</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2.03</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13.6</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15.53</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0.1</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0.54</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1.89%</w:t>
            </w:r>
          </w:p>
        </w:tc>
      </w:tr>
      <w:tr w:rsidR="00C665AA" w:rsidRPr="00131B9D" w:rsidTr="00473701">
        <w:trPr>
          <w:trHeight w:val="54"/>
        </w:trPr>
        <w:tc>
          <w:tcPr>
            <w:tcW w:w="488" w:type="dxa"/>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40"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0.83</w:t>
            </w:r>
          </w:p>
        </w:tc>
        <w:tc>
          <w:tcPr>
            <w:tcW w:w="993"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2.05</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13.7</w:t>
            </w:r>
          </w:p>
        </w:tc>
        <w:tc>
          <w:tcPr>
            <w:tcW w:w="851"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15.67</w:t>
            </w:r>
          </w:p>
        </w:tc>
        <w:tc>
          <w:tcPr>
            <w:tcW w:w="850"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0.1</w:t>
            </w:r>
          </w:p>
        </w:tc>
        <w:tc>
          <w:tcPr>
            <w:tcW w:w="798" w:type="dxa"/>
            <w:tcBorders>
              <w:top w:val="nil"/>
              <w:left w:val="nil"/>
              <w:bottom w:val="single" w:sz="8" w:space="0" w:color="auto"/>
              <w:right w:val="single" w:sz="8" w:space="0" w:color="auto"/>
            </w:tcBorders>
            <w:noWrap/>
          </w:tcPr>
          <w:p w:rsidR="00C665AA" w:rsidRPr="00131B9D" w:rsidRDefault="00C665AA" w:rsidP="00473701">
            <w:pPr>
              <w:adjustRightInd w:val="0"/>
              <w:snapToGrid w:val="0"/>
              <w:jc w:val="center"/>
              <w:rPr>
                <w:color w:val="000000"/>
                <w:sz w:val="23"/>
                <w:szCs w:val="23"/>
              </w:rPr>
            </w:pPr>
            <w:r w:rsidRPr="00131B9D">
              <w:rPr>
                <w:color w:val="000000"/>
                <w:sz w:val="23"/>
                <w:szCs w:val="23"/>
              </w:rPr>
              <w:t>0.81</w:t>
            </w:r>
          </w:p>
        </w:tc>
        <w:tc>
          <w:tcPr>
            <w:tcW w:w="920" w:type="dxa"/>
            <w:tcBorders>
              <w:top w:val="nil"/>
              <w:left w:val="nil"/>
              <w:bottom w:val="single" w:sz="8" w:space="0" w:color="000000"/>
              <w:right w:val="single" w:sz="8" w:space="0" w:color="000000"/>
            </w:tcBorders>
            <w:shd w:val="clear" w:color="auto" w:fill="auto"/>
            <w:vAlign w:val="center"/>
          </w:tcPr>
          <w:p w:rsidR="00C665AA" w:rsidRPr="00131B9D" w:rsidRDefault="00C665AA" w:rsidP="00473701">
            <w:pPr>
              <w:adjustRightInd w:val="0"/>
              <w:snapToGrid w:val="0"/>
              <w:jc w:val="center"/>
              <w:rPr>
                <w:sz w:val="23"/>
                <w:szCs w:val="23"/>
              </w:rPr>
            </w:pPr>
            <w:r w:rsidRPr="00131B9D">
              <w:rPr>
                <w:sz w:val="23"/>
                <w:szCs w:val="23"/>
              </w:rPr>
              <w:t>56.60%</w:t>
            </w:r>
          </w:p>
        </w:tc>
      </w:tr>
    </w:tbl>
    <w:p w:rsidR="00626D27" w:rsidRPr="00131B9D" w:rsidRDefault="00F279F7" w:rsidP="00626D27">
      <w:pPr>
        <w:spacing w:beforeLines="50" w:before="180" w:line="240" w:lineRule="exact"/>
        <w:rPr>
          <w:rFonts w:eastAsia="標楷體"/>
          <w:sz w:val="20"/>
          <w:szCs w:val="20"/>
        </w:rPr>
      </w:pPr>
      <w:r w:rsidRPr="00131B9D">
        <w:rPr>
          <w:rFonts w:eastAsia="標楷體"/>
          <w:sz w:val="20"/>
          <w:szCs w:val="20"/>
        </w:rPr>
        <w:t>資料來源：美國農業部（</w:t>
      </w:r>
      <w:r w:rsidRPr="00131B9D">
        <w:rPr>
          <w:rFonts w:eastAsia="標楷體"/>
          <w:sz w:val="20"/>
          <w:szCs w:val="20"/>
        </w:rPr>
        <w:t>USDA</w:t>
      </w:r>
      <w:r w:rsidRPr="00131B9D">
        <w:rPr>
          <w:rFonts w:eastAsia="標楷體"/>
          <w:sz w:val="20"/>
          <w:szCs w:val="20"/>
        </w:rPr>
        <w:t>），</w:t>
      </w:r>
      <w:r w:rsidRPr="00131B9D">
        <w:rPr>
          <w:rFonts w:eastAsia="標楷體"/>
          <w:sz w:val="20"/>
          <w:szCs w:val="20"/>
        </w:rPr>
        <w:t>2015/11/10</w:t>
      </w:r>
      <w:r w:rsidRPr="00131B9D">
        <w:rPr>
          <w:rFonts w:eastAsia="標楷體"/>
          <w:sz w:val="20"/>
          <w:szCs w:val="20"/>
        </w:rPr>
        <w:t>。</w:t>
      </w:r>
    </w:p>
    <w:p w:rsidR="00C665AA" w:rsidRPr="00131B9D" w:rsidRDefault="00C665AA" w:rsidP="00C665AA"/>
    <w:p w:rsidR="00626D27" w:rsidRPr="00131B9D" w:rsidRDefault="00626D27" w:rsidP="00626D27">
      <w:pPr>
        <w:pStyle w:val="3"/>
        <w:rPr>
          <w:rFonts w:ascii="Times New Roman" w:hAnsi="Times New Roman"/>
        </w:rPr>
      </w:pPr>
      <w:bookmarkStart w:id="80" w:name="_Toc322706927"/>
      <w:r w:rsidRPr="00131B9D">
        <w:rPr>
          <w:rFonts w:ascii="Times New Roman" w:hAnsi="Times New Roman"/>
        </w:rPr>
        <w:t>（二）小麥</w:t>
      </w:r>
      <w:bookmarkEnd w:id="80"/>
    </w:p>
    <w:p w:rsidR="00626D27" w:rsidRPr="00131B9D" w:rsidRDefault="00626D27" w:rsidP="00626D27">
      <w:pPr>
        <w:pStyle w:val="-"/>
        <w:spacing w:before="72" w:after="72"/>
        <w:ind w:firstLineChars="0" w:firstLine="0"/>
        <w:rPr>
          <w:b/>
        </w:rPr>
      </w:pPr>
      <w:r w:rsidRPr="00131B9D">
        <w:rPr>
          <w:b/>
        </w:rPr>
        <w:t>1.</w:t>
      </w:r>
      <w:r w:rsidRPr="00131B9D">
        <w:rPr>
          <w:b/>
        </w:rPr>
        <w:t xml:space="preserve">　價格走勢</w:t>
      </w:r>
    </w:p>
    <w:p w:rsidR="00127C79" w:rsidRPr="00131B9D" w:rsidRDefault="00127C79" w:rsidP="00127C79">
      <w:pPr>
        <w:pStyle w:val="-"/>
        <w:spacing w:before="72" w:after="72"/>
        <w:ind w:firstLine="560"/>
      </w:pPr>
      <w:r w:rsidRPr="00131B9D">
        <w:t>2015</w:t>
      </w:r>
      <w:r w:rsidRPr="00131B9D">
        <w:t>年國際小麥價格呈先跌後漲走勢。</w:t>
      </w:r>
      <w:r w:rsidRPr="00131B9D">
        <w:t>2015</w:t>
      </w:r>
      <w:r w:rsidRPr="00131B9D">
        <w:t>年第</w:t>
      </w:r>
      <w:r w:rsidRPr="00131B9D">
        <w:t>1</w:t>
      </w:r>
      <w:r w:rsidRPr="00131B9D">
        <w:t>季國際小麥價格逐月下跌，國際芝加哥小麥</w:t>
      </w:r>
      <w:r w:rsidRPr="00131B9D">
        <w:t>3</w:t>
      </w:r>
      <w:r w:rsidRPr="00131B9D">
        <w:t>月均價相較</w:t>
      </w:r>
      <w:r w:rsidRPr="00131B9D">
        <w:t>1</w:t>
      </w:r>
      <w:r w:rsidRPr="00131B9D">
        <w:t>月的跌幅達</w:t>
      </w:r>
      <w:r w:rsidRPr="00131B9D">
        <w:t>6.51%</w:t>
      </w:r>
      <w:r w:rsidRPr="00131B9D">
        <w:t>。第</w:t>
      </w:r>
      <w:r w:rsidRPr="00131B9D">
        <w:t>2</w:t>
      </w:r>
      <w:r w:rsidRPr="00131B9D">
        <w:t>季則呈現震盪走勢，國際芝加哥小麥</w:t>
      </w:r>
      <w:r w:rsidRPr="00131B9D">
        <w:t>4</w:t>
      </w:r>
      <w:r w:rsidRPr="00131B9D">
        <w:t>月均價</w:t>
      </w:r>
      <w:r w:rsidRPr="00131B9D">
        <w:t>185.68</w:t>
      </w:r>
      <w:r w:rsidRPr="00131B9D">
        <w:t>美元</w:t>
      </w:r>
      <w:r w:rsidRPr="00131B9D">
        <w:t>/</w:t>
      </w:r>
      <w:r w:rsidRPr="00131B9D">
        <w:t>公噸，</w:t>
      </w:r>
      <w:r w:rsidRPr="00131B9D">
        <w:t>5</w:t>
      </w:r>
      <w:r w:rsidRPr="00131B9D">
        <w:t>月下跌至</w:t>
      </w:r>
      <w:r w:rsidRPr="00131B9D">
        <w:t>180.3</w:t>
      </w:r>
      <w:r w:rsidRPr="00131B9D">
        <w:t>美元</w:t>
      </w:r>
      <w:r w:rsidRPr="00131B9D">
        <w:t>/</w:t>
      </w:r>
      <w:r w:rsidRPr="00131B9D">
        <w:t>公噸，</w:t>
      </w:r>
      <w:r w:rsidRPr="00131B9D">
        <w:t>6</w:t>
      </w:r>
      <w:r w:rsidRPr="00131B9D">
        <w:t>月份平均價格則漲至</w:t>
      </w:r>
      <w:r w:rsidRPr="00131B9D">
        <w:t>190.6</w:t>
      </w:r>
      <w:r w:rsidRPr="00131B9D">
        <w:t>美元</w:t>
      </w:r>
      <w:r w:rsidRPr="00131B9D">
        <w:t>/</w:t>
      </w:r>
      <w:r w:rsidRPr="00131B9D">
        <w:t>公噸，</w:t>
      </w:r>
      <w:r w:rsidRPr="00131B9D">
        <w:t>2015</w:t>
      </w:r>
      <w:r w:rsidRPr="00131B9D">
        <w:t>年芝加哥小麥期貨價格最高點出現在</w:t>
      </w:r>
      <w:r w:rsidRPr="00131B9D">
        <w:t>6</w:t>
      </w:r>
      <w:r w:rsidRPr="00131B9D">
        <w:t>月</w:t>
      </w:r>
      <w:r w:rsidRPr="00131B9D">
        <w:t>30</w:t>
      </w:r>
      <w:r w:rsidRPr="00131B9D">
        <w:t>日，雖美國國內已播種小麥面積及國內小麥庫存皆高於市場預期，但價格仍逆勢上漲至</w:t>
      </w:r>
      <w:r w:rsidRPr="00131B9D">
        <w:t>225.9</w:t>
      </w:r>
      <w:r w:rsidRPr="00131B9D">
        <w:t>美元</w:t>
      </w:r>
      <w:r w:rsidRPr="00131B9D">
        <w:t>/</w:t>
      </w:r>
      <w:r w:rsidRPr="00131B9D">
        <w:t>公噸。即使國際芝加哥小麥均價在</w:t>
      </w:r>
      <w:r w:rsidRPr="00131B9D">
        <w:t>6</w:t>
      </w:r>
      <w:r w:rsidRPr="00131B9D">
        <w:t>月份有回升，但第</w:t>
      </w:r>
      <w:r w:rsidRPr="00131B9D">
        <w:t>2</w:t>
      </w:r>
      <w:r w:rsidRPr="00131B9D">
        <w:t>季均價</w:t>
      </w:r>
      <w:r w:rsidRPr="00131B9D">
        <w:t>185.5</w:t>
      </w:r>
      <w:r w:rsidRPr="00131B9D">
        <w:t>美元</w:t>
      </w:r>
      <w:r w:rsidRPr="00131B9D">
        <w:t>/</w:t>
      </w:r>
      <w:r w:rsidRPr="00131B9D">
        <w:t>公噸，仍較第</w:t>
      </w:r>
      <w:r w:rsidRPr="00131B9D">
        <w:t>1</w:t>
      </w:r>
      <w:r w:rsidRPr="00131B9D">
        <w:t>季下跌</w:t>
      </w:r>
      <w:r w:rsidRPr="00131B9D">
        <w:t>3.7%</w:t>
      </w:r>
      <w:r w:rsidRPr="00131B9D">
        <w:t>。第</w:t>
      </w:r>
      <w:r w:rsidRPr="00131B9D">
        <w:t>3</w:t>
      </w:r>
      <w:r w:rsidRPr="00131B9D">
        <w:t>季均價為</w:t>
      </w:r>
      <w:r w:rsidRPr="00131B9D">
        <w:t>187.97</w:t>
      </w:r>
      <w:r w:rsidRPr="00131B9D">
        <w:t>美元</w:t>
      </w:r>
      <w:r w:rsidRPr="00131B9D">
        <w:t>/</w:t>
      </w:r>
      <w:r w:rsidRPr="00131B9D">
        <w:t>公噸，較第</w:t>
      </w:r>
      <w:r w:rsidRPr="00131B9D">
        <w:t>2</w:t>
      </w:r>
      <w:r w:rsidRPr="00131B9D">
        <w:t>季略增加</w:t>
      </w:r>
      <w:r w:rsidRPr="00131B9D">
        <w:t>1.33%</w:t>
      </w:r>
      <w:r w:rsidRPr="00131B9D">
        <w:t>，而國際芝加哥小麥</w:t>
      </w:r>
      <w:r w:rsidRPr="00131B9D">
        <w:t>10</w:t>
      </w:r>
      <w:r w:rsidRPr="00131B9D">
        <w:t>月份均價則走軟為</w:t>
      </w:r>
      <w:r w:rsidRPr="00131B9D">
        <w:t>185.9</w:t>
      </w:r>
      <w:r w:rsidRPr="00131B9D">
        <w:t>美元</w:t>
      </w:r>
      <w:r w:rsidRPr="00131B9D">
        <w:t>/</w:t>
      </w:r>
      <w:r w:rsidRPr="00131B9D">
        <w:t>公噸（如圖</w:t>
      </w:r>
      <w:r w:rsidRPr="00131B9D">
        <w:t>3-4</w:t>
      </w:r>
      <w:r w:rsidRPr="00131B9D">
        <w:t>）。</w:t>
      </w:r>
    </w:p>
    <w:p w:rsidR="00A95A73" w:rsidRPr="00131B9D" w:rsidRDefault="00F279F7" w:rsidP="00A95A73">
      <w:pPr>
        <w:spacing w:beforeLines="100" w:before="360" w:line="0" w:lineRule="atLeast"/>
        <w:jc w:val="center"/>
        <w:rPr>
          <w:rFonts w:eastAsia="標楷體"/>
          <w:kern w:val="0"/>
        </w:rPr>
      </w:pPr>
      <w:r w:rsidRPr="00131B9D">
        <w:rPr>
          <w:noProof/>
        </w:rPr>
        <w:lastRenderedPageBreak/>
        <w:drawing>
          <wp:inline distT="0" distB="0" distL="0" distR="0" wp14:anchorId="2F86273D" wp14:editId="489C1F1C">
            <wp:extent cx="4829175" cy="3272790"/>
            <wp:effectExtent l="0" t="0" r="9525" b="22860"/>
            <wp:docPr id="29" name="圖表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F279F7" w:rsidRPr="00131B9D" w:rsidRDefault="00F279F7" w:rsidP="00F279F7">
      <w:pPr>
        <w:spacing w:line="0" w:lineRule="atLeast"/>
        <w:ind w:firstLineChars="100" w:firstLine="200"/>
        <w:jc w:val="both"/>
        <w:rPr>
          <w:rFonts w:eastAsia="標楷體"/>
        </w:rPr>
      </w:pPr>
      <w:bookmarkStart w:id="81" w:name="_Toc398882638"/>
      <w:bookmarkStart w:id="82" w:name="_Toc322706928"/>
      <w:bookmarkStart w:id="83" w:name="_Toc365017338"/>
      <w:bookmarkStart w:id="84" w:name="_Toc373423051"/>
      <w:bookmarkStart w:id="85" w:name="_Toc373682434"/>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r w:rsidRPr="00131B9D">
        <w:rPr>
          <w:rFonts w:eastAsia="標楷體"/>
        </w:rPr>
        <w:t>。</w:t>
      </w:r>
    </w:p>
    <w:p w:rsidR="00A95A73" w:rsidRPr="00131B9D" w:rsidRDefault="00A95A73" w:rsidP="00A95A73">
      <w:pPr>
        <w:pStyle w:val="afff5"/>
        <w:spacing w:line="0" w:lineRule="atLeast"/>
        <w:jc w:val="center"/>
        <w:rPr>
          <w:rFonts w:eastAsia="標楷體"/>
          <w:b/>
          <w:bCs/>
          <w:kern w:val="52"/>
          <w:sz w:val="28"/>
          <w:szCs w:val="28"/>
        </w:rPr>
      </w:pPr>
      <w:bookmarkStart w:id="86" w:name="_Toc438223338"/>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4</w:t>
      </w:r>
      <w:r w:rsidRPr="00131B9D">
        <w:rPr>
          <w:rFonts w:eastAsia="標楷體"/>
          <w:b/>
          <w:bCs/>
          <w:kern w:val="52"/>
          <w:sz w:val="28"/>
          <w:szCs w:val="28"/>
        </w:rPr>
        <w:fldChar w:fldCharType="end"/>
      </w:r>
      <w:r w:rsidRPr="00131B9D">
        <w:rPr>
          <w:rFonts w:eastAsia="標楷體"/>
          <w:b/>
          <w:bCs/>
          <w:kern w:val="52"/>
          <w:sz w:val="28"/>
          <w:szCs w:val="28"/>
        </w:rPr>
        <w:t xml:space="preserve">　小麥近一年價格走勢圖</w:t>
      </w:r>
      <w:bookmarkEnd w:id="81"/>
      <w:bookmarkEnd w:id="86"/>
    </w:p>
    <w:p w:rsidR="00A95A73" w:rsidRPr="00131B9D" w:rsidRDefault="00A95A73" w:rsidP="00C665AA"/>
    <w:bookmarkEnd w:id="82"/>
    <w:bookmarkEnd w:id="83"/>
    <w:bookmarkEnd w:id="84"/>
    <w:bookmarkEnd w:id="85"/>
    <w:p w:rsidR="00626D27" w:rsidRPr="00131B9D" w:rsidRDefault="00626D27" w:rsidP="00A95A73">
      <w:pPr>
        <w:pStyle w:val="-"/>
        <w:spacing w:before="72" w:after="72"/>
        <w:ind w:firstLineChars="0" w:firstLine="0"/>
        <w:rPr>
          <w:b/>
        </w:rPr>
      </w:pPr>
      <w:r w:rsidRPr="00131B9D">
        <w:rPr>
          <w:b/>
        </w:rPr>
        <w:t>2.</w:t>
      </w:r>
      <w:r w:rsidRPr="00131B9D">
        <w:rPr>
          <w:b/>
        </w:rPr>
        <w:t xml:space="preserve">　主要供需概況</w:t>
      </w:r>
    </w:p>
    <w:p w:rsidR="00F279F7" w:rsidRPr="00131B9D" w:rsidRDefault="00F279F7" w:rsidP="00F279F7">
      <w:pPr>
        <w:pStyle w:val="-"/>
        <w:spacing w:before="72" w:after="72"/>
        <w:ind w:firstLineChars="202" w:firstLine="566"/>
        <w:rPr>
          <w:spacing w:val="-10"/>
        </w:rPr>
      </w:pPr>
      <w:r w:rsidRPr="00131B9D">
        <w:rPr>
          <w:b/>
        </w:rPr>
        <w:t>供給國：</w:t>
      </w:r>
      <w:r w:rsidRPr="00131B9D">
        <w:t>依據</w:t>
      </w:r>
      <w:r w:rsidRPr="00131B9D">
        <w:t>2015</w:t>
      </w:r>
      <w:r w:rsidRPr="00131B9D">
        <w:t>年</w:t>
      </w:r>
      <w:r w:rsidRPr="00131B9D">
        <w:t>11</w:t>
      </w:r>
      <w:r w:rsidRPr="00131B9D">
        <w:t>月美國農業部的世界農業供需估計報告（</w:t>
      </w:r>
      <w:r w:rsidRPr="00131B9D">
        <w:t>WASDE</w:t>
      </w:r>
      <w:r w:rsidRPr="00131B9D">
        <w:t>），全球</w:t>
      </w:r>
      <w:r w:rsidRPr="00131B9D">
        <w:t>2015/2016</w:t>
      </w:r>
      <w:r w:rsidRPr="00131B9D">
        <w:t>年（</w:t>
      </w:r>
      <w:r w:rsidRPr="00131B9D">
        <w:t>2015</w:t>
      </w:r>
      <w:r w:rsidRPr="00131B9D">
        <w:t>年</w:t>
      </w:r>
      <w:r w:rsidRPr="00131B9D">
        <w:t>6</w:t>
      </w:r>
      <w:r w:rsidRPr="00131B9D">
        <w:t>月到</w:t>
      </w:r>
      <w:r w:rsidRPr="00131B9D">
        <w:t>2016</w:t>
      </w:r>
      <w:r w:rsidRPr="00131B9D">
        <w:t>年</w:t>
      </w:r>
      <w:r w:rsidRPr="00131B9D">
        <w:t>5</w:t>
      </w:r>
      <w:r w:rsidRPr="00131B9D">
        <w:t>月）小麥產量估計為</w:t>
      </w:r>
      <w:r w:rsidRPr="00131B9D">
        <w:t>732.98</w:t>
      </w:r>
      <w:r w:rsidRPr="00131B9D">
        <w:t>百萬公噸，其中歐盟產量為</w:t>
      </w:r>
      <w:r w:rsidRPr="00131B9D">
        <w:t>157.27</w:t>
      </w:r>
      <w:r w:rsidRPr="00131B9D">
        <w:t>百萬公噸、中國大陸為</w:t>
      </w:r>
      <w:r w:rsidRPr="00131B9D">
        <w:t>130</w:t>
      </w:r>
      <w:r w:rsidRPr="00131B9D">
        <w:t>百萬公噸、印度為</w:t>
      </w:r>
      <w:r w:rsidRPr="00131B9D">
        <w:t>88.94</w:t>
      </w:r>
      <w:r w:rsidRPr="00131B9D">
        <w:t>百萬公噸、美國產量為</w:t>
      </w:r>
      <w:r w:rsidRPr="00131B9D">
        <w:t>55.84</w:t>
      </w:r>
      <w:r w:rsidRPr="00131B9D">
        <w:t>百萬公噸、俄國為</w:t>
      </w:r>
      <w:r w:rsidRPr="00131B9D">
        <w:t>60.50</w:t>
      </w:r>
      <w:r w:rsidRPr="00131B9D">
        <w:t>百萬公噸、烏克蘭為</w:t>
      </w:r>
      <w:r w:rsidRPr="00131B9D">
        <w:t>27</w:t>
      </w:r>
      <w:r w:rsidRPr="00131B9D">
        <w:t>百萬公噸、加拿大及澳洲皆為</w:t>
      </w:r>
      <w:r w:rsidRPr="00131B9D">
        <w:t>26</w:t>
      </w:r>
      <w:r w:rsidRPr="00131B9D">
        <w:t>百萬公噸、巴基斯坦為</w:t>
      </w:r>
      <w:r w:rsidRPr="00131B9D">
        <w:t>25</w:t>
      </w:r>
      <w:r w:rsidRPr="00131B9D">
        <w:t>百萬公噸、北非為</w:t>
      </w:r>
      <w:r w:rsidRPr="00131B9D">
        <w:t>20</w:t>
      </w:r>
      <w:r w:rsidRPr="00131B9D">
        <w:t>百萬公噸、主要中東國家為</w:t>
      </w:r>
      <w:r w:rsidRPr="00131B9D">
        <w:t>17.86</w:t>
      </w:r>
      <w:r w:rsidRPr="00131B9D">
        <w:t>百萬公噸、哈薩克為</w:t>
      </w:r>
      <w:r w:rsidRPr="00131B9D">
        <w:t>14</w:t>
      </w:r>
      <w:r w:rsidRPr="00131B9D">
        <w:t>百萬公噸、阿根廷為</w:t>
      </w:r>
      <w:r w:rsidRPr="00131B9D">
        <w:t>10.5</w:t>
      </w:r>
      <w:r w:rsidRPr="00131B9D">
        <w:t>百萬公噸。</w:t>
      </w:r>
      <w:r w:rsidRPr="00131B9D">
        <w:rPr>
          <w:spacing w:val="-10"/>
        </w:rPr>
        <w:t>報告中特別提到，因為預估歐盟產量增加，雖然歐盟增產部分被澳洲及俄羅斯的減產所抵銷，故上調</w:t>
      </w:r>
      <w:r w:rsidRPr="00131B9D">
        <w:rPr>
          <w:spacing w:val="-10"/>
        </w:rPr>
        <w:t>2015/2016</w:t>
      </w:r>
      <w:r w:rsidRPr="00131B9D">
        <w:rPr>
          <w:spacing w:val="-10"/>
        </w:rPr>
        <w:t>全球小麥供應量</w:t>
      </w:r>
      <w:r w:rsidRPr="00131B9D">
        <w:t>（如表</w:t>
      </w:r>
      <w:r w:rsidRPr="00131B9D">
        <w:t>3-3</w:t>
      </w:r>
      <w:r w:rsidRPr="00131B9D">
        <w:t>）</w:t>
      </w:r>
      <w:r w:rsidRPr="00131B9D">
        <w:rPr>
          <w:spacing w:val="-10"/>
        </w:rPr>
        <w:t>。</w:t>
      </w:r>
    </w:p>
    <w:p w:rsidR="00F279F7" w:rsidRPr="00131B9D" w:rsidRDefault="00F279F7" w:rsidP="00F279F7">
      <w:pPr>
        <w:pStyle w:val="-"/>
        <w:spacing w:before="72" w:after="72"/>
        <w:ind w:firstLine="560"/>
      </w:pPr>
      <w:r w:rsidRPr="00131B9D">
        <w:t>2015</w:t>
      </w:r>
      <w:r w:rsidRPr="00131B9D">
        <w:t>年上半年，整體氣候良好、全球小麥供應充足、出口市場競爭激烈，加上中國大陸等主要進口國需求減弱，故整體呈現下跌走勢。惟</w:t>
      </w:r>
      <w:r w:rsidRPr="00131B9D">
        <w:t>6</w:t>
      </w:r>
      <w:r w:rsidRPr="00131B9D">
        <w:t>月中旬過後，因美國中西部豪雨，歐洲和加拿大降雨不足，使小麥價格上漲，但</w:t>
      </w:r>
      <w:r w:rsidRPr="00131B9D">
        <w:t>7</w:t>
      </w:r>
      <w:r w:rsidRPr="00131B9D">
        <w:t>月過後隨著氣候轉趨穩定，加上</w:t>
      </w:r>
      <w:r w:rsidRPr="00131B9D">
        <w:t>USDA</w:t>
      </w:r>
      <w:r w:rsidRPr="00131B9D">
        <w:t>供需</w:t>
      </w:r>
      <w:r w:rsidRPr="00131B9D">
        <w:lastRenderedPageBreak/>
        <w:t>報告上調美國小麥期末庫存及全球小麥供應數據，使小麥價格開始回落，</w:t>
      </w:r>
      <w:r w:rsidRPr="00131B9D">
        <w:t>8</w:t>
      </w:r>
      <w:r w:rsidRPr="00131B9D">
        <w:t>月初時，因美國小麥出口需求改善，短暫扭轉跌勢，隨後仍因全球小麥供應充足、出口競爭激烈，使小麥價格下跌。時至</w:t>
      </w:r>
      <w:r w:rsidRPr="00131B9D">
        <w:t>9</w:t>
      </w:r>
      <w:r w:rsidRPr="00131B9D">
        <w:t>月初，因美元走弱，有助美國小麥出口，此外，全球主要的小麥進口國巴西，因產區氣候不佳，引發國內小麥庫存偏低疑慮，且增加小麥進口量之預期，故對麥價有所支撐。</w:t>
      </w:r>
      <w:r w:rsidRPr="00131B9D">
        <w:t>9</w:t>
      </w:r>
      <w:r w:rsidRPr="00131B9D">
        <w:t>月下旬過後，因擔憂小麥重要產地黑海地區以及澳洲乾旱天氣，且</w:t>
      </w:r>
      <w:r w:rsidRPr="00131B9D">
        <w:t>USDA 9</w:t>
      </w:r>
      <w:r w:rsidRPr="00131B9D">
        <w:t>月</w:t>
      </w:r>
      <w:r w:rsidRPr="00131B9D">
        <w:t>30</w:t>
      </w:r>
      <w:r w:rsidRPr="00131B9D">
        <w:t>日公布的美國小麥產量預估較市場預期低，使小麥價格略有提升，然出口需求不振限制小麥價格的升幅。</w:t>
      </w:r>
      <w:r w:rsidRPr="00131B9D">
        <w:t>10</w:t>
      </w:r>
      <w:r w:rsidRPr="00131B9D">
        <w:t>月下旬，澳洲小麥產區氣候不佳，加上擔憂俄羅斯和烏克蘭的乾燥天氣可能損及新作產量，為小麥價格提供支撐，</w:t>
      </w:r>
      <w:r w:rsidRPr="00131B9D">
        <w:t>11</w:t>
      </w:r>
      <w:r w:rsidRPr="00131B9D">
        <w:t>月之後，天氣預報資料顯示美國小麥帶將降雨，預料可增進冬小麥收成，加上全球供應持續充足，使小麥價格再度下跌。</w:t>
      </w:r>
    </w:p>
    <w:p w:rsidR="00F279F7" w:rsidRPr="00131B9D" w:rsidRDefault="00F279F7" w:rsidP="00F279F7">
      <w:pPr>
        <w:pStyle w:val="-"/>
        <w:tabs>
          <w:tab w:val="left" w:pos="1276"/>
        </w:tabs>
        <w:spacing w:before="72" w:after="72"/>
        <w:ind w:firstLineChars="138" w:firstLine="387"/>
      </w:pPr>
      <w:r w:rsidRPr="00131B9D">
        <w:rPr>
          <w:b/>
        </w:rPr>
        <w:t>需求國：</w:t>
      </w:r>
      <w:r w:rsidRPr="00131B9D">
        <w:rPr>
          <w:spacing w:val="-10"/>
        </w:rPr>
        <w:t>全球</w:t>
      </w:r>
      <w:r w:rsidRPr="00131B9D">
        <w:rPr>
          <w:spacing w:val="-10"/>
        </w:rPr>
        <w:t>2015/2016</w:t>
      </w:r>
      <w:r w:rsidRPr="00131B9D">
        <w:rPr>
          <w:spacing w:val="-10"/>
        </w:rPr>
        <w:t>（</w:t>
      </w:r>
      <w:r w:rsidRPr="00131B9D">
        <w:rPr>
          <w:spacing w:val="-10"/>
        </w:rPr>
        <w:t>2015</w:t>
      </w:r>
      <w:r w:rsidRPr="00131B9D">
        <w:rPr>
          <w:spacing w:val="-10"/>
        </w:rPr>
        <w:t>年</w:t>
      </w:r>
      <w:r w:rsidRPr="00131B9D">
        <w:rPr>
          <w:spacing w:val="-10"/>
        </w:rPr>
        <w:t>6</w:t>
      </w:r>
      <w:r w:rsidRPr="00131B9D">
        <w:rPr>
          <w:spacing w:val="-10"/>
        </w:rPr>
        <w:t>月到次年</w:t>
      </w:r>
      <w:r w:rsidRPr="00131B9D">
        <w:rPr>
          <w:spacing w:val="-10"/>
        </w:rPr>
        <w:t>5</w:t>
      </w:r>
      <w:r w:rsidRPr="00131B9D">
        <w:rPr>
          <w:spacing w:val="-10"/>
        </w:rPr>
        <w:t>月）年小麥總需求量為</w:t>
      </w:r>
      <w:r w:rsidRPr="00131B9D">
        <w:rPr>
          <w:spacing w:val="-10"/>
        </w:rPr>
        <w:t>716.41</w:t>
      </w:r>
      <w:r w:rsidRPr="00131B9D">
        <w:rPr>
          <w:spacing w:val="-10"/>
        </w:rPr>
        <w:t>百萬公噸，其中飼料使用量為</w:t>
      </w:r>
      <w:r w:rsidRPr="00131B9D">
        <w:rPr>
          <w:spacing w:val="-10"/>
        </w:rPr>
        <w:t>137.72</w:t>
      </w:r>
      <w:r w:rsidRPr="00131B9D">
        <w:rPr>
          <w:spacing w:val="-10"/>
        </w:rPr>
        <w:t>百萬公噸；歐盟需求量為</w:t>
      </w:r>
      <w:r w:rsidRPr="00131B9D">
        <w:rPr>
          <w:spacing w:val="-10"/>
        </w:rPr>
        <w:t>126.75</w:t>
      </w:r>
      <w:r w:rsidRPr="00131B9D">
        <w:rPr>
          <w:spacing w:val="-10"/>
        </w:rPr>
        <w:t>百萬公噸、中國大陸需求量為</w:t>
      </w:r>
      <w:r w:rsidRPr="00131B9D">
        <w:rPr>
          <w:spacing w:val="-10"/>
        </w:rPr>
        <w:t>118</w:t>
      </w:r>
      <w:r w:rsidRPr="00131B9D">
        <w:rPr>
          <w:spacing w:val="-10"/>
        </w:rPr>
        <w:t>百萬公噸、印度需求量為</w:t>
      </w:r>
      <w:r w:rsidRPr="00131B9D">
        <w:rPr>
          <w:spacing w:val="-10"/>
        </w:rPr>
        <w:t>93.94</w:t>
      </w:r>
      <w:r w:rsidRPr="00131B9D">
        <w:rPr>
          <w:spacing w:val="-10"/>
        </w:rPr>
        <w:t>百萬公噸、獨立國家國協</w:t>
      </w:r>
      <w:r w:rsidRPr="00131B9D">
        <w:rPr>
          <w:spacing w:val="-10"/>
        </w:rPr>
        <w:t>-12</w:t>
      </w:r>
      <w:r w:rsidRPr="00131B9D">
        <w:rPr>
          <w:spacing w:val="-10"/>
        </w:rPr>
        <w:t>國需求量為</w:t>
      </w:r>
      <w:r w:rsidRPr="00131B9D">
        <w:rPr>
          <w:spacing w:val="-10"/>
        </w:rPr>
        <w:t>77.53</w:t>
      </w:r>
      <w:r w:rsidRPr="00131B9D">
        <w:rPr>
          <w:spacing w:val="-10"/>
        </w:rPr>
        <w:t>百萬公噸、北非需求量為</w:t>
      </w:r>
      <w:r w:rsidRPr="00131B9D">
        <w:rPr>
          <w:spacing w:val="-10"/>
        </w:rPr>
        <w:t>44.33</w:t>
      </w:r>
      <w:r w:rsidRPr="00131B9D">
        <w:rPr>
          <w:spacing w:val="-10"/>
        </w:rPr>
        <w:t>百萬公噸、主要中東國家需求量為</w:t>
      </w:r>
      <w:r w:rsidRPr="00131B9D">
        <w:rPr>
          <w:spacing w:val="-10"/>
        </w:rPr>
        <w:t>37.46</w:t>
      </w:r>
      <w:r w:rsidRPr="00131B9D">
        <w:rPr>
          <w:spacing w:val="-10"/>
        </w:rPr>
        <w:t>百萬公噸、俄國需求量為</w:t>
      </w:r>
      <w:r w:rsidRPr="00131B9D">
        <w:rPr>
          <w:spacing w:val="-10"/>
        </w:rPr>
        <w:t>36.50</w:t>
      </w:r>
      <w:r w:rsidRPr="00131B9D">
        <w:rPr>
          <w:spacing w:val="-10"/>
        </w:rPr>
        <w:t>百萬公噸、美國需求量為</w:t>
      </w:r>
      <w:r w:rsidRPr="00131B9D">
        <w:rPr>
          <w:spacing w:val="-10"/>
        </w:rPr>
        <w:t>33.18</w:t>
      </w:r>
      <w:r w:rsidRPr="00131B9D">
        <w:rPr>
          <w:spacing w:val="-10"/>
        </w:rPr>
        <w:t>百萬公噸、巴基斯坦需求量為</w:t>
      </w:r>
      <w:r w:rsidRPr="00131B9D">
        <w:rPr>
          <w:spacing w:val="-10"/>
        </w:rPr>
        <w:t>24.6</w:t>
      </w:r>
      <w:r w:rsidRPr="00131B9D">
        <w:rPr>
          <w:spacing w:val="-10"/>
        </w:rPr>
        <w:t>百萬公噸、東南亞為</w:t>
      </w:r>
      <w:r w:rsidRPr="00131B9D">
        <w:rPr>
          <w:spacing w:val="-10"/>
        </w:rPr>
        <w:t>19.25</w:t>
      </w:r>
      <w:r w:rsidRPr="00131B9D">
        <w:rPr>
          <w:spacing w:val="-10"/>
        </w:rPr>
        <w:t>百萬公噸、烏克蘭為</w:t>
      </w:r>
      <w:r w:rsidRPr="00131B9D">
        <w:rPr>
          <w:spacing w:val="-10"/>
        </w:rPr>
        <w:t>12.5</w:t>
      </w:r>
      <w:r w:rsidRPr="00131B9D">
        <w:rPr>
          <w:spacing w:val="-10"/>
        </w:rPr>
        <w:t>百萬公噸、巴西為</w:t>
      </w:r>
      <w:r w:rsidRPr="00131B9D">
        <w:rPr>
          <w:spacing w:val="-10"/>
        </w:rPr>
        <w:t>10.6</w:t>
      </w:r>
      <w:r w:rsidRPr="00131B9D">
        <w:rPr>
          <w:spacing w:val="-10"/>
        </w:rPr>
        <w:t>百萬公噸、加拿大為</w:t>
      </w:r>
      <w:r w:rsidRPr="00131B9D">
        <w:rPr>
          <w:spacing w:val="-10"/>
        </w:rPr>
        <w:t>9.00</w:t>
      </w:r>
      <w:r w:rsidRPr="00131B9D">
        <w:rPr>
          <w:spacing w:val="-10"/>
        </w:rPr>
        <w:t>百萬公噸、澳洲為</w:t>
      </w:r>
      <w:r w:rsidRPr="00131B9D">
        <w:rPr>
          <w:spacing w:val="-10"/>
        </w:rPr>
        <w:t>7.43</w:t>
      </w:r>
      <w:r w:rsidRPr="00131B9D">
        <w:rPr>
          <w:spacing w:val="-10"/>
        </w:rPr>
        <w:t>百萬公噸、哈薩克為</w:t>
      </w:r>
      <w:r w:rsidRPr="00131B9D">
        <w:rPr>
          <w:spacing w:val="-10"/>
        </w:rPr>
        <w:t>6.9</w:t>
      </w:r>
      <w:r w:rsidRPr="00131B9D">
        <w:rPr>
          <w:spacing w:val="-10"/>
        </w:rPr>
        <w:t>百萬公噸、阿根廷為</w:t>
      </w:r>
      <w:r w:rsidRPr="00131B9D">
        <w:rPr>
          <w:spacing w:val="-10"/>
        </w:rPr>
        <w:t>6.15</w:t>
      </w:r>
      <w:r w:rsidRPr="00131B9D">
        <w:rPr>
          <w:spacing w:val="-10"/>
        </w:rPr>
        <w:t>百萬公噸。主要進口國或區域為北非（</w:t>
      </w:r>
      <w:r w:rsidRPr="00131B9D">
        <w:rPr>
          <w:spacing w:val="-10"/>
        </w:rPr>
        <w:t>25.6</w:t>
      </w:r>
      <w:r w:rsidRPr="00131B9D">
        <w:rPr>
          <w:spacing w:val="-10"/>
        </w:rPr>
        <w:t>百萬公噸）、主要中東國家（</w:t>
      </w:r>
      <w:r w:rsidRPr="00131B9D">
        <w:rPr>
          <w:spacing w:val="-10"/>
        </w:rPr>
        <w:t>20.60</w:t>
      </w:r>
      <w:r w:rsidRPr="00131B9D">
        <w:rPr>
          <w:spacing w:val="-10"/>
        </w:rPr>
        <w:t>百萬公噸）、東南亞（</w:t>
      </w:r>
      <w:r w:rsidRPr="00131B9D">
        <w:rPr>
          <w:spacing w:val="-10"/>
        </w:rPr>
        <w:t>20.03</w:t>
      </w:r>
      <w:r w:rsidRPr="00131B9D">
        <w:rPr>
          <w:spacing w:val="-10"/>
        </w:rPr>
        <w:t>百萬公噸）、獨立國家國協</w:t>
      </w:r>
      <w:r w:rsidRPr="00131B9D">
        <w:rPr>
          <w:spacing w:val="-10"/>
        </w:rPr>
        <w:t>-12</w:t>
      </w:r>
      <w:r w:rsidRPr="00131B9D">
        <w:rPr>
          <w:spacing w:val="-10"/>
        </w:rPr>
        <w:t>國（</w:t>
      </w:r>
      <w:r w:rsidRPr="00131B9D">
        <w:rPr>
          <w:spacing w:val="-10"/>
        </w:rPr>
        <w:t>7.14</w:t>
      </w:r>
      <w:r w:rsidRPr="00131B9D">
        <w:rPr>
          <w:spacing w:val="-10"/>
        </w:rPr>
        <w:t>百萬公噸）及巴西（</w:t>
      </w:r>
      <w:r w:rsidRPr="00131B9D">
        <w:rPr>
          <w:spacing w:val="-10"/>
        </w:rPr>
        <w:t>6.30</w:t>
      </w:r>
      <w:r w:rsidRPr="00131B9D">
        <w:rPr>
          <w:spacing w:val="-10"/>
        </w:rPr>
        <w:t>百萬公噸），請參照表</w:t>
      </w:r>
      <w:r w:rsidRPr="00131B9D">
        <w:rPr>
          <w:spacing w:val="-10"/>
        </w:rPr>
        <w:t>3-3</w:t>
      </w:r>
      <w:r w:rsidRPr="00131B9D">
        <w:rPr>
          <w:spacing w:val="-10"/>
        </w:rPr>
        <w:t>。</w:t>
      </w:r>
    </w:p>
    <w:p w:rsidR="00127C79" w:rsidRPr="00131B9D" w:rsidRDefault="00127C79" w:rsidP="00127C79">
      <w:pPr>
        <w:pStyle w:val="-"/>
        <w:tabs>
          <w:tab w:val="left" w:pos="1276"/>
        </w:tabs>
        <w:spacing w:before="72" w:after="72"/>
        <w:ind w:firstLine="560"/>
      </w:pPr>
      <w:r w:rsidRPr="00131B9D">
        <w:t>依上所述，包括中東、北非一些產油國的小麥進口量約佔全球的三分之一比重，法國諮詢機構戰略穀物（</w:t>
      </w:r>
      <w:r w:rsidRPr="00131B9D">
        <w:t>Strategie Grains</w:t>
      </w:r>
      <w:r w:rsidRPr="00131B9D">
        <w:t>）也表示，很多原油出口國同時也是小麥的主要進口國，因此原油價格的波動會影響這些仰賴原油出口國家的收入，進而影響對小麥的購買力。埃及是全球最大的小麥進口國，每年進口約千萬噸小麥。埃及商品供應總</w:t>
      </w:r>
      <w:r w:rsidRPr="00131B9D">
        <w:lastRenderedPageBreak/>
        <w:t>局（</w:t>
      </w:r>
      <w:r w:rsidRPr="00131B9D">
        <w:t>GASC</w:t>
      </w:r>
      <w:r w:rsidRPr="00131B9D">
        <w:t>）</w:t>
      </w:r>
      <w:r w:rsidRPr="00131B9D">
        <w:t>2</w:t>
      </w:r>
      <w:r w:rsidRPr="00131B9D">
        <w:t>月曾在招標會上購買</w:t>
      </w:r>
      <w:r w:rsidRPr="00131B9D">
        <w:t>29</w:t>
      </w:r>
      <w:r w:rsidRPr="00131B9D">
        <w:t>萬噸美國硬紅冬麥，為近年最大的採購數量，相當於</w:t>
      </w:r>
      <w:r w:rsidRPr="00131B9D">
        <w:t>2013/14</w:t>
      </w:r>
      <w:r w:rsidRPr="00131B9D">
        <w:t>年度以及</w:t>
      </w:r>
      <w:r w:rsidRPr="00131B9D">
        <w:t>2014/15</w:t>
      </w:r>
      <w:r w:rsidRPr="00131B9D">
        <w:t>年度至當月採購美國小麥的總和。而因中國大陸自產小麥品質提高，</w:t>
      </w:r>
      <w:r w:rsidRPr="00131B9D">
        <w:t>2015</w:t>
      </w:r>
      <w:r w:rsidRPr="00131B9D">
        <w:t>年</w:t>
      </w:r>
      <w:r w:rsidRPr="00131B9D">
        <w:t>1</w:t>
      </w:r>
      <w:r w:rsidRPr="00131B9D">
        <w:t>月中國大陸小麥進口數量較</w:t>
      </w:r>
      <w:r w:rsidRPr="00131B9D">
        <w:t>2014</w:t>
      </w:r>
      <w:r w:rsidRPr="00131B9D">
        <w:t>年同期進口數量大幅減少，根據中國大陸海關數據亦可看出，中國大陸</w:t>
      </w:r>
      <w:r w:rsidRPr="00131B9D">
        <w:t>1-4</w:t>
      </w:r>
      <w:r w:rsidRPr="00131B9D">
        <w:t>月進口總量為</w:t>
      </w:r>
      <w:r w:rsidRPr="00131B9D">
        <w:t>61</w:t>
      </w:r>
      <w:r w:rsidRPr="00131B9D">
        <w:t>萬公噸，較</w:t>
      </w:r>
      <w:r w:rsidRPr="00131B9D">
        <w:t>2014</w:t>
      </w:r>
      <w:r w:rsidRPr="00131B9D">
        <w:t>年同期大幅減少</w:t>
      </w:r>
      <w:r w:rsidRPr="00131B9D">
        <w:t>72.5%</w:t>
      </w:r>
      <w:r w:rsidRPr="00131B9D">
        <w:t>，而</w:t>
      </w:r>
      <w:r w:rsidRPr="00131B9D">
        <w:t>2015</w:t>
      </w:r>
      <w:r w:rsidRPr="00131B9D">
        <w:t>年冬小麥的作物狀況及天氣情況使生長條件較為樂觀，預計</w:t>
      </w:r>
      <w:r w:rsidRPr="00131B9D">
        <w:t>2015</w:t>
      </w:r>
      <w:r w:rsidRPr="00131B9D">
        <w:t>年繼續豐產高質小麥。因隨著收入增加，國內對麵條、麵包及其他烘焙食品的需求也增加，中國大陸對優質小麥的需求缺口較大，總體上仍呈現略微供不應求的局面，</w:t>
      </w:r>
      <w:r w:rsidRPr="00131B9D">
        <w:t>2015</w:t>
      </w:r>
      <w:r w:rsidRPr="00131B9D">
        <w:t>年全年小麥進口數量預計在</w:t>
      </w:r>
      <w:r w:rsidRPr="00131B9D">
        <w:t>250-300</w:t>
      </w:r>
      <w:r w:rsidRPr="00131B9D">
        <w:t>萬噸。國際穀物理事會（</w:t>
      </w:r>
      <w:r w:rsidRPr="00131B9D">
        <w:t>International Grains Council, IGC</w:t>
      </w:r>
      <w:r w:rsidRPr="00131B9D">
        <w:t>）</w:t>
      </w:r>
      <w:r w:rsidRPr="00131B9D">
        <w:t>9</w:t>
      </w:r>
      <w:r w:rsidRPr="00131B9D">
        <w:t>月</w:t>
      </w:r>
      <w:r w:rsidRPr="00131B9D">
        <w:t>24</w:t>
      </w:r>
      <w:r w:rsidRPr="00131B9D">
        <w:t>日在月報當中預估，全球小麥消費量主要受到飼用小麥消費增加的帶動，較</w:t>
      </w:r>
      <w:r w:rsidRPr="00131B9D">
        <w:t>8</w:t>
      </w:r>
      <w:r w:rsidRPr="00131B9D">
        <w:t>月上調</w:t>
      </w:r>
      <w:r w:rsidRPr="00131B9D">
        <w:t>300</w:t>
      </w:r>
      <w:r w:rsidRPr="00131B9D">
        <w:t>萬噸至</w:t>
      </w:r>
      <w:r w:rsidRPr="00131B9D">
        <w:t>7.19</w:t>
      </w:r>
      <w:r w:rsidRPr="00131B9D">
        <w:t>億噸，為史上次高水準。</w:t>
      </w:r>
    </w:p>
    <w:p w:rsidR="00626D27" w:rsidRPr="00131B9D" w:rsidRDefault="00626D27" w:rsidP="00A95A73"/>
    <w:p w:rsidR="00F279F7" w:rsidRPr="00131B9D" w:rsidRDefault="00F279F7" w:rsidP="00F279F7">
      <w:pPr>
        <w:pStyle w:val="-"/>
        <w:spacing w:before="72" w:after="72"/>
        <w:ind w:firstLineChars="0" w:firstLine="0"/>
        <w:rPr>
          <w:b/>
        </w:rPr>
      </w:pPr>
      <w:r w:rsidRPr="00131B9D">
        <w:rPr>
          <w:b/>
        </w:rPr>
        <w:t>3.</w:t>
      </w:r>
      <w:r w:rsidRPr="00131B9D">
        <w:rPr>
          <w:b/>
        </w:rPr>
        <w:t xml:space="preserve">　</w:t>
      </w:r>
      <w:r w:rsidRPr="00131B9D">
        <w:rPr>
          <w:b/>
        </w:rPr>
        <w:t>2016</w:t>
      </w:r>
      <w:r w:rsidRPr="00131B9D">
        <w:rPr>
          <w:b/>
        </w:rPr>
        <w:t>年展望</w:t>
      </w:r>
    </w:p>
    <w:p w:rsidR="00F279F7" w:rsidRPr="00131B9D" w:rsidRDefault="00F279F7" w:rsidP="00F279F7">
      <w:pPr>
        <w:pStyle w:val="-"/>
        <w:spacing w:before="72" w:after="72"/>
        <w:ind w:firstLine="520"/>
        <w:rPr>
          <w:spacing w:val="-10"/>
        </w:rPr>
      </w:pPr>
      <w:r w:rsidRPr="00131B9D">
        <w:rPr>
          <w:spacing w:val="-10"/>
        </w:rPr>
        <w:t>自</w:t>
      </w:r>
      <w:r w:rsidRPr="00131B9D">
        <w:rPr>
          <w:spacing w:val="-10"/>
        </w:rPr>
        <w:t>2014</w:t>
      </w:r>
      <w:r w:rsidRPr="00131B9D">
        <w:rPr>
          <w:spacing w:val="-10"/>
        </w:rPr>
        <w:t>年底開始，小麥全球指標價格已經顯著下降，反映出</w:t>
      </w:r>
      <w:r w:rsidRPr="00131B9D">
        <w:rPr>
          <w:spacing w:val="-10"/>
        </w:rPr>
        <w:t>2015/16</w:t>
      </w:r>
      <w:r w:rsidRPr="00131B9D">
        <w:rPr>
          <w:spacing w:val="-10"/>
        </w:rPr>
        <w:t>年小麥作物前景改善，以及因強勢美元抑制對美國小麥需求，加上其他國家出口供給充裕，導致美國小麥出口下跌，這些因素將使小麥未來一年價格持續承受壓力。國際穀物理事會（</w:t>
      </w:r>
      <w:r w:rsidRPr="00131B9D">
        <w:rPr>
          <w:spacing w:val="-10"/>
        </w:rPr>
        <w:t>International Grains Council, IGC</w:t>
      </w:r>
      <w:r w:rsidRPr="00131B9D">
        <w:rPr>
          <w:spacing w:val="-10"/>
        </w:rPr>
        <w:t>）報告表示，</w:t>
      </w:r>
      <w:r w:rsidRPr="00131B9D">
        <w:rPr>
          <w:spacing w:val="-10"/>
        </w:rPr>
        <w:t>2015/16</w:t>
      </w:r>
      <w:r w:rsidRPr="00131B9D">
        <w:rPr>
          <w:spacing w:val="-10"/>
        </w:rPr>
        <w:t>年度全球小麥產量將達創新高的</w:t>
      </w:r>
      <w:r w:rsidRPr="00131B9D">
        <w:rPr>
          <w:spacing w:val="-10"/>
        </w:rPr>
        <w:t>7.27</w:t>
      </w:r>
      <w:r w:rsidRPr="00131B9D">
        <w:rPr>
          <w:spacing w:val="-10"/>
        </w:rPr>
        <w:t>億噸，亦帶動全球小麥期末庫存至創新高的</w:t>
      </w:r>
      <w:r w:rsidRPr="00131B9D">
        <w:rPr>
          <w:spacing w:val="-10"/>
        </w:rPr>
        <w:t>2.11</w:t>
      </w:r>
      <w:r w:rsidRPr="00131B9D">
        <w:rPr>
          <w:spacing w:val="-10"/>
        </w:rPr>
        <w:t>億噸；其次預估全球小麥消費量，受到飼用小麥用量上升而增加。德國商業銀行（</w:t>
      </w:r>
      <w:r w:rsidRPr="00131B9D">
        <w:rPr>
          <w:spacing w:val="-10"/>
        </w:rPr>
        <w:t>Commerzbank</w:t>
      </w:r>
      <w:r w:rsidRPr="00131B9D">
        <w:rPr>
          <w:spacing w:val="-10"/>
        </w:rPr>
        <w:t>）</w:t>
      </w:r>
      <w:r w:rsidRPr="00131B9D">
        <w:rPr>
          <w:spacing w:val="-10"/>
        </w:rPr>
        <w:t>9</w:t>
      </w:r>
      <w:r w:rsidRPr="00131B9D">
        <w:rPr>
          <w:spacing w:val="-10"/>
        </w:rPr>
        <w:t>月下旬報告亦指出，因全球主要生產國的作物預估良好，且預期</w:t>
      </w:r>
      <w:r w:rsidRPr="00131B9D">
        <w:rPr>
          <w:spacing w:val="-10"/>
        </w:rPr>
        <w:t>2015/16</w:t>
      </w:r>
      <w:r w:rsidRPr="00131B9D">
        <w:rPr>
          <w:spacing w:val="-10"/>
        </w:rPr>
        <w:t>年度全球小麥進入連續第三年供給過剩，預測</w:t>
      </w:r>
      <w:r w:rsidRPr="00131B9D">
        <w:rPr>
          <w:spacing w:val="-10"/>
        </w:rPr>
        <w:t>2016</w:t>
      </w:r>
      <w:r w:rsidRPr="00131B9D">
        <w:rPr>
          <w:spacing w:val="-10"/>
        </w:rPr>
        <w:t>年第一季小麥均價為每英斗</w:t>
      </w:r>
      <w:r w:rsidRPr="00131B9D">
        <w:rPr>
          <w:spacing w:val="-10"/>
        </w:rPr>
        <w:t>5.20</w:t>
      </w:r>
      <w:r w:rsidRPr="00131B9D">
        <w:rPr>
          <w:spacing w:val="-10"/>
        </w:rPr>
        <w:t>美元。</w:t>
      </w:r>
    </w:p>
    <w:p w:rsidR="00C665AA" w:rsidRPr="00131B9D" w:rsidRDefault="00C665AA" w:rsidP="00A95A73">
      <w:pPr>
        <w:sectPr w:rsidR="00C665AA" w:rsidRPr="00131B9D" w:rsidSect="00097B8D">
          <w:pgSz w:w="11906" w:h="16838"/>
          <w:pgMar w:top="1440" w:right="1800" w:bottom="1440" w:left="1800" w:header="851" w:footer="992" w:gutter="0"/>
          <w:cols w:space="425"/>
          <w:docGrid w:type="lines" w:linePitch="360"/>
        </w:sectPr>
      </w:pPr>
    </w:p>
    <w:p w:rsidR="00626D27" w:rsidRPr="00131B9D" w:rsidRDefault="00A95A73" w:rsidP="00CD2B44">
      <w:pPr>
        <w:pStyle w:val="aff1"/>
        <w:spacing w:line="0" w:lineRule="atLeast"/>
        <w:rPr>
          <w:b w:val="0"/>
          <w:bCs/>
          <w:kern w:val="52"/>
          <w:szCs w:val="28"/>
        </w:rPr>
      </w:pPr>
      <w:bookmarkStart w:id="87" w:name="_Ref375206641"/>
      <w:bookmarkStart w:id="88" w:name="_Toc322707604"/>
      <w:bookmarkStart w:id="89" w:name="_Toc365015461"/>
      <w:bookmarkStart w:id="90" w:name="_Toc373682409"/>
      <w:bookmarkStart w:id="91" w:name="_Toc375298450"/>
      <w:bookmarkStart w:id="92" w:name="_Toc398909987"/>
      <w:bookmarkStart w:id="93" w:name="_Toc439162992"/>
      <w:r w:rsidRPr="00131B9D">
        <w:rPr>
          <w:bCs/>
          <w:kern w:val="52"/>
          <w:szCs w:val="28"/>
        </w:rPr>
        <w:lastRenderedPageBreak/>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3</w:t>
      </w:r>
      <w:r w:rsidRPr="00131B9D">
        <w:rPr>
          <w:b w:val="0"/>
          <w:bCs/>
          <w:kern w:val="52"/>
          <w:szCs w:val="28"/>
        </w:rPr>
        <w:fldChar w:fldCharType="end"/>
      </w:r>
      <w:r w:rsidR="00626D27" w:rsidRPr="00131B9D">
        <w:rPr>
          <w:bCs/>
          <w:kern w:val="52"/>
          <w:szCs w:val="28"/>
        </w:rPr>
        <w:t xml:space="preserve">　全球小麥供需</w:t>
      </w:r>
      <w:r w:rsidR="00626D27" w:rsidRPr="00131B9D">
        <w:rPr>
          <w:szCs w:val="28"/>
        </w:rPr>
        <w:t>概況</w:t>
      </w:r>
      <w:bookmarkEnd w:id="87"/>
      <w:bookmarkEnd w:id="88"/>
      <w:bookmarkEnd w:id="89"/>
      <w:bookmarkEnd w:id="90"/>
      <w:bookmarkEnd w:id="91"/>
      <w:bookmarkEnd w:id="92"/>
      <w:bookmarkEnd w:id="93"/>
    </w:p>
    <w:tbl>
      <w:tblPr>
        <w:tblW w:w="8640"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0A0" w:firstRow="1" w:lastRow="0" w:firstColumn="1" w:lastColumn="0" w:noHBand="0" w:noVBand="0"/>
      </w:tblPr>
      <w:tblGrid>
        <w:gridCol w:w="495"/>
        <w:gridCol w:w="2072"/>
        <w:gridCol w:w="850"/>
        <w:gridCol w:w="851"/>
        <w:gridCol w:w="850"/>
        <w:gridCol w:w="851"/>
        <w:gridCol w:w="850"/>
        <w:gridCol w:w="851"/>
        <w:gridCol w:w="970"/>
      </w:tblGrid>
      <w:tr w:rsidR="00F279F7" w:rsidRPr="00131B9D" w:rsidTr="00F279F7">
        <w:trPr>
          <w:trHeight w:val="305"/>
          <w:jc w:val="center"/>
        </w:trPr>
        <w:tc>
          <w:tcPr>
            <w:tcW w:w="2567" w:type="dxa"/>
            <w:gridSpan w:val="2"/>
            <w:vMerge w:val="restart"/>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 xml:space="preserve">　（百萬公噸）</w:t>
            </w:r>
          </w:p>
        </w:tc>
        <w:tc>
          <w:tcPr>
            <w:tcW w:w="2551" w:type="dxa"/>
            <w:gridSpan w:val="3"/>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供給</w:t>
            </w:r>
          </w:p>
        </w:tc>
        <w:tc>
          <w:tcPr>
            <w:tcW w:w="2552" w:type="dxa"/>
            <w:gridSpan w:val="3"/>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需求</w:t>
            </w:r>
          </w:p>
        </w:tc>
        <w:tc>
          <w:tcPr>
            <w:tcW w:w="970" w:type="dxa"/>
            <w:vMerge w:val="restart"/>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庫存</w:t>
            </w:r>
          </w:p>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變化</w:t>
            </w:r>
          </w:p>
        </w:tc>
      </w:tr>
      <w:tr w:rsidR="00F279F7" w:rsidRPr="00131B9D" w:rsidTr="00F279F7">
        <w:trPr>
          <w:trHeight w:val="494"/>
          <w:jc w:val="center"/>
        </w:trPr>
        <w:tc>
          <w:tcPr>
            <w:tcW w:w="2567" w:type="dxa"/>
            <w:gridSpan w:val="2"/>
            <w:vMerge/>
            <w:vAlign w:val="center"/>
          </w:tcPr>
          <w:p w:rsidR="00F279F7" w:rsidRPr="00131B9D" w:rsidRDefault="00F279F7" w:rsidP="00F279F7">
            <w:pPr>
              <w:widowControl/>
              <w:spacing w:line="0" w:lineRule="atLeast"/>
              <w:rPr>
                <w:rFonts w:eastAsia="標楷體"/>
                <w:kern w:val="0"/>
                <w:sz w:val="23"/>
                <w:szCs w:val="23"/>
              </w:rPr>
            </w:pPr>
          </w:p>
        </w:tc>
        <w:tc>
          <w:tcPr>
            <w:tcW w:w="850" w:type="dxa"/>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期初</w:t>
            </w:r>
          </w:p>
          <w:p w:rsidR="00F279F7" w:rsidRPr="00131B9D" w:rsidRDefault="00F279F7" w:rsidP="00F279F7">
            <w:pPr>
              <w:spacing w:line="0" w:lineRule="atLeast"/>
              <w:jc w:val="center"/>
              <w:rPr>
                <w:rFonts w:eastAsia="標楷體"/>
                <w:kern w:val="0"/>
                <w:sz w:val="23"/>
                <w:szCs w:val="23"/>
              </w:rPr>
            </w:pPr>
            <w:r w:rsidRPr="00131B9D">
              <w:rPr>
                <w:rFonts w:eastAsia="標楷體"/>
                <w:kern w:val="0"/>
                <w:sz w:val="23"/>
                <w:szCs w:val="23"/>
              </w:rPr>
              <w:t>庫存</w:t>
            </w:r>
          </w:p>
        </w:tc>
        <w:tc>
          <w:tcPr>
            <w:tcW w:w="851" w:type="dxa"/>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生產</w:t>
            </w:r>
          </w:p>
        </w:tc>
        <w:tc>
          <w:tcPr>
            <w:tcW w:w="850" w:type="dxa"/>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進口</w:t>
            </w:r>
          </w:p>
        </w:tc>
        <w:tc>
          <w:tcPr>
            <w:tcW w:w="851" w:type="dxa"/>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國內</w:t>
            </w:r>
          </w:p>
        </w:tc>
        <w:tc>
          <w:tcPr>
            <w:tcW w:w="850" w:type="dxa"/>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出口</w:t>
            </w:r>
          </w:p>
        </w:tc>
        <w:tc>
          <w:tcPr>
            <w:tcW w:w="851" w:type="dxa"/>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期末</w:t>
            </w:r>
          </w:p>
          <w:p w:rsidR="00F279F7" w:rsidRPr="00131B9D" w:rsidRDefault="00F279F7" w:rsidP="00F279F7">
            <w:pPr>
              <w:spacing w:line="0" w:lineRule="atLeast"/>
              <w:jc w:val="center"/>
              <w:rPr>
                <w:rFonts w:eastAsia="標楷體"/>
                <w:kern w:val="0"/>
                <w:sz w:val="23"/>
                <w:szCs w:val="23"/>
              </w:rPr>
            </w:pPr>
            <w:r w:rsidRPr="00131B9D">
              <w:rPr>
                <w:rFonts w:eastAsia="標楷體"/>
                <w:kern w:val="0"/>
                <w:sz w:val="23"/>
                <w:szCs w:val="23"/>
              </w:rPr>
              <w:t>庫存</w:t>
            </w:r>
          </w:p>
        </w:tc>
        <w:tc>
          <w:tcPr>
            <w:tcW w:w="970" w:type="dxa"/>
            <w:vMerge/>
            <w:vAlign w:val="center"/>
          </w:tcPr>
          <w:p w:rsidR="00F279F7" w:rsidRPr="00131B9D" w:rsidRDefault="00F279F7" w:rsidP="00F279F7">
            <w:pPr>
              <w:spacing w:line="0" w:lineRule="atLeast"/>
              <w:rPr>
                <w:rFonts w:eastAsia="標楷體"/>
                <w:kern w:val="0"/>
                <w:sz w:val="23"/>
                <w:szCs w:val="23"/>
              </w:rPr>
            </w:pPr>
          </w:p>
        </w:tc>
      </w:tr>
      <w:tr w:rsidR="00F279F7" w:rsidRPr="00131B9D" w:rsidTr="00F279F7">
        <w:trPr>
          <w:trHeight w:val="54"/>
          <w:jc w:val="center"/>
        </w:trPr>
        <w:tc>
          <w:tcPr>
            <w:tcW w:w="495" w:type="dxa"/>
            <w:vMerge w:val="restart"/>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全</w:t>
            </w:r>
          </w:p>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球</w:t>
            </w: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50" w:type="dxa"/>
            <w:vAlign w:val="center"/>
          </w:tcPr>
          <w:p w:rsidR="00F279F7" w:rsidRPr="00131B9D" w:rsidRDefault="00F279F7" w:rsidP="00F279F7">
            <w:pPr>
              <w:snapToGrid w:val="0"/>
              <w:jc w:val="center"/>
              <w:rPr>
                <w:sz w:val="23"/>
                <w:szCs w:val="23"/>
              </w:rPr>
            </w:pPr>
            <w:r w:rsidRPr="00131B9D">
              <w:rPr>
                <w:sz w:val="23"/>
                <w:szCs w:val="23"/>
              </w:rPr>
              <w:t>177.16</w:t>
            </w:r>
          </w:p>
        </w:tc>
        <w:tc>
          <w:tcPr>
            <w:tcW w:w="851" w:type="dxa"/>
            <w:vAlign w:val="center"/>
          </w:tcPr>
          <w:p w:rsidR="00F279F7" w:rsidRPr="00131B9D" w:rsidRDefault="00F279F7" w:rsidP="00F279F7">
            <w:pPr>
              <w:snapToGrid w:val="0"/>
              <w:jc w:val="center"/>
              <w:rPr>
                <w:sz w:val="23"/>
                <w:szCs w:val="23"/>
              </w:rPr>
            </w:pPr>
            <w:r w:rsidRPr="00131B9D">
              <w:rPr>
                <w:sz w:val="23"/>
                <w:szCs w:val="23"/>
              </w:rPr>
              <w:t>715.11</w:t>
            </w:r>
          </w:p>
        </w:tc>
        <w:tc>
          <w:tcPr>
            <w:tcW w:w="850" w:type="dxa"/>
            <w:vAlign w:val="center"/>
          </w:tcPr>
          <w:p w:rsidR="00F279F7" w:rsidRPr="00131B9D" w:rsidRDefault="00F279F7" w:rsidP="00F279F7">
            <w:pPr>
              <w:snapToGrid w:val="0"/>
              <w:jc w:val="center"/>
              <w:rPr>
                <w:sz w:val="23"/>
                <w:szCs w:val="23"/>
              </w:rPr>
            </w:pPr>
            <w:r w:rsidRPr="00131B9D">
              <w:rPr>
                <w:sz w:val="23"/>
                <w:szCs w:val="23"/>
              </w:rPr>
              <w:t>158.36</w:t>
            </w:r>
          </w:p>
        </w:tc>
        <w:tc>
          <w:tcPr>
            <w:tcW w:w="851" w:type="dxa"/>
            <w:vAlign w:val="center"/>
          </w:tcPr>
          <w:p w:rsidR="00F279F7" w:rsidRPr="00131B9D" w:rsidRDefault="00F279F7" w:rsidP="00F279F7">
            <w:pPr>
              <w:snapToGrid w:val="0"/>
              <w:jc w:val="center"/>
              <w:rPr>
                <w:sz w:val="23"/>
                <w:szCs w:val="23"/>
              </w:rPr>
            </w:pPr>
            <w:r w:rsidRPr="00131B9D">
              <w:rPr>
                <w:sz w:val="23"/>
                <w:szCs w:val="23"/>
              </w:rPr>
              <w:t>698.65</w:t>
            </w:r>
          </w:p>
        </w:tc>
        <w:tc>
          <w:tcPr>
            <w:tcW w:w="850" w:type="dxa"/>
            <w:vAlign w:val="center"/>
          </w:tcPr>
          <w:p w:rsidR="00F279F7" w:rsidRPr="00131B9D" w:rsidRDefault="00F279F7" w:rsidP="00F279F7">
            <w:pPr>
              <w:snapToGrid w:val="0"/>
              <w:jc w:val="center"/>
              <w:rPr>
                <w:sz w:val="23"/>
                <w:szCs w:val="23"/>
              </w:rPr>
            </w:pPr>
            <w:r w:rsidRPr="00131B9D">
              <w:rPr>
                <w:sz w:val="23"/>
                <w:szCs w:val="23"/>
              </w:rPr>
              <w:t>165.9</w:t>
            </w:r>
          </w:p>
        </w:tc>
        <w:tc>
          <w:tcPr>
            <w:tcW w:w="851" w:type="dxa"/>
            <w:vAlign w:val="center"/>
          </w:tcPr>
          <w:p w:rsidR="00F279F7" w:rsidRPr="00131B9D" w:rsidRDefault="00F279F7" w:rsidP="00F279F7">
            <w:pPr>
              <w:snapToGrid w:val="0"/>
              <w:jc w:val="center"/>
              <w:rPr>
                <w:sz w:val="23"/>
                <w:szCs w:val="23"/>
              </w:rPr>
            </w:pPr>
            <w:r w:rsidRPr="00131B9D">
              <w:rPr>
                <w:sz w:val="23"/>
                <w:szCs w:val="23"/>
              </w:rPr>
              <w:t>193.62</w:t>
            </w:r>
          </w:p>
        </w:tc>
        <w:tc>
          <w:tcPr>
            <w:tcW w:w="970" w:type="dxa"/>
            <w:vAlign w:val="center"/>
          </w:tcPr>
          <w:p w:rsidR="00F279F7" w:rsidRPr="00131B9D" w:rsidRDefault="00F279F7" w:rsidP="00F279F7">
            <w:pPr>
              <w:snapToGrid w:val="0"/>
              <w:jc w:val="center"/>
              <w:rPr>
                <w:sz w:val="23"/>
                <w:szCs w:val="23"/>
              </w:rPr>
            </w:pPr>
            <w:r w:rsidRPr="00131B9D">
              <w:rPr>
                <w:sz w:val="23"/>
                <w:szCs w:val="23"/>
              </w:rPr>
              <w:t>-</w:t>
            </w:r>
          </w:p>
        </w:tc>
      </w:tr>
      <w:tr w:rsidR="00F279F7" w:rsidRPr="00131B9D" w:rsidTr="00F279F7">
        <w:trPr>
          <w:trHeight w:val="54"/>
          <w:jc w:val="center"/>
        </w:trPr>
        <w:tc>
          <w:tcPr>
            <w:tcW w:w="495" w:type="dxa"/>
            <w:vMerge/>
            <w:vAlign w:val="center"/>
          </w:tcPr>
          <w:p w:rsidR="00F279F7" w:rsidRPr="00131B9D" w:rsidRDefault="00F279F7" w:rsidP="00F279F7">
            <w:pPr>
              <w:widowControl/>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vAlign w:val="center"/>
          </w:tcPr>
          <w:p w:rsidR="00F279F7" w:rsidRPr="00131B9D" w:rsidRDefault="00F279F7" w:rsidP="00F279F7">
            <w:pPr>
              <w:snapToGrid w:val="0"/>
              <w:jc w:val="center"/>
              <w:rPr>
                <w:sz w:val="23"/>
                <w:szCs w:val="23"/>
              </w:rPr>
            </w:pPr>
            <w:r w:rsidRPr="00131B9D">
              <w:rPr>
                <w:sz w:val="23"/>
                <w:szCs w:val="23"/>
              </w:rPr>
              <w:t>193.62</w:t>
            </w:r>
          </w:p>
        </w:tc>
        <w:tc>
          <w:tcPr>
            <w:tcW w:w="851" w:type="dxa"/>
            <w:vAlign w:val="center"/>
          </w:tcPr>
          <w:p w:rsidR="00F279F7" w:rsidRPr="00131B9D" w:rsidRDefault="00F279F7" w:rsidP="00F279F7">
            <w:pPr>
              <w:snapToGrid w:val="0"/>
              <w:jc w:val="center"/>
              <w:rPr>
                <w:sz w:val="23"/>
                <w:szCs w:val="23"/>
              </w:rPr>
            </w:pPr>
            <w:r w:rsidRPr="00131B9D">
              <w:rPr>
                <w:sz w:val="23"/>
                <w:szCs w:val="23"/>
              </w:rPr>
              <w:t>725.12</w:t>
            </w:r>
          </w:p>
        </w:tc>
        <w:tc>
          <w:tcPr>
            <w:tcW w:w="850" w:type="dxa"/>
            <w:vAlign w:val="center"/>
          </w:tcPr>
          <w:p w:rsidR="00F279F7" w:rsidRPr="00131B9D" w:rsidRDefault="00F279F7" w:rsidP="00F279F7">
            <w:pPr>
              <w:snapToGrid w:val="0"/>
              <w:jc w:val="center"/>
              <w:rPr>
                <w:sz w:val="23"/>
                <w:szCs w:val="23"/>
              </w:rPr>
            </w:pPr>
            <w:r w:rsidRPr="00131B9D">
              <w:rPr>
                <w:sz w:val="23"/>
                <w:szCs w:val="23"/>
              </w:rPr>
              <w:t>158.69</w:t>
            </w:r>
          </w:p>
        </w:tc>
        <w:tc>
          <w:tcPr>
            <w:tcW w:w="851" w:type="dxa"/>
            <w:vAlign w:val="center"/>
          </w:tcPr>
          <w:p w:rsidR="00F279F7" w:rsidRPr="00131B9D" w:rsidRDefault="00F279F7" w:rsidP="00F279F7">
            <w:pPr>
              <w:snapToGrid w:val="0"/>
              <w:jc w:val="center"/>
              <w:rPr>
                <w:sz w:val="23"/>
                <w:szCs w:val="23"/>
              </w:rPr>
            </w:pPr>
            <w:r w:rsidRPr="00131B9D">
              <w:rPr>
                <w:sz w:val="23"/>
                <w:szCs w:val="23"/>
              </w:rPr>
              <w:t>707.05</w:t>
            </w:r>
          </w:p>
        </w:tc>
        <w:tc>
          <w:tcPr>
            <w:tcW w:w="850" w:type="dxa"/>
            <w:vAlign w:val="center"/>
          </w:tcPr>
          <w:p w:rsidR="00F279F7" w:rsidRPr="00131B9D" w:rsidRDefault="00F279F7" w:rsidP="00F279F7">
            <w:pPr>
              <w:snapToGrid w:val="0"/>
              <w:jc w:val="center"/>
              <w:rPr>
                <w:sz w:val="23"/>
                <w:szCs w:val="23"/>
              </w:rPr>
            </w:pPr>
            <w:r w:rsidRPr="00131B9D">
              <w:rPr>
                <w:sz w:val="23"/>
                <w:szCs w:val="23"/>
              </w:rPr>
              <w:t>164.2</w:t>
            </w:r>
          </w:p>
        </w:tc>
        <w:tc>
          <w:tcPr>
            <w:tcW w:w="851" w:type="dxa"/>
            <w:vAlign w:val="center"/>
          </w:tcPr>
          <w:p w:rsidR="00F279F7" w:rsidRPr="00131B9D" w:rsidRDefault="00F279F7" w:rsidP="00F279F7">
            <w:pPr>
              <w:snapToGrid w:val="0"/>
              <w:jc w:val="center"/>
              <w:rPr>
                <w:sz w:val="23"/>
                <w:szCs w:val="23"/>
              </w:rPr>
            </w:pPr>
            <w:r w:rsidRPr="00131B9D">
              <w:rPr>
                <w:sz w:val="23"/>
                <w:szCs w:val="23"/>
              </w:rPr>
              <w:t>211.69</w:t>
            </w:r>
          </w:p>
        </w:tc>
        <w:tc>
          <w:tcPr>
            <w:tcW w:w="970" w:type="dxa"/>
            <w:vAlign w:val="center"/>
          </w:tcPr>
          <w:p w:rsidR="00F279F7" w:rsidRPr="00131B9D" w:rsidRDefault="00F279F7" w:rsidP="00F279F7">
            <w:pPr>
              <w:snapToGrid w:val="0"/>
              <w:jc w:val="center"/>
              <w:rPr>
                <w:sz w:val="23"/>
                <w:szCs w:val="23"/>
              </w:rPr>
            </w:pPr>
            <w:r w:rsidRPr="00131B9D">
              <w:rPr>
                <w:sz w:val="23"/>
                <w:szCs w:val="23"/>
              </w:rPr>
              <w:t>9.29%</w:t>
            </w:r>
          </w:p>
        </w:tc>
      </w:tr>
      <w:tr w:rsidR="00F279F7" w:rsidRPr="00131B9D" w:rsidTr="00F279F7">
        <w:trPr>
          <w:trHeight w:val="54"/>
          <w:jc w:val="center"/>
        </w:trPr>
        <w:tc>
          <w:tcPr>
            <w:tcW w:w="495" w:type="dxa"/>
            <w:vMerge/>
            <w:vAlign w:val="center"/>
          </w:tcPr>
          <w:p w:rsidR="00F279F7" w:rsidRPr="00131B9D" w:rsidRDefault="00F279F7" w:rsidP="00F279F7">
            <w:pPr>
              <w:widowControl/>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vAlign w:val="center"/>
          </w:tcPr>
          <w:p w:rsidR="00F279F7" w:rsidRPr="00131B9D" w:rsidRDefault="00F279F7" w:rsidP="00F279F7">
            <w:pPr>
              <w:snapToGrid w:val="0"/>
              <w:jc w:val="center"/>
              <w:rPr>
                <w:sz w:val="23"/>
                <w:szCs w:val="23"/>
              </w:rPr>
            </w:pPr>
            <w:r w:rsidRPr="00131B9D">
              <w:rPr>
                <w:sz w:val="23"/>
                <w:szCs w:val="23"/>
              </w:rPr>
              <w:t>212.11</w:t>
            </w:r>
          </w:p>
        </w:tc>
        <w:tc>
          <w:tcPr>
            <w:tcW w:w="851" w:type="dxa"/>
            <w:vAlign w:val="center"/>
          </w:tcPr>
          <w:p w:rsidR="00F279F7" w:rsidRPr="00131B9D" w:rsidRDefault="00F279F7" w:rsidP="00F279F7">
            <w:pPr>
              <w:snapToGrid w:val="0"/>
              <w:jc w:val="center"/>
              <w:rPr>
                <w:sz w:val="23"/>
                <w:szCs w:val="23"/>
              </w:rPr>
            </w:pPr>
            <w:r w:rsidRPr="00131B9D">
              <w:rPr>
                <w:sz w:val="23"/>
                <w:szCs w:val="23"/>
              </w:rPr>
              <w:t>732.79</w:t>
            </w:r>
          </w:p>
        </w:tc>
        <w:tc>
          <w:tcPr>
            <w:tcW w:w="850" w:type="dxa"/>
            <w:vAlign w:val="center"/>
          </w:tcPr>
          <w:p w:rsidR="00F279F7" w:rsidRPr="00131B9D" w:rsidRDefault="00F279F7" w:rsidP="00F279F7">
            <w:pPr>
              <w:snapToGrid w:val="0"/>
              <w:jc w:val="center"/>
              <w:rPr>
                <w:sz w:val="23"/>
                <w:szCs w:val="23"/>
              </w:rPr>
            </w:pPr>
            <w:r w:rsidRPr="00131B9D">
              <w:rPr>
                <w:sz w:val="23"/>
                <w:szCs w:val="23"/>
              </w:rPr>
              <w:t>157.8</w:t>
            </w:r>
          </w:p>
        </w:tc>
        <w:tc>
          <w:tcPr>
            <w:tcW w:w="851" w:type="dxa"/>
            <w:vAlign w:val="center"/>
          </w:tcPr>
          <w:p w:rsidR="00F279F7" w:rsidRPr="00131B9D" w:rsidRDefault="00F279F7" w:rsidP="00F279F7">
            <w:pPr>
              <w:snapToGrid w:val="0"/>
              <w:jc w:val="center"/>
              <w:rPr>
                <w:sz w:val="23"/>
                <w:szCs w:val="23"/>
              </w:rPr>
            </w:pPr>
            <w:r w:rsidRPr="00131B9D">
              <w:rPr>
                <w:sz w:val="23"/>
                <w:szCs w:val="23"/>
              </w:rPr>
              <w:t>716.41</w:t>
            </w:r>
          </w:p>
        </w:tc>
        <w:tc>
          <w:tcPr>
            <w:tcW w:w="850" w:type="dxa"/>
            <w:vAlign w:val="center"/>
          </w:tcPr>
          <w:p w:rsidR="00F279F7" w:rsidRPr="00131B9D" w:rsidRDefault="00F279F7" w:rsidP="00F279F7">
            <w:pPr>
              <w:snapToGrid w:val="0"/>
              <w:jc w:val="center"/>
              <w:rPr>
                <w:sz w:val="23"/>
                <w:szCs w:val="23"/>
              </w:rPr>
            </w:pPr>
            <w:r w:rsidRPr="00131B9D">
              <w:rPr>
                <w:sz w:val="23"/>
                <w:szCs w:val="23"/>
              </w:rPr>
              <w:t>160.6</w:t>
            </w:r>
          </w:p>
        </w:tc>
        <w:tc>
          <w:tcPr>
            <w:tcW w:w="851" w:type="dxa"/>
            <w:vAlign w:val="center"/>
          </w:tcPr>
          <w:p w:rsidR="00F279F7" w:rsidRPr="00131B9D" w:rsidRDefault="00F279F7" w:rsidP="00F279F7">
            <w:pPr>
              <w:snapToGrid w:val="0"/>
              <w:jc w:val="center"/>
              <w:rPr>
                <w:sz w:val="23"/>
                <w:szCs w:val="23"/>
              </w:rPr>
            </w:pPr>
            <w:r w:rsidRPr="00131B9D">
              <w:rPr>
                <w:sz w:val="23"/>
                <w:szCs w:val="23"/>
              </w:rPr>
              <w:t>228.49</w:t>
            </w:r>
          </w:p>
        </w:tc>
        <w:tc>
          <w:tcPr>
            <w:tcW w:w="970" w:type="dxa"/>
            <w:vAlign w:val="center"/>
          </w:tcPr>
          <w:p w:rsidR="00F279F7" w:rsidRPr="00131B9D" w:rsidRDefault="00F279F7" w:rsidP="00F279F7">
            <w:pPr>
              <w:snapToGrid w:val="0"/>
              <w:jc w:val="center"/>
              <w:rPr>
                <w:sz w:val="23"/>
                <w:szCs w:val="23"/>
              </w:rPr>
            </w:pPr>
            <w:r w:rsidRPr="00131B9D">
              <w:rPr>
                <w:sz w:val="23"/>
                <w:szCs w:val="23"/>
              </w:rPr>
              <w:t>9.55%</w:t>
            </w:r>
          </w:p>
        </w:tc>
      </w:tr>
      <w:tr w:rsidR="00F279F7" w:rsidRPr="00131B9D" w:rsidTr="00F279F7">
        <w:trPr>
          <w:trHeight w:val="54"/>
          <w:jc w:val="center"/>
        </w:trPr>
        <w:tc>
          <w:tcPr>
            <w:tcW w:w="495" w:type="dxa"/>
            <w:vMerge/>
            <w:vAlign w:val="center"/>
          </w:tcPr>
          <w:p w:rsidR="00F279F7" w:rsidRPr="00131B9D" w:rsidRDefault="00F279F7" w:rsidP="00F279F7">
            <w:pPr>
              <w:widowControl/>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vAlign w:val="center"/>
          </w:tcPr>
          <w:p w:rsidR="00F279F7" w:rsidRPr="00131B9D" w:rsidRDefault="00F279F7" w:rsidP="00F279F7">
            <w:pPr>
              <w:snapToGrid w:val="0"/>
              <w:jc w:val="center"/>
              <w:rPr>
                <w:sz w:val="23"/>
                <w:szCs w:val="23"/>
              </w:rPr>
            </w:pPr>
            <w:r w:rsidRPr="00131B9D">
              <w:rPr>
                <w:sz w:val="23"/>
                <w:szCs w:val="23"/>
              </w:rPr>
              <w:t>211.69</w:t>
            </w:r>
          </w:p>
        </w:tc>
        <w:tc>
          <w:tcPr>
            <w:tcW w:w="851" w:type="dxa"/>
            <w:vAlign w:val="center"/>
          </w:tcPr>
          <w:p w:rsidR="00F279F7" w:rsidRPr="00131B9D" w:rsidRDefault="00F279F7" w:rsidP="00F279F7">
            <w:pPr>
              <w:snapToGrid w:val="0"/>
              <w:jc w:val="center"/>
              <w:rPr>
                <w:sz w:val="23"/>
                <w:szCs w:val="23"/>
              </w:rPr>
            </w:pPr>
            <w:r w:rsidRPr="00131B9D">
              <w:rPr>
                <w:sz w:val="23"/>
                <w:szCs w:val="23"/>
              </w:rPr>
              <w:t>732.98</w:t>
            </w:r>
          </w:p>
        </w:tc>
        <w:tc>
          <w:tcPr>
            <w:tcW w:w="850" w:type="dxa"/>
            <w:vAlign w:val="center"/>
          </w:tcPr>
          <w:p w:rsidR="00F279F7" w:rsidRPr="00131B9D" w:rsidRDefault="00F279F7" w:rsidP="00F279F7">
            <w:pPr>
              <w:snapToGrid w:val="0"/>
              <w:jc w:val="center"/>
              <w:rPr>
                <w:sz w:val="23"/>
                <w:szCs w:val="23"/>
              </w:rPr>
            </w:pPr>
            <w:r w:rsidRPr="00131B9D">
              <w:rPr>
                <w:sz w:val="23"/>
                <w:szCs w:val="23"/>
              </w:rPr>
              <w:t>157.85</w:t>
            </w:r>
          </w:p>
        </w:tc>
        <w:tc>
          <w:tcPr>
            <w:tcW w:w="851" w:type="dxa"/>
            <w:vAlign w:val="center"/>
          </w:tcPr>
          <w:p w:rsidR="00F279F7" w:rsidRPr="00131B9D" w:rsidRDefault="00F279F7" w:rsidP="00F279F7">
            <w:pPr>
              <w:snapToGrid w:val="0"/>
              <w:jc w:val="center"/>
              <w:rPr>
                <w:sz w:val="23"/>
                <w:szCs w:val="23"/>
              </w:rPr>
            </w:pPr>
            <w:r w:rsidRPr="00131B9D">
              <w:rPr>
                <w:sz w:val="23"/>
                <w:szCs w:val="23"/>
              </w:rPr>
              <w:t>717.37</w:t>
            </w:r>
          </w:p>
        </w:tc>
        <w:tc>
          <w:tcPr>
            <w:tcW w:w="850" w:type="dxa"/>
            <w:vAlign w:val="center"/>
          </w:tcPr>
          <w:p w:rsidR="00F279F7" w:rsidRPr="00131B9D" w:rsidRDefault="00F279F7" w:rsidP="00F279F7">
            <w:pPr>
              <w:snapToGrid w:val="0"/>
              <w:jc w:val="center"/>
              <w:rPr>
                <w:sz w:val="23"/>
                <w:szCs w:val="23"/>
              </w:rPr>
            </w:pPr>
            <w:r w:rsidRPr="00131B9D">
              <w:rPr>
                <w:sz w:val="23"/>
                <w:szCs w:val="23"/>
              </w:rPr>
              <w:t>160.4</w:t>
            </w:r>
          </w:p>
        </w:tc>
        <w:tc>
          <w:tcPr>
            <w:tcW w:w="851" w:type="dxa"/>
            <w:vAlign w:val="center"/>
          </w:tcPr>
          <w:p w:rsidR="00F279F7" w:rsidRPr="00131B9D" w:rsidRDefault="00F279F7" w:rsidP="00F279F7">
            <w:pPr>
              <w:snapToGrid w:val="0"/>
              <w:jc w:val="center"/>
              <w:rPr>
                <w:sz w:val="23"/>
                <w:szCs w:val="23"/>
              </w:rPr>
            </w:pPr>
            <w:r w:rsidRPr="00131B9D">
              <w:rPr>
                <w:sz w:val="23"/>
                <w:szCs w:val="23"/>
              </w:rPr>
              <w:t>227.3</w:t>
            </w:r>
          </w:p>
        </w:tc>
        <w:tc>
          <w:tcPr>
            <w:tcW w:w="970" w:type="dxa"/>
            <w:vAlign w:val="center"/>
          </w:tcPr>
          <w:p w:rsidR="00F279F7" w:rsidRPr="00131B9D" w:rsidRDefault="00F279F7" w:rsidP="00F279F7">
            <w:pPr>
              <w:snapToGrid w:val="0"/>
              <w:jc w:val="center"/>
              <w:rPr>
                <w:sz w:val="23"/>
                <w:szCs w:val="23"/>
              </w:rPr>
            </w:pPr>
            <w:r w:rsidRPr="00131B9D">
              <w:rPr>
                <w:sz w:val="23"/>
                <w:szCs w:val="23"/>
              </w:rPr>
              <w:t>9.33%</w:t>
            </w:r>
          </w:p>
        </w:tc>
      </w:tr>
      <w:tr w:rsidR="00F279F7" w:rsidRPr="00131B9D" w:rsidTr="00F279F7">
        <w:trPr>
          <w:trHeight w:val="54"/>
          <w:jc w:val="center"/>
        </w:trPr>
        <w:tc>
          <w:tcPr>
            <w:tcW w:w="8640" w:type="dxa"/>
            <w:gridSpan w:val="9"/>
            <w:vAlign w:val="center"/>
          </w:tcPr>
          <w:p w:rsidR="00F279F7" w:rsidRPr="00131B9D" w:rsidRDefault="00F279F7" w:rsidP="00F279F7">
            <w:pPr>
              <w:widowControl/>
              <w:spacing w:beforeLines="10" w:before="36" w:afterLines="10" w:after="36" w:line="0" w:lineRule="atLeast"/>
              <w:jc w:val="center"/>
              <w:rPr>
                <w:rFonts w:eastAsia="標楷體"/>
                <w:b/>
                <w:bCs/>
                <w:kern w:val="0"/>
                <w:sz w:val="23"/>
                <w:szCs w:val="23"/>
              </w:rPr>
            </w:pPr>
            <w:r w:rsidRPr="00131B9D">
              <w:rPr>
                <w:rFonts w:eastAsia="標楷體"/>
                <w:b/>
                <w:bCs/>
                <w:kern w:val="0"/>
                <w:sz w:val="23"/>
                <w:szCs w:val="23"/>
              </w:rPr>
              <w:t>主要供給國</w:t>
            </w:r>
          </w:p>
        </w:tc>
      </w:tr>
      <w:tr w:rsidR="00F279F7" w:rsidRPr="00131B9D" w:rsidTr="00F279F7">
        <w:trPr>
          <w:trHeight w:val="54"/>
          <w:jc w:val="center"/>
        </w:trPr>
        <w:tc>
          <w:tcPr>
            <w:tcW w:w="495" w:type="dxa"/>
            <w:vMerge w:val="restart"/>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美</w:t>
            </w:r>
          </w:p>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國</w:t>
            </w: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19.54</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58.11</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4.71</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34.29</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32</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16.07</w:t>
            </w:r>
          </w:p>
        </w:tc>
        <w:tc>
          <w:tcPr>
            <w:tcW w:w="970" w:type="dxa"/>
            <w:vAlign w:val="center"/>
          </w:tcPr>
          <w:p w:rsidR="00F279F7" w:rsidRPr="00131B9D" w:rsidRDefault="00F279F7" w:rsidP="00F279F7">
            <w:pPr>
              <w:adjustRightInd w:val="0"/>
              <w:snapToGrid w:val="0"/>
              <w:jc w:val="center"/>
              <w:rPr>
                <w:sz w:val="23"/>
                <w:szCs w:val="23"/>
              </w:rPr>
            </w:pPr>
            <w:r w:rsidRPr="00131B9D">
              <w:rPr>
                <w:sz w:val="23"/>
                <w:szCs w:val="23"/>
              </w:rPr>
              <w:t>-</w:t>
            </w:r>
          </w:p>
        </w:tc>
      </w:tr>
      <w:tr w:rsidR="00F279F7" w:rsidRPr="00131B9D" w:rsidTr="00F279F7">
        <w:trPr>
          <w:trHeight w:val="54"/>
          <w:jc w:val="center"/>
        </w:trPr>
        <w:tc>
          <w:tcPr>
            <w:tcW w:w="495" w:type="dxa"/>
            <w:vMerge/>
            <w:vAlign w:val="center"/>
          </w:tcPr>
          <w:p w:rsidR="00F279F7" w:rsidRPr="00131B9D" w:rsidRDefault="00F279F7" w:rsidP="00F279F7">
            <w:pPr>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16.07</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55.15</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4.07</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31.53</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23.25</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20.5</w:t>
            </w:r>
          </w:p>
        </w:tc>
        <w:tc>
          <w:tcPr>
            <w:tcW w:w="970" w:type="dxa"/>
            <w:vAlign w:val="center"/>
          </w:tcPr>
          <w:p w:rsidR="00F279F7" w:rsidRPr="00131B9D" w:rsidRDefault="00F279F7" w:rsidP="00F279F7">
            <w:pPr>
              <w:adjustRightInd w:val="0"/>
              <w:snapToGrid w:val="0"/>
              <w:jc w:val="center"/>
              <w:rPr>
                <w:sz w:val="23"/>
                <w:szCs w:val="23"/>
              </w:rPr>
            </w:pPr>
            <w:r w:rsidRPr="00131B9D">
              <w:rPr>
                <w:sz w:val="23"/>
                <w:szCs w:val="23"/>
              </w:rPr>
              <w:t>-17.76%</w:t>
            </w:r>
          </w:p>
        </w:tc>
      </w:tr>
      <w:tr w:rsidR="00F279F7" w:rsidRPr="00131B9D" w:rsidTr="00F279F7">
        <w:trPr>
          <w:trHeight w:val="54"/>
          <w:jc w:val="center"/>
        </w:trPr>
        <w:tc>
          <w:tcPr>
            <w:tcW w:w="495" w:type="dxa"/>
            <w:vMerge/>
            <w:vAlign w:val="center"/>
          </w:tcPr>
          <w:p w:rsidR="00F279F7" w:rsidRPr="00131B9D" w:rsidRDefault="00F279F7" w:rsidP="00F279F7">
            <w:pPr>
              <w:widowControl/>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20.5</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55.84</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3.4</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33.18</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23.13</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23.43</w:t>
            </w:r>
          </w:p>
        </w:tc>
        <w:tc>
          <w:tcPr>
            <w:tcW w:w="970" w:type="dxa"/>
            <w:vAlign w:val="center"/>
          </w:tcPr>
          <w:p w:rsidR="00F279F7" w:rsidRPr="00131B9D" w:rsidRDefault="00F279F7" w:rsidP="00F279F7">
            <w:pPr>
              <w:adjustRightInd w:val="0"/>
              <w:snapToGrid w:val="0"/>
              <w:jc w:val="center"/>
              <w:rPr>
                <w:sz w:val="23"/>
                <w:szCs w:val="23"/>
              </w:rPr>
            </w:pPr>
            <w:r w:rsidRPr="00131B9D">
              <w:rPr>
                <w:sz w:val="23"/>
                <w:szCs w:val="23"/>
              </w:rPr>
              <w:t>27.57%</w:t>
            </w:r>
          </w:p>
        </w:tc>
      </w:tr>
      <w:tr w:rsidR="00F279F7" w:rsidRPr="00131B9D" w:rsidTr="00F279F7">
        <w:trPr>
          <w:trHeight w:val="54"/>
          <w:jc w:val="center"/>
        </w:trPr>
        <w:tc>
          <w:tcPr>
            <w:tcW w:w="495" w:type="dxa"/>
            <w:vMerge/>
            <w:vAlign w:val="center"/>
          </w:tcPr>
          <w:p w:rsidR="00F279F7" w:rsidRPr="00131B9D" w:rsidRDefault="00F279F7" w:rsidP="00F279F7">
            <w:pPr>
              <w:widowControl/>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20.5</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55.84</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3.4</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33.18</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21.77</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24.79</w:t>
            </w:r>
          </w:p>
        </w:tc>
        <w:tc>
          <w:tcPr>
            <w:tcW w:w="970" w:type="dxa"/>
            <w:vAlign w:val="center"/>
          </w:tcPr>
          <w:p w:rsidR="00F279F7" w:rsidRPr="00131B9D" w:rsidRDefault="00F279F7" w:rsidP="00F279F7">
            <w:pPr>
              <w:adjustRightInd w:val="0"/>
              <w:snapToGrid w:val="0"/>
              <w:jc w:val="center"/>
              <w:rPr>
                <w:sz w:val="23"/>
                <w:szCs w:val="23"/>
              </w:rPr>
            </w:pPr>
            <w:r w:rsidRPr="00131B9D">
              <w:rPr>
                <w:sz w:val="23"/>
                <w:szCs w:val="23"/>
              </w:rPr>
              <w:t>27.57%</w:t>
            </w:r>
          </w:p>
        </w:tc>
      </w:tr>
      <w:tr w:rsidR="00F279F7" w:rsidRPr="00131B9D" w:rsidTr="00F279F7">
        <w:trPr>
          <w:trHeight w:val="54"/>
          <w:jc w:val="center"/>
        </w:trPr>
        <w:tc>
          <w:tcPr>
            <w:tcW w:w="495" w:type="dxa"/>
            <w:vMerge w:val="restart"/>
            <w:vAlign w:val="center"/>
          </w:tcPr>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澳</w:t>
            </w:r>
          </w:p>
          <w:p w:rsidR="00F279F7" w:rsidRPr="00131B9D" w:rsidRDefault="00F279F7" w:rsidP="00F279F7">
            <w:pPr>
              <w:widowControl/>
              <w:spacing w:line="0" w:lineRule="atLeast"/>
              <w:jc w:val="center"/>
              <w:rPr>
                <w:rFonts w:eastAsia="標楷體"/>
                <w:kern w:val="0"/>
                <w:sz w:val="23"/>
                <w:szCs w:val="23"/>
              </w:rPr>
            </w:pPr>
            <w:r w:rsidRPr="00131B9D">
              <w:rPr>
                <w:rFonts w:eastAsia="標楷體"/>
                <w:kern w:val="0"/>
                <w:sz w:val="23"/>
                <w:szCs w:val="23"/>
              </w:rPr>
              <w:t>洲</w:t>
            </w: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4.66</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25.3</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0.16</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6.95</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18.62</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4.56</w:t>
            </w:r>
          </w:p>
        </w:tc>
        <w:tc>
          <w:tcPr>
            <w:tcW w:w="970" w:type="dxa"/>
            <w:vAlign w:val="center"/>
          </w:tcPr>
          <w:p w:rsidR="00F279F7" w:rsidRPr="00131B9D" w:rsidRDefault="00F279F7" w:rsidP="00F279F7">
            <w:pPr>
              <w:adjustRightInd w:val="0"/>
              <w:snapToGrid w:val="0"/>
              <w:jc w:val="center"/>
              <w:rPr>
                <w:sz w:val="23"/>
                <w:szCs w:val="23"/>
              </w:rPr>
            </w:pPr>
            <w:r w:rsidRPr="00131B9D">
              <w:rPr>
                <w:sz w:val="23"/>
                <w:szCs w:val="23"/>
              </w:rPr>
              <w:t>-</w:t>
            </w:r>
          </w:p>
        </w:tc>
      </w:tr>
      <w:tr w:rsidR="00F279F7" w:rsidRPr="00131B9D" w:rsidTr="00F279F7">
        <w:trPr>
          <w:trHeight w:val="54"/>
          <w:jc w:val="center"/>
        </w:trPr>
        <w:tc>
          <w:tcPr>
            <w:tcW w:w="495" w:type="dxa"/>
            <w:vMerge/>
            <w:vAlign w:val="center"/>
          </w:tcPr>
          <w:p w:rsidR="00F279F7" w:rsidRPr="00131B9D" w:rsidRDefault="00F279F7" w:rsidP="00F279F7">
            <w:pPr>
              <w:widowControl/>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4.56</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23.67</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0.16</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7.5</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16.61</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4.27</w:t>
            </w:r>
          </w:p>
        </w:tc>
        <w:tc>
          <w:tcPr>
            <w:tcW w:w="970" w:type="dxa"/>
            <w:vAlign w:val="center"/>
          </w:tcPr>
          <w:p w:rsidR="00F279F7" w:rsidRPr="00131B9D" w:rsidRDefault="00F279F7" w:rsidP="00F279F7">
            <w:pPr>
              <w:adjustRightInd w:val="0"/>
              <w:snapToGrid w:val="0"/>
              <w:jc w:val="center"/>
              <w:rPr>
                <w:sz w:val="23"/>
                <w:szCs w:val="23"/>
              </w:rPr>
            </w:pPr>
            <w:r w:rsidRPr="00131B9D">
              <w:rPr>
                <w:sz w:val="23"/>
                <w:szCs w:val="23"/>
              </w:rPr>
              <w:t>-2.15%</w:t>
            </w:r>
          </w:p>
        </w:tc>
      </w:tr>
      <w:tr w:rsidR="00F279F7" w:rsidRPr="00131B9D" w:rsidTr="00F279F7">
        <w:trPr>
          <w:trHeight w:val="54"/>
          <w:jc w:val="center"/>
        </w:trPr>
        <w:tc>
          <w:tcPr>
            <w:tcW w:w="495" w:type="dxa"/>
            <w:vMerge/>
            <w:vAlign w:val="center"/>
          </w:tcPr>
          <w:p w:rsidR="00F279F7" w:rsidRPr="00131B9D" w:rsidRDefault="00F279F7" w:rsidP="00F279F7">
            <w:pPr>
              <w:widowControl/>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4.18</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27</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0.15</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7.33</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19</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5</w:t>
            </w:r>
          </w:p>
        </w:tc>
        <w:tc>
          <w:tcPr>
            <w:tcW w:w="970" w:type="dxa"/>
            <w:vAlign w:val="center"/>
          </w:tcPr>
          <w:p w:rsidR="00F279F7" w:rsidRPr="00131B9D" w:rsidRDefault="00F279F7" w:rsidP="00F279F7">
            <w:pPr>
              <w:adjustRightInd w:val="0"/>
              <w:snapToGrid w:val="0"/>
              <w:jc w:val="center"/>
              <w:rPr>
                <w:sz w:val="23"/>
                <w:szCs w:val="23"/>
              </w:rPr>
            </w:pPr>
            <w:r w:rsidRPr="00131B9D">
              <w:rPr>
                <w:sz w:val="23"/>
                <w:szCs w:val="23"/>
              </w:rPr>
              <w:t>-8.33%</w:t>
            </w:r>
          </w:p>
        </w:tc>
      </w:tr>
      <w:tr w:rsidR="00F279F7" w:rsidRPr="00131B9D" w:rsidTr="00F279F7">
        <w:trPr>
          <w:trHeight w:val="54"/>
          <w:jc w:val="center"/>
        </w:trPr>
        <w:tc>
          <w:tcPr>
            <w:tcW w:w="495" w:type="dxa"/>
            <w:vMerge/>
            <w:vAlign w:val="center"/>
          </w:tcPr>
          <w:p w:rsidR="00F279F7" w:rsidRPr="00131B9D" w:rsidRDefault="00F279F7" w:rsidP="00F279F7">
            <w:pPr>
              <w:widowControl/>
              <w:spacing w:line="0" w:lineRule="atLeast"/>
              <w:jc w:val="center"/>
              <w:rPr>
                <w:rFonts w:eastAsia="標楷體"/>
                <w:kern w:val="0"/>
                <w:sz w:val="23"/>
                <w:szCs w:val="23"/>
              </w:rPr>
            </w:pPr>
          </w:p>
        </w:tc>
        <w:tc>
          <w:tcPr>
            <w:tcW w:w="2072" w:type="dxa"/>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4.27</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26</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0.15</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7.43</w:t>
            </w:r>
          </w:p>
        </w:tc>
        <w:tc>
          <w:tcPr>
            <w:tcW w:w="850" w:type="dxa"/>
            <w:vAlign w:val="center"/>
          </w:tcPr>
          <w:p w:rsidR="00F279F7" w:rsidRPr="00131B9D" w:rsidRDefault="00F279F7" w:rsidP="00F279F7">
            <w:pPr>
              <w:adjustRightInd w:val="0"/>
              <w:snapToGrid w:val="0"/>
              <w:jc w:val="center"/>
              <w:rPr>
                <w:sz w:val="23"/>
                <w:szCs w:val="23"/>
              </w:rPr>
            </w:pPr>
            <w:r w:rsidRPr="00131B9D">
              <w:rPr>
                <w:sz w:val="23"/>
                <w:szCs w:val="23"/>
              </w:rPr>
              <w:t>18</w:t>
            </w:r>
          </w:p>
        </w:tc>
        <w:tc>
          <w:tcPr>
            <w:tcW w:w="851" w:type="dxa"/>
            <w:vAlign w:val="center"/>
          </w:tcPr>
          <w:p w:rsidR="00F279F7" w:rsidRPr="00131B9D" w:rsidRDefault="00F279F7" w:rsidP="00F279F7">
            <w:pPr>
              <w:adjustRightInd w:val="0"/>
              <w:snapToGrid w:val="0"/>
              <w:jc w:val="center"/>
              <w:rPr>
                <w:sz w:val="23"/>
                <w:szCs w:val="23"/>
              </w:rPr>
            </w:pPr>
            <w:r w:rsidRPr="00131B9D">
              <w:rPr>
                <w:sz w:val="23"/>
                <w:szCs w:val="23"/>
              </w:rPr>
              <w:t>5</w:t>
            </w:r>
          </w:p>
        </w:tc>
        <w:tc>
          <w:tcPr>
            <w:tcW w:w="970" w:type="dxa"/>
            <w:vAlign w:val="center"/>
          </w:tcPr>
          <w:p w:rsidR="00F279F7" w:rsidRPr="00131B9D" w:rsidRDefault="00F279F7" w:rsidP="00F279F7">
            <w:pPr>
              <w:adjustRightInd w:val="0"/>
              <w:snapToGrid w:val="0"/>
              <w:jc w:val="center"/>
              <w:rPr>
                <w:sz w:val="23"/>
                <w:szCs w:val="23"/>
              </w:rPr>
            </w:pPr>
            <w:r w:rsidRPr="00131B9D">
              <w:rPr>
                <w:sz w:val="23"/>
                <w:szCs w:val="23"/>
              </w:rPr>
              <w:t>-6.36%</w:t>
            </w:r>
          </w:p>
        </w:tc>
      </w:tr>
      <w:tr w:rsidR="00C665AA" w:rsidRPr="00131B9D" w:rsidTr="00473701">
        <w:trPr>
          <w:trHeight w:val="54"/>
          <w:jc w:val="center"/>
        </w:trPr>
        <w:tc>
          <w:tcPr>
            <w:tcW w:w="495" w:type="dxa"/>
            <w:vMerge w:val="restart"/>
            <w:vAlign w:val="center"/>
          </w:tcPr>
          <w:p w:rsidR="00C665AA" w:rsidRPr="00131B9D" w:rsidRDefault="00C665AA" w:rsidP="00473701">
            <w:pPr>
              <w:widowControl/>
              <w:spacing w:line="0" w:lineRule="atLeast"/>
              <w:jc w:val="center"/>
              <w:rPr>
                <w:rFonts w:eastAsia="標楷體"/>
                <w:kern w:val="0"/>
                <w:sz w:val="23"/>
                <w:szCs w:val="23"/>
              </w:rPr>
            </w:pPr>
            <w:r w:rsidRPr="00131B9D">
              <w:rPr>
                <w:rFonts w:eastAsia="標楷體"/>
                <w:kern w:val="0"/>
                <w:sz w:val="23"/>
                <w:szCs w:val="23"/>
              </w:rPr>
              <w:t>加拿</w:t>
            </w:r>
          </w:p>
          <w:p w:rsidR="00C665AA" w:rsidRPr="00131B9D" w:rsidRDefault="00C665AA" w:rsidP="00473701">
            <w:pPr>
              <w:widowControl/>
              <w:spacing w:line="0" w:lineRule="atLeast"/>
              <w:jc w:val="center"/>
              <w:rPr>
                <w:rFonts w:eastAsia="標楷體"/>
                <w:kern w:val="0"/>
                <w:sz w:val="23"/>
                <w:szCs w:val="23"/>
              </w:rPr>
            </w:pPr>
            <w:r w:rsidRPr="00131B9D">
              <w:rPr>
                <w:rFonts w:eastAsia="標楷體"/>
                <w:kern w:val="0"/>
                <w:sz w:val="23"/>
                <w:szCs w:val="23"/>
              </w:rPr>
              <w:t>大</w:t>
            </w: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50" w:type="dxa"/>
            <w:vAlign w:val="center"/>
          </w:tcPr>
          <w:p w:rsidR="00C665AA" w:rsidRPr="00131B9D" w:rsidRDefault="00C665AA" w:rsidP="00473701">
            <w:pPr>
              <w:snapToGrid w:val="0"/>
              <w:jc w:val="center"/>
              <w:rPr>
                <w:sz w:val="23"/>
                <w:szCs w:val="23"/>
              </w:rPr>
            </w:pPr>
            <w:r w:rsidRPr="00131B9D">
              <w:rPr>
                <w:sz w:val="23"/>
                <w:szCs w:val="23"/>
              </w:rPr>
              <w:t>5.14</w:t>
            </w:r>
          </w:p>
        </w:tc>
        <w:tc>
          <w:tcPr>
            <w:tcW w:w="851" w:type="dxa"/>
            <w:vAlign w:val="center"/>
          </w:tcPr>
          <w:p w:rsidR="00C665AA" w:rsidRPr="00131B9D" w:rsidRDefault="00C665AA" w:rsidP="00473701">
            <w:pPr>
              <w:snapToGrid w:val="0"/>
              <w:jc w:val="center"/>
              <w:rPr>
                <w:sz w:val="23"/>
                <w:szCs w:val="23"/>
              </w:rPr>
            </w:pPr>
            <w:r w:rsidRPr="00131B9D">
              <w:rPr>
                <w:sz w:val="23"/>
                <w:szCs w:val="23"/>
              </w:rPr>
              <w:t>37.53</w:t>
            </w:r>
          </w:p>
        </w:tc>
        <w:tc>
          <w:tcPr>
            <w:tcW w:w="850" w:type="dxa"/>
            <w:vAlign w:val="center"/>
          </w:tcPr>
          <w:p w:rsidR="00C665AA" w:rsidRPr="00131B9D" w:rsidRDefault="00C665AA" w:rsidP="00473701">
            <w:pPr>
              <w:snapToGrid w:val="0"/>
              <w:jc w:val="center"/>
              <w:rPr>
                <w:sz w:val="23"/>
                <w:szCs w:val="23"/>
              </w:rPr>
            </w:pPr>
            <w:r w:rsidRPr="00131B9D">
              <w:rPr>
                <w:sz w:val="23"/>
                <w:szCs w:val="23"/>
              </w:rPr>
              <w:t>0.45</w:t>
            </w:r>
          </w:p>
        </w:tc>
        <w:tc>
          <w:tcPr>
            <w:tcW w:w="851" w:type="dxa"/>
            <w:vAlign w:val="center"/>
          </w:tcPr>
          <w:p w:rsidR="00C665AA" w:rsidRPr="00131B9D" w:rsidRDefault="00C665AA" w:rsidP="00473701">
            <w:pPr>
              <w:snapToGrid w:val="0"/>
              <w:jc w:val="center"/>
              <w:rPr>
                <w:sz w:val="23"/>
                <w:szCs w:val="23"/>
              </w:rPr>
            </w:pPr>
            <w:r w:rsidRPr="00131B9D">
              <w:rPr>
                <w:sz w:val="23"/>
                <w:szCs w:val="23"/>
              </w:rPr>
              <w:t>9.41</w:t>
            </w:r>
          </w:p>
        </w:tc>
        <w:tc>
          <w:tcPr>
            <w:tcW w:w="850" w:type="dxa"/>
            <w:vAlign w:val="center"/>
          </w:tcPr>
          <w:p w:rsidR="00C665AA" w:rsidRPr="00131B9D" w:rsidRDefault="00C665AA" w:rsidP="00473701">
            <w:pPr>
              <w:snapToGrid w:val="0"/>
              <w:jc w:val="center"/>
              <w:rPr>
                <w:sz w:val="23"/>
                <w:szCs w:val="23"/>
              </w:rPr>
            </w:pPr>
            <w:r w:rsidRPr="00131B9D">
              <w:rPr>
                <w:sz w:val="23"/>
                <w:szCs w:val="23"/>
              </w:rPr>
              <w:t>23.27</w:t>
            </w:r>
          </w:p>
        </w:tc>
        <w:tc>
          <w:tcPr>
            <w:tcW w:w="851" w:type="dxa"/>
            <w:vAlign w:val="center"/>
          </w:tcPr>
          <w:p w:rsidR="00C665AA" w:rsidRPr="00131B9D" w:rsidRDefault="00C665AA" w:rsidP="00473701">
            <w:pPr>
              <w:snapToGrid w:val="0"/>
              <w:jc w:val="center"/>
              <w:rPr>
                <w:sz w:val="23"/>
                <w:szCs w:val="23"/>
              </w:rPr>
            </w:pPr>
            <w:r w:rsidRPr="00131B9D">
              <w:rPr>
                <w:sz w:val="23"/>
                <w:szCs w:val="23"/>
              </w:rPr>
              <w:t>10.44</w:t>
            </w:r>
          </w:p>
        </w:tc>
        <w:tc>
          <w:tcPr>
            <w:tcW w:w="970" w:type="dxa"/>
            <w:vAlign w:val="center"/>
          </w:tcPr>
          <w:p w:rsidR="00C665AA" w:rsidRPr="00131B9D" w:rsidRDefault="00C665AA" w:rsidP="00473701">
            <w:pPr>
              <w:snapToGrid w:val="0"/>
              <w:jc w:val="center"/>
              <w:rPr>
                <w:sz w:val="23"/>
                <w:szCs w:val="23"/>
              </w:rPr>
            </w:pPr>
            <w:r w:rsidRPr="00131B9D">
              <w:rPr>
                <w:sz w:val="23"/>
                <w:szCs w:val="23"/>
              </w:rPr>
              <w:t>-</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vAlign w:val="center"/>
          </w:tcPr>
          <w:p w:rsidR="00C665AA" w:rsidRPr="00131B9D" w:rsidRDefault="00C665AA" w:rsidP="00473701">
            <w:pPr>
              <w:snapToGrid w:val="0"/>
              <w:jc w:val="center"/>
              <w:rPr>
                <w:sz w:val="23"/>
                <w:szCs w:val="23"/>
              </w:rPr>
            </w:pPr>
            <w:r w:rsidRPr="00131B9D">
              <w:rPr>
                <w:sz w:val="23"/>
                <w:szCs w:val="23"/>
              </w:rPr>
              <w:t>10.44</w:t>
            </w:r>
          </w:p>
        </w:tc>
        <w:tc>
          <w:tcPr>
            <w:tcW w:w="851" w:type="dxa"/>
            <w:vAlign w:val="center"/>
          </w:tcPr>
          <w:p w:rsidR="00C665AA" w:rsidRPr="00131B9D" w:rsidRDefault="00C665AA" w:rsidP="00473701">
            <w:pPr>
              <w:snapToGrid w:val="0"/>
              <w:jc w:val="center"/>
              <w:rPr>
                <w:sz w:val="23"/>
                <w:szCs w:val="23"/>
              </w:rPr>
            </w:pPr>
            <w:r w:rsidRPr="00131B9D">
              <w:rPr>
                <w:sz w:val="23"/>
                <w:szCs w:val="23"/>
              </w:rPr>
              <w:t>29.42</w:t>
            </w:r>
          </w:p>
        </w:tc>
        <w:tc>
          <w:tcPr>
            <w:tcW w:w="850" w:type="dxa"/>
            <w:vAlign w:val="center"/>
          </w:tcPr>
          <w:p w:rsidR="00C665AA" w:rsidRPr="00131B9D" w:rsidRDefault="00C665AA" w:rsidP="00473701">
            <w:pPr>
              <w:snapToGrid w:val="0"/>
              <w:jc w:val="center"/>
              <w:rPr>
                <w:sz w:val="23"/>
                <w:szCs w:val="23"/>
              </w:rPr>
            </w:pPr>
            <w:r w:rsidRPr="00131B9D">
              <w:rPr>
                <w:sz w:val="23"/>
                <w:szCs w:val="23"/>
              </w:rPr>
              <w:t>0.48</w:t>
            </w:r>
          </w:p>
        </w:tc>
        <w:tc>
          <w:tcPr>
            <w:tcW w:w="851" w:type="dxa"/>
            <w:vAlign w:val="center"/>
          </w:tcPr>
          <w:p w:rsidR="00C665AA" w:rsidRPr="00131B9D" w:rsidRDefault="00C665AA" w:rsidP="00473701">
            <w:pPr>
              <w:snapToGrid w:val="0"/>
              <w:jc w:val="center"/>
              <w:rPr>
                <w:sz w:val="23"/>
                <w:szCs w:val="23"/>
              </w:rPr>
            </w:pPr>
            <w:r w:rsidRPr="00131B9D">
              <w:rPr>
                <w:sz w:val="23"/>
                <w:szCs w:val="23"/>
              </w:rPr>
              <w:t>9.12</w:t>
            </w:r>
          </w:p>
        </w:tc>
        <w:tc>
          <w:tcPr>
            <w:tcW w:w="850" w:type="dxa"/>
            <w:vAlign w:val="center"/>
          </w:tcPr>
          <w:p w:rsidR="00C665AA" w:rsidRPr="00131B9D" w:rsidRDefault="00C665AA" w:rsidP="00473701">
            <w:pPr>
              <w:snapToGrid w:val="0"/>
              <w:jc w:val="center"/>
              <w:rPr>
                <w:sz w:val="23"/>
                <w:szCs w:val="23"/>
              </w:rPr>
            </w:pPr>
            <w:r w:rsidRPr="00131B9D">
              <w:rPr>
                <w:sz w:val="23"/>
                <w:szCs w:val="23"/>
              </w:rPr>
              <w:t>24.12</w:t>
            </w:r>
          </w:p>
        </w:tc>
        <w:tc>
          <w:tcPr>
            <w:tcW w:w="851" w:type="dxa"/>
            <w:vAlign w:val="center"/>
          </w:tcPr>
          <w:p w:rsidR="00C665AA" w:rsidRPr="00131B9D" w:rsidRDefault="00C665AA" w:rsidP="00473701">
            <w:pPr>
              <w:snapToGrid w:val="0"/>
              <w:jc w:val="center"/>
              <w:rPr>
                <w:sz w:val="23"/>
                <w:szCs w:val="23"/>
              </w:rPr>
            </w:pPr>
            <w:r w:rsidRPr="00131B9D">
              <w:rPr>
                <w:sz w:val="23"/>
                <w:szCs w:val="23"/>
              </w:rPr>
              <w:t>7.11</w:t>
            </w:r>
          </w:p>
        </w:tc>
        <w:tc>
          <w:tcPr>
            <w:tcW w:w="970" w:type="dxa"/>
            <w:vAlign w:val="center"/>
          </w:tcPr>
          <w:p w:rsidR="00C665AA" w:rsidRPr="00131B9D" w:rsidRDefault="00C665AA" w:rsidP="00473701">
            <w:pPr>
              <w:snapToGrid w:val="0"/>
              <w:jc w:val="center"/>
              <w:rPr>
                <w:sz w:val="23"/>
                <w:szCs w:val="23"/>
              </w:rPr>
            </w:pPr>
            <w:r w:rsidRPr="00131B9D">
              <w:rPr>
                <w:sz w:val="23"/>
                <w:szCs w:val="23"/>
              </w:rPr>
              <w:t>103.11%</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vAlign w:val="center"/>
          </w:tcPr>
          <w:p w:rsidR="00C665AA" w:rsidRPr="00131B9D" w:rsidRDefault="00C665AA" w:rsidP="00473701">
            <w:pPr>
              <w:snapToGrid w:val="0"/>
              <w:jc w:val="center"/>
              <w:rPr>
                <w:sz w:val="23"/>
                <w:szCs w:val="23"/>
              </w:rPr>
            </w:pPr>
            <w:r w:rsidRPr="00131B9D">
              <w:rPr>
                <w:sz w:val="23"/>
                <w:szCs w:val="23"/>
              </w:rPr>
              <w:t>7.11</w:t>
            </w:r>
          </w:p>
        </w:tc>
        <w:tc>
          <w:tcPr>
            <w:tcW w:w="851" w:type="dxa"/>
            <w:vAlign w:val="center"/>
          </w:tcPr>
          <w:p w:rsidR="00C665AA" w:rsidRPr="00131B9D" w:rsidRDefault="00C665AA" w:rsidP="00473701">
            <w:pPr>
              <w:snapToGrid w:val="0"/>
              <w:jc w:val="center"/>
              <w:rPr>
                <w:sz w:val="23"/>
                <w:szCs w:val="23"/>
              </w:rPr>
            </w:pPr>
            <w:r w:rsidRPr="00131B9D">
              <w:rPr>
                <w:sz w:val="23"/>
                <w:szCs w:val="23"/>
              </w:rPr>
              <w:t>26</w:t>
            </w:r>
          </w:p>
        </w:tc>
        <w:tc>
          <w:tcPr>
            <w:tcW w:w="850" w:type="dxa"/>
            <w:vAlign w:val="center"/>
          </w:tcPr>
          <w:p w:rsidR="00C665AA" w:rsidRPr="00131B9D" w:rsidRDefault="00C665AA" w:rsidP="00473701">
            <w:pPr>
              <w:snapToGrid w:val="0"/>
              <w:jc w:val="center"/>
              <w:rPr>
                <w:sz w:val="23"/>
                <w:szCs w:val="23"/>
              </w:rPr>
            </w:pPr>
            <w:r w:rsidRPr="00131B9D">
              <w:rPr>
                <w:sz w:val="23"/>
                <w:szCs w:val="23"/>
              </w:rPr>
              <w:t>0.49</w:t>
            </w:r>
          </w:p>
        </w:tc>
        <w:tc>
          <w:tcPr>
            <w:tcW w:w="851" w:type="dxa"/>
            <w:vAlign w:val="center"/>
          </w:tcPr>
          <w:p w:rsidR="00C665AA" w:rsidRPr="00131B9D" w:rsidRDefault="00C665AA" w:rsidP="00473701">
            <w:pPr>
              <w:snapToGrid w:val="0"/>
              <w:jc w:val="center"/>
              <w:rPr>
                <w:sz w:val="23"/>
                <w:szCs w:val="23"/>
              </w:rPr>
            </w:pPr>
            <w:r w:rsidRPr="00131B9D">
              <w:rPr>
                <w:sz w:val="23"/>
                <w:szCs w:val="23"/>
              </w:rPr>
              <w:t>9</w:t>
            </w:r>
          </w:p>
        </w:tc>
        <w:tc>
          <w:tcPr>
            <w:tcW w:w="850" w:type="dxa"/>
            <w:vAlign w:val="center"/>
          </w:tcPr>
          <w:p w:rsidR="00C665AA" w:rsidRPr="00131B9D" w:rsidRDefault="00C665AA" w:rsidP="00473701">
            <w:pPr>
              <w:snapToGrid w:val="0"/>
              <w:jc w:val="center"/>
              <w:rPr>
                <w:sz w:val="23"/>
                <w:szCs w:val="23"/>
              </w:rPr>
            </w:pPr>
            <w:r w:rsidRPr="00131B9D">
              <w:rPr>
                <w:sz w:val="23"/>
                <w:szCs w:val="23"/>
              </w:rPr>
              <w:t>19</w:t>
            </w:r>
          </w:p>
        </w:tc>
        <w:tc>
          <w:tcPr>
            <w:tcW w:w="851" w:type="dxa"/>
            <w:vAlign w:val="center"/>
          </w:tcPr>
          <w:p w:rsidR="00C665AA" w:rsidRPr="00131B9D" w:rsidRDefault="00C665AA" w:rsidP="00473701">
            <w:pPr>
              <w:snapToGrid w:val="0"/>
              <w:jc w:val="center"/>
              <w:rPr>
                <w:sz w:val="23"/>
                <w:szCs w:val="23"/>
              </w:rPr>
            </w:pPr>
            <w:r w:rsidRPr="00131B9D">
              <w:rPr>
                <w:sz w:val="23"/>
                <w:szCs w:val="23"/>
              </w:rPr>
              <w:t>5.59</w:t>
            </w:r>
          </w:p>
        </w:tc>
        <w:tc>
          <w:tcPr>
            <w:tcW w:w="970" w:type="dxa"/>
            <w:vAlign w:val="center"/>
          </w:tcPr>
          <w:p w:rsidR="00C665AA" w:rsidRPr="00131B9D" w:rsidRDefault="00C665AA" w:rsidP="00473701">
            <w:pPr>
              <w:snapToGrid w:val="0"/>
              <w:jc w:val="center"/>
              <w:rPr>
                <w:sz w:val="23"/>
                <w:szCs w:val="23"/>
              </w:rPr>
            </w:pPr>
            <w:r w:rsidRPr="00131B9D">
              <w:rPr>
                <w:sz w:val="23"/>
                <w:szCs w:val="23"/>
              </w:rPr>
              <w:t>-31.90%</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vAlign w:val="center"/>
          </w:tcPr>
          <w:p w:rsidR="00C665AA" w:rsidRPr="00131B9D" w:rsidRDefault="00C665AA" w:rsidP="00473701">
            <w:pPr>
              <w:snapToGrid w:val="0"/>
              <w:jc w:val="center"/>
              <w:rPr>
                <w:sz w:val="23"/>
                <w:szCs w:val="23"/>
              </w:rPr>
            </w:pPr>
            <w:r w:rsidRPr="00131B9D">
              <w:rPr>
                <w:sz w:val="23"/>
                <w:szCs w:val="23"/>
              </w:rPr>
              <w:t>7.11</w:t>
            </w:r>
          </w:p>
        </w:tc>
        <w:tc>
          <w:tcPr>
            <w:tcW w:w="851" w:type="dxa"/>
            <w:vAlign w:val="center"/>
          </w:tcPr>
          <w:p w:rsidR="00C665AA" w:rsidRPr="00131B9D" w:rsidRDefault="00C665AA" w:rsidP="00473701">
            <w:pPr>
              <w:snapToGrid w:val="0"/>
              <w:jc w:val="center"/>
              <w:rPr>
                <w:sz w:val="23"/>
                <w:szCs w:val="23"/>
              </w:rPr>
            </w:pPr>
            <w:r w:rsidRPr="00131B9D">
              <w:rPr>
                <w:sz w:val="23"/>
                <w:szCs w:val="23"/>
              </w:rPr>
              <w:t>26</w:t>
            </w:r>
          </w:p>
        </w:tc>
        <w:tc>
          <w:tcPr>
            <w:tcW w:w="850" w:type="dxa"/>
            <w:vAlign w:val="center"/>
          </w:tcPr>
          <w:p w:rsidR="00C665AA" w:rsidRPr="00131B9D" w:rsidRDefault="00C665AA" w:rsidP="00473701">
            <w:pPr>
              <w:snapToGrid w:val="0"/>
              <w:jc w:val="center"/>
              <w:rPr>
                <w:sz w:val="23"/>
                <w:szCs w:val="23"/>
              </w:rPr>
            </w:pPr>
            <w:r w:rsidRPr="00131B9D">
              <w:rPr>
                <w:sz w:val="23"/>
                <w:szCs w:val="23"/>
              </w:rPr>
              <w:t>0.49</w:t>
            </w:r>
          </w:p>
        </w:tc>
        <w:tc>
          <w:tcPr>
            <w:tcW w:w="851" w:type="dxa"/>
            <w:vAlign w:val="center"/>
          </w:tcPr>
          <w:p w:rsidR="00C665AA" w:rsidRPr="00131B9D" w:rsidRDefault="00C665AA" w:rsidP="00473701">
            <w:pPr>
              <w:snapToGrid w:val="0"/>
              <w:jc w:val="center"/>
              <w:rPr>
                <w:sz w:val="23"/>
                <w:szCs w:val="23"/>
              </w:rPr>
            </w:pPr>
            <w:r w:rsidRPr="00131B9D">
              <w:rPr>
                <w:sz w:val="23"/>
                <w:szCs w:val="23"/>
              </w:rPr>
              <w:t>9</w:t>
            </w:r>
          </w:p>
        </w:tc>
        <w:tc>
          <w:tcPr>
            <w:tcW w:w="850" w:type="dxa"/>
            <w:vAlign w:val="center"/>
          </w:tcPr>
          <w:p w:rsidR="00C665AA" w:rsidRPr="00131B9D" w:rsidRDefault="00C665AA" w:rsidP="00473701">
            <w:pPr>
              <w:snapToGrid w:val="0"/>
              <w:jc w:val="center"/>
              <w:rPr>
                <w:sz w:val="23"/>
                <w:szCs w:val="23"/>
              </w:rPr>
            </w:pPr>
            <w:r w:rsidRPr="00131B9D">
              <w:rPr>
                <w:sz w:val="23"/>
                <w:szCs w:val="23"/>
              </w:rPr>
              <w:t>20</w:t>
            </w:r>
          </w:p>
        </w:tc>
        <w:tc>
          <w:tcPr>
            <w:tcW w:w="851" w:type="dxa"/>
            <w:vAlign w:val="center"/>
          </w:tcPr>
          <w:p w:rsidR="00C665AA" w:rsidRPr="00131B9D" w:rsidRDefault="00C665AA" w:rsidP="00473701">
            <w:pPr>
              <w:snapToGrid w:val="0"/>
              <w:jc w:val="center"/>
              <w:rPr>
                <w:sz w:val="23"/>
                <w:szCs w:val="23"/>
              </w:rPr>
            </w:pPr>
            <w:r w:rsidRPr="00131B9D">
              <w:rPr>
                <w:sz w:val="23"/>
                <w:szCs w:val="23"/>
              </w:rPr>
              <w:t>4.59</w:t>
            </w:r>
          </w:p>
        </w:tc>
        <w:tc>
          <w:tcPr>
            <w:tcW w:w="970" w:type="dxa"/>
            <w:vAlign w:val="center"/>
          </w:tcPr>
          <w:p w:rsidR="00C665AA" w:rsidRPr="00131B9D" w:rsidRDefault="00C665AA" w:rsidP="00473701">
            <w:pPr>
              <w:snapToGrid w:val="0"/>
              <w:jc w:val="center"/>
              <w:rPr>
                <w:sz w:val="23"/>
                <w:szCs w:val="23"/>
              </w:rPr>
            </w:pPr>
            <w:r w:rsidRPr="00131B9D">
              <w:rPr>
                <w:sz w:val="23"/>
                <w:szCs w:val="23"/>
              </w:rPr>
              <w:t>-31.90%</w:t>
            </w:r>
          </w:p>
        </w:tc>
      </w:tr>
      <w:tr w:rsidR="00C665AA" w:rsidRPr="00131B9D" w:rsidTr="00473701">
        <w:trPr>
          <w:trHeight w:val="54"/>
          <w:jc w:val="center"/>
        </w:trPr>
        <w:tc>
          <w:tcPr>
            <w:tcW w:w="8640" w:type="dxa"/>
            <w:gridSpan w:val="9"/>
            <w:vAlign w:val="center"/>
          </w:tcPr>
          <w:p w:rsidR="00C665AA" w:rsidRPr="00131B9D" w:rsidRDefault="00C665AA" w:rsidP="00473701">
            <w:pPr>
              <w:widowControl/>
              <w:spacing w:beforeLines="10" w:before="36" w:afterLines="10" w:after="36" w:line="0" w:lineRule="atLeast"/>
              <w:jc w:val="center"/>
              <w:rPr>
                <w:rFonts w:eastAsia="標楷體"/>
                <w:b/>
                <w:bCs/>
                <w:kern w:val="0"/>
                <w:sz w:val="23"/>
                <w:szCs w:val="23"/>
              </w:rPr>
            </w:pPr>
            <w:r w:rsidRPr="00131B9D">
              <w:rPr>
                <w:rFonts w:eastAsia="標楷體"/>
                <w:b/>
                <w:bCs/>
                <w:kern w:val="0"/>
                <w:sz w:val="23"/>
                <w:szCs w:val="23"/>
              </w:rPr>
              <w:t>主要需求國</w:t>
            </w:r>
          </w:p>
        </w:tc>
      </w:tr>
      <w:tr w:rsidR="00C665AA" w:rsidRPr="00131B9D" w:rsidTr="00473701">
        <w:trPr>
          <w:trHeight w:val="54"/>
          <w:jc w:val="center"/>
        </w:trPr>
        <w:tc>
          <w:tcPr>
            <w:tcW w:w="495" w:type="dxa"/>
            <w:vMerge w:val="restart"/>
            <w:vAlign w:val="center"/>
          </w:tcPr>
          <w:p w:rsidR="00C665AA" w:rsidRPr="00131B9D" w:rsidRDefault="00C665AA" w:rsidP="00473701">
            <w:pPr>
              <w:widowControl/>
              <w:spacing w:line="0" w:lineRule="atLeast"/>
              <w:jc w:val="center"/>
              <w:rPr>
                <w:rFonts w:eastAsia="標楷體"/>
                <w:kern w:val="0"/>
                <w:sz w:val="23"/>
                <w:szCs w:val="23"/>
              </w:rPr>
            </w:pPr>
            <w:r w:rsidRPr="00131B9D">
              <w:rPr>
                <w:rFonts w:eastAsia="標楷體"/>
                <w:kern w:val="0"/>
                <w:sz w:val="23"/>
                <w:szCs w:val="23"/>
              </w:rPr>
              <w:t>中國</w:t>
            </w:r>
          </w:p>
          <w:p w:rsidR="00C665AA" w:rsidRPr="00131B9D" w:rsidRDefault="00C665AA" w:rsidP="00473701">
            <w:pPr>
              <w:widowControl/>
              <w:spacing w:line="0" w:lineRule="atLeast"/>
              <w:jc w:val="center"/>
              <w:rPr>
                <w:rFonts w:eastAsia="標楷體"/>
                <w:kern w:val="0"/>
                <w:sz w:val="23"/>
                <w:szCs w:val="23"/>
              </w:rPr>
            </w:pPr>
            <w:r w:rsidRPr="00131B9D">
              <w:rPr>
                <w:rFonts w:eastAsia="標楷體"/>
                <w:kern w:val="0"/>
                <w:sz w:val="23"/>
                <w:szCs w:val="23"/>
              </w:rPr>
              <w:t>大陸</w:t>
            </w: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53.96</w:t>
            </w:r>
          </w:p>
        </w:tc>
        <w:tc>
          <w:tcPr>
            <w:tcW w:w="851" w:type="dxa"/>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121.93</w:t>
            </w:r>
          </w:p>
        </w:tc>
        <w:tc>
          <w:tcPr>
            <w:tcW w:w="850" w:type="dxa"/>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6.77</w:t>
            </w:r>
          </w:p>
        </w:tc>
        <w:tc>
          <w:tcPr>
            <w:tcW w:w="851" w:type="dxa"/>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116.5</w:t>
            </w:r>
          </w:p>
        </w:tc>
        <w:tc>
          <w:tcPr>
            <w:tcW w:w="850" w:type="dxa"/>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0.89</w:t>
            </w:r>
          </w:p>
        </w:tc>
        <w:tc>
          <w:tcPr>
            <w:tcW w:w="851" w:type="dxa"/>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65.27</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65.27</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126.17</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1.93</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118.5</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0.8</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74.07</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20.96%</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74.57</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130</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2.5</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116.5</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89.57</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14.25%</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74.07</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130</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118</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87.07</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13.48%</w:t>
            </w:r>
          </w:p>
        </w:tc>
      </w:tr>
      <w:tr w:rsidR="00C665AA" w:rsidRPr="00131B9D" w:rsidTr="00473701">
        <w:trPr>
          <w:trHeight w:val="54"/>
          <w:jc w:val="center"/>
        </w:trPr>
        <w:tc>
          <w:tcPr>
            <w:tcW w:w="495" w:type="dxa"/>
            <w:vMerge w:val="restart"/>
            <w:vAlign w:val="center"/>
          </w:tcPr>
          <w:p w:rsidR="00C665AA" w:rsidRPr="00131B9D" w:rsidRDefault="00C665AA" w:rsidP="00473701">
            <w:pPr>
              <w:widowControl/>
              <w:spacing w:line="0" w:lineRule="atLeast"/>
              <w:jc w:val="center"/>
              <w:rPr>
                <w:rFonts w:eastAsia="標楷體"/>
                <w:kern w:val="0"/>
                <w:sz w:val="23"/>
                <w:szCs w:val="23"/>
              </w:rPr>
            </w:pPr>
            <w:r w:rsidRPr="00131B9D">
              <w:rPr>
                <w:rFonts w:eastAsia="標楷體"/>
                <w:kern w:val="0"/>
                <w:sz w:val="23"/>
                <w:szCs w:val="23"/>
              </w:rPr>
              <w:t>中</w:t>
            </w:r>
          </w:p>
          <w:p w:rsidR="00C665AA" w:rsidRPr="00131B9D" w:rsidRDefault="00C665AA" w:rsidP="00473701">
            <w:pPr>
              <w:widowControl/>
              <w:spacing w:line="0" w:lineRule="atLeast"/>
              <w:jc w:val="center"/>
              <w:rPr>
                <w:rFonts w:eastAsia="標楷體"/>
                <w:kern w:val="0"/>
                <w:sz w:val="23"/>
                <w:szCs w:val="23"/>
              </w:rPr>
            </w:pPr>
            <w:r w:rsidRPr="00131B9D">
              <w:rPr>
                <w:rFonts w:eastAsia="標楷體"/>
                <w:kern w:val="0"/>
                <w:sz w:val="23"/>
                <w:szCs w:val="23"/>
              </w:rPr>
              <w:t>東</w:t>
            </w: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8.94</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18.96</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20.69</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36.07</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0.5</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12.02</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12.02</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17.37</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21.26</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36.11</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1.52</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13.02</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34.45%</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12.98</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17.86</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20.6</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37.46</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0.83</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13.15</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7.99%</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jc w:val="center"/>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13.02</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17.86</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20.6</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37.46</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0.83</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13.18</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8.32%</w:t>
            </w:r>
          </w:p>
        </w:tc>
      </w:tr>
      <w:tr w:rsidR="00C665AA" w:rsidRPr="00131B9D" w:rsidTr="00473701">
        <w:trPr>
          <w:trHeight w:val="54"/>
          <w:jc w:val="center"/>
        </w:trPr>
        <w:tc>
          <w:tcPr>
            <w:tcW w:w="495" w:type="dxa"/>
            <w:vMerge w:val="restart"/>
            <w:vAlign w:val="center"/>
          </w:tcPr>
          <w:p w:rsidR="00C665AA" w:rsidRPr="00131B9D" w:rsidRDefault="00C665AA" w:rsidP="00473701">
            <w:pPr>
              <w:widowControl/>
              <w:spacing w:line="0" w:lineRule="atLeast"/>
              <w:jc w:val="center"/>
              <w:rPr>
                <w:rFonts w:eastAsia="標楷體"/>
                <w:kern w:val="0"/>
                <w:sz w:val="23"/>
                <w:szCs w:val="23"/>
              </w:rPr>
            </w:pPr>
            <w:r w:rsidRPr="00131B9D">
              <w:rPr>
                <w:rFonts w:eastAsia="標楷體"/>
                <w:kern w:val="0"/>
                <w:sz w:val="23"/>
                <w:szCs w:val="23"/>
              </w:rPr>
              <w:t>北</w:t>
            </w:r>
          </w:p>
          <w:p w:rsidR="00C665AA" w:rsidRPr="00131B9D" w:rsidRDefault="00C665AA" w:rsidP="00473701">
            <w:pPr>
              <w:widowControl/>
              <w:spacing w:line="0" w:lineRule="atLeast"/>
              <w:jc w:val="center"/>
              <w:rPr>
                <w:rFonts w:eastAsia="標楷體"/>
                <w:kern w:val="0"/>
                <w:sz w:val="23"/>
                <w:szCs w:val="23"/>
              </w:rPr>
            </w:pPr>
            <w:r w:rsidRPr="00131B9D">
              <w:rPr>
                <w:rFonts w:eastAsia="標楷體"/>
                <w:kern w:val="0"/>
                <w:sz w:val="23"/>
                <w:szCs w:val="23"/>
              </w:rPr>
              <w:t>非</w:t>
            </w: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11.49</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19.72</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25.27</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42.42</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0.5</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13.55</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13.55</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16.9</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25.18</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42.68</w:t>
            </w:r>
          </w:p>
        </w:tc>
        <w:tc>
          <w:tcPr>
            <w:tcW w:w="850"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0.61</w:t>
            </w:r>
          </w:p>
        </w:tc>
        <w:tc>
          <w:tcPr>
            <w:tcW w:w="851" w:type="dxa"/>
            <w:noWrap/>
          </w:tcPr>
          <w:p w:rsidR="00C665AA" w:rsidRPr="00131B9D" w:rsidRDefault="00C665AA" w:rsidP="00473701">
            <w:pPr>
              <w:adjustRightInd w:val="0"/>
              <w:snapToGrid w:val="0"/>
              <w:jc w:val="center"/>
              <w:rPr>
                <w:color w:val="000000"/>
                <w:sz w:val="23"/>
                <w:szCs w:val="23"/>
              </w:rPr>
            </w:pPr>
            <w:r w:rsidRPr="00131B9D">
              <w:rPr>
                <w:color w:val="000000"/>
                <w:sz w:val="23"/>
                <w:szCs w:val="23"/>
              </w:rPr>
              <w:t>12.35</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17.93%</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12.35</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20.26</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25.6</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44.33</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0.65</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13.23</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-8.86%</w:t>
            </w:r>
          </w:p>
        </w:tc>
      </w:tr>
      <w:tr w:rsidR="00C665AA" w:rsidRPr="00131B9D" w:rsidTr="00473701">
        <w:trPr>
          <w:trHeight w:val="54"/>
          <w:jc w:val="center"/>
        </w:trPr>
        <w:tc>
          <w:tcPr>
            <w:tcW w:w="495" w:type="dxa"/>
            <w:vMerge/>
            <w:vAlign w:val="center"/>
          </w:tcPr>
          <w:p w:rsidR="00C665AA" w:rsidRPr="00131B9D" w:rsidRDefault="00C665AA" w:rsidP="00473701">
            <w:pPr>
              <w:widowControl/>
              <w:spacing w:line="0" w:lineRule="atLeast"/>
              <w:rPr>
                <w:rFonts w:eastAsia="標楷體"/>
                <w:kern w:val="0"/>
                <w:sz w:val="23"/>
                <w:szCs w:val="23"/>
              </w:rPr>
            </w:pPr>
          </w:p>
        </w:tc>
        <w:tc>
          <w:tcPr>
            <w:tcW w:w="2072" w:type="dxa"/>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12.35</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20</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25.6</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44.33</w:t>
            </w:r>
          </w:p>
        </w:tc>
        <w:tc>
          <w:tcPr>
            <w:tcW w:w="850"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0.65</w:t>
            </w:r>
          </w:p>
        </w:tc>
        <w:tc>
          <w:tcPr>
            <w:tcW w:w="851" w:type="dxa"/>
            <w:noWrap/>
            <w:vAlign w:val="bottom"/>
          </w:tcPr>
          <w:p w:rsidR="00C665AA" w:rsidRPr="00131B9D" w:rsidRDefault="00C665AA" w:rsidP="00473701">
            <w:pPr>
              <w:adjustRightInd w:val="0"/>
              <w:snapToGrid w:val="0"/>
              <w:jc w:val="center"/>
              <w:rPr>
                <w:color w:val="000000"/>
                <w:sz w:val="23"/>
                <w:szCs w:val="23"/>
              </w:rPr>
            </w:pPr>
            <w:r w:rsidRPr="00131B9D">
              <w:rPr>
                <w:color w:val="000000"/>
                <w:sz w:val="23"/>
                <w:szCs w:val="23"/>
              </w:rPr>
              <w:t>12.97</w:t>
            </w:r>
          </w:p>
        </w:tc>
        <w:tc>
          <w:tcPr>
            <w:tcW w:w="970" w:type="dxa"/>
            <w:vAlign w:val="center"/>
          </w:tcPr>
          <w:p w:rsidR="00C665AA" w:rsidRPr="00131B9D" w:rsidRDefault="00C665AA" w:rsidP="00473701">
            <w:pPr>
              <w:adjustRightInd w:val="0"/>
              <w:snapToGrid w:val="0"/>
              <w:spacing w:line="0" w:lineRule="atLeast"/>
              <w:jc w:val="center"/>
              <w:rPr>
                <w:sz w:val="23"/>
                <w:szCs w:val="23"/>
              </w:rPr>
            </w:pPr>
            <w:r w:rsidRPr="00131B9D">
              <w:rPr>
                <w:sz w:val="23"/>
                <w:szCs w:val="23"/>
              </w:rPr>
              <w:t>-8.86%</w:t>
            </w:r>
          </w:p>
        </w:tc>
      </w:tr>
    </w:tbl>
    <w:p w:rsidR="00C665AA" w:rsidRPr="00131B9D" w:rsidRDefault="00C665AA" w:rsidP="00C665AA">
      <w:pPr>
        <w:adjustRightInd w:val="0"/>
        <w:snapToGrid w:val="0"/>
        <w:spacing w:line="0" w:lineRule="atLeast"/>
        <w:ind w:left="342" w:hangingChars="171" w:hanging="342"/>
        <w:rPr>
          <w:rFonts w:eastAsia="標楷體"/>
          <w:sz w:val="20"/>
          <w:szCs w:val="20"/>
        </w:rPr>
      </w:pPr>
      <w:bookmarkStart w:id="94" w:name="_Toc322706929"/>
      <w:r w:rsidRPr="00131B9D">
        <w:rPr>
          <w:rFonts w:eastAsia="標楷體"/>
          <w:sz w:val="20"/>
          <w:szCs w:val="20"/>
        </w:rPr>
        <w:t>資料來源：美國農業部（</w:t>
      </w:r>
      <w:r w:rsidRPr="00131B9D">
        <w:rPr>
          <w:rFonts w:eastAsia="標楷體"/>
          <w:sz w:val="20"/>
          <w:szCs w:val="20"/>
        </w:rPr>
        <w:t>USDA</w:t>
      </w:r>
      <w:r w:rsidRPr="00131B9D">
        <w:rPr>
          <w:rFonts w:eastAsia="標楷體"/>
          <w:sz w:val="20"/>
          <w:szCs w:val="20"/>
        </w:rPr>
        <w:t>），</w:t>
      </w:r>
      <w:r w:rsidRPr="00131B9D">
        <w:rPr>
          <w:rFonts w:eastAsia="標楷體"/>
          <w:sz w:val="20"/>
          <w:szCs w:val="20"/>
        </w:rPr>
        <w:t>2015/11/10</w:t>
      </w:r>
      <w:r w:rsidRPr="00131B9D">
        <w:rPr>
          <w:rFonts w:eastAsia="標楷體"/>
          <w:sz w:val="20"/>
          <w:szCs w:val="20"/>
        </w:rPr>
        <w:t>。</w:t>
      </w:r>
    </w:p>
    <w:bookmarkEnd w:id="94"/>
    <w:p w:rsidR="00A95A73" w:rsidRPr="00131B9D" w:rsidRDefault="00A95A73" w:rsidP="00A95A73">
      <w:pPr>
        <w:pStyle w:val="afff5"/>
        <w:spacing w:line="0" w:lineRule="atLeast"/>
        <w:jc w:val="center"/>
        <w:rPr>
          <w:rFonts w:eastAsia="標楷體"/>
          <w:b/>
          <w:sz w:val="28"/>
          <w:szCs w:val="28"/>
        </w:rPr>
        <w:sectPr w:rsidR="00A95A73"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3"/>
        <w:rPr>
          <w:rFonts w:ascii="Times New Roman" w:hAnsi="Times New Roman"/>
        </w:rPr>
      </w:pPr>
      <w:r w:rsidRPr="00131B9D">
        <w:rPr>
          <w:rFonts w:ascii="Times New Roman" w:hAnsi="Times New Roman"/>
        </w:rPr>
        <w:lastRenderedPageBreak/>
        <w:t>（三）玉米</w:t>
      </w:r>
    </w:p>
    <w:p w:rsidR="00F279F7" w:rsidRPr="00131B9D" w:rsidRDefault="00F279F7" w:rsidP="00F279F7">
      <w:pPr>
        <w:pStyle w:val="-"/>
        <w:spacing w:before="72" w:after="72"/>
        <w:ind w:firstLineChars="0" w:firstLine="0"/>
        <w:rPr>
          <w:b/>
        </w:rPr>
      </w:pPr>
      <w:bookmarkStart w:id="95" w:name="_Toc322707605"/>
      <w:r w:rsidRPr="00131B9D">
        <w:rPr>
          <w:b/>
        </w:rPr>
        <w:t>1.</w:t>
      </w:r>
      <w:r w:rsidRPr="00131B9D">
        <w:rPr>
          <w:b/>
        </w:rPr>
        <w:t xml:space="preserve">　價格走勢</w:t>
      </w:r>
    </w:p>
    <w:p w:rsidR="00127C79" w:rsidRPr="00131B9D" w:rsidRDefault="00127C79" w:rsidP="00127C79">
      <w:pPr>
        <w:pStyle w:val="-"/>
        <w:spacing w:before="72" w:after="72"/>
        <w:ind w:firstLine="560"/>
      </w:pPr>
      <w:r w:rsidRPr="00131B9D">
        <w:t>2015</w:t>
      </w:r>
      <w:r w:rsidRPr="00131B9D">
        <w:t>年上半年玉米價格為震盪趨勢。第</w:t>
      </w:r>
      <w:r w:rsidRPr="00131B9D">
        <w:t>1</w:t>
      </w:r>
      <w:r w:rsidRPr="00131B9D">
        <w:t>季國際玉米價格微幅下跌，</w:t>
      </w:r>
      <w:r w:rsidRPr="00131B9D">
        <w:t xml:space="preserve"> 3</w:t>
      </w:r>
      <w:r w:rsidRPr="00131B9D">
        <w:t>月均價較</w:t>
      </w:r>
      <w:r w:rsidRPr="00131B9D">
        <w:t>1</w:t>
      </w:r>
      <w:r w:rsidRPr="00131B9D">
        <w:t>月的跌幅為</w:t>
      </w:r>
      <w:r w:rsidRPr="00131B9D">
        <w:t>1.39%</w:t>
      </w:r>
      <w:r w:rsidRPr="00131B9D">
        <w:t>。第</w:t>
      </w:r>
      <w:r w:rsidRPr="00131B9D">
        <w:t>2</w:t>
      </w:r>
      <w:r w:rsidRPr="00131B9D">
        <w:t>季國際玉米價格先下跌後微幅上漲，芝加哥玉米期貨</w:t>
      </w:r>
      <w:r w:rsidRPr="00131B9D">
        <w:t>4</w:t>
      </w:r>
      <w:r w:rsidRPr="00131B9D">
        <w:t>月均價</w:t>
      </w:r>
      <w:r w:rsidRPr="00131B9D">
        <w:t>137.85</w:t>
      </w:r>
      <w:r w:rsidRPr="00131B9D">
        <w:t>美元</w:t>
      </w:r>
      <w:r w:rsidRPr="00131B9D">
        <w:t>/</w:t>
      </w:r>
      <w:r w:rsidRPr="00131B9D">
        <w:t>公噸，</w:t>
      </w:r>
      <w:r w:rsidRPr="00131B9D">
        <w:t>5</w:t>
      </w:r>
      <w:r w:rsidRPr="00131B9D">
        <w:t>月均價降至</w:t>
      </w:r>
      <w:r w:rsidRPr="00131B9D">
        <w:t>131.98</w:t>
      </w:r>
      <w:r w:rsidRPr="00131B9D">
        <w:t>美元</w:t>
      </w:r>
      <w:r w:rsidRPr="00131B9D">
        <w:t>/</w:t>
      </w:r>
      <w:r w:rsidRPr="00131B9D">
        <w:t>公噸，直至</w:t>
      </w:r>
      <w:r w:rsidRPr="00131B9D">
        <w:t>6</w:t>
      </w:r>
      <w:r w:rsidRPr="00131B9D">
        <w:t>月份均價因美國玉米重要作物產區過多降雨、歐盟產區則遭遇密集熱浪，小幅升至</w:t>
      </w:r>
      <w:r w:rsidRPr="00131B9D">
        <w:t>133.75</w:t>
      </w:r>
      <w:r w:rsidRPr="00131B9D">
        <w:t>美元</w:t>
      </w:r>
      <w:r w:rsidRPr="00131B9D">
        <w:t>/</w:t>
      </w:r>
      <w:r w:rsidRPr="00131B9D">
        <w:t>公噸，然而玉米</w:t>
      </w:r>
      <w:r w:rsidRPr="00131B9D">
        <w:t>6</w:t>
      </w:r>
      <w:r w:rsidRPr="00131B9D">
        <w:t>月均價仍較</w:t>
      </w:r>
      <w:r w:rsidRPr="00131B9D">
        <w:t>4</w:t>
      </w:r>
      <w:r w:rsidRPr="00131B9D">
        <w:t>月下跌</w:t>
      </w:r>
      <w:r w:rsidRPr="00131B9D">
        <w:t>2.97%</w:t>
      </w:r>
      <w:r w:rsidRPr="00131B9D">
        <w:t>，且第</w:t>
      </w:r>
      <w:r w:rsidRPr="00131B9D">
        <w:t>2</w:t>
      </w:r>
      <w:r w:rsidRPr="00131B9D">
        <w:t>季均價為</w:t>
      </w:r>
      <w:r w:rsidRPr="00131B9D">
        <w:t>134.5</w:t>
      </w:r>
      <w:r w:rsidRPr="00131B9D">
        <w:t>美元</w:t>
      </w:r>
      <w:r w:rsidRPr="00131B9D">
        <w:t>/</w:t>
      </w:r>
      <w:r w:rsidRPr="00131B9D">
        <w:t>公噸，亦較第</w:t>
      </w:r>
      <w:r w:rsidRPr="00131B9D">
        <w:t>1</w:t>
      </w:r>
      <w:r w:rsidRPr="00131B9D">
        <w:t>季下跌</w:t>
      </w:r>
      <w:r w:rsidRPr="00131B9D">
        <w:t>5%</w:t>
      </w:r>
      <w:r w:rsidRPr="00131B9D">
        <w:t>。第</w:t>
      </w:r>
      <w:r w:rsidRPr="00131B9D">
        <w:t>3</w:t>
      </w:r>
      <w:r w:rsidRPr="00131B9D">
        <w:t>季一開始仍延續第</w:t>
      </w:r>
      <w:r w:rsidRPr="00131B9D">
        <w:t>2</w:t>
      </w:r>
      <w:r w:rsidRPr="00131B9D">
        <w:t>季末玉米價格的漲勢，但隨後因第二大玉米出口國美國及巴西產量增長，且歐洲產量受高溫乾燥氣候影響有限，價格再次下跌。不過</w:t>
      </w:r>
      <w:r w:rsidRPr="00131B9D">
        <w:t>9</w:t>
      </w:r>
      <w:r w:rsidRPr="00131B9D">
        <w:t>月中旬過後，中國大陸購買力提升，及美國農業部</w:t>
      </w:r>
      <w:r w:rsidRPr="00131B9D">
        <w:t>9</w:t>
      </w:r>
      <w:r w:rsidRPr="00131B9D">
        <w:t>月</w:t>
      </w:r>
      <w:r w:rsidRPr="00131B9D">
        <w:t>30</w:t>
      </w:r>
      <w:r w:rsidRPr="00131B9D">
        <w:t>日公佈季度庫存報告低於預期，使玉米價格略有提升的影響，導致第</w:t>
      </w:r>
      <w:r w:rsidRPr="00131B9D">
        <w:t>3</w:t>
      </w:r>
      <w:r w:rsidRPr="00131B9D">
        <w:t>季均價</w:t>
      </w:r>
      <w:r w:rsidRPr="00131B9D">
        <w:t>140.80</w:t>
      </w:r>
      <w:r w:rsidRPr="00131B9D">
        <w:t>美元</w:t>
      </w:r>
      <w:r w:rsidRPr="00131B9D">
        <w:t>/</w:t>
      </w:r>
      <w:r w:rsidRPr="00131B9D">
        <w:t>公噸較第</w:t>
      </w:r>
      <w:r w:rsidRPr="00131B9D">
        <w:t>2</w:t>
      </w:r>
      <w:r w:rsidRPr="00131B9D">
        <w:t>季上漲</w:t>
      </w:r>
      <w:r w:rsidRPr="00131B9D">
        <w:t>4.68%</w:t>
      </w:r>
      <w:r w:rsidRPr="00131B9D">
        <w:t>。而國際玉米</w:t>
      </w:r>
      <w:r w:rsidRPr="00131B9D">
        <w:t>10</w:t>
      </w:r>
      <w:r w:rsidRPr="00131B9D">
        <w:t>月份均價為</w:t>
      </w:r>
      <w:r w:rsidRPr="00131B9D">
        <w:t>140.65</w:t>
      </w:r>
      <w:r w:rsidRPr="00131B9D">
        <w:t>美元</w:t>
      </w:r>
      <w:r w:rsidRPr="00131B9D">
        <w:t>/</w:t>
      </w:r>
      <w:r w:rsidRPr="00131B9D">
        <w:t>公噸，</w:t>
      </w:r>
      <w:r w:rsidRPr="00131B9D">
        <w:t>11</w:t>
      </w:r>
      <w:r w:rsidRPr="00131B9D">
        <w:t>月份因產量及庫存高於預期，價格再次走跌（如圖</w:t>
      </w:r>
      <w:r w:rsidRPr="00131B9D">
        <w:t>3-5</w:t>
      </w:r>
      <w:r w:rsidRPr="00131B9D">
        <w:t>）。</w:t>
      </w:r>
    </w:p>
    <w:p w:rsidR="00F279F7" w:rsidRPr="00131B9D" w:rsidRDefault="00F279F7" w:rsidP="00F279F7">
      <w:pPr>
        <w:spacing w:beforeLines="100" w:before="360" w:line="0" w:lineRule="atLeast"/>
        <w:jc w:val="center"/>
        <w:rPr>
          <w:rFonts w:eastAsia="標楷體"/>
        </w:rPr>
      </w:pPr>
      <w:r w:rsidRPr="00131B9D">
        <w:rPr>
          <w:noProof/>
        </w:rPr>
        <w:drawing>
          <wp:inline distT="0" distB="0" distL="0" distR="0" wp14:anchorId="286247BF" wp14:editId="5D67244E">
            <wp:extent cx="4810125" cy="3306725"/>
            <wp:effectExtent l="0" t="0" r="9525" b="8255"/>
            <wp:docPr id="30" name="圖表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F279F7" w:rsidRPr="00131B9D" w:rsidRDefault="00F279F7" w:rsidP="00F279F7">
      <w:pPr>
        <w:spacing w:line="0" w:lineRule="atLeast"/>
        <w:ind w:firstLineChars="150" w:firstLine="300"/>
        <w:jc w:val="both"/>
        <w:rPr>
          <w:rFonts w:eastAsia="標楷體"/>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r w:rsidRPr="00131B9D">
        <w:rPr>
          <w:rFonts w:eastAsia="標楷體"/>
        </w:rPr>
        <w:t>。</w:t>
      </w:r>
    </w:p>
    <w:p w:rsidR="00F279F7" w:rsidRPr="00131B9D" w:rsidRDefault="00F279F7" w:rsidP="00F279F7">
      <w:pPr>
        <w:pStyle w:val="afff5"/>
        <w:spacing w:line="0" w:lineRule="atLeast"/>
        <w:jc w:val="center"/>
        <w:rPr>
          <w:rFonts w:eastAsia="標楷體"/>
          <w:b/>
          <w:bCs/>
          <w:kern w:val="52"/>
          <w:sz w:val="28"/>
          <w:szCs w:val="28"/>
        </w:rPr>
      </w:pPr>
      <w:bookmarkStart w:id="96" w:name="_Toc398882639"/>
      <w:bookmarkStart w:id="97" w:name="_Toc322706930"/>
      <w:bookmarkStart w:id="98" w:name="_Toc365017339"/>
      <w:bookmarkStart w:id="99" w:name="_Toc373423052"/>
      <w:bookmarkStart w:id="100" w:name="_Toc373682435"/>
      <w:bookmarkStart w:id="101" w:name="_Toc438223339"/>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5</w:t>
      </w:r>
      <w:r w:rsidRPr="00131B9D">
        <w:rPr>
          <w:rFonts w:eastAsia="標楷體"/>
          <w:b/>
          <w:bCs/>
          <w:kern w:val="52"/>
          <w:sz w:val="28"/>
          <w:szCs w:val="28"/>
        </w:rPr>
        <w:fldChar w:fldCharType="end"/>
      </w:r>
      <w:r w:rsidRPr="00131B9D">
        <w:rPr>
          <w:rFonts w:eastAsia="標楷體"/>
          <w:b/>
          <w:bCs/>
          <w:kern w:val="52"/>
          <w:sz w:val="28"/>
          <w:szCs w:val="28"/>
        </w:rPr>
        <w:t xml:space="preserve">　玉米近一年價格走勢圖</w:t>
      </w:r>
      <w:bookmarkEnd w:id="96"/>
      <w:bookmarkEnd w:id="97"/>
      <w:bookmarkEnd w:id="98"/>
      <w:bookmarkEnd w:id="99"/>
      <w:bookmarkEnd w:id="100"/>
      <w:bookmarkEnd w:id="101"/>
    </w:p>
    <w:p w:rsidR="00F279F7" w:rsidRPr="00131B9D" w:rsidRDefault="00F279F7" w:rsidP="00F279F7"/>
    <w:p w:rsidR="00F279F7" w:rsidRPr="00131B9D" w:rsidRDefault="00F279F7" w:rsidP="00F279F7">
      <w:pPr>
        <w:pStyle w:val="-"/>
        <w:spacing w:before="72" w:after="72"/>
        <w:ind w:firstLineChars="0" w:firstLine="0"/>
        <w:rPr>
          <w:b/>
        </w:rPr>
      </w:pPr>
      <w:r w:rsidRPr="00131B9D">
        <w:rPr>
          <w:b/>
        </w:rPr>
        <w:t>2.</w:t>
      </w:r>
      <w:r w:rsidRPr="00131B9D">
        <w:rPr>
          <w:b/>
        </w:rPr>
        <w:t xml:space="preserve">　主要供需概況</w:t>
      </w:r>
    </w:p>
    <w:p w:rsidR="00F279F7" w:rsidRPr="00131B9D" w:rsidRDefault="00F279F7" w:rsidP="00F279F7">
      <w:pPr>
        <w:pStyle w:val="-"/>
        <w:spacing w:before="72" w:after="72"/>
        <w:ind w:firstLine="561"/>
      </w:pPr>
      <w:r w:rsidRPr="00131B9D">
        <w:rPr>
          <w:b/>
        </w:rPr>
        <w:t>供給國：</w:t>
      </w:r>
      <w:r w:rsidRPr="00131B9D">
        <w:t>依據美國</w:t>
      </w:r>
      <w:r w:rsidRPr="00131B9D">
        <w:t>2015</w:t>
      </w:r>
      <w:r w:rsidRPr="00131B9D">
        <w:t>年</w:t>
      </w:r>
      <w:r w:rsidRPr="00131B9D">
        <w:t>11</w:t>
      </w:r>
      <w:r w:rsidRPr="00131B9D">
        <w:t>月</w:t>
      </w:r>
      <w:r w:rsidRPr="00131B9D">
        <w:t>10</w:t>
      </w:r>
      <w:r w:rsidRPr="00131B9D">
        <w:t>日發布的世界農業供需估計報告統計，全球</w:t>
      </w:r>
      <w:r w:rsidRPr="00131B9D">
        <w:t>2015/2016</w:t>
      </w:r>
      <w:r w:rsidRPr="00131B9D">
        <w:t>年玉米產量估計為</w:t>
      </w:r>
      <w:r w:rsidRPr="00131B9D">
        <w:t>974.87</w:t>
      </w:r>
      <w:r w:rsidRPr="00131B9D">
        <w:t>百萬公噸，其中美國產量為</w:t>
      </w:r>
      <w:r w:rsidRPr="00131B9D">
        <w:t>346.82</w:t>
      </w:r>
      <w:r w:rsidRPr="00131B9D">
        <w:t>百萬公噸、中國大陸產量為</w:t>
      </w:r>
      <w:r w:rsidRPr="00131B9D">
        <w:t>225.00</w:t>
      </w:r>
      <w:r w:rsidRPr="00131B9D">
        <w:t>百萬公噸、巴西產量為</w:t>
      </w:r>
      <w:r w:rsidRPr="00131B9D">
        <w:t>81.50</w:t>
      </w:r>
      <w:r w:rsidRPr="00131B9D">
        <w:t>百萬公噸、歐盟產量為</w:t>
      </w:r>
      <w:r w:rsidRPr="00131B9D">
        <w:t>57.75</w:t>
      </w:r>
      <w:r w:rsidRPr="00131B9D">
        <w:t>百萬公噸、獨立國家國協</w:t>
      </w:r>
      <w:r w:rsidRPr="00131B9D">
        <w:t>-12</w:t>
      </w:r>
      <w:r w:rsidRPr="00131B9D">
        <w:t>國為</w:t>
      </w:r>
      <w:r w:rsidRPr="00131B9D">
        <w:t>39.91</w:t>
      </w:r>
      <w:r w:rsidRPr="00131B9D">
        <w:t>百萬公噸、烏克蘭為</w:t>
      </w:r>
      <w:r w:rsidRPr="00131B9D">
        <w:t>23.00</w:t>
      </w:r>
      <w:r w:rsidRPr="00131B9D">
        <w:t>百萬公噸、東南亞為</w:t>
      </w:r>
      <w:r w:rsidRPr="00131B9D">
        <w:t>28.16</w:t>
      </w:r>
      <w:r w:rsidRPr="00131B9D">
        <w:t>百萬公噸、阿根廷為</w:t>
      </w:r>
      <w:r w:rsidRPr="00131B9D">
        <w:t>25.60</w:t>
      </w:r>
      <w:r w:rsidRPr="00131B9D">
        <w:t>百萬公噸、墨西哥為</w:t>
      </w:r>
      <w:r w:rsidRPr="00131B9D">
        <w:t>23.50</w:t>
      </w:r>
      <w:r w:rsidRPr="00131B9D">
        <w:t>百萬公噸、加拿大為</w:t>
      </w:r>
      <w:r w:rsidRPr="00131B9D">
        <w:t>12.3</w:t>
      </w:r>
      <w:r w:rsidRPr="00131B9D">
        <w:t>百萬公噸、南非為</w:t>
      </w:r>
      <w:r w:rsidRPr="00131B9D">
        <w:t>12.75</w:t>
      </w:r>
      <w:r w:rsidRPr="00131B9D">
        <w:t>百萬公噸。主要玉米出口國為美國為</w:t>
      </w:r>
      <w:r w:rsidRPr="00131B9D">
        <w:t>45.72</w:t>
      </w:r>
      <w:r w:rsidRPr="00131B9D">
        <w:t>百萬公噸、巴西為</w:t>
      </w:r>
      <w:r w:rsidRPr="00131B9D">
        <w:t>25.00</w:t>
      </w:r>
      <w:r w:rsidRPr="00131B9D">
        <w:t>百萬公噸、獨立國家國協</w:t>
      </w:r>
      <w:r w:rsidRPr="00131B9D">
        <w:t>-12</w:t>
      </w:r>
      <w:r w:rsidRPr="00131B9D">
        <w:t>國為</w:t>
      </w:r>
      <w:r w:rsidRPr="00131B9D">
        <w:t>19.13</w:t>
      </w:r>
      <w:r w:rsidRPr="00131B9D">
        <w:t>百萬公噸、阿根廷為</w:t>
      </w:r>
      <w:r w:rsidRPr="00131B9D">
        <w:t>16.00</w:t>
      </w:r>
      <w:r w:rsidRPr="00131B9D">
        <w:t>百萬公噸、烏克蘭為</w:t>
      </w:r>
      <w:r w:rsidRPr="00131B9D">
        <w:t>15</w:t>
      </w:r>
      <w:r w:rsidRPr="00131B9D">
        <w:t>百萬公噸及東南亞為</w:t>
      </w:r>
      <w:r w:rsidRPr="00131B9D">
        <w:t>0.64</w:t>
      </w:r>
      <w:r w:rsidRPr="00131B9D">
        <w:t>百萬公噸（如表</w:t>
      </w:r>
      <w:r w:rsidRPr="00131B9D">
        <w:t>3-4</w:t>
      </w:r>
      <w:r w:rsidRPr="00131B9D">
        <w:t>）。</w:t>
      </w:r>
    </w:p>
    <w:p w:rsidR="00F279F7" w:rsidRPr="00131B9D" w:rsidRDefault="00F279F7" w:rsidP="00F279F7">
      <w:pPr>
        <w:pStyle w:val="-"/>
        <w:spacing w:before="72" w:after="72"/>
        <w:ind w:firstLine="560"/>
      </w:pPr>
      <w:r w:rsidRPr="00131B9D">
        <w:t>2015</w:t>
      </w:r>
      <w:r w:rsidRPr="00131B9D">
        <w:t>年初期玉米作物狀況整體良好，雖巴西部分地區天氣異常乾燥，威脅到二季玉米播種，但</w:t>
      </w:r>
      <w:r w:rsidRPr="00131B9D">
        <w:t>3</w:t>
      </w:r>
      <w:r w:rsidRPr="00131B9D">
        <w:t>月過後，南美天氣狀況改善，且全球</w:t>
      </w:r>
      <w:r w:rsidRPr="00131B9D">
        <w:t>2014/15</w:t>
      </w:r>
      <w:r w:rsidRPr="00131B9D">
        <w:t>年度玉米產量仍保持充足，使玉米價格下跌。到了第</w:t>
      </w:r>
      <w:r w:rsidRPr="00131B9D">
        <w:t>2</w:t>
      </w:r>
      <w:r w:rsidRPr="00131B9D">
        <w:t>季，因天氣較乾燥有助於玉米的播種作業，且玉米持續過剩，而巴西農業部所屬國家供應公司（</w:t>
      </w:r>
      <w:r w:rsidRPr="00131B9D">
        <w:t>Conab</w:t>
      </w:r>
      <w:r w:rsidRPr="00131B9D">
        <w:t>）於</w:t>
      </w:r>
      <w:r w:rsidRPr="00131B9D">
        <w:t>4</w:t>
      </w:r>
      <w:r w:rsidRPr="00131B9D">
        <w:t>月調升</w:t>
      </w:r>
      <w:r w:rsidRPr="00131B9D">
        <w:t>2014/2015</w:t>
      </w:r>
      <w:r w:rsidRPr="00131B9D">
        <w:t>年玉米產量預估，加上阿根廷天候乾旱，有助農民加速收成，也使市場供給更趨過剩，價格持續走跌。</w:t>
      </w:r>
      <w:r w:rsidRPr="00131B9D">
        <w:t>6</w:t>
      </w:r>
      <w:r w:rsidRPr="00131B9D">
        <w:t>月中旬過後至</w:t>
      </w:r>
      <w:r w:rsidRPr="00131B9D">
        <w:t>7</w:t>
      </w:r>
      <w:r w:rsidRPr="00131B9D">
        <w:t>月上旬，美國玉米重要作物產區過多降雨、歐盟產區則遭遇密集熱浪，使玉米價格走高，惟芝加哥農業經紀商</w:t>
      </w:r>
      <w:r w:rsidRPr="00131B9D">
        <w:t>Allendale</w:t>
      </w:r>
      <w:r w:rsidRPr="00131B9D">
        <w:t>根據其在</w:t>
      </w:r>
      <w:r w:rsidRPr="00131B9D">
        <w:t>8</w:t>
      </w:r>
      <w:r w:rsidRPr="00131B9D">
        <w:t>月</w:t>
      </w:r>
      <w:r w:rsidRPr="00131B9D">
        <w:t>17</w:t>
      </w:r>
      <w:r w:rsidRPr="00131B9D">
        <w:t>日至</w:t>
      </w:r>
      <w:r w:rsidRPr="00131B9D">
        <w:t>8</w:t>
      </w:r>
      <w:r w:rsidRPr="00131B9D">
        <w:t>月</w:t>
      </w:r>
      <w:r w:rsidRPr="00131B9D">
        <w:t>28</w:t>
      </w:r>
      <w:r w:rsidRPr="00131B9D">
        <w:t>日所進行的調查，美國玉米單產將創歷來次高，顯示</w:t>
      </w:r>
      <w:r w:rsidRPr="00131B9D">
        <w:t>6</w:t>
      </w:r>
      <w:r w:rsidRPr="00131B9D">
        <w:t>月下旬到</w:t>
      </w:r>
      <w:r w:rsidRPr="00131B9D">
        <w:t>7</w:t>
      </w:r>
      <w:r w:rsidRPr="00131B9D">
        <w:t>月中旬大降雨，對作物影響不如預期嚴重；而歐盟玉米主產區的高溫乾燥天氣則持續到</w:t>
      </w:r>
      <w:r w:rsidRPr="00131B9D">
        <w:t>8</w:t>
      </w:r>
      <w:r w:rsidRPr="00131B9D">
        <w:t>月份，歐盟農作物監測機構</w:t>
      </w:r>
      <w:r w:rsidRPr="00131B9D">
        <w:t>MARS</w:t>
      </w:r>
      <w:r w:rsidRPr="00131B9D">
        <w:t>在</w:t>
      </w:r>
      <w:r w:rsidRPr="00131B9D">
        <w:t>8</w:t>
      </w:r>
      <w:r w:rsidRPr="00131B9D">
        <w:t>月報告中，因主產區高溫乾燥天氣，連續第二個月調低歐盟玉米產量預估，然而歐盟最大玉米產國法國，其政府穀物機構</w:t>
      </w:r>
      <w:r w:rsidRPr="00131B9D">
        <w:t>FranceAgrMer</w:t>
      </w:r>
      <w:r w:rsidRPr="00131B9D">
        <w:t>於</w:t>
      </w:r>
      <w:r w:rsidRPr="00131B9D">
        <w:t>8</w:t>
      </w:r>
      <w:r w:rsidRPr="00131B9D">
        <w:t>月</w:t>
      </w:r>
      <w:r w:rsidRPr="00131B9D">
        <w:t>18</w:t>
      </w:r>
      <w:r w:rsidRPr="00131B9D">
        <w:t>日公佈前一週的玉米生長狀況，為</w:t>
      </w:r>
      <w:r w:rsidRPr="00131B9D">
        <w:t>55%</w:t>
      </w:r>
      <w:r w:rsidRPr="00131B9D">
        <w:t>或更佳，某種程度表示雖</w:t>
      </w:r>
      <w:r w:rsidRPr="00131B9D">
        <w:t>7</w:t>
      </w:r>
      <w:r w:rsidRPr="00131B9D">
        <w:t>、</w:t>
      </w:r>
      <w:r w:rsidRPr="00131B9D">
        <w:t>8</w:t>
      </w:r>
      <w:r w:rsidRPr="00131B9D">
        <w:t>月份受高溫乾燥氣候影響，但生長狀態漸趨穩定；巴西部分，巴西農業部所屬國家商</w:t>
      </w:r>
      <w:r w:rsidRPr="00131B9D">
        <w:lastRenderedPageBreak/>
        <w:t>品供應公司（</w:t>
      </w:r>
      <w:r w:rsidRPr="00131B9D">
        <w:t>Conab</w:t>
      </w:r>
      <w:r w:rsidRPr="00131B9D">
        <w:t>）報告表示，根據其在</w:t>
      </w:r>
      <w:r w:rsidRPr="00131B9D">
        <w:t>8</w:t>
      </w:r>
      <w:r w:rsidRPr="00131B9D">
        <w:t>月</w:t>
      </w:r>
      <w:r w:rsidRPr="00131B9D">
        <w:t>23</w:t>
      </w:r>
      <w:r w:rsidRPr="00131B9D">
        <w:t>日至</w:t>
      </w:r>
      <w:r w:rsidRPr="00131B9D">
        <w:t>8</w:t>
      </w:r>
      <w:r w:rsidRPr="00131B9D">
        <w:t>月</w:t>
      </w:r>
      <w:r w:rsidRPr="00131B9D">
        <w:t>29</w:t>
      </w:r>
      <w:r w:rsidRPr="00131B9D">
        <w:t>日所進行的調查，</w:t>
      </w:r>
      <w:r w:rsidRPr="00131B9D">
        <w:t>2014/15</w:t>
      </w:r>
      <w:r w:rsidRPr="00131B9D">
        <w:t>年度巴西糧食產量將較上年度的</w:t>
      </w:r>
      <w:r w:rsidRPr="00131B9D">
        <w:t>1.9362</w:t>
      </w:r>
      <w:r w:rsidRPr="00131B9D">
        <w:t>億噸增加</w:t>
      </w:r>
      <w:r w:rsidRPr="00131B9D">
        <w:t>1,590</w:t>
      </w:r>
      <w:r w:rsidRPr="00131B9D">
        <w:t>萬噸或</w:t>
      </w:r>
      <w:r w:rsidRPr="00131B9D">
        <w:t>8.2%</w:t>
      </w:r>
      <w:r w:rsidRPr="00131B9D">
        <w:t>達到創新高的</w:t>
      </w:r>
      <w:r w:rsidRPr="00131B9D">
        <w:t>2.095</w:t>
      </w:r>
      <w:r w:rsidRPr="00131B9D">
        <w:t>億噸，產量增長主要來自於二期玉米，預估產量將較上年度增加</w:t>
      </w:r>
      <w:r w:rsidRPr="00131B9D">
        <w:t>12.6%</w:t>
      </w:r>
      <w:r w:rsidRPr="00131B9D">
        <w:t>。而中國大陸也是全球玉米市場的關鍵影響因素之一，因中國大陸玉米產量比重約佔全球的四分之一，並且其</w:t>
      </w:r>
      <w:r w:rsidRPr="00131B9D">
        <w:t>2015/16</w:t>
      </w:r>
      <w:r w:rsidRPr="00131B9D">
        <w:t>年度的玉米期末庫存可能將佔全球一半。</w:t>
      </w:r>
      <w:r w:rsidRPr="00131B9D">
        <w:t>9</w:t>
      </w:r>
      <w:r w:rsidRPr="00131B9D">
        <w:t>月中旬過後，玉米進入收成季節，市場供應增加，然受到中國大陸購買大量美國黃豆消息帶動，預期中國大陸購買力提升，加上美國農業部</w:t>
      </w:r>
      <w:r w:rsidRPr="00131B9D">
        <w:t>9</w:t>
      </w:r>
      <w:r w:rsidRPr="00131B9D">
        <w:t>月</w:t>
      </w:r>
      <w:r w:rsidRPr="00131B9D">
        <w:t>30</w:t>
      </w:r>
      <w:r w:rsidRPr="00131B9D">
        <w:t>日公佈季度庫存報告顯示，玉米庫存略低於分析師平均預估，但為</w:t>
      </w:r>
      <w:r w:rsidRPr="00131B9D">
        <w:t>2006</w:t>
      </w:r>
      <w:r w:rsidRPr="00131B9D">
        <w:t>年以來最高水</w:t>
      </w:r>
      <w:r w:rsidR="00584C57" w:rsidRPr="00131B9D">
        <w:t>準</w:t>
      </w:r>
      <w:r w:rsidRPr="00131B9D">
        <w:t>，使玉米價格略有提升。</w:t>
      </w:r>
      <w:r w:rsidRPr="00131B9D">
        <w:t>10</w:t>
      </w:r>
      <w:r w:rsidRPr="00131B9D">
        <w:t>月份因美國農業帶氣候晴朗，有助秋收，而玉米良率增加也對價格造成壓力，且美國農業部</w:t>
      </w:r>
      <w:r w:rsidRPr="00131B9D">
        <w:t>10</w:t>
      </w:r>
      <w:r w:rsidRPr="00131B9D">
        <w:t>月</w:t>
      </w:r>
      <w:r w:rsidRPr="00131B9D">
        <w:t>9</w:t>
      </w:r>
      <w:r w:rsidRPr="00131B9D">
        <w:t>日供需預測月報公布之玉米產量亦高於市場預估，而原油價格持續走低使美國乙醇生產幾乎無利可圖，加上出口需求疲弱，並適逢玉米收割季和強勢美元，令市場價格承壓，然農戶出售步伐放緩限制了玉米價格跌幅。</w:t>
      </w:r>
      <w:r w:rsidRPr="00131B9D">
        <w:t>11</w:t>
      </w:r>
      <w:r w:rsidRPr="00131B9D">
        <w:t>月</w:t>
      </w:r>
      <w:r w:rsidRPr="00131B9D">
        <w:t>10</w:t>
      </w:r>
      <w:r w:rsidRPr="00131B9D">
        <w:t>日美國農業部月度報告中的庫存預估，因中國大陸對飼料需求的大幅減少而高於預期，此外產量也高於預期，令玉米價格跌至近兩個月低點。</w:t>
      </w:r>
    </w:p>
    <w:p w:rsidR="00F279F7" w:rsidRPr="00131B9D" w:rsidRDefault="00F279F7" w:rsidP="00F279F7">
      <w:pPr>
        <w:pStyle w:val="-"/>
        <w:spacing w:before="72" w:after="72"/>
        <w:ind w:firstLine="561"/>
      </w:pPr>
      <w:r w:rsidRPr="00131B9D">
        <w:rPr>
          <w:b/>
        </w:rPr>
        <w:t>需求國：</w:t>
      </w:r>
      <w:r w:rsidRPr="00131B9D">
        <w:t>依據美國農業部</w:t>
      </w:r>
      <w:r w:rsidRPr="00131B9D">
        <w:t>2015</w:t>
      </w:r>
      <w:r w:rsidRPr="00131B9D">
        <w:t>年</w:t>
      </w:r>
      <w:r w:rsidRPr="00131B9D">
        <w:t>11</w:t>
      </w:r>
      <w:r w:rsidRPr="00131B9D">
        <w:t>月</w:t>
      </w:r>
      <w:r w:rsidRPr="00131B9D">
        <w:t>10</w:t>
      </w:r>
      <w:r w:rsidRPr="00131B9D">
        <w:t>日發布的世界農業供需估計報告估計，全球</w:t>
      </w:r>
      <w:r w:rsidRPr="00131B9D">
        <w:t>2015/2016</w:t>
      </w:r>
      <w:r w:rsidRPr="00131B9D">
        <w:t>年玉米總需求量為</w:t>
      </w:r>
      <w:r w:rsidRPr="00131B9D">
        <w:t>971.16</w:t>
      </w:r>
      <w:r w:rsidRPr="00131B9D">
        <w:t>百萬公噸，其中飼料使用量為</w:t>
      </w:r>
      <w:r w:rsidRPr="00131B9D">
        <w:t>596.17</w:t>
      </w:r>
      <w:r w:rsidRPr="00131B9D">
        <w:t>百萬公噸；美國需求量為</w:t>
      </w:r>
      <w:r w:rsidRPr="00131B9D">
        <w:t>301.13</w:t>
      </w:r>
      <w:r w:rsidRPr="00131B9D">
        <w:t>百萬公噸、中國大陸需求量為</w:t>
      </w:r>
      <w:r w:rsidRPr="00131B9D">
        <w:t>214.00</w:t>
      </w:r>
      <w:r w:rsidRPr="00131B9D">
        <w:t>百萬公噸、歐盟需求量為</w:t>
      </w:r>
      <w:r w:rsidRPr="00131B9D">
        <w:t>75.50</w:t>
      </w:r>
      <w:r w:rsidRPr="00131B9D">
        <w:t>百萬公噸、巴西為</w:t>
      </w:r>
      <w:r w:rsidRPr="00131B9D">
        <w:t>59</w:t>
      </w:r>
      <w:r w:rsidRPr="00131B9D">
        <w:t>百萬公噸、東南亞為</w:t>
      </w:r>
      <w:r w:rsidRPr="00131B9D">
        <w:t>38.50</w:t>
      </w:r>
      <w:r w:rsidRPr="00131B9D">
        <w:t>百萬公噸、墨西哥需求量為</w:t>
      </w:r>
      <w:r w:rsidRPr="00131B9D">
        <w:t>34.30</w:t>
      </w:r>
      <w:r w:rsidRPr="00131B9D">
        <w:t>百萬公噸、</w:t>
      </w:r>
      <w:r w:rsidRPr="00131B9D">
        <w:t>FSU-12</w:t>
      </w:r>
      <w:r w:rsidRPr="00131B9D">
        <w:t>國需求量為</w:t>
      </w:r>
      <w:r w:rsidRPr="00131B9D">
        <w:t>21.61</w:t>
      </w:r>
      <w:r w:rsidRPr="00131B9D">
        <w:t>百萬公噸、埃及需求量為</w:t>
      </w:r>
      <w:r w:rsidRPr="00131B9D">
        <w:t>14.50</w:t>
      </w:r>
      <w:r w:rsidRPr="00131B9D">
        <w:t>百萬公噸、加拿大為</w:t>
      </w:r>
      <w:r w:rsidRPr="00131B9D">
        <w:t>13.35</w:t>
      </w:r>
      <w:r w:rsidRPr="00131B9D">
        <w:t>百萬公噸、日本需求量為</w:t>
      </w:r>
      <w:r w:rsidRPr="00131B9D">
        <w:t>14.70</w:t>
      </w:r>
      <w:r w:rsidRPr="00131B9D">
        <w:t>百萬公噸、南非需求量為</w:t>
      </w:r>
      <w:r w:rsidRPr="00131B9D">
        <w:t>11.40</w:t>
      </w:r>
      <w:r w:rsidRPr="00131B9D">
        <w:t>百萬公噸、烏克蘭為</w:t>
      </w:r>
      <w:r w:rsidRPr="00131B9D">
        <w:t>8.4</w:t>
      </w:r>
      <w:r w:rsidRPr="00131B9D">
        <w:t>百萬公噸、南韓需求量為</w:t>
      </w:r>
      <w:r w:rsidRPr="00131B9D">
        <w:t>10.10</w:t>
      </w:r>
      <w:r w:rsidRPr="00131B9D">
        <w:t>百萬公噸、阿根廷為</w:t>
      </w:r>
      <w:r w:rsidRPr="00131B9D">
        <w:t>10.00</w:t>
      </w:r>
      <w:r w:rsidRPr="00131B9D">
        <w:t>百萬公噸。主要進口國或區域為歐盟為</w:t>
      </w:r>
      <w:r w:rsidRPr="00131B9D">
        <w:t>16.00</w:t>
      </w:r>
      <w:r w:rsidRPr="00131B9D">
        <w:t>百萬公噸、日本為</w:t>
      </w:r>
      <w:r w:rsidRPr="00131B9D">
        <w:t>14.70</w:t>
      </w:r>
      <w:r w:rsidRPr="00131B9D">
        <w:t>百萬公噸、東南亞為</w:t>
      </w:r>
      <w:r w:rsidRPr="00131B9D">
        <w:t>10.70</w:t>
      </w:r>
      <w:r w:rsidRPr="00131B9D">
        <w:t>百萬公噸、墨西哥為</w:t>
      </w:r>
      <w:r w:rsidRPr="00131B9D">
        <w:t>10.50</w:t>
      </w:r>
      <w:r w:rsidRPr="00131B9D">
        <w:t>百萬公噸、南韓為</w:t>
      </w:r>
      <w:r w:rsidRPr="00131B9D">
        <w:t>10.00</w:t>
      </w:r>
      <w:r w:rsidRPr="00131B9D">
        <w:t>百萬公噸、埃及為</w:t>
      </w:r>
      <w:r w:rsidRPr="00131B9D">
        <w:lastRenderedPageBreak/>
        <w:t>8.00</w:t>
      </w:r>
      <w:r w:rsidRPr="00131B9D">
        <w:t>百萬公噸及中國大陸為</w:t>
      </w:r>
      <w:r w:rsidRPr="00131B9D">
        <w:t>3.00</w:t>
      </w:r>
      <w:r w:rsidRPr="00131B9D">
        <w:t>百萬公噸（如表</w:t>
      </w:r>
      <w:r w:rsidRPr="00131B9D">
        <w:t>3-4</w:t>
      </w:r>
      <w:r w:rsidRPr="00131B9D">
        <w:t>）。</w:t>
      </w:r>
    </w:p>
    <w:p w:rsidR="00127C79" w:rsidRPr="00131B9D" w:rsidRDefault="00127C79" w:rsidP="00127C79">
      <w:pPr>
        <w:pStyle w:val="-"/>
        <w:spacing w:before="72" w:after="72"/>
        <w:ind w:firstLine="560"/>
      </w:pPr>
      <w:r w:rsidRPr="00131B9D">
        <w:t>隨著國際玉米價格大幅下挫，中國大陸國內玉米價格和國際市場的價差進一步拉大，這使得全額關稅進口變得更加經濟可行，中國大陸</w:t>
      </w:r>
      <w:r w:rsidRPr="00131B9D">
        <w:t>4</w:t>
      </w:r>
      <w:r w:rsidRPr="00131B9D">
        <w:t>月玉米進口量為</w:t>
      </w:r>
      <w:r w:rsidRPr="00131B9D">
        <w:t>14</w:t>
      </w:r>
      <w:r w:rsidRPr="00131B9D">
        <w:t>萬公噸，較</w:t>
      </w:r>
      <w:r w:rsidRPr="00131B9D">
        <w:t>2014</w:t>
      </w:r>
      <w:r w:rsidRPr="00131B9D">
        <w:t>年同期增加</w:t>
      </w:r>
      <w:r w:rsidRPr="00131B9D">
        <w:t>53.3%</w:t>
      </w:r>
      <w:r w:rsidRPr="00131B9D">
        <w:t>，</w:t>
      </w:r>
      <w:r w:rsidRPr="00131B9D">
        <w:t>1-4</w:t>
      </w:r>
      <w:r w:rsidRPr="00131B9D">
        <w:t>月進口總量為</w:t>
      </w:r>
      <w:r w:rsidRPr="00131B9D">
        <w:t>137</w:t>
      </w:r>
      <w:r w:rsidRPr="00131B9D">
        <w:t>萬公噸，較去年同期增加</w:t>
      </w:r>
      <w:r w:rsidRPr="00131B9D">
        <w:t>8.1%</w:t>
      </w:r>
      <w:r w:rsidRPr="00131B9D">
        <w:t>。而</w:t>
      </w:r>
      <w:r w:rsidRPr="00131B9D">
        <w:t>FAO 5</w:t>
      </w:r>
      <w:r w:rsidRPr="00131B9D">
        <w:t>月表示，</w:t>
      </w:r>
      <w:r w:rsidRPr="00131B9D">
        <w:t>2015</w:t>
      </w:r>
      <w:r w:rsidRPr="00131B9D">
        <w:t>年生產不佳將會導致非洲南部的進口量增加，估計</w:t>
      </w:r>
      <w:r w:rsidRPr="00131B9D">
        <w:t>2015/2016</w:t>
      </w:r>
      <w:r w:rsidRPr="00131B9D">
        <w:t>年度玉米進口總量將增至約</w:t>
      </w:r>
      <w:r w:rsidRPr="00131B9D">
        <w:t>1.8</w:t>
      </w:r>
      <w:r w:rsidRPr="00131B9D">
        <w:t>百萬公噸，比</w:t>
      </w:r>
      <w:r w:rsidRPr="00131B9D">
        <w:t>2014/2015</w:t>
      </w:r>
      <w:r w:rsidRPr="00131B9D">
        <w:t>年度的平均進口量高三分之一，到了</w:t>
      </w:r>
      <w:r w:rsidRPr="00131B9D">
        <w:t>11</w:t>
      </w:r>
      <w:r w:rsidRPr="00131B9D">
        <w:t>月美國農業部的供需報告表示，因為全球第</w:t>
      </w:r>
      <w:r w:rsidRPr="00131B9D">
        <w:t>2</w:t>
      </w:r>
      <w:r w:rsidRPr="00131B9D">
        <w:t>大玉米消費國中國大陸對玉米的飼料需求減少，且歐盟在食物、種子、生質燃料及飼料方面對玉米的需求亦減少，故全球</w:t>
      </w:r>
      <w:r w:rsidRPr="00131B9D">
        <w:t>2015/16</w:t>
      </w:r>
      <w:r w:rsidRPr="00131B9D">
        <w:t>年度玉米消費量將減少。</w:t>
      </w:r>
    </w:p>
    <w:p w:rsidR="00C665AA" w:rsidRPr="00131B9D" w:rsidRDefault="00C665AA" w:rsidP="00C665AA"/>
    <w:p w:rsidR="00F279F7" w:rsidRPr="00131B9D" w:rsidRDefault="00F279F7" w:rsidP="00EE753F">
      <w:pPr>
        <w:pStyle w:val="-"/>
        <w:spacing w:beforeLines="0" w:after="72"/>
        <w:ind w:firstLineChars="0" w:firstLine="0"/>
      </w:pPr>
      <w:r w:rsidRPr="00131B9D">
        <w:rPr>
          <w:b/>
        </w:rPr>
        <w:t>3.</w:t>
      </w:r>
      <w:r w:rsidRPr="00131B9D">
        <w:rPr>
          <w:b/>
        </w:rPr>
        <w:t xml:space="preserve">　</w:t>
      </w:r>
      <w:r w:rsidRPr="00131B9D">
        <w:rPr>
          <w:b/>
        </w:rPr>
        <w:t>2016</w:t>
      </w:r>
      <w:r w:rsidRPr="00131B9D">
        <w:rPr>
          <w:b/>
        </w:rPr>
        <w:t>年展望</w:t>
      </w:r>
    </w:p>
    <w:p w:rsidR="00F279F7" w:rsidRPr="00131B9D" w:rsidRDefault="00F279F7" w:rsidP="00F279F7">
      <w:pPr>
        <w:pStyle w:val="-0"/>
        <w:spacing w:before="180" w:after="180" w:line="480" w:lineRule="exact"/>
        <w:ind w:firstLineChars="0" w:firstLine="480"/>
      </w:pPr>
      <w:r w:rsidRPr="00131B9D">
        <w:t>荷蘭農業合作銀行（</w:t>
      </w:r>
      <w:r w:rsidRPr="00131B9D">
        <w:t>Rabobank</w:t>
      </w:r>
      <w:r w:rsidRPr="00131B9D">
        <w:t>）</w:t>
      </w:r>
      <w:r w:rsidRPr="00131B9D">
        <w:t>10</w:t>
      </w:r>
      <w:r w:rsidRPr="00131B9D">
        <w:t>月報告表示，因玉米價格過低令美國農戶惜售，更多收成的玉米進入穀倉而非市場，對玉米價格構成支撐，預計明年第二季玉米平均價格漲至每英斗</w:t>
      </w:r>
      <w:r w:rsidRPr="00131B9D">
        <w:t>4.2</w:t>
      </w:r>
      <w:r w:rsidRPr="00131B9D">
        <w:t>美元；而麥格理銀行（</w:t>
      </w:r>
      <w:r w:rsidRPr="00131B9D">
        <w:t>Macquarie Bank</w:t>
      </w:r>
      <w:r w:rsidRPr="00131B9D">
        <w:t>）</w:t>
      </w:r>
      <w:r w:rsidRPr="00131B9D">
        <w:t>10</w:t>
      </w:r>
      <w:r w:rsidRPr="00131B9D">
        <w:t>月中旬報告亦指出玉米需求強勁，而北美和南美玉米播種面積、單產均減少，此外因</w:t>
      </w:r>
      <w:r w:rsidRPr="00131B9D">
        <w:t>2014/15</w:t>
      </w:r>
      <w:r w:rsidRPr="00131B9D">
        <w:t>年度結轉的庫存逐漸消耗，進入</w:t>
      </w:r>
      <w:r w:rsidRPr="00131B9D">
        <w:t>2016</w:t>
      </w:r>
      <w:r w:rsidRPr="00131B9D">
        <w:t>年後，供需形勢逐漸吃緊，預計未來兩年玉米價格持續走強。值得注意的是，聖嬰現象仍是未來影響價格的不確定因素，根據花旗分析</w:t>
      </w:r>
      <w:r w:rsidRPr="00131B9D">
        <w:t>1970</w:t>
      </w:r>
      <w:r w:rsidRPr="00131B9D">
        <w:t>年以來的聖嬰週期發現，聖嬰現象可能導致農產品價格上漲達</w:t>
      </w:r>
      <w:r w:rsidRPr="00131B9D">
        <w:t>10%-25%</w:t>
      </w:r>
      <w:r w:rsidRPr="00131B9D">
        <w:t>，並且推高零售食品價格，有待持續觀察。</w:t>
      </w:r>
    </w:p>
    <w:p w:rsidR="00C665AA" w:rsidRPr="00131B9D" w:rsidRDefault="00C665AA" w:rsidP="00C665AA">
      <w:pPr>
        <w:sectPr w:rsidR="00C665AA"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aff1"/>
        <w:spacing w:line="0" w:lineRule="atLeast"/>
        <w:rPr>
          <w:b w:val="0"/>
          <w:szCs w:val="28"/>
        </w:rPr>
      </w:pPr>
      <w:bookmarkStart w:id="102" w:name="_Ref375206620"/>
      <w:bookmarkStart w:id="103" w:name="_Toc365015462"/>
      <w:bookmarkStart w:id="104" w:name="_Toc373682410"/>
      <w:bookmarkStart w:id="105" w:name="_Toc375298451"/>
      <w:bookmarkStart w:id="106" w:name="_Toc398909988"/>
      <w:bookmarkStart w:id="107" w:name="_Toc439162993"/>
      <w:r w:rsidRPr="00131B9D">
        <w:rPr>
          <w:szCs w:val="28"/>
        </w:rPr>
        <w:lastRenderedPageBreak/>
        <w:t>表</w:t>
      </w:r>
      <w:r w:rsidRPr="00131B9D">
        <w:rPr>
          <w:szCs w:val="28"/>
        </w:rPr>
        <w:t xml:space="preserve">3- </w:t>
      </w:r>
      <w:r w:rsidRPr="00131B9D">
        <w:rPr>
          <w:b w:val="0"/>
          <w:szCs w:val="28"/>
        </w:rPr>
        <w:fldChar w:fldCharType="begin"/>
      </w:r>
      <w:r w:rsidRPr="00131B9D">
        <w:rPr>
          <w:szCs w:val="28"/>
        </w:rPr>
        <w:instrText xml:space="preserve"> SEQ </w:instrText>
      </w:r>
      <w:r w:rsidRPr="00131B9D">
        <w:rPr>
          <w:szCs w:val="28"/>
        </w:rPr>
        <w:instrText>表</w:instrText>
      </w:r>
      <w:r w:rsidRPr="00131B9D">
        <w:rPr>
          <w:szCs w:val="28"/>
        </w:rPr>
        <w:instrText xml:space="preserve">3- \* ARABIC </w:instrText>
      </w:r>
      <w:r w:rsidRPr="00131B9D">
        <w:rPr>
          <w:b w:val="0"/>
          <w:szCs w:val="28"/>
        </w:rPr>
        <w:fldChar w:fldCharType="separate"/>
      </w:r>
      <w:r w:rsidR="001641D3">
        <w:rPr>
          <w:noProof/>
          <w:szCs w:val="28"/>
        </w:rPr>
        <w:t>4</w:t>
      </w:r>
      <w:r w:rsidRPr="00131B9D">
        <w:rPr>
          <w:b w:val="0"/>
          <w:szCs w:val="28"/>
        </w:rPr>
        <w:fldChar w:fldCharType="end"/>
      </w:r>
      <w:r w:rsidRPr="00131B9D">
        <w:rPr>
          <w:szCs w:val="28"/>
        </w:rPr>
        <w:t xml:space="preserve">　全球玉米供需概況</w:t>
      </w:r>
      <w:bookmarkEnd w:id="102"/>
      <w:bookmarkEnd w:id="103"/>
      <w:bookmarkEnd w:id="104"/>
      <w:bookmarkEnd w:id="105"/>
      <w:bookmarkEnd w:id="106"/>
      <w:bookmarkEnd w:id="107"/>
    </w:p>
    <w:tbl>
      <w:tblPr>
        <w:tblW w:w="8640" w:type="dxa"/>
        <w:tblInd w:w="13" w:type="dxa"/>
        <w:tblCellMar>
          <w:left w:w="28" w:type="dxa"/>
          <w:right w:w="28" w:type="dxa"/>
        </w:tblCellMar>
        <w:tblLook w:val="00A0" w:firstRow="1" w:lastRow="0" w:firstColumn="1" w:lastColumn="0" w:noHBand="0" w:noVBand="0"/>
      </w:tblPr>
      <w:tblGrid>
        <w:gridCol w:w="487"/>
        <w:gridCol w:w="8"/>
        <w:gridCol w:w="2015"/>
        <w:gridCol w:w="849"/>
        <w:gridCol w:w="992"/>
        <w:gridCol w:w="849"/>
        <w:gridCol w:w="850"/>
        <w:gridCol w:w="844"/>
        <w:gridCol w:w="826"/>
        <w:gridCol w:w="920"/>
      </w:tblGrid>
      <w:tr w:rsidR="00F279F7" w:rsidRPr="00131B9D" w:rsidTr="00C665AA">
        <w:trPr>
          <w:trHeight w:val="339"/>
        </w:trPr>
        <w:tc>
          <w:tcPr>
            <w:tcW w:w="2510" w:type="dxa"/>
            <w:gridSpan w:val="3"/>
            <w:vMerge w:val="restart"/>
            <w:tcBorders>
              <w:top w:val="single" w:sz="8" w:space="0" w:color="auto"/>
              <w:left w:val="single" w:sz="8" w:space="0" w:color="auto"/>
              <w:bottom w:val="single" w:sz="8" w:space="0" w:color="000000"/>
              <w:right w:val="single" w:sz="8" w:space="0" w:color="000000"/>
            </w:tcBorders>
            <w:vAlign w:val="center"/>
          </w:tcPr>
          <w:bookmarkEnd w:id="95"/>
          <w:p w:rsidR="00F279F7" w:rsidRPr="00131B9D" w:rsidRDefault="00F279F7" w:rsidP="00F279F7">
            <w:pPr>
              <w:widowControl/>
              <w:spacing w:line="240" w:lineRule="exact"/>
              <w:jc w:val="center"/>
              <w:rPr>
                <w:rFonts w:eastAsia="標楷體"/>
                <w:kern w:val="0"/>
              </w:rPr>
            </w:pPr>
            <w:r w:rsidRPr="00131B9D">
              <w:rPr>
                <w:rFonts w:eastAsia="標楷體"/>
                <w:kern w:val="0"/>
              </w:rPr>
              <w:t>（百萬公噸）</w:t>
            </w:r>
          </w:p>
        </w:tc>
        <w:tc>
          <w:tcPr>
            <w:tcW w:w="2690" w:type="dxa"/>
            <w:gridSpan w:val="3"/>
            <w:tcBorders>
              <w:top w:val="single" w:sz="8" w:space="0" w:color="auto"/>
              <w:left w:val="nil"/>
              <w:bottom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供給</w:t>
            </w:r>
          </w:p>
        </w:tc>
        <w:tc>
          <w:tcPr>
            <w:tcW w:w="2520" w:type="dxa"/>
            <w:gridSpan w:val="3"/>
            <w:tcBorders>
              <w:top w:val="single" w:sz="8" w:space="0" w:color="auto"/>
              <w:left w:val="nil"/>
              <w:bottom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需求</w:t>
            </w:r>
          </w:p>
        </w:tc>
        <w:tc>
          <w:tcPr>
            <w:tcW w:w="920" w:type="dxa"/>
            <w:vMerge w:val="restart"/>
            <w:tcBorders>
              <w:top w:val="single" w:sz="8" w:space="0" w:color="auto"/>
              <w:left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p w:rsidR="00F279F7" w:rsidRPr="00131B9D" w:rsidRDefault="00F279F7" w:rsidP="00F279F7">
            <w:pPr>
              <w:spacing w:line="240" w:lineRule="exact"/>
              <w:jc w:val="center"/>
              <w:rPr>
                <w:rFonts w:eastAsia="標楷體"/>
                <w:kern w:val="0"/>
              </w:rPr>
            </w:pPr>
            <w:r w:rsidRPr="00131B9D">
              <w:rPr>
                <w:rFonts w:eastAsia="標楷體"/>
                <w:kern w:val="0"/>
              </w:rPr>
              <w:t>變化</w:t>
            </w:r>
          </w:p>
        </w:tc>
      </w:tr>
      <w:tr w:rsidR="00F279F7" w:rsidRPr="00131B9D" w:rsidTr="00C665AA">
        <w:trPr>
          <w:trHeight w:val="336"/>
        </w:trPr>
        <w:tc>
          <w:tcPr>
            <w:tcW w:w="2510" w:type="dxa"/>
            <w:gridSpan w:val="3"/>
            <w:vMerge/>
            <w:tcBorders>
              <w:top w:val="single" w:sz="8" w:space="0" w:color="auto"/>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849" w:type="dxa"/>
            <w:tcBorders>
              <w:top w:val="nil"/>
              <w:left w:val="nil"/>
              <w:bottom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期初</w:t>
            </w:r>
          </w:p>
        </w:tc>
        <w:tc>
          <w:tcPr>
            <w:tcW w:w="992"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生產</w:t>
            </w:r>
          </w:p>
        </w:tc>
        <w:tc>
          <w:tcPr>
            <w:tcW w:w="849"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進口</w:t>
            </w:r>
          </w:p>
        </w:tc>
        <w:tc>
          <w:tcPr>
            <w:tcW w:w="850"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國內</w:t>
            </w:r>
          </w:p>
        </w:tc>
        <w:tc>
          <w:tcPr>
            <w:tcW w:w="844"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出口</w:t>
            </w:r>
          </w:p>
        </w:tc>
        <w:tc>
          <w:tcPr>
            <w:tcW w:w="826" w:type="dxa"/>
            <w:tcBorders>
              <w:top w:val="nil"/>
              <w:left w:val="nil"/>
              <w:bottom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期末</w:t>
            </w:r>
          </w:p>
        </w:tc>
        <w:tc>
          <w:tcPr>
            <w:tcW w:w="920" w:type="dxa"/>
            <w:vMerge/>
            <w:tcBorders>
              <w:left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r>
      <w:tr w:rsidR="00F279F7" w:rsidRPr="00131B9D" w:rsidTr="00C665AA">
        <w:trPr>
          <w:trHeight w:val="53"/>
        </w:trPr>
        <w:tc>
          <w:tcPr>
            <w:tcW w:w="2510" w:type="dxa"/>
            <w:gridSpan w:val="3"/>
            <w:vMerge/>
            <w:tcBorders>
              <w:top w:val="single" w:sz="8" w:space="0" w:color="auto"/>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849" w:type="dxa"/>
            <w:tcBorders>
              <w:top w:val="nil"/>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tc>
        <w:tc>
          <w:tcPr>
            <w:tcW w:w="992"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49"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50"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44"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26" w:type="dxa"/>
            <w:tcBorders>
              <w:top w:val="nil"/>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tc>
        <w:tc>
          <w:tcPr>
            <w:tcW w:w="920" w:type="dxa"/>
            <w:vMerge/>
            <w:tcBorders>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r>
      <w:tr w:rsidR="00F279F7" w:rsidRPr="00131B9D" w:rsidTr="00C665AA">
        <w:trPr>
          <w:trHeight w:val="54"/>
        </w:trPr>
        <w:tc>
          <w:tcPr>
            <w:tcW w:w="487"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全</w:t>
            </w:r>
          </w:p>
          <w:p w:rsidR="00F279F7" w:rsidRPr="00131B9D" w:rsidRDefault="00F279F7" w:rsidP="00F279F7">
            <w:pPr>
              <w:widowControl/>
              <w:spacing w:line="240" w:lineRule="exact"/>
              <w:jc w:val="center"/>
              <w:rPr>
                <w:rFonts w:eastAsia="標楷體"/>
                <w:kern w:val="0"/>
              </w:rPr>
            </w:pPr>
            <w:r w:rsidRPr="00131B9D">
              <w:rPr>
                <w:rFonts w:eastAsia="標楷體"/>
                <w:kern w:val="0"/>
              </w:rPr>
              <w:t>球</w:t>
            </w: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132.9</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991.43</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123.94</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949.46</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131.1</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174.88</w:t>
            </w:r>
          </w:p>
        </w:tc>
        <w:tc>
          <w:tcPr>
            <w:tcW w:w="920" w:type="dxa"/>
            <w:tcBorders>
              <w:top w:val="nil"/>
              <w:left w:val="nil"/>
              <w:bottom w:val="single" w:sz="8" w:space="0" w:color="000000"/>
              <w:right w:val="single" w:sz="8" w:space="0" w:color="auto"/>
            </w:tcBorders>
            <w:vAlign w:val="center"/>
          </w:tcPr>
          <w:p w:rsidR="00F279F7" w:rsidRPr="00131B9D" w:rsidRDefault="00F279F7" w:rsidP="00F279F7">
            <w:pPr>
              <w:snapToGrid w:val="0"/>
              <w:jc w:val="center"/>
              <w:rPr>
                <w:color w:val="000000"/>
                <w:sz w:val="23"/>
                <w:szCs w:val="23"/>
              </w:rPr>
            </w:pPr>
            <w:r w:rsidRPr="00131B9D">
              <w:rPr>
                <w:color w:val="000000"/>
                <w:sz w:val="23"/>
                <w:szCs w:val="23"/>
              </w:rPr>
              <w:t>-</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174.88</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1008.79</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121.7</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975.46</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135.8</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208.21</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31.59%</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196.03</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972.6</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123.31</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980.79</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121.9</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187.83</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12.09%</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208.21</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974.87</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123.51</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971.16</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119.3</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sz w:val="23"/>
                <w:szCs w:val="23"/>
              </w:rPr>
            </w:pPr>
            <w:r w:rsidRPr="00131B9D">
              <w:rPr>
                <w:sz w:val="23"/>
                <w:szCs w:val="23"/>
              </w:rPr>
              <w:t>211.91</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19.06%</w:t>
            </w:r>
          </w:p>
        </w:tc>
      </w:tr>
      <w:tr w:rsidR="00F279F7" w:rsidRPr="00131B9D" w:rsidTr="00F279F7">
        <w:trPr>
          <w:trHeight w:val="54"/>
        </w:trPr>
        <w:tc>
          <w:tcPr>
            <w:tcW w:w="8640" w:type="dxa"/>
            <w:gridSpan w:val="10"/>
            <w:tcBorders>
              <w:top w:val="single" w:sz="8" w:space="0" w:color="auto"/>
              <w:left w:val="single" w:sz="8" w:space="0" w:color="auto"/>
              <w:bottom w:val="single" w:sz="8" w:space="0" w:color="auto"/>
              <w:right w:val="single" w:sz="8" w:space="0" w:color="000000"/>
            </w:tcBorders>
            <w:vAlign w:val="center"/>
          </w:tcPr>
          <w:p w:rsidR="00F279F7" w:rsidRPr="00131B9D" w:rsidRDefault="00F279F7" w:rsidP="00F279F7">
            <w:pPr>
              <w:widowControl/>
              <w:adjustRightInd w:val="0"/>
              <w:snapToGrid w:val="0"/>
              <w:spacing w:beforeLines="10" w:before="36" w:afterLines="10" w:after="36"/>
              <w:jc w:val="center"/>
              <w:rPr>
                <w:rFonts w:eastAsia="標楷體"/>
                <w:b/>
                <w:bCs/>
                <w:kern w:val="0"/>
              </w:rPr>
            </w:pPr>
            <w:r w:rsidRPr="00131B9D">
              <w:rPr>
                <w:rFonts w:eastAsia="標楷體"/>
                <w:b/>
                <w:kern w:val="0"/>
                <w:sz w:val="23"/>
                <w:szCs w:val="23"/>
              </w:rPr>
              <w:t>主要供給國</w:t>
            </w:r>
          </w:p>
        </w:tc>
      </w:tr>
      <w:tr w:rsidR="00F279F7" w:rsidRPr="00131B9D" w:rsidTr="00C665AA">
        <w:trPr>
          <w:trHeight w:val="54"/>
        </w:trPr>
        <w:tc>
          <w:tcPr>
            <w:tcW w:w="487"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美</w:t>
            </w:r>
          </w:p>
          <w:p w:rsidR="00F279F7" w:rsidRPr="00131B9D" w:rsidRDefault="00F279F7" w:rsidP="00F279F7">
            <w:pPr>
              <w:widowControl/>
              <w:spacing w:line="240" w:lineRule="exact"/>
              <w:jc w:val="center"/>
              <w:rPr>
                <w:rFonts w:eastAsia="標楷體"/>
                <w:kern w:val="0"/>
              </w:rPr>
            </w:pPr>
            <w:r w:rsidRPr="00131B9D">
              <w:rPr>
                <w:rFonts w:eastAsia="標楷體"/>
                <w:kern w:val="0"/>
              </w:rPr>
              <w:t>國</w:t>
            </w: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20.86</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351.27</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0.91</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292.97</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48.78</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31.29</w:t>
            </w:r>
          </w:p>
        </w:tc>
        <w:tc>
          <w:tcPr>
            <w:tcW w:w="920" w:type="dxa"/>
            <w:tcBorders>
              <w:top w:val="nil"/>
              <w:left w:val="nil"/>
              <w:bottom w:val="single" w:sz="8" w:space="0" w:color="000000"/>
              <w:right w:val="single" w:sz="8" w:space="0" w:color="auto"/>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31.29</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361.09</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0.8</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301.85</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47.36</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43.98</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50.00%</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43.98</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344.31</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0.76</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302.4</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46.99</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39.66</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40.56%</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43.98</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346.82</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0.76</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301.13</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45.72</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44.7</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40.56%</w:t>
            </w:r>
          </w:p>
        </w:tc>
      </w:tr>
      <w:tr w:rsidR="00F279F7" w:rsidRPr="00131B9D" w:rsidTr="00C665AA">
        <w:trPr>
          <w:trHeight w:val="54"/>
        </w:trPr>
        <w:tc>
          <w:tcPr>
            <w:tcW w:w="487"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巴</w:t>
            </w:r>
          </w:p>
          <w:p w:rsidR="00F279F7" w:rsidRPr="00131B9D" w:rsidRDefault="00F279F7" w:rsidP="00F279F7">
            <w:pPr>
              <w:widowControl/>
              <w:spacing w:line="240" w:lineRule="exact"/>
              <w:jc w:val="center"/>
              <w:rPr>
                <w:rFonts w:eastAsia="標楷體"/>
                <w:kern w:val="0"/>
              </w:rPr>
            </w:pPr>
            <w:r w:rsidRPr="00131B9D">
              <w:rPr>
                <w:rFonts w:eastAsia="標楷體"/>
                <w:kern w:val="0"/>
              </w:rPr>
              <w:t>西</w:t>
            </w: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9.15</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80</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0.79</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55</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20.97</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13.97</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13.97</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85</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0.6</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57</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31</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11.57</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52.68%</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18.57</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80</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0.6</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59</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25</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15.17</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32.93%</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11.57</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81.5</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0.6</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59</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25</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9.67</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-17.18%</w:t>
            </w:r>
          </w:p>
        </w:tc>
      </w:tr>
      <w:tr w:rsidR="00F279F7" w:rsidRPr="00131B9D" w:rsidTr="00C665AA">
        <w:trPr>
          <w:trHeight w:val="54"/>
        </w:trPr>
        <w:tc>
          <w:tcPr>
            <w:tcW w:w="487"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阿根</w:t>
            </w:r>
          </w:p>
          <w:p w:rsidR="00F279F7" w:rsidRPr="00131B9D" w:rsidRDefault="00F279F7" w:rsidP="00F279F7">
            <w:pPr>
              <w:widowControl/>
              <w:spacing w:line="240" w:lineRule="exact"/>
              <w:jc w:val="center"/>
              <w:rPr>
                <w:rFonts w:eastAsia="標楷體"/>
                <w:kern w:val="0"/>
              </w:rPr>
            </w:pPr>
            <w:r w:rsidRPr="00131B9D">
              <w:rPr>
                <w:rFonts w:eastAsia="標楷體"/>
                <w:kern w:val="0"/>
              </w:rPr>
              <w:t>廷</w:t>
            </w: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1.31</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26</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8.8</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17.1</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1.41</w:t>
            </w:r>
          </w:p>
        </w:tc>
        <w:tc>
          <w:tcPr>
            <w:tcW w:w="920" w:type="dxa"/>
            <w:tcBorders>
              <w:top w:val="nil"/>
              <w:left w:val="nil"/>
              <w:bottom w:val="single" w:sz="8" w:space="0" w:color="000000"/>
              <w:right w:val="single" w:sz="8" w:space="0" w:color="auto"/>
            </w:tcBorders>
            <w:vAlign w:val="center"/>
          </w:tcPr>
          <w:p w:rsidR="00F279F7" w:rsidRPr="00131B9D" w:rsidRDefault="00F279F7" w:rsidP="00F279F7">
            <w:pPr>
              <w:adjustRightInd w:val="0"/>
              <w:snapToGrid w:val="0"/>
              <w:jc w:val="center"/>
              <w:rPr>
                <w:sz w:val="23"/>
                <w:szCs w:val="23"/>
              </w:rPr>
            </w:pPr>
            <w:r w:rsidRPr="00131B9D">
              <w:rPr>
                <w:sz w:val="23"/>
                <w:szCs w:val="23"/>
              </w:rPr>
              <w:t>-</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1.41</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26.5</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0.01</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9.4</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17</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1.51</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7.63%</w:t>
            </w:r>
          </w:p>
        </w:tc>
      </w:tr>
      <w:tr w:rsidR="00F279F7" w:rsidRPr="00131B9D" w:rsidTr="00C665AA">
        <w:trPr>
          <w:trHeight w:val="54"/>
        </w:trPr>
        <w:tc>
          <w:tcPr>
            <w:tcW w:w="487"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1.51</w:t>
            </w:r>
          </w:p>
        </w:tc>
        <w:tc>
          <w:tcPr>
            <w:tcW w:w="992"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24</w:t>
            </w:r>
          </w:p>
        </w:tc>
        <w:tc>
          <w:tcPr>
            <w:tcW w:w="84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0.01</w:t>
            </w:r>
          </w:p>
        </w:tc>
        <w:tc>
          <w:tcPr>
            <w:tcW w:w="85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w:t>
            </w:r>
          </w:p>
        </w:tc>
        <w:tc>
          <w:tcPr>
            <w:tcW w:w="844"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14.5</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1.02</w:t>
            </w:r>
          </w:p>
        </w:tc>
        <w:tc>
          <w:tcPr>
            <w:tcW w:w="920"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7.09%</w:t>
            </w:r>
          </w:p>
        </w:tc>
      </w:tr>
      <w:tr w:rsidR="00F279F7" w:rsidRPr="00131B9D" w:rsidTr="00C665AA">
        <w:trPr>
          <w:trHeight w:val="54"/>
        </w:trPr>
        <w:tc>
          <w:tcPr>
            <w:tcW w:w="487" w:type="dxa"/>
            <w:vMerge/>
            <w:tcBorders>
              <w:top w:val="nil"/>
              <w:left w:val="single" w:sz="8" w:space="0" w:color="auto"/>
              <w:bottom w:val="single" w:sz="4"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4" w:space="0" w:color="auto"/>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4"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1.51</w:t>
            </w:r>
          </w:p>
        </w:tc>
        <w:tc>
          <w:tcPr>
            <w:tcW w:w="992" w:type="dxa"/>
            <w:tcBorders>
              <w:top w:val="nil"/>
              <w:left w:val="nil"/>
              <w:bottom w:val="single" w:sz="4"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25.6</w:t>
            </w:r>
          </w:p>
        </w:tc>
        <w:tc>
          <w:tcPr>
            <w:tcW w:w="849" w:type="dxa"/>
            <w:tcBorders>
              <w:top w:val="nil"/>
              <w:left w:val="nil"/>
              <w:bottom w:val="single" w:sz="4"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0.01</w:t>
            </w:r>
          </w:p>
        </w:tc>
        <w:tc>
          <w:tcPr>
            <w:tcW w:w="850" w:type="dxa"/>
            <w:tcBorders>
              <w:top w:val="nil"/>
              <w:left w:val="nil"/>
              <w:bottom w:val="single" w:sz="4"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10</w:t>
            </w:r>
          </w:p>
        </w:tc>
        <w:tc>
          <w:tcPr>
            <w:tcW w:w="844" w:type="dxa"/>
            <w:tcBorders>
              <w:top w:val="nil"/>
              <w:left w:val="nil"/>
              <w:bottom w:val="single" w:sz="4"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16</w:t>
            </w:r>
          </w:p>
        </w:tc>
        <w:tc>
          <w:tcPr>
            <w:tcW w:w="826" w:type="dxa"/>
            <w:tcBorders>
              <w:top w:val="nil"/>
              <w:left w:val="nil"/>
              <w:bottom w:val="single" w:sz="4"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1.12</w:t>
            </w:r>
          </w:p>
        </w:tc>
        <w:tc>
          <w:tcPr>
            <w:tcW w:w="920" w:type="dxa"/>
            <w:tcBorders>
              <w:top w:val="nil"/>
              <w:left w:val="nil"/>
              <w:bottom w:val="single" w:sz="4" w:space="0" w:color="auto"/>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7.09%</w:t>
            </w:r>
          </w:p>
        </w:tc>
      </w:tr>
      <w:tr w:rsidR="00F279F7" w:rsidRPr="00131B9D" w:rsidTr="00F279F7">
        <w:trPr>
          <w:trHeight w:val="54"/>
        </w:trPr>
        <w:tc>
          <w:tcPr>
            <w:tcW w:w="8640" w:type="dxa"/>
            <w:gridSpan w:val="10"/>
            <w:tcBorders>
              <w:top w:val="single" w:sz="4" w:space="0" w:color="auto"/>
              <w:left w:val="single" w:sz="4" w:space="0" w:color="auto"/>
              <w:bottom w:val="single" w:sz="4" w:space="0" w:color="auto"/>
              <w:right w:val="single" w:sz="4" w:space="0" w:color="auto"/>
            </w:tcBorders>
            <w:vAlign w:val="center"/>
          </w:tcPr>
          <w:p w:rsidR="00F279F7" w:rsidRPr="00131B9D" w:rsidRDefault="00F279F7" w:rsidP="00F279F7">
            <w:pPr>
              <w:adjustRightInd w:val="0"/>
              <w:snapToGrid w:val="0"/>
              <w:jc w:val="center"/>
              <w:rPr>
                <w:sz w:val="23"/>
                <w:szCs w:val="23"/>
              </w:rPr>
            </w:pPr>
            <w:r w:rsidRPr="00131B9D">
              <w:rPr>
                <w:rFonts w:eastAsia="標楷體"/>
                <w:b/>
                <w:kern w:val="0"/>
                <w:sz w:val="23"/>
                <w:szCs w:val="23"/>
              </w:rPr>
              <w:t>主要需求國</w:t>
            </w:r>
          </w:p>
        </w:tc>
      </w:tr>
      <w:tr w:rsidR="00F279F7" w:rsidRPr="00131B9D" w:rsidTr="00C665AA">
        <w:trPr>
          <w:trHeight w:val="54"/>
        </w:trPr>
        <w:tc>
          <w:tcPr>
            <w:tcW w:w="487" w:type="dxa"/>
            <w:vMerge w:val="restart"/>
            <w:tcBorders>
              <w:top w:val="single" w:sz="4" w:space="0" w:color="auto"/>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中國大陸</w:t>
            </w:r>
          </w:p>
        </w:tc>
        <w:tc>
          <w:tcPr>
            <w:tcW w:w="2023" w:type="dxa"/>
            <w:gridSpan w:val="2"/>
            <w:tcBorders>
              <w:top w:val="single" w:sz="4" w:space="0" w:color="auto"/>
              <w:left w:val="nil"/>
              <w:bottom w:val="single" w:sz="8" w:space="0" w:color="auto"/>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2013/14</w:t>
            </w:r>
          </w:p>
        </w:tc>
        <w:tc>
          <w:tcPr>
            <w:tcW w:w="849" w:type="dxa"/>
            <w:tcBorders>
              <w:top w:val="single" w:sz="4" w:space="0" w:color="auto"/>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67.57</w:t>
            </w:r>
          </w:p>
        </w:tc>
        <w:tc>
          <w:tcPr>
            <w:tcW w:w="992" w:type="dxa"/>
            <w:tcBorders>
              <w:top w:val="single" w:sz="4" w:space="0" w:color="auto"/>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218.49</w:t>
            </w:r>
          </w:p>
        </w:tc>
        <w:tc>
          <w:tcPr>
            <w:tcW w:w="849" w:type="dxa"/>
            <w:tcBorders>
              <w:top w:val="single" w:sz="4" w:space="0" w:color="auto"/>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3.28</w:t>
            </w:r>
          </w:p>
        </w:tc>
        <w:tc>
          <w:tcPr>
            <w:tcW w:w="850" w:type="dxa"/>
            <w:tcBorders>
              <w:top w:val="single" w:sz="4" w:space="0" w:color="auto"/>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208</w:t>
            </w:r>
          </w:p>
        </w:tc>
        <w:tc>
          <w:tcPr>
            <w:tcW w:w="844" w:type="dxa"/>
            <w:tcBorders>
              <w:top w:val="single" w:sz="4" w:space="0" w:color="auto"/>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0.02</w:t>
            </w:r>
          </w:p>
        </w:tc>
        <w:tc>
          <w:tcPr>
            <w:tcW w:w="826" w:type="dxa"/>
            <w:tcBorders>
              <w:top w:val="single" w:sz="4" w:space="0" w:color="auto"/>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81.32</w:t>
            </w:r>
          </w:p>
        </w:tc>
        <w:tc>
          <w:tcPr>
            <w:tcW w:w="920" w:type="dxa"/>
            <w:tcBorders>
              <w:top w:val="single" w:sz="4" w:space="0" w:color="auto"/>
              <w:left w:val="nil"/>
              <w:bottom w:val="single" w:sz="8" w:space="0" w:color="auto"/>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w:t>
            </w:r>
          </w:p>
        </w:tc>
      </w:tr>
      <w:tr w:rsidR="00F279F7" w:rsidRPr="00131B9D" w:rsidTr="00C665AA">
        <w:trPr>
          <w:trHeight w:val="54"/>
        </w:trPr>
        <w:tc>
          <w:tcPr>
            <w:tcW w:w="487"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auto"/>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49"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81.32</w:t>
            </w:r>
          </w:p>
        </w:tc>
        <w:tc>
          <w:tcPr>
            <w:tcW w:w="992"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215.67</w:t>
            </w:r>
          </w:p>
        </w:tc>
        <w:tc>
          <w:tcPr>
            <w:tcW w:w="849"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5.52</w:t>
            </w:r>
          </w:p>
        </w:tc>
        <w:tc>
          <w:tcPr>
            <w:tcW w:w="850"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202</w:t>
            </w:r>
          </w:p>
        </w:tc>
        <w:tc>
          <w:tcPr>
            <w:tcW w:w="844"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0.01</w:t>
            </w:r>
          </w:p>
        </w:tc>
        <w:tc>
          <w:tcPr>
            <w:tcW w:w="826"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100.49</w:t>
            </w:r>
          </w:p>
        </w:tc>
        <w:tc>
          <w:tcPr>
            <w:tcW w:w="920"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20.35%</w:t>
            </w:r>
          </w:p>
        </w:tc>
      </w:tr>
      <w:tr w:rsidR="00F279F7" w:rsidRPr="00131B9D" w:rsidTr="00C665AA">
        <w:trPr>
          <w:trHeight w:val="54"/>
        </w:trPr>
        <w:tc>
          <w:tcPr>
            <w:tcW w:w="487"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auto"/>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81.66</w:t>
            </w:r>
          </w:p>
        </w:tc>
        <w:tc>
          <w:tcPr>
            <w:tcW w:w="992"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225</w:t>
            </w:r>
          </w:p>
        </w:tc>
        <w:tc>
          <w:tcPr>
            <w:tcW w:w="849"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3</w:t>
            </w:r>
          </w:p>
        </w:tc>
        <w:tc>
          <w:tcPr>
            <w:tcW w:w="850"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219</w:t>
            </w:r>
          </w:p>
        </w:tc>
        <w:tc>
          <w:tcPr>
            <w:tcW w:w="844"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0.05</w:t>
            </w:r>
          </w:p>
        </w:tc>
        <w:tc>
          <w:tcPr>
            <w:tcW w:w="826"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90.61</w:t>
            </w:r>
          </w:p>
        </w:tc>
        <w:tc>
          <w:tcPr>
            <w:tcW w:w="920"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0.42%</w:t>
            </w:r>
          </w:p>
        </w:tc>
      </w:tr>
      <w:tr w:rsidR="00F279F7" w:rsidRPr="00131B9D" w:rsidTr="00C665AA">
        <w:trPr>
          <w:trHeight w:val="54"/>
        </w:trPr>
        <w:tc>
          <w:tcPr>
            <w:tcW w:w="487" w:type="dxa"/>
            <w:vMerge/>
            <w:tcBorders>
              <w:left w:val="single" w:sz="8" w:space="0" w:color="auto"/>
              <w:bottom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2023" w:type="dxa"/>
            <w:gridSpan w:val="2"/>
            <w:tcBorders>
              <w:top w:val="nil"/>
              <w:left w:val="nil"/>
              <w:bottom w:val="single" w:sz="8" w:space="0" w:color="auto"/>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100.49</w:t>
            </w:r>
          </w:p>
        </w:tc>
        <w:tc>
          <w:tcPr>
            <w:tcW w:w="992"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225</w:t>
            </w:r>
          </w:p>
        </w:tc>
        <w:tc>
          <w:tcPr>
            <w:tcW w:w="849"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3</w:t>
            </w:r>
          </w:p>
        </w:tc>
        <w:tc>
          <w:tcPr>
            <w:tcW w:w="850"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214</w:t>
            </w:r>
          </w:p>
        </w:tc>
        <w:tc>
          <w:tcPr>
            <w:tcW w:w="844"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0.05</w:t>
            </w:r>
          </w:p>
        </w:tc>
        <w:tc>
          <w:tcPr>
            <w:tcW w:w="826" w:type="dxa"/>
            <w:tcBorders>
              <w:top w:val="nil"/>
              <w:left w:val="nil"/>
              <w:bottom w:val="single" w:sz="8" w:space="0" w:color="auto"/>
              <w:right w:val="single" w:sz="8" w:space="0" w:color="000000"/>
            </w:tcBorders>
          </w:tcPr>
          <w:p w:rsidR="00F279F7" w:rsidRPr="00131B9D" w:rsidRDefault="00F279F7" w:rsidP="00F279F7">
            <w:pPr>
              <w:snapToGrid w:val="0"/>
              <w:jc w:val="center"/>
              <w:rPr>
                <w:color w:val="000000"/>
                <w:sz w:val="23"/>
                <w:szCs w:val="23"/>
              </w:rPr>
            </w:pPr>
            <w:r w:rsidRPr="00131B9D">
              <w:rPr>
                <w:color w:val="000000"/>
                <w:sz w:val="23"/>
                <w:szCs w:val="23"/>
              </w:rPr>
              <w:t>114.44</w:t>
            </w:r>
          </w:p>
        </w:tc>
        <w:tc>
          <w:tcPr>
            <w:tcW w:w="920" w:type="dxa"/>
            <w:tcBorders>
              <w:top w:val="nil"/>
              <w:left w:val="nil"/>
              <w:bottom w:val="single" w:sz="8" w:space="0" w:color="auto"/>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23.57%</w:t>
            </w:r>
          </w:p>
        </w:tc>
      </w:tr>
      <w:tr w:rsidR="00C665AA" w:rsidRPr="00131B9D" w:rsidTr="00C665AA">
        <w:trPr>
          <w:trHeight w:val="54"/>
        </w:trPr>
        <w:tc>
          <w:tcPr>
            <w:tcW w:w="495" w:type="dxa"/>
            <w:gridSpan w:val="2"/>
            <w:vMerge w:val="restart"/>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日</w:t>
            </w:r>
          </w:p>
          <w:p w:rsidR="00C665AA" w:rsidRPr="00131B9D" w:rsidRDefault="00C665AA" w:rsidP="00473701">
            <w:pPr>
              <w:widowControl/>
              <w:spacing w:line="240" w:lineRule="exact"/>
              <w:jc w:val="center"/>
              <w:rPr>
                <w:rFonts w:eastAsia="標楷體"/>
                <w:kern w:val="0"/>
              </w:rPr>
            </w:pPr>
            <w:r w:rsidRPr="00131B9D">
              <w:rPr>
                <w:rFonts w:eastAsia="標楷體"/>
                <w:kern w:val="0"/>
              </w:rPr>
              <w:t>本</w:t>
            </w:r>
          </w:p>
        </w:tc>
        <w:tc>
          <w:tcPr>
            <w:tcW w:w="2015"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0.52</w:t>
            </w:r>
          </w:p>
        </w:tc>
        <w:tc>
          <w:tcPr>
            <w:tcW w:w="992"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15.12</w:t>
            </w:r>
          </w:p>
        </w:tc>
        <w:tc>
          <w:tcPr>
            <w:tcW w:w="850"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15.1</w:t>
            </w:r>
          </w:p>
        </w:tc>
        <w:tc>
          <w:tcPr>
            <w:tcW w:w="844"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w:t>
            </w:r>
          </w:p>
        </w:tc>
        <w:tc>
          <w:tcPr>
            <w:tcW w:w="826"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0.55</w:t>
            </w:r>
          </w:p>
        </w:tc>
        <w:tc>
          <w:tcPr>
            <w:tcW w:w="920" w:type="dxa"/>
            <w:tcBorders>
              <w:top w:val="nil"/>
              <w:left w:val="nil"/>
              <w:bottom w:val="single" w:sz="8" w:space="0" w:color="000000"/>
              <w:right w:val="single" w:sz="8" w:space="0" w:color="auto"/>
            </w:tcBorders>
            <w:vAlign w:val="center"/>
          </w:tcPr>
          <w:p w:rsidR="00C665AA" w:rsidRPr="00131B9D" w:rsidRDefault="00C665AA" w:rsidP="00473701">
            <w:pPr>
              <w:adjustRightInd w:val="0"/>
              <w:snapToGrid w:val="0"/>
              <w:jc w:val="center"/>
              <w:rPr>
                <w:color w:val="000000"/>
                <w:sz w:val="23"/>
                <w:szCs w:val="23"/>
              </w:rPr>
            </w:pPr>
            <w:r w:rsidRPr="00131B9D">
              <w:rPr>
                <w:color w:val="000000"/>
                <w:sz w:val="23"/>
                <w:szCs w:val="23"/>
              </w:rPr>
              <w:t>-</w:t>
            </w:r>
          </w:p>
        </w:tc>
      </w:tr>
      <w:tr w:rsidR="00C665AA" w:rsidRPr="00131B9D" w:rsidTr="00C665AA">
        <w:trPr>
          <w:trHeight w:val="54"/>
        </w:trPr>
        <w:tc>
          <w:tcPr>
            <w:tcW w:w="495" w:type="dxa"/>
            <w:gridSpan w:val="2"/>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15"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49" w:type="dxa"/>
            <w:tcBorders>
              <w:top w:val="single" w:sz="8" w:space="0" w:color="auto"/>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0.55</w:t>
            </w:r>
          </w:p>
        </w:tc>
        <w:tc>
          <w:tcPr>
            <w:tcW w:w="992" w:type="dxa"/>
            <w:tcBorders>
              <w:top w:val="single" w:sz="8" w:space="0" w:color="auto"/>
              <w:left w:val="single" w:sz="8" w:space="0" w:color="auto"/>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w:t>
            </w:r>
          </w:p>
        </w:tc>
        <w:tc>
          <w:tcPr>
            <w:tcW w:w="849" w:type="dxa"/>
            <w:tcBorders>
              <w:top w:val="single" w:sz="8" w:space="0" w:color="auto"/>
              <w:left w:val="single" w:sz="8" w:space="0" w:color="auto"/>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14.66</w:t>
            </w:r>
          </w:p>
        </w:tc>
        <w:tc>
          <w:tcPr>
            <w:tcW w:w="850"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14.7</w:t>
            </w:r>
          </w:p>
        </w:tc>
        <w:tc>
          <w:tcPr>
            <w:tcW w:w="844"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w:t>
            </w:r>
          </w:p>
        </w:tc>
        <w:tc>
          <w:tcPr>
            <w:tcW w:w="826"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0.5</w:t>
            </w:r>
          </w:p>
        </w:tc>
        <w:tc>
          <w:tcPr>
            <w:tcW w:w="920" w:type="dxa"/>
            <w:tcBorders>
              <w:top w:val="nil"/>
              <w:left w:val="nil"/>
              <w:bottom w:val="single" w:sz="8" w:space="0" w:color="000000"/>
              <w:right w:val="single" w:sz="8" w:space="0" w:color="000000"/>
            </w:tcBorders>
            <w:vAlign w:val="center"/>
          </w:tcPr>
          <w:p w:rsidR="00C665AA" w:rsidRPr="00131B9D" w:rsidRDefault="00C665AA" w:rsidP="00473701">
            <w:pPr>
              <w:adjustRightInd w:val="0"/>
              <w:snapToGrid w:val="0"/>
              <w:jc w:val="center"/>
              <w:rPr>
                <w:color w:val="000000"/>
                <w:sz w:val="23"/>
                <w:szCs w:val="23"/>
              </w:rPr>
            </w:pPr>
            <w:r w:rsidRPr="00131B9D">
              <w:rPr>
                <w:color w:val="000000"/>
                <w:sz w:val="23"/>
                <w:szCs w:val="23"/>
              </w:rPr>
              <w:t>5.77%</w:t>
            </w:r>
          </w:p>
        </w:tc>
      </w:tr>
      <w:tr w:rsidR="00C665AA" w:rsidRPr="00131B9D" w:rsidTr="00C665AA">
        <w:trPr>
          <w:trHeight w:val="54"/>
        </w:trPr>
        <w:tc>
          <w:tcPr>
            <w:tcW w:w="495" w:type="dxa"/>
            <w:gridSpan w:val="2"/>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15"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49" w:type="dxa"/>
            <w:tcBorders>
              <w:top w:val="single" w:sz="8" w:space="0" w:color="auto"/>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0.55</w:t>
            </w:r>
          </w:p>
        </w:tc>
        <w:tc>
          <w:tcPr>
            <w:tcW w:w="992" w:type="dxa"/>
            <w:tcBorders>
              <w:top w:val="single" w:sz="8" w:space="0" w:color="auto"/>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w:t>
            </w:r>
          </w:p>
        </w:tc>
        <w:tc>
          <w:tcPr>
            <w:tcW w:w="849" w:type="dxa"/>
            <w:tcBorders>
              <w:top w:val="single" w:sz="8" w:space="0" w:color="auto"/>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14.8</w:t>
            </w:r>
          </w:p>
        </w:tc>
        <w:tc>
          <w:tcPr>
            <w:tcW w:w="850"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14.8</w:t>
            </w:r>
          </w:p>
        </w:tc>
        <w:tc>
          <w:tcPr>
            <w:tcW w:w="844"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w:t>
            </w:r>
          </w:p>
        </w:tc>
        <w:tc>
          <w:tcPr>
            <w:tcW w:w="826"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0.55</w:t>
            </w:r>
          </w:p>
        </w:tc>
        <w:tc>
          <w:tcPr>
            <w:tcW w:w="920" w:type="dxa"/>
            <w:tcBorders>
              <w:top w:val="nil"/>
              <w:left w:val="nil"/>
              <w:bottom w:val="single" w:sz="8" w:space="0" w:color="000000"/>
              <w:right w:val="single" w:sz="8" w:space="0" w:color="000000"/>
            </w:tcBorders>
            <w:vAlign w:val="center"/>
          </w:tcPr>
          <w:p w:rsidR="00C665AA" w:rsidRPr="00131B9D" w:rsidRDefault="00C665AA" w:rsidP="00473701">
            <w:pPr>
              <w:adjustRightInd w:val="0"/>
              <w:snapToGrid w:val="0"/>
              <w:jc w:val="center"/>
              <w:rPr>
                <w:color w:val="000000"/>
                <w:sz w:val="23"/>
                <w:szCs w:val="23"/>
              </w:rPr>
            </w:pPr>
            <w:r w:rsidRPr="00131B9D">
              <w:rPr>
                <w:color w:val="000000"/>
                <w:sz w:val="23"/>
                <w:szCs w:val="23"/>
              </w:rPr>
              <w:t>0.00%</w:t>
            </w:r>
          </w:p>
        </w:tc>
      </w:tr>
      <w:tr w:rsidR="00C665AA" w:rsidRPr="00131B9D" w:rsidTr="00C665AA">
        <w:trPr>
          <w:trHeight w:val="54"/>
        </w:trPr>
        <w:tc>
          <w:tcPr>
            <w:tcW w:w="495" w:type="dxa"/>
            <w:gridSpan w:val="2"/>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15"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0.5</w:t>
            </w:r>
          </w:p>
        </w:tc>
        <w:tc>
          <w:tcPr>
            <w:tcW w:w="992"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14.7</w:t>
            </w:r>
          </w:p>
        </w:tc>
        <w:tc>
          <w:tcPr>
            <w:tcW w:w="850"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14.7</w:t>
            </w:r>
          </w:p>
        </w:tc>
        <w:tc>
          <w:tcPr>
            <w:tcW w:w="844"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w:t>
            </w:r>
          </w:p>
        </w:tc>
        <w:tc>
          <w:tcPr>
            <w:tcW w:w="826"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0.5</w:t>
            </w:r>
          </w:p>
        </w:tc>
        <w:tc>
          <w:tcPr>
            <w:tcW w:w="920" w:type="dxa"/>
            <w:tcBorders>
              <w:top w:val="nil"/>
              <w:left w:val="nil"/>
              <w:bottom w:val="single" w:sz="8" w:space="0" w:color="000000"/>
              <w:right w:val="single" w:sz="8" w:space="0" w:color="000000"/>
            </w:tcBorders>
            <w:vAlign w:val="center"/>
          </w:tcPr>
          <w:p w:rsidR="00C665AA" w:rsidRPr="00131B9D" w:rsidRDefault="00C665AA" w:rsidP="00473701">
            <w:pPr>
              <w:adjustRightInd w:val="0"/>
              <w:snapToGrid w:val="0"/>
              <w:jc w:val="center"/>
              <w:rPr>
                <w:color w:val="000000"/>
                <w:sz w:val="23"/>
                <w:szCs w:val="23"/>
              </w:rPr>
            </w:pPr>
            <w:r w:rsidRPr="00131B9D">
              <w:rPr>
                <w:color w:val="000000"/>
                <w:sz w:val="23"/>
                <w:szCs w:val="23"/>
              </w:rPr>
              <w:t>-9.09%</w:t>
            </w:r>
          </w:p>
        </w:tc>
      </w:tr>
      <w:tr w:rsidR="00C665AA" w:rsidRPr="00131B9D" w:rsidTr="00C665AA">
        <w:trPr>
          <w:trHeight w:val="54"/>
        </w:trPr>
        <w:tc>
          <w:tcPr>
            <w:tcW w:w="495" w:type="dxa"/>
            <w:gridSpan w:val="2"/>
            <w:vMerge w:val="restart"/>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r w:rsidRPr="00131B9D">
              <w:rPr>
                <w:rFonts w:eastAsia="標楷體"/>
                <w:kern w:val="0"/>
              </w:rPr>
              <w:t>歐盟</w:t>
            </w:r>
          </w:p>
          <w:p w:rsidR="00C665AA" w:rsidRPr="00131B9D" w:rsidRDefault="00C665AA" w:rsidP="00473701">
            <w:pPr>
              <w:widowControl/>
              <w:spacing w:line="240" w:lineRule="exact"/>
              <w:jc w:val="center"/>
              <w:rPr>
                <w:rFonts w:eastAsia="標楷體"/>
                <w:kern w:val="0"/>
              </w:rPr>
            </w:pPr>
            <w:r w:rsidRPr="00131B9D">
              <w:rPr>
                <w:rFonts w:eastAsia="標楷體"/>
                <w:kern w:val="0"/>
              </w:rPr>
              <w:t>27</w:t>
            </w:r>
            <w:r w:rsidRPr="00131B9D">
              <w:rPr>
                <w:rFonts w:eastAsia="標楷體"/>
                <w:kern w:val="0"/>
              </w:rPr>
              <w:t>國</w:t>
            </w:r>
          </w:p>
        </w:tc>
        <w:tc>
          <w:tcPr>
            <w:tcW w:w="2015" w:type="dxa"/>
            <w:tcBorders>
              <w:top w:val="nil"/>
              <w:left w:val="nil"/>
              <w:bottom w:val="single" w:sz="8" w:space="0" w:color="000000"/>
              <w:right w:val="single" w:sz="8" w:space="0" w:color="000000"/>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2013/14</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5.15</w:t>
            </w:r>
          </w:p>
        </w:tc>
        <w:tc>
          <w:tcPr>
            <w:tcW w:w="992"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64.63</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15.92</w:t>
            </w:r>
          </w:p>
        </w:tc>
        <w:tc>
          <w:tcPr>
            <w:tcW w:w="850"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76.5</w:t>
            </w:r>
          </w:p>
        </w:tc>
        <w:tc>
          <w:tcPr>
            <w:tcW w:w="844"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2.4</w:t>
            </w:r>
          </w:p>
        </w:tc>
        <w:tc>
          <w:tcPr>
            <w:tcW w:w="826"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6.8</w:t>
            </w:r>
          </w:p>
        </w:tc>
        <w:tc>
          <w:tcPr>
            <w:tcW w:w="920" w:type="dxa"/>
            <w:tcBorders>
              <w:top w:val="nil"/>
              <w:left w:val="nil"/>
              <w:bottom w:val="single" w:sz="8" w:space="0" w:color="000000"/>
              <w:right w:val="single" w:sz="8" w:space="0" w:color="auto"/>
            </w:tcBorders>
            <w:vAlign w:val="center"/>
          </w:tcPr>
          <w:p w:rsidR="00C665AA" w:rsidRPr="00131B9D" w:rsidRDefault="00C665AA" w:rsidP="00473701">
            <w:pPr>
              <w:adjustRightInd w:val="0"/>
              <w:snapToGrid w:val="0"/>
              <w:jc w:val="center"/>
              <w:rPr>
                <w:sz w:val="23"/>
                <w:szCs w:val="23"/>
              </w:rPr>
            </w:pPr>
            <w:r w:rsidRPr="00131B9D">
              <w:rPr>
                <w:sz w:val="23"/>
                <w:szCs w:val="23"/>
              </w:rPr>
              <w:t>-</w:t>
            </w:r>
          </w:p>
        </w:tc>
      </w:tr>
      <w:tr w:rsidR="00C665AA" w:rsidRPr="00131B9D" w:rsidTr="00C665AA">
        <w:trPr>
          <w:trHeight w:val="54"/>
        </w:trPr>
        <w:tc>
          <w:tcPr>
            <w:tcW w:w="495" w:type="dxa"/>
            <w:gridSpan w:val="2"/>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15"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2014/15 (</w:t>
            </w:r>
            <w:r w:rsidRPr="00131B9D">
              <w:rPr>
                <w:rFonts w:eastAsia="標楷體"/>
                <w:color w:val="000000"/>
                <w:sz w:val="23"/>
                <w:szCs w:val="23"/>
              </w:rPr>
              <w:t>估計</w:t>
            </w:r>
            <w:r w:rsidRPr="00131B9D">
              <w:rPr>
                <w:color w:val="000000"/>
                <w:sz w:val="23"/>
                <w:szCs w:val="23"/>
              </w:rPr>
              <w:t>)</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6.8</w:t>
            </w:r>
          </w:p>
        </w:tc>
        <w:tc>
          <w:tcPr>
            <w:tcW w:w="992"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75.73</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8.7</w:t>
            </w:r>
          </w:p>
        </w:tc>
        <w:tc>
          <w:tcPr>
            <w:tcW w:w="850"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78</w:t>
            </w:r>
          </w:p>
        </w:tc>
        <w:tc>
          <w:tcPr>
            <w:tcW w:w="844"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4</w:t>
            </w:r>
          </w:p>
        </w:tc>
        <w:tc>
          <w:tcPr>
            <w:tcW w:w="826"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9.23</w:t>
            </w:r>
          </w:p>
        </w:tc>
        <w:tc>
          <w:tcPr>
            <w:tcW w:w="920" w:type="dxa"/>
            <w:tcBorders>
              <w:top w:val="nil"/>
              <w:left w:val="nil"/>
              <w:bottom w:val="single" w:sz="8" w:space="0" w:color="000000"/>
              <w:right w:val="single" w:sz="8" w:space="0" w:color="000000"/>
            </w:tcBorders>
            <w:vAlign w:val="center"/>
          </w:tcPr>
          <w:p w:rsidR="00C665AA" w:rsidRPr="00131B9D" w:rsidRDefault="00C665AA" w:rsidP="00473701">
            <w:pPr>
              <w:adjustRightInd w:val="0"/>
              <w:snapToGrid w:val="0"/>
              <w:jc w:val="center"/>
              <w:rPr>
                <w:sz w:val="23"/>
                <w:szCs w:val="23"/>
              </w:rPr>
            </w:pPr>
            <w:r w:rsidRPr="00131B9D">
              <w:rPr>
                <w:sz w:val="23"/>
                <w:szCs w:val="23"/>
              </w:rPr>
              <w:t>32.04%</w:t>
            </w:r>
          </w:p>
        </w:tc>
      </w:tr>
      <w:tr w:rsidR="00C665AA" w:rsidRPr="00131B9D" w:rsidTr="00C665AA">
        <w:trPr>
          <w:trHeight w:val="54"/>
        </w:trPr>
        <w:tc>
          <w:tcPr>
            <w:tcW w:w="495" w:type="dxa"/>
            <w:gridSpan w:val="2"/>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15"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(10</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8.63</w:t>
            </w:r>
          </w:p>
        </w:tc>
        <w:tc>
          <w:tcPr>
            <w:tcW w:w="992"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58</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16</w:t>
            </w:r>
          </w:p>
        </w:tc>
        <w:tc>
          <w:tcPr>
            <w:tcW w:w="850"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76.5</w:t>
            </w:r>
          </w:p>
        </w:tc>
        <w:tc>
          <w:tcPr>
            <w:tcW w:w="844"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w:t>
            </w:r>
          </w:p>
        </w:tc>
        <w:tc>
          <w:tcPr>
            <w:tcW w:w="826"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5.12</w:t>
            </w:r>
          </w:p>
        </w:tc>
        <w:tc>
          <w:tcPr>
            <w:tcW w:w="920" w:type="dxa"/>
            <w:tcBorders>
              <w:top w:val="nil"/>
              <w:left w:val="nil"/>
              <w:bottom w:val="single" w:sz="8" w:space="0" w:color="000000"/>
              <w:right w:val="single" w:sz="8" w:space="0" w:color="000000"/>
            </w:tcBorders>
            <w:vAlign w:val="center"/>
          </w:tcPr>
          <w:p w:rsidR="00C665AA" w:rsidRPr="00131B9D" w:rsidRDefault="00C665AA" w:rsidP="00473701">
            <w:pPr>
              <w:adjustRightInd w:val="0"/>
              <w:snapToGrid w:val="0"/>
              <w:jc w:val="center"/>
              <w:rPr>
                <w:sz w:val="23"/>
                <w:szCs w:val="23"/>
              </w:rPr>
            </w:pPr>
            <w:r w:rsidRPr="00131B9D">
              <w:rPr>
                <w:sz w:val="23"/>
                <w:szCs w:val="23"/>
              </w:rPr>
              <w:t>26.91%</w:t>
            </w:r>
          </w:p>
        </w:tc>
      </w:tr>
      <w:tr w:rsidR="00C665AA" w:rsidRPr="00131B9D" w:rsidTr="00C665AA">
        <w:trPr>
          <w:trHeight w:val="54"/>
        </w:trPr>
        <w:tc>
          <w:tcPr>
            <w:tcW w:w="495" w:type="dxa"/>
            <w:gridSpan w:val="2"/>
            <w:vMerge/>
            <w:tcBorders>
              <w:top w:val="nil"/>
              <w:left w:val="single" w:sz="8" w:space="0" w:color="auto"/>
              <w:bottom w:val="single" w:sz="8" w:space="0" w:color="000000"/>
              <w:right w:val="single" w:sz="8" w:space="0" w:color="auto"/>
            </w:tcBorders>
            <w:vAlign w:val="center"/>
          </w:tcPr>
          <w:p w:rsidR="00C665AA" w:rsidRPr="00131B9D" w:rsidRDefault="00C665AA" w:rsidP="00473701">
            <w:pPr>
              <w:widowControl/>
              <w:spacing w:line="240" w:lineRule="exact"/>
              <w:jc w:val="center"/>
              <w:rPr>
                <w:rFonts w:eastAsia="標楷體"/>
                <w:kern w:val="0"/>
              </w:rPr>
            </w:pPr>
          </w:p>
        </w:tc>
        <w:tc>
          <w:tcPr>
            <w:tcW w:w="2015" w:type="dxa"/>
            <w:tcBorders>
              <w:top w:val="nil"/>
              <w:left w:val="nil"/>
              <w:bottom w:val="single" w:sz="8" w:space="0" w:color="auto"/>
              <w:right w:val="single" w:sz="8" w:space="0" w:color="auto"/>
            </w:tcBorders>
            <w:vAlign w:val="center"/>
          </w:tcPr>
          <w:p w:rsidR="00C665AA" w:rsidRPr="00131B9D" w:rsidRDefault="00C665AA" w:rsidP="00473701">
            <w:pPr>
              <w:snapToGrid w:val="0"/>
              <w:jc w:val="center"/>
              <w:rPr>
                <w:color w:val="000000"/>
                <w:sz w:val="23"/>
                <w:szCs w:val="23"/>
              </w:rPr>
            </w:pPr>
            <w:r w:rsidRPr="00131B9D">
              <w:rPr>
                <w:color w:val="000000"/>
                <w:sz w:val="23"/>
                <w:szCs w:val="23"/>
              </w:rPr>
              <w:t>2015/16 (11</w:t>
            </w:r>
            <w:r w:rsidRPr="00131B9D">
              <w:rPr>
                <w:rFonts w:eastAsia="標楷體"/>
                <w:color w:val="000000"/>
                <w:sz w:val="23"/>
                <w:szCs w:val="23"/>
              </w:rPr>
              <w:t>月預計</w:t>
            </w:r>
            <w:r w:rsidRPr="00131B9D">
              <w:rPr>
                <w:color w:val="000000"/>
                <w:sz w:val="23"/>
                <w:szCs w:val="23"/>
              </w:rPr>
              <w:t>)</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9.23</w:t>
            </w:r>
          </w:p>
        </w:tc>
        <w:tc>
          <w:tcPr>
            <w:tcW w:w="992"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57.75</w:t>
            </w:r>
          </w:p>
        </w:tc>
        <w:tc>
          <w:tcPr>
            <w:tcW w:w="849"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16</w:t>
            </w:r>
          </w:p>
        </w:tc>
        <w:tc>
          <w:tcPr>
            <w:tcW w:w="850"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75.5</w:t>
            </w:r>
          </w:p>
        </w:tc>
        <w:tc>
          <w:tcPr>
            <w:tcW w:w="844"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1</w:t>
            </w:r>
          </w:p>
        </w:tc>
        <w:tc>
          <w:tcPr>
            <w:tcW w:w="826" w:type="dxa"/>
            <w:tcBorders>
              <w:top w:val="nil"/>
              <w:left w:val="nil"/>
              <w:bottom w:val="single" w:sz="8" w:space="0" w:color="auto"/>
              <w:right w:val="single" w:sz="8" w:space="0" w:color="auto"/>
            </w:tcBorders>
            <w:noWrap/>
          </w:tcPr>
          <w:p w:rsidR="00C665AA" w:rsidRPr="00131B9D" w:rsidRDefault="00C665AA" w:rsidP="00473701">
            <w:pPr>
              <w:snapToGrid w:val="0"/>
              <w:jc w:val="center"/>
              <w:rPr>
                <w:color w:val="000000"/>
                <w:sz w:val="23"/>
                <w:szCs w:val="23"/>
              </w:rPr>
            </w:pPr>
            <w:r w:rsidRPr="00131B9D">
              <w:rPr>
                <w:color w:val="000000"/>
                <w:sz w:val="23"/>
                <w:szCs w:val="23"/>
              </w:rPr>
              <w:t>6.48</w:t>
            </w:r>
          </w:p>
        </w:tc>
        <w:tc>
          <w:tcPr>
            <w:tcW w:w="920" w:type="dxa"/>
            <w:tcBorders>
              <w:top w:val="nil"/>
              <w:left w:val="nil"/>
              <w:bottom w:val="single" w:sz="8" w:space="0" w:color="000000"/>
              <w:right w:val="single" w:sz="8" w:space="0" w:color="000000"/>
            </w:tcBorders>
            <w:vAlign w:val="center"/>
          </w:tcPr>
          <w:p w:rsidR="00C665AA" w:rsidRPr="00131B9D" w:rsidRDefault="00C665AA" w:rsidP="00473701">
            <w:pPr>
              <w:adjustRightInd w:val="0"/>
              <w:snapToGrid w:val="0"/>
              <w:jc w:val="center"/>
              <w:rPr>
                <w:sz w:val="23"/>
                <w:szCs w:val="23"/>
              </w:rPr>
            </w:pPr>
            <w:r w:rsidRPr="00131B9D">
              <w:rPr>
                <w:sz w:val="23"/>
                <w:szCs w:val="23"/>
              </w:rPr>
              <w:t>35.74%</w:t>
            </w:r>
          </w:p>
        </w:tc>
      </w:tr>
    </w:tbl>
    <w:p w:rsidR="00C665AA" w:rsidRPr="00131B9D" w:rsidRDefault="00C665AA" w:rsidP="00C665AA">
      <w:pPr>
        <w:adjustRightInd w:val="0"/>
        <w:snapToGrid w:val="0"/>
        <w:spacing w:line="240" w:lineRule="exact"/>
        <w:rPr>
          <w:rFonts w:eastAsia="標楷體"/>
          <w:sz w:val="20"/>
          <w:szCs w:val="20"/>
        </w:rPr>
      </w:pPr>
      <w:r w:rsidRPr="00131B9D">
        <w:rPr>
          <w:rFonts w:eastAsia="標楷體"/>
          <w:sz w:val="20"/>
          <w:szCs w:val="20"/>
        </w:rPr>
        <w:t>資料來源：美國農業部（</w:t>
      </w:r>
      <w:r w:rsidRPr="00131B9D">
        <w:rPr>
          <w:rFonts w:eastAsia="標楷體"/>
          <w:sz w:val="20"/>
          <w:szCs w:val="20"/>
        </w:rPr>
        <w:t>USDA</w:t>
      </w:r>
      <w:r w:rsidRPr="00131B9D">
        <w:rPr>
          <w:rFonts w:eastAsia="標楷體"/>
          <w:sz w:val="20"/>
          <w:szCs w:val="20"/>
        </w:rPr>
        <w:t>），</w:t>
      </w:r>
      <w:r w:rsidRPr="00131B9D">
        <w:rPr>
          <w:rFonts w:eastAsia="標楷體"/>
          <w:sz w:val="20"/>
          <w:szCs w:val="20"/>
        </w:rPr>
        <w:t>2014/11/10</w:t>
      </w:r>
      <w:r w:rsidRPr="00131B9D">
        <w:rPr>
          <w:rFonts w:eastAsia="標楷體"/>
          <w:sz w:val="20"/>
          <w:szCs w:val="20"/>
        </w:rPr>
        <w:t>。</w:t>
      </w:r>
    </w:p>
    <w:p w:rsidR="00F279F7" w:rsidRPr="00131B9D" w:rsidRDefault="00F279F7" w:rsidP="00F279F7"/>
    <w:p w:rsidR="00C665AA" w:rsidRPr="00131B9D" w:rsidRDefault="00C665AA" w:rsidP="00F279F7"/>
    <w:p w:rsidR="00C665AA" w:rsidRPr="00131B9D" w:rsidRDefault="00C665AA" w:rsidP="00F279F7">
      <w:pPr>
        <w:sectPr w:rsidR="00C665AA"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3"/>
        <w:numPr>
          <w:ilvl w:val="0"/>
          <w:numId w:val="1"/>
        </w:numPr>
        <w:rPr>
          <w:rFonts w:ascii="Times New Roman" w:hAnsi="Times New Roman"/>
        </w:rPr>
      </w:pPr>
      <w:bookmarkStart w:id="108" w:name="_Toc322706931"/>
      <w:r w:rsidRPr="00131B9D">
        <w:rPr>
          <w:rFonts w:ascii="Times New Roman" w:hAnsi="Times New Roman"/>
        </w:rPr>
        <w:lastRenderedPageBreak/>
        <w:t>糖</w:t>
      </w:r>
      <w:bookmarkEnd w:id="108"/>
    </w:p>
    <w:p w:rsidR="00F279F7" w:rsidRPr="00131B9D" w:rsidRDefault="00F279F7" w:rsidP="00F279F7">
      <w:pPr>
        <w:pStyle w:val="-"/>
        <w:spacing w:before="72" w:after="72"/>
        <w:ind w:firstLineChars="0" w:firstLine="0"/>
        <w:rPr>
          <w:b/>
        </w:rPr>
      </w:pPr>
      <w:r w:rsidRPr="00131B9D">
        <w:rPr>
          <w:b/>
        </w:rPr>
        <w:t>1.</w:t>
      </w:r>
      <w:r w:rsidRPr="00131B9D">
        <w:rPr>
          <w:b/>
        </w:rPr>
        <w:t xml:space="preserve">　價格走勢</w:t>
      </w:r>
    </w:p>
    <w:p w:rsidR="00F279F7" w:rsidRPr="00131B9D" w:rsidRDefault="00127C79" w:rsidP="00127C79">
      <w:pPr>
        <w:pStyle w:val="-"/>
        <w:spacing w:before="72" w:after="72"/>
        <w:ind w:firstLine="560"/>
      </w:pPr>
      <w:r w:rsidRPr="00131B9D">
        <w:t>2015</w:t>
      </w:r>
      <w:r w:rsidRPr="00131B9D">
        <w:t>年前</w:t>
      </w:r>
      <w:r w:rsidRPr="00131B9D">
        <w:t>3</w:t>
      </w:r>
      <w:r w:rsidRPr="00131B9D">
        <w:t>季，原本已相當低迷的糖價持續下跌，但</w:t>
      </w:r>
      <w:r w:rsidRPr="00131B9D">
        <w:t>9</w:t>
      </w:r>
      <w:r w:rsidRPr="00131B9D">
        <w:t>月份過後，糖價逐步走高。英國倫敦金融期貨及選擇權交易所（</w:t>
      </w:r>
      <w:r w:rsidRPr="00131B9D">
        <w:t>London International Financial Futures and Options Exchange, LIFFE</w:t>
      </w:r>
      <w:r w:rsidRPr="00131B9D">
        <w:t>）糖價</w:t>
      </w:r>
      <w:r w:rsidRPr="00131B9D">
        <w:t>1</w:t>
      </w:r>
      <w:r w:rsidRPr="00131B9D">
        <w:t>月均價為</w:t>
      </w:r>
      <w:r w:rsidRPr="00131B9D">
        <w:t>393</w:t>
      </w:r>
      <w:r w:rsidRPr="00131B9D">
        <w:t>美元</w:t>
      </w:r>
      <w:r w:rsidRPr="00131B9D">
        <w:t>/</w:t>
      </w:r>
      <w:r w:rsidRPr="00131B9D">
        <w:t>公噸，</w:t>
      </w:r>
      <w:r w:rsidRPr="00131B9D">
        <w:t>2</w:t>
      </w:r>
      <w:r w:rsidRPr="00131B9D">
        <w:t>月均價下跌至</w:t>
      </w:r>
      <w:r w:rsidRPr="00131B9D">
        <w:t>381.18</w:t>
      </w:r>
      <w:r w:rsidRPr="00131B9D">
        <w:t>美元</w:t>
      </w:r>
      <w:r w:rsidRPr="00131B9D">
        <w:t>/</w:t>
      </w:r>
      <w:r w:rsidRPr="00131B9D">
        <w:t>公噸，直至</w:t>
      </w:r>
      <w:r w:rsidRPr="00131B9D">
        <w:t>3</w:t>
      </w:r>
      <w:r w:rsidRPr="00131B9D">
        <w:t>月份下跌至</w:t>
      </w:r>
      <w:r w:rsidRPr="00131B9D">
        <w:t>366.57</w:t>
      </w:r>
      <w:r w:rsidRPr="00131B9D">
        <w:t>美元</w:t>
      </w:r>
      <w:r w:rsidRPr="00131B9D">
        <w:t>/</w:t>
      </w:r>
      <w:r w:rsidRPr="00131B9D">
        <w:t>公噸，糖價</w:t>
      </w:r>
      <w:r w:rsidRPr="00131B9D">
        <w:t>3</w:t>
      </w:r>
      <w:r w:rsidRPr="00131B9D">
        <w:t>月均價較</w:t>
      </w:r>
      <w:r w:rsidRPr="00131B9D">
        <w:t>1</w:t>
      </w:r>
      <w:r w:rsidRPr="00131B9D">
        <w:t>月的跌幅達</w:t>
      </w:r>
      <w:r w:rsidRPr="00131B9D">
        <w:t>6.73%</w:t>
      </w:r>
      <w:r w:rsidRPr="00131B9D">
        <w:t>。進入第</w:t>
      </w:r>
      <w:r w:rsidRPr="00131B9D">
        <w:t>2</w:t>
      </w:r>
      <w:r w:rsidRPr="00131B9D">
        <w:t>季後，國際糖整體價格仍呈現下跌的走勢，英國倫敦</w:t>
      </w:r>
      <w:r w:rsidRPr="00131B9D">
        <w:t>LIFFE</w:t>
      </w:r>
      <w:r w:rsidRPr="00131B9D">
        <w:t>糖價</w:t>
      </w:r>
      <w:r w:rsidRPr="00131B9D">
        <w:t>4</w:t>
      </w:r>
      <w:r w:rsidRPr="00131B9D">
        <w:t>月均價</w:t>
      </w:r>
      <w:r w:rsidRPr="00131B9D">
        <w:t>368.97</w:t>
      </w:r>
      <w:r w:rsidRPr="00131B9D">
        <w:t>美元</w:t>
      </w:r>
      <w:r w:rsidRPr="00131B9D">
        <w:t>/</w:t>
      </w:r>
      <w:r w:rsidRPr="00131B9D">
        <w:t>公噸，</w:t>
      </w:r>
      <w:r w:rsidRPr="00131B9D">
        <w:t>5</w:t>
      </w:r>
      <w:r w:rsidRPr="00131B9D">
        <w:t>月均價下跌至</w:t>
      </w:r>
      <w:r w:rsidRPr="00131B9D">
        <w:t>365.08</w:t>
      </w:r>
      <w:r w:rsidRPr="00131B9D">
        <w:t>美元</w:t>
      </w:r>
      <w:r w:rsidRPr="00131B9D">
        <w:t>/</w:t>
      </w:r>
      <w:r w:rsidRPr="00131B9D">
        <w:t>公噸，</w:t>
      </w:r>
      <w:r w:rsidRPr="00131B9D">
        <w:t>6</w:t>
      </w:r>
      <w:r w:rsidRPr="00131B9D">
        <w:t>月份再度下跌至</w:t>
      </w:r>
      <w:r w:rsidRPr="00131B9D">
        <w:t>352.44</w:t>
      </w:r>
      <w:r w:rsidRPr="00131B9D">
        <w:t>美元</w:t>
      </w:r>
      <w:r w:rsidRPr="00131B9D">
        <w:t>/</w:t>
      </w:r>
      <w:r w:rsidRPr="00131B9D">
        <w:t>公噸，糖價</w:t>
      </w:r>
      <w:r w:rsidRPr="00131B9D">
        <w:t>6</w:t>
      </w:r>
      <w:r w:rsidRPr="00131B9D">
        <w:t>月均價較</w:t>
      </w:r>
      <w:r w:rsidRPr="00131B9D">
        <w:t>4</w:t>
      </w:r>
      <w:r w:rsidRPr="00131B9D">
        <w:t>月的跌幅達</w:t>
      </w:r>
      <w:r w:rsidRPr="00131B9D">
        <w:t>4.48%</w:t>
      </w:r>
      <w:r w:rsidRPr="00131B9D">
        <w:t>。到了第</w:t>
      </w:r>
      <w:r w:rsidRPr="00131B9D">
        <w:t>3</w:t>
      </w:r>
      <w:r w:rsidRPr="00131B9D">
        <w:t>季，價格仍繼續下跌，並於</w:t>
      </w:r>
      <w:r w:rsidRPr="00131B9D">
        <w:t>8</w:t>
      </w:r>
      <w:r w:rsidRPr="00131B9D">
        <w:t>月</w:t>
      </w:r>
      <w:r w:rsidRPr="00131B9D">
        <w:t>20</w:t>
      </w:r>
      <w:r w:rsidRPr="00131B9D">
        <w:t>日及</w:t>
      </w:r>
      <w:r w:rsidRPr="00131B9D">
        <w:t>24</w:t>
      </w:r>
      <w:r w:rsidRPr="00131B9D">
        <w:t>日觸及</w:t>
      </w:r>
      <w:r w:rsidRPr="00131B9D">
        <w:t>2015</w:t>
      </w:r>
      <w:r w:rsidRPr="00131B9D">
        <w:t>年糖價最低點，雖</w:t>
      </w:r>
      <w:r w:rsidRPr="00131B9D">
        <w:t>9</w:t>
      </w:r>
      <w:r w:rsidRPr="00131B9D">
        <w:t>月份過後，因印度、巴西與歐盟等糖的主產區氣候因素，使糖價開始走高，但糖價</w:t>
      </w:r>
      <w:r w:rsidRPr="00131B9D">
        <w:t>9</w:t>
      </w:r>
      <w:r w:rsidRPr="00131B9D">
        <w:t>月均價仍較</w:t>
      </w:r>
      <w:r w:rsidRPr="00131B9D">
        <w:t>7</w:t>
      </w:r>
      <w:r w:rsidRPr="00131B9D">
        <w:t>月的跌幅達</w:t>
      </w:r>
      <w:r w:rsidRPr="00131B9D">
        <w:t>3.43%</w:t>
      </w:r>
      <w:r w:rsidRPr="00131B9D">
        <w:t>，</w:t>
      </w:r>
      <w:r w:rsidRPr="00131B9D">
        <w:t>10</w:t>
      </w:r>
      <w:r w:rsidRPr="00131B9D">
        <w:t>月過後，延續</w:t>
      </w:r>
      <w:r w:rsidRPr="00131B9D">
        <w:t>9</w:t>
      </w:r>
      <w:r w:rsidRPr="00131B9D">
        <w:t>月供給面的不利消息，加上預期消費增長幅度會超越產量，導致糖價持續走高。</w:t>
      </w:r>
      <w:r w:rsidRPr="00131B9D">
        <w:t>10</w:t>
      </w:r>
      <w:r w:rsidRPr="00131B9D">
        <w:t>月份糖均價為</w:t>
      </w:r>
      <w:r w:rsidRPr="00131B9D">
        <w:t>387.86</w:t>
      </w:r>
      <w:r w:rsidRPr="00131B9D">
        <w:t>美元</w:t>
      </w:r>
      <w:r w:rsidRPr="00131B9D">
        <w:t>/</w:t>
      </w:r>
      <w:r w:rsidRPr="00131B9D">
        <w:t>公噸，較</w:t>
      </w:r>
      <w:r w:rsidRPr="00131B9D">
        <w:t>9</w:t>
      </w:r>
      <w:r w:rsidRPr="00131B9D">
        <w:t>月份均價大漲</w:t>
      </w:r>
      <w:r w:rsidRPr="00131B9D">
        <w:t>11.18%</w:t>
      </w:r>
      <w:r w:rsidRPr="00131B9D">
        <w:t>。</w:t>
      </w:r>
      <w:r w:rsidRPr="00131B9D">
        <w:t>11</w:t>
      </w:r>
      <w:r w:rsidRPr="00131B9D">
        <w:t>月因巴西乙醇銷量及價格創紀錄影響，糖價再次走高（如圖</w:t>
      </w:r>
      <w:r w:rsidRPr="00131B9D">
        <w:t>3-6</w:t>
      </w:r>
      <w:r w:rsidRPr="00131B9D">
        <w:t>）。</w:t>
      </w:r>
    </w:p>
    <w:p w:rsidR="00F279F7" w:rsidRPr="00131B9D" w:rsidRDefault="00F279F7" w:rsidP="00C665AA"/>
    <w:p w:rsidR="00F279F7" w:rsidRPr="00131B9D" w:rsidRDefault="00F279F7" w:rsidP="00F279F7">
      <w:pPr>
        <w:jc w:val="center"/>
        <w:rPr>
          <w:rFonts w:eastAsia="標楷體"/>
        </w:rPr>
      </w:pPr>
      <w:r w:rsidRPr="00131B9D">
        <w:rPr>
          <w:noProof/>
        </w:rPr>
        <w:drawing>
          <wp:inline distT="0" distB="0" distL="0" distR="0" wp14:anchorId="58E8ADD5" wp14:editId="7161BAFD">
            <wp:extent cx="5105400" cy="2721935"/>
            <wp:effectExtent l="0" t="0" r="0" b="2540"/>
            <wp:docPr id="31" name="圖表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F279F7" w:rsidRPr="00131B9D" w:rsidRDefault="00F279F7" w:rsidP="00F279F7">
      <w:pPr>
        <w:spacing w:line="240" w:lineRule="exact"/>
        <w:ind w:firstLineChars="100" w:firstLine="200"/>
        <w:rPr>
          <w:rFonts w:eastAsia="標楷體"/>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r w:rsidRPr="00131B9D">
        <w:rPr>
          <w:rFonts w:eastAsia="標楷體"/>
        </w:rPr>
        <w:t>。</w:t>
      </w:r>
    </w:p>
    <w:p w:rsidR="00F279F7" w:rsidRPr="00131B9D" w:rsidRDefault="00F279F7" w:rsidP="00F279F7">
      <w:pPr>
        <w:pStyle w:val="afff5"/>
        <w:spacing w:line="0" w:lineRule="atLeast"/>
        <w:jc w:val="center"/>
        <w:rPr>
          <w:rFonts w:eastAsia="標楷體"/>
          <w:b/>
          <w:bCs/>
          <w:kern w:val="52"/>
          <w:sz w:val="28"/>
          <w:szCs w:val="28"/>
        </w:rPr>
      </w:pPr>
      <w:bookmarkStart w:id="109" w:name="_Toc398882640"/>
      <w:bookmarkStart w:id="110" w:name="_Toc438223340"/>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6</w:t>
      </w:r>
      <w:r w:rsidRPr="00131B9D">
        <w:rPr>
          <w:rFonts w:eastAsia="標楷體"/>
          <w:b/>
          <w:bCs/>
          <w:kern w:val="52"/>
          <w:sz w:val="28"/>
          <w:szCs w:val="28"/>
        </w:rPr>
        <w:fldChar w:fldCharType="end"/>
      </w:r>
      <w:r w:rsidRPr="00131B9D">
        <w:rPr>
          <w:rFonts w:eastAsia="標楷體"/>
          <w:b/>
          <w:bCs/>
          <w:kern w:val="52"/>
          <w:sz w:val="28"/>
          <w:szCs w:val="28"/>
        </w:rPr>
        <w:t xml:space="preserve">　糖近一年價格走勢圖</w:t>
      </w:r>
      <w:bookmarkEnd w:id="109"/>
      <w:bookmarkEnd w:id="110"/>
    </w:p>
    <w:p w:rsidR="00F279F7" w:rsidRPr="00131B9D" w:rsidRDefault="00F279F7" w:rsidP="00F279F7">
      <w:pPr>
        <w:pStyle w:val="-"/>
        <w:spacing w:before="72" w:after="72"/>
        <w:ind w:firstLineChars="0" w:firstLine="0"/>
        <w:rPr>
          <w:b/>
        </w:rPr>
      </w:pPr>
      <w:r w:rsidRPr="00131B9D">
        <w:rPr>
          <w:b/>
        </w:rPr>
        <w:lastRenderedPageBreak/>
        <w:t>2.</w:t>
      </w:r>
      <w:r w:rsidRPr="00131B9D">
        <w:rPr>
          <w:b/>
        </w:rPr>
        <w:t xml:space="preserve">　主要供需概況</w:t>
      </w:r>
    </w:p>
    <w:p w:rsidR="00F279F7" w:rsidRPr="00131B9D" w:rsidRDefault="00F279F7" w:rsidP="00F279F7">
      <w:pPr>
        <w:pStyle w:val="-"/>
        <w:spacing w:before="72" w:after="72"/>
        <w:ind w:firstLine="561"/>
        <w:rPr>
          <w:spacing w:val="-10"/>
        </w:rPr>
      </w:pPr>
      <w:r w:rsidRPr="00131B9D">
        <w:rPr>
          <w:b/>
        </w:rPr>
        <w:t>供給國：</w:t>
      </w:r>
      <w:r w:rsidRPr="00131B9D">
        <w:rPr>
          <w:spacing w:val="-10"/>
        </w:rPr>
        <w:t>世界</w:t>
      </w:r>
      <w:r w:rsidRPr="00131B9D">
        <w:rPr>
          <w:spacing w:val="-10"/>
        </w:rPr>
        <w:t>5</w:t>
      </w:r>
      <w:r w:rsidRPr="00131B9D">
        <w:rPr>
          <w:spacing w:val="-10"/>
        </w:rPr>
        <w:t>大糖生產國家依序為巴西、印度、歐盟、泰國及中國大陸，根據美國農業部</w:t>
      </w:r>
      <w:r w:rsidRPr="00131B9D">
        <w:rPr>
          <w:spacing w:val="-10"/>
        </w:rPr>
        <w:t>11</w:t>
      </w:r>
      <w:r w:rsidRPr="00131B9D">
        <w:rPr>
          <w:spacing w:val="-10"/>
        </w:rPr>
        <w:t>月發布每半年一次的全球糖市與貿易報告估計，全球</w:t>
      </w:r>
      <w:r w:rsidRPr="00131B9D">
        <w:rPr>
          <w:spacing w:val="-10"/>
        </w:rPr>
        <w:t>2014/15</w:t>
      </w:r>
      <w:r w:rsidRPr="00131B9D">
        <w:rPr>
          <w:spacing w:val="-10"/>
        </w:rPr>
        <w:t>年糖產量為</w:t>
      </w:r>
      <w:r w:rsidRPr="00131B9D">
        <w:rPr>
          <w:spacing w:val="-10"/>
        </w:rPr>
        <w:t>175.10</w:t>
      </w:r>
      <w:r w:rsidRPr="00131B9D">
        <w:rPr>
          <w:spacing w:val="-10"/>
        </w:rPr>
        <w:t>百萬公噸，其中巴西產量為</w:t>
      </w:r>
      <w:r w:rsidRPr="00131B9D">
        <w:rPr>
          <w:spacing w:val="-10"/>
        </w:rPr>
        <w:t>35.95</w:t>
      </w:r>
      <w:r w:rsidRPr="00131B9D">
        <w:rPr>
          <w:spacing w:val="-10"/>
        </w:rPr>
        <w:t>百萬公噸、印度為</w:t>
      </w:r>
      <w:r w:rsidRPr="00131B9D">
        <w:rPr>
          <w:spacing w:val="-10"/>
        </w:rPr>
        <w:t>29.24</w:t>
      </w:r>
      <w:r w:rsidRPr="00131B9D">
        <w:rPr>
          <w:spacing w:val="-10"/>
        </w:rPr>
        <w:t>百萬公噸、歐盟為</w:t>
      </w:r>
      <w:r w:rsidRPr="00131B9D">
        <w:rPr>
          <w:spacing w:val="-10"/>
        </w:rPr>
        <w:t>16.75</w:t>
      </w:r>
      <w:r w:rsidRPr="00131B9D">
        <w:rPr>
          <w:spacing w:val="-10"/>
        </w:rPr>
        <w:t>百萬公噸、中國大陸為</w:t>
      </w:r>
      <w:r w:rsidRPr="00131B9D">
        <w:rPr>
          <w:spacing w:val="-10"/>
        </w:rPr>
        <w:t>11</w:t>
      </w:r>
      <w:r w:rsidRPr="00131B9D">
        <w:rPr>
          <w:spacing w:val="-10"/>
        </w:rPr>
        <w:t>百萬公噸、泰國為</w:t>
      </w:r>
      <w:r w:rsidRPr="00131B9D">
        <w:rPr>
          <w:spacing w:val="-10"/>
        </w:rPr>
        <w:t>10.79</w:t>
      </w:r>
      <w:r w:rsidRPr="00131B9D">
        <w:rPr>
          <w:spacing w:val="-10"/>
        </w:rPr>
        <w:t>百萬公噸</w:t>
      </w:r>
      <w:r w:rsidRPr="00131B9D">
        <w:t>（如表</w:t>
      </w:r>
      <w:r w:rsidRPr="00131B9D">
        <w:t>3-5</w:t>
      </w:r>
      <w:r w:rsidRPr="00131B9D">
        <w:t>）</w:t>
      </w:r>
      <w:r w:rsidRPr="00131B9D">
        <w:rPr>
          <w:spacing w:val="-10"/>
        </w:rPr>
        <w:t>。</w:t>
      </w:r>
    </w:p>
    <w:p w:rsidR="00F279F7" w:rsidRPr="00131B9D" w:rsidRDefault="00F279F7" w:rsidP="00F279F7">
      <w:pPr>
        <w:pStyle w:val="-"/>
        <w:spacing w:before="72" w:after="72"/>
        <w:ind w:firstLine="560"/>
        <w:rPr>
          <w:spacing w:val="-10"/>
        </w:rPr>
      </w:pPr>
      <w:r w:rsidRPr="00131B9D">
        <w:t>第</w:t>
      </w:r>
      <w:r w:rsidRPr="00131B9D">
        <w:t>1</w:t>
      </w:r>
      <w:r w:rsidRPr="00131B9D">
        <w:t>季全世界第</w:t>
      </w:r>
      <w:r w:rsidRPr="00131B9D">
        <w:t>1</w:t>
      </w:r>
      <w:r w:rsidRPr="00131B9D">
        <w:t>大生產及出口國巴西，其主要產區降雨使得收成前景樂觀，糖的產量持續增加。而印度在經歷了</w:t>
      </w:r>
      <w:r w:rsidRPr="00131B9D">
        <w:t>5</w:t>
      </w:r>
      <w:r w:rsidRPr="00131B9D">
        <w:t>年的產出過剩後，因有大量庫存，故印度政府決定向糖出口提供補貼，以幫助削減庫存。全球第</w:t>
      </w:r>
      <w:r w:rsidRPr="00131B9D">
        <w:t>2</w:t>
      </w:r>
      <w:r w:rsidRPr="00131B9D">
        <w:t>大糖出口國泰國的情況方面，泰國甘蔗和糖委員會</w:t>
      </w:r>
      <w:r w:rsidRPr="00131B9D">
        <w:t>1</w:t>
      </w:r>
      <w:r w:rsidRPr="00131B9D">
        <w:t>月底表示，自</w:t>
      </w:r>
      <w:r w:rsidRPr="00131B9D">
        <w:t>2014</w:t>
      </w:r>
      <w:r w:rsidRPr="00131B9D">
        <w:t>年</w:t>
      </w:r>
      <w:r w:rsidRPr="00131B9D">
        <w:t>12</w:t>
      </w:r>
      <w:r w:rsidRPr="00131B9D">
        <w:t>月</w:t>
      </w:r>
      <w:r w:rsidRPr="00131B9D">
        <w:t>1</w:t>
      </w:r>
      <w:r w:rsidRPr="00131B9D">
        <w:t>日榨季開始以來的首</w:t>
      </w:r>
      <w:r w:rsidRPr="00131B9D">
        <w:t>2</w:t>
      </w:r>
      <w:r w:rsidRPr="00131B9D">
        <w:t>個月，泰國糖產量增加了</w:t>
      </w:r>
      <w:r w:rsidRPr="00131B9D">
        <w:t>12%</w:t>
      </w:r>
      <w:r w:rsidRPr="00131B9D">
        <w:t>，較</w:t>
      </w:r>
      <w:r w:rsidRPr="00131B9D">
        <w:t>2014</w:t>
      </w:r>
      <w:r w:rsidRPr="00131B9D">
        <w:t>年同期高，甘蔗壓榨量亦較</w:t>
      </w:r>
      <w:r w:rsidRPr="00131B9D">
        <w:t>2014</w:t>
      </w:r>
      <w:r w:rsidRPr="00131B9D">
        <w:t>年同期高，因此第</w:t>
      </w:r>
      <w:r w:rsidRPr="00131B9D">
        <w:t>1</w:t>
      </w:r>
      <w:r w:rsidRPr="00131B9D">
        <w:t>季時，全球糖市已充斥大量的供應。到了第</w:t>
      </w:r>
      <w:r w:rsidRPr="00131B9D">
        <w:t>2</w:t>
      </w:r>
      <w:r w:rsidRPr="00131B9D">
        <w:t>季，普氏能源資訊（</w:t>
      </w:r>
      <w:r w:rsidRPr="00131B9D">
        <w:t>Platts</w:t>
      </w:r>
      <w:r w:rsidRPr="00131B9D">
        <w:t>）旗下分析公司</w:t>
      </w:r>
      <w:r w:rsidRPr="00131B9D">
        <w:t>Kingsman</w:t>
      </w:r>
      <w:r w:rsidR="00EF2773" w:rsidRPr="00131B9D">
        <w:t xml:space="preserve"> </w:t>
      </w:r>
      <w:r w:rsidRPr="00131B9D">
        <w:t>5</w:t>
      </w:r>
      <w:r w:rsidRPr="00131B9D">
        <w:t>月</w:t>
      </w:r>
      <w:r w:rsidRPr="00131B9D">
        <w:t>12</w:t>
      </w:r>
      <w:r w:rsidRPr="00131B9D">
        <w:t>日報告估計，</w:t>
      </w:r>
      <w:r w:rsidRPr="00131B9D">
        <w:t>2014/15</w:t>
      </w:r>
      <w:r w:rsidRPr="00131B9D">
        <w:t>年度糖供應過剩</w:t>
      </w:r>
      <w:r w:rsidRPr="00131B9D">
        <w:t>339</w:t>
      </w:r>
      <w:r w:rsidRPr="00131B9D">
        <w:t>萬噸，短期全球仍將面臨非常充裕的供給以及龐大的庫存量，將會持續壓抑糖價；而</w:t>
      </w:r>
      <w:r w:rsidRPr="00131B9D">
        <w:rPr>
          <w:spacing w:val="-10"/>
        </w:rPr>
        <w:t>國際糖業組織（</w:t>
      </w:r>
      <w:r w:rsidRPr="00131B9D">
        <w:rPr>
          <w:spacing w:val="-10"/>
        </w:rPr>
        <w:t>International Sugar Organisation, ISO</w:t>
      </w:r>
      <w:r w:rsidRPr="00131B9D">
        <w:rPr>
          <w:spacing w:val="-10"/>
        </w:rPr>
        <w:t>）於</w:t>
      </w:r>
      <w:r w:rsidRPr="00131B9D">
        <w:rPr>
          <w:spacing w:val="-10"/>
        </w:rPr>
        <w:t>5</w:t>
      </w:r>
      <w:r w:rsidRPr="00131B9D">
        <w:rPr>
          <w:spacing w:val="-10"/>
        </w:rPr>
        <w:t>月</w:t>
      </w:r>
      <w:r w:rsidRPr="00131B9D">
        <w:rPr>
          <w:spacing w:val="-10"/>
        </w:rPr>
        <w:t>22</w:t>
      </w:r>
      <w:r w:rsidRPr="00131B9D">
        <w:rPr>
          <w:spacing w:val="-10"/>
        </w:rPr>
        <w:t>日發布糖市供需報告，上調</w:t>
      </w:r>
      <w:r w:rsidRPr="00131B9D">
        <w:rPr>
          <w:spacing w:val="-10"/>
        </w:rPr>
        <w:t>2015</w:t>
      </w:r>
      <w:r w:rsidRPr="00131B9D">
        <w:rPr>
          <w:spacing w:val="-10"/>
        </w:rPr>
        <w:t>年糖市過剩的預估，主要因為巴西與泰國等主要生產國的產量預估有所上調，此抵消了中國大陸因為行業普遍虧損，以及颱風造成損失的影響。巴西甘蔗產業聯盟（</w:t>
      </w:r>
      <w:r w:rsidRPr="00131B9D">
        <w:rPr>
          <w:spacing w:val="-10"/>
        </w:rPr>
        <w:t>Unica</w:t>
      </w:r>
      <w:r w:rsidRPr="00131B9D">
        <w:rPr>
          <w:spacing w:val="-10"/>
        </w:rPr>
        <w:t>）在其雙週報告中表示，</w:t>
      </w:r>
      <w:r w:rsidRPr="00131B9D">
        <w:rPr>
          <w:spacing w:val="-10"/>
        </w:rPr>
        <w:t>4</w:t>
      </w:r>
      <w:r w:rsidRPr="00131B9D">
        <w:rPr>
          <w:spacing w:val="-10"/>
        </w:rPr>
        <w:t>月份佔全國產量</w:t>
      </w:r>
      <w:r w:rsidRPr="00131B9D">
        <w:rPr>
          <w:spacing w:val="-10"/>
        </w:rPr>
        <w:t>9</w:t>
      </w:r>
      <w:r w:rsidRPr="00131B9D">
        <w:rPr>
          <w:spacing w:val="-10"/>
        </w:rPr>
        <w:t>成的中南部地區甘蔗壓榨量年增</w:t>
      </w:r>
      <w:r w:rsidRPr="00131B9D">
        <w:rPr>
          <w:spacing w:val="-10"/>
        </w:rPr>
        <w:t>11.5%</w:t>
      </w:r>
      <w:r w:rsidRPr="00131B9D">
        <w:rPr>
          <w:spacing w:val="-10"/>
        </w:rPr>
        <w:t>、糖產量年增</w:t>
      </w:r>
      <w:r w:rsidRPr="00131B9D">
        <w:rPr>
          <w:spacing w:val="-10"/>
        </w:rPr>
        <w:t>6%</w:t>
      </w:r>
      <w:r w:rsidRPr="00131B9D">
        <w:rPr>
          <w:spacing w:val="-10"/>
        </w:rPr>
        <w:t>，而乙醇產量則是年增</w:t>
      </w:r>
      <w:r w:rsidRPr="00131B9D">
        <w:rPr>
          <w:spacing w:val="-10"/>
        </w:rPr>
        <w:t>19%</w:t>
      </w:r>
      <w:r w:rsidRPr="00131B9D">
        <w:rPr>
          <w:spacing w:val="-10"/>
        </w:rPr>
        <w:t>。而印度糖廠協會（</w:t>
      </w:r>
      <w:r w:rsidRPr="00131B9D">
        <w:rPr>
          <w:spacing w:val="-10"/>
        </w:rPr>
        <w:t>ISMA</w:t>
      </w:r>
      <w:r w:rsidRPr="00131B9D">
        <w:rPr>
          <w:spacing w:val="-10"/>
        </w:rPr>
        <w:t>）</w:t>
      </w:r>
      <w:r w:rsidRPr="00131B9D">
        <w:rPr>
          <w:spacing w:val="-10"/>
        </w:rPr>
        <w:t>5</w:t>
      </w:r>
      <w:r w:rsidRPr="00131B9D">
        <w:rPr>
          <w:spacing w:val="-10"/>
        </w:rPr>
        <w:t>月報告稱，估計印度</w:t>
      </w:r>
      <w:r w:rsidRPr="00131B9D">
        <w:rPr>
          <w:spacing w:val="-10"/>
        </w:rPr>
        <w:t>2014/15</w:t>
      </w:r>
      <w:r w:rsidRPr="00131B9D">
        <w:rPr>
          <w:spacing w:val="-10"/>
        </w:rPr>
        <w:t>年度末，印度糖庫存為</w:t>
      </w:r>
      <w:r w:rsidRPr="00131B9D">
        <w:rPr>
          <w:spacing w:val="-10"/>
        </w:rPr>
        <w:t>950</w:t>
      </w:r>
      <w:r w:rsidRPr="00131B9D">
        <w:rPr>
          <w:spacing w:val="-10"/>
        </w:rPr>
        <w:t>萬噸，較正常需求高出</w:t>
      </w:r>
      <w:r w:rsidRPr="00131B9D">
        <w:rPr>
          <w:spacing w:val="-10"/>
        </w:rPr>
        <w:t>350</w:t>
      </w:r>
      <w:r w:rsidRPr="00131B9D">
        <w:rPr>
          <w:spacing w:val="-10"/>
        </w:rPr>
        <w:t>萬噸。</w:t>
      </w:r>
    </w:p>
    <w:p w:rsidR="00F279F7" w:rsidRPr="00131B9D" w:rsidRDefault="00F279F7" w:rsidP="00F279F7">
      <w:pPr>
        <w:pStyle w:val="-"/>
        <w:spacing w:before="72" w:after="72"/>
        <w:ind w:firstLine="520"/>
        <w:rPr>
          <w:spacing w:val="-10"/>
        </w:rPr>
      </w:pPr>
      <w:r w:rsidRPr="00131B9D">
        <w:rPr>
          <w:spacing w:val="-10"/>
        </w:rPr>
        <w:t>時至第</w:t>
      </w:r>
      <w:r w:rsidRPr="00131B9D">
        <w:rPr>
          <w:spacing w:val="-10"/>
        </w:rPr>
        <w:t>3</w:t>
      </w:r>
      <w:r w:rsidRPr="00131B9D">
        <w:rPr>
          <w:spacing w:val="-10"/>
        </w:rPr>
        <w:t>季，印度糖廠協會</w:t>
      </w:r>
      <w:r w:rsidRPr="00131B9D">
        <w:rPr>
          <w:spacing w:val="-10"/>
        </w:rPr>
        <w:t>7</w:t>
      </w:r>
      <w:r w:rsidRPr="00131B9D">
        <w:rPr>
          <w:spacing w:val="-10"/>
        </w:rPr>
        <w:t>月預估，</w:t>
      </w:r>
      <w:r w:rsidRPr="00131B9D">
        <w:rPr>
          <w:spacing w:val="-10"/>
        </w:rPr>
        <w:t>2014/2015</w:t>
      </w:r>
      <w:r w:rsidRPr="00131B9D">
        <w:rPr>
          <w:spacing w:val="-10"/>
        </w:rPr>
        <w:t>年度印度糖產量預計為</w:t>
      </w:r>
      <w:r w:rsidRPr="00131B9D">
        <w:rPr>
          <w:spacing w:val="-10"/>
        </w:rPr>
        <w:t>2,830</w:t>
      </w:r>
      <w:r w:rsidRPr="00131B9D">
        <w:rPr>
          <w:spacing w:val="-10"/>
        </w:rPr>
        <w:t>萬噸，而國內需求約為</w:t>
      </w:r>
      <w:r w:rsidRPr="00131B9D">
        <w:rPr>
          <w:spacing w:val="-10"/>
        </w:rPr>
        <w:t>2,500</w:t>
      </w:r>
      <w:r w:rsidRPr="00131B9D">
        <w:rPr>
          <w:spacing w:val="-10"/>
        </w:rPr>
        <w:t>萬噸，印度糖產量可能連續第六年過剩，加劇全球市場供給過剩的局面，而巴西里耳兌美元匯率於</w:t>
      </w:r>
      <w:r w:rsidRPr="00131B9D">
        <w:rPr>
          <w:spacing w:val="-10"/>
        </w:rPr>
        <w:t>8</w:t>
      </w:r>
      <w:r w:rsidRPr="00131B9D">
        <w:rPr>
          <w:spacing w:val="-10"/>
        </w:rPr>
        <w:t>月</w:t>
      </w:r>
      <w:r w:rsidRPr="00131B9D">
        <w:rPr>
          <w:spacing w:val="-10"/>
        </w:rPr>
        <w:t>31</w:t>
      </w:r>
      <w:r w:rsidRPr="00131B9D">
        <w:rPr>
          <w:spacing w:val="-10"/>
        </w:rPr>
        <w:t>日跌至</w:t>
      </w:r>
      <w:r w:rsidRPr="00131B9D">
        <w:rPr>
          <w:spacing w:val="-10"/>
        </w:rPr>
        <w:t>12</w:t>
      </w:r>
      <w:r w:rsidRPr="00131B9D">
        <w:rPr>
          <w:spacing w:val="-10"/>
        </w:rPr>
        <w:t>年半來低點，作為全球最大的糖產國與出口國，里耳貶值激勵生產商出口更多的糖來換取美元，令糖市的供應增加進而拖累糖價。</w:t>
      </w:r>
      <w:r w:rsidRPr="00131B9D">
        <w:rPr>
          <w:spacing w:val="-10"/>
        </w:rPr>
        <w:t>9</w:t>
      </w:r>
      <w:r w:rsidRPr="00131B9D">
        <w:rPr>
          <w:spacing w:val="-10"/>
        </w:rPr>
        <w:t>月</w:t>
      </w:r>
      <w:r w:rsidRPr="00131B9D">
        <w:rPr>
          <w:spacing w:val="-10"/>
        </w:rPr>
        <w:lastRenderedPageBreak/>
        <w:t>之後，印度發生乾旱，頭號產糖邦馬邦今年的糖產量可能受到影響。歐盟部分，法國因農戶減少甜菜播種面積，且夏季期間天氣乾熱，限制了單產前景；德國則因種植面積和單產低於去年，今年的糖產量預計減少；波蘭則為去化庫存而減少甜菜種植面積，預期今年的產量會低於去年。普遍看來，因甜菜種植面積銳減，多數國家糖產量下滑，使歐盟今年糖產量預計將較</w:t>
      </w:r>
      <w:r w:rsidRPr="00131B9D">
        <w:rPr>
          <w:spacing w:val="-10"/>
        </w:rPr>
        <w:t>2014</w:t>
      </w:r>
      <w:r w:rsidRPr="00131B9D">
        <w:rPr>
          <w:spacing w:val="-10"/>
        </w:rPr>
        <w:t>年減少。巴西則因幾輪降雨令許多糖廠的壓榨工作暫停，</w:t>
      </w:r>
      <w:r w:rsidRPr="00131B9D">
        <w:rPr>
          <w:spacing w:val="-10"/>
        </w:rPr>
        <w:t>9</w:t>
      </w:r>
      <w:r w:rsidRPr="00131B9D">
        <w:rPr>
          <w:spacing w:val="-10"/>
        </w:rPr>
        <w:t>月的糖產量數據有所下降，加上相對於糖來說，乙醇能為巴西壓榨廠帶來他們所需的現金流，因此對於現金匱乏的巴西壓榨廠更傾向生產乙醇，在諸多供給面不利消息的影響之下，糖價開始上漲。</w:t>
      </w:r>
    </w:p>
    <w:p w:rsidR="00F279F7" w:rsidRPr="00131B9D" w:rsidRDefault="00F279F7" w:rsidP="00F279F7">
      <w:pPr>
        <w:pStyle w:val="-"/>
        <w:spacing w:before="72" w:after="72"/>
        <w:ind w:firstLine="520"/>
        <w:rPr>
          <w:spacing w:val="-10"/>
        </w:rPr>
      </w:pPr>
      <w:r w:rsidRPr="00131B9D">
        <w:rPr>
          <w:spacing w:val="-10"/>
        </w:rPr>
        <w:t>10</w:t>
      </w:r>
      <w:r w:rsidRPr="00131B9D">
        <w:rPr>
          <w:spacing w:val="-10"/>
        </w:rPr>
        <w:t>月過後，延續</w:t>
      </w:r>
      <w:r w:rsidRPr="00131B9D">
        <w:rPr>
          <w:spacing w:val="-10"/>
        </w:rPr>
        <w:t>9</w:t>
      </w:r>
      <w:r w:rsidRPr="00131B9D">
        <w:rPr>
          <w:spacing w:val="-10"/>
        </w:rPr>
        <w:t>月供給面的不利消息，因巴西農民憂慮雨量太多，令甘蔗含糖量降低，而且潮濕天氣也不利蔗糖儲存，以及預期有更多甘蔗用於生產乙醇，加上其他產糖國印度、泰國有乾旱現象，使糖價走高。</w:t>
      </w:r>
      <w:r w:rsidRPr="00131B9D">
        <w:rPr>
          <w:spacing w:val="-10"/>
        </w:rPr>
        <w:t>11</w:t>
      </w:r>
      <w:r w:rsidRPr="00131B9D">
        <w:rPr>
          <w:spacing w:val="-10"/>
        </w:rPr>
        <w:t>月初因美元飆升，造成糖價略微回落，但隨後因巴西乙醇銷量及價格將創紀錄影響，使糖價再度走高。</w:t>
      </w:r>
    </w:p>
    <w:p w:rsidR="00F279F7" w:rsidRPr="00131B9D" w:rsidRDefault="00F279F7" w:rsidP="00F279F7">
      <w:pPr>
        <w:pStyle w:val="-"/>
        <w:spacing w:before="72" w:after="72"/>
        <w:ind w:firstLineChars="138" w:firstLine="387"/>
      </w:pPr>
      <w:r w:rsidRPr="00131B9D">
        <w:rPr>
          <w:b/>
        </w:rPr>
        <w:t>需求國：</w:t>
      </w:r>
      <w:r w:rsidRPr="00131B9D">
        <w:rPr>
          <w:spacing w:val="-10"/>
        </w:rPr>
        <w:t>世界五大糖消費國家依序為印度、歐盟、中國大陸、巴西及美國，根據美國農業部</w:t>
      </w:r>
      <w:r w:rsidRPr="00131B9D">
        <w:rPr>
          <w:spacing w:val="-10"/>
        </w:rPr>
        <w:t>11</w:t>
      </w:r>
      <w:r w:rsidRPr="00131B9D">
        <w:rPr>
          <w:spacing w:val="-10"/>
        </w:rPr>
        <w:t>月</w:t>
      </w:r>
      <w:r w:rsidRPr="00131B9D">
        <w:rPr>
          <w:spacing w:val="-10"/>
        </w:rPr>
        <w:t>20</w:t>
      </w:r>
      <w:r w:rsidRPr="00131B9D">
        <w:rPr>
          <w:spacing w:val="-10"/>
        </w:rPr>
        <w:t>日發布的全球糖市與貿易報告估計，全球</w:t>
      </w:r>
      <w:r w:rsidRPr="00131B9D">
        <w:rPr>
          <w:spacing w:val="-10"/>
        </w:rPr>
        <w:t>2014/15</w:t>
      </w:r>
      <w:r w:rsidRPr="00131B9D">
        <w:rPr>
          <w:spacing w:val="-10"/>
        </w:rPr>
        <w:t>年糖需求量為</w:t>
      </w:r>
      <w:r w:rsidRPr="00131B9D">
        <w:rPr>
          <w:spacing w:val="-10"/>
        </w:rPr>
        <w:t>170.83</w:t>
      </w:r>
      <w:r w:rsidRPr="00131B9D">
        <w:rPr>
          <w:spacing w:val="-10"/>
        </w:rPr>
        <w:t>百萬公噸，其中印度需求量為</w:t>
      </w:r>
      <w:r w:rsidRPr="00131B9D">
        <w:rPr>
          <w:spacing w:val="-10"/>
        </w:rPr>
        <w:t>27.20</w:t>
      </w:r>
      <w:r w:rsidRPr="00131B9D">
        <w:rPr>
          <w:spacing w:val="-10"/>
        </w:rPr>
        <w:t>百萬公噸、歐盟需求量為</w:t>
      </w:r>
      <w:r w:rsidRPr="00131B9D">
        <w:rPr>
          <w:spacing w:val="-10"/>
        </w:rPr>
        <w:t>18.70</w:t>
      </w:r>
      <w:r w:rsidRPr="00131B9D">
        <w:rPr>
          <w:spacing w:val="-10"/>
        </w:rPr>
        <w:t>百萬公噸、中國大陸需求量為</w:t>
      </w:r>
      <w:r w:rsidRPr="00131B9D">
        <w:rPr>
          <w:spacing w:val="-10"/>
        </w:rPr>
        <w:t>17.56</w:t>
      </w:r>
      <w:r w:rsidRPr="00131B9D">
        <w:rPr>
          <w:spacing w:val="-10"/>
        </w:rPr>
        <w:t>百萬公噸、巴西需求量為</w:t>
      </w:r>
      <w:r w:rsidRPr="00131B9D">
        <w:rPr>
          <w:spacing w:val="-10"/>
        </w:rPr>
        <w:t>11.50</w:t>
      </w:r>
      <w:r w:rsidRPr="00131B9D">
        <w:rPr>
          <w:spacing w:val="-10"/>
        </w:rPr>
        <w:t>百萬公噸、美國需求量為</w:t>
      </w:r>
      <w:r w:rsidRPr="00131B9D">
        <w:rPr>
          <w:spacing w:val="-10"/>
        </w:rPr>
        <w:t>10.84</w:t>
      </w:r>
      <w:r w:rsidRPr="00131B9D">
        <w:rPr>
          <w:spacing w:val="-10"/>
        </w:rPr>
        <w:t>百萬公噸</w:t>
      </w:r>
      <w:r w:rsidRPr="00131B9D">
        <w:t>（如</w:t>
      </w:r>
      <w:r w:rsidR="00473701" w:rsidRPr="00131B9D">
        <w:t>表</w:t>
      </w:r>
      <w:r w:rsidRPr="00131B9D">
        <w:t>3-5</w:t>
      </w:r>
      <w:r w:rsidRPr="00131B9D">
        <w:t>）</w:t>
      </w:r>
      <w:r w:rsidRPr="00131B9D">
        <w:rPr>
          <w:spacing w:val="-10"/>
        </w:rPr>
        <w:t>。</w:t>
      </w:r>
    </w:p>
    <w:p w:rsidR="00F279F7" w:rsidRPr="00131B9D" w:rsidRDefault="00127C79" w:rsidP="00F279F7">
      <w:pPr>
        <w:pStyle w:val="-"/>
        <w:spacing w:before="72" w:after="72"/>
        <w:ind w:firstLine="560"/>
      </w:pPr>
      <w:r w:rsidRPr="00131B9D">
        <w:t>糖貿易商</w:t>
      </w:r>
      <w:r w:rsidRPr="00131B9D">
        <w:t>11</w:t>
      </w:r>
      <w:r w:rsidRPr="00131B9D">
        <w:t>月表示，因發展中國家人民經濟實力提升，糖消費量以每年約</w:t>
      </w:r>
      <w:r w:rsidRPr="00131B9D">
        <w:t>2%</w:t>
      </w:r>
      <w:r w:rsidRPr="00131B9D">
        <w:t>的幅度增加，相當於</w:t>
      </w:r>
      <w:r w:rsidRPr="00131B9D">
        <w:t>300-400</w:t>
      </w:r>
      <w:r w:rsidRPr="00131B9D">
        <w:t>萬噸。國際糖業組織（</w:t>
      </w:r>
      <w:r w:rsidRPr="00131B9D">
        <w:t>ISO</w:t>
      </w:r>
      <w:r w:rsidRPr="00131B9D">
        <w:t>）的執行董事在</w:t>
      </w:r>
      <w:r w:rsidRPr="00131B9D">
        <w:t>11</w:t>
      </w:r>
      <w:r w:rsidRPr="00131B9D">
        <w:t>月行業會議上指出，預計</w:t>
      </w:r>
      <w:r w:rsidRPr="00131B9D">
        <w:t>2016</w:t>
      </w:r>
      <w:r w:rsidRPr="00131B9D">
        <w:t>年全球糖消費量將增加</w:t>
      </w:r>
      <w:r w:rsidRPr="00131B9D">
        <w:t>2.5%</w:t>
      </w:r>
      <w:r w:rsidRPr="00131B9D">
        <w:t>。其次，印尼是全球最大的糖進口國，由印尼貿易部資料顯示，年初至</w:t>
      </w:r>
      <w:r w:rsidRPr="00131B9D">
        <w:t>9</w:t>
      </w:r>
      <w:r w:rsidRPr="00131B9D">
        <w:t>月中，印尼已進口糖大約</w:t>
      </w:r>
      <w:r w:rsidRPr="00131B9D">
        <w:t>240</w:t>
      </w:r>
      <w:r w:rsidRPr="00131B9D">
        <w:t>萬噸，第</w:t>
      </w:r>
      <w:r w:rsidRPr="00131B9D">
        <w:t>4</w:t>
      </w:r>
      <w:r w:rsidRPr="00131B9D">
        <w:t>季度預計將進口</w:t>
      </w:r>
      <w:r w:rsidRPr="00131B9D">
        <w:t>80</w:t>
      </w:r>
      <w:r w:rsidRPr="00131B9D">
        <w:t>萬噸。而行業組織</w:t>
      </w:r>
      <w:r w:rsidRPr="00131B9D">
        <w:t>11</w:t>
      </w:r>
      <w:r w:rsidRPr="00131B9D">
        <w:t>月</w:t>
      </w:r>
      <w:r w:rsidRPr="00131B9D">
        <w:t>16</w:t>
      </w:r>
      <w:r w:rsidRPr="00131B9D">
        <w:t>日稱，因食品及飲料行業需求上升，</w:t>
      </w:r>
      <w:r w:rsidRPr="00131B9D">
        <w:t>2016</w:t>
      </w:r>
      <w:r w:rsidRPr="00131B9D">
        <w:t>年印尼糖進口量預計增長</w:t>
      </w:r>
      <w:r w:rsidRPr="00131B9D">
        <w:t>5%</w:t>
      </w:r>
      <w:r w:rsidRPr="00131B9D">
        <w:t>，且</w:t>
      </w:r>
      <w:r w:rsidRPr="00131B9D">
        <w:t>2016</w:t>
      </w:r>
      <w:r w:rsidRPr="00131B9D">
        <w:t>年糖進口量將為</w:t>
      </w:r>
      <w:r w:rsidRPr="00131B9D">
        <w:t>325</w:t>
      </w:r>
      <w:r w:rsidRPr="00131B9D">
        <w:t>萬噸，高於</w:t>
      </w:r>
      <w:r w:rsidRPr="00131B9D">
        <w:t>2015</w:t>
      </w:r>
      <w:r w:rsidRPr="00131B9D">
        <w:t>年的</w:t>
      </w:r>
      <w:r w:rsidRPr="00131B9D">
        <w:t>310</w:t>
      </w:r>
      <w:r w:rsidRPr="00131B9D">
        <w:t>萬噸；中國大陸部分，因其食品製造業不斷的成長以及本國糖的生產量下降，中國大陸糖進口一直增長，今年有</w:t>
      </w:r>
      <w:r w:rsidRPr="00131B9D">
        <w:lastRenderedPageBreak/>
        <w:t>望成為全球最大的糖進口國。而今年前</w:t>
      </w:r>
      <w:r w:rsidRPr="00131B9D">
        <w:t>8</w:t>
      </w:r>
      <w:r w:rsidRPr="00131B9D">
        <w:t>個月，中國大陸進口超過</w:t>
      </w:r>
      <w:r w:rsidRPr="00131B9D">
        <w:t>300</w:t>
      </w:r>
      <w:r w:rsidRPr="00131B9D">
        <w:t>萬噸糖，較去年同期增長</w:t>
      </w:r>
      <w:r w:rsidRPr="00131B9D">
        <w:t>51%</w:t>
      </w:r>
      <w:r w:rsidRPr="00131B9D">
        <w:t>。值得注意的是，中國大陸明年糖產量初步預計在</w:t>
      </w:r>
      <w:r w:rsidRPr="00131B9D">
        <w:t>900</w:t>
      </w:r>
      <w:r w:rsidRPr="00131B9D">
        <w:t>萬噸左右，遠低於</w:t>
      </w:r>
      <w:r w:rsidRPr="00131B9D">
        <w:t>2014/15</w:t>
      </w:r>
      <w:r w:rsidRPr="00131B9D">
        <w:t>年度的</w:t>
      </w:r>
      <w:r w:rsidRPr="00131B9D">
        <w:t>1,050</w:t>
      </w:r>
      <w:r w:rsidRPr="00131B9D">
        <w:t>萬噸，減產可能推動中國大陸國內糖價進一步升高，並促使從</w:t>
      </w:r>
      <w:r w:rsidRPr="00131B9D">
        <w:t>10</w:t>
      </w:r>
      <w:r w:rsidRPr="00131B9D">
        <w:t>月開始的</w:t>
      </w:r>
      <w:r w:rsidRPr="00131B9D">
        <w:t>2015/16</w:t>
      </w:r>
      <w:r w:rsidRPr="00131B9D">
        <w:t>年度進口增加。此外，國際糖價與中國大陸本地不合理的高糖價存在巨大差距，即便配額外的進口須課</w:t>
      </w:r>
      <w:r w:rsidRPr="00131B9D">
        <w:t>50%</w:t>
      </w:r>
      <w:r w:rsidRPr="00131B9D">
        <w:t>之關稅仍有利，將使進口增幅更加劇烈。</w:t>
      </w:r>
    </w:p>
    <w:p w:rsidR="00C665AA" w:rsidRPr="00131B9D" w:rsidRDefault="00C665AA" w:rsidP="00C665AA"/>
    <w:p w:rsidR="00F279F7" w:rsidRPr="00131B9D" w:rsidRDefault="00F279F7" w:rsidP="00F279F7">
      <w:pPr>
        <w:pStyle w:val="-"/>
        <w:spacing w:before="72" w:after="72"/>
        <w:ind w:firstLineChars="0" w:firstLine="0"/>
        <w:rPr>
          <w:spacing w:val="-10"/>
        </w:rPr>
      </w:pPr>
      <w:r w:rsidRPr="00131B9D">
        <w:rPr>
          <w:b/>
        </w:rPr>
        <w:t>3.</w:t>
      </w:r>
      <w:r w:rsidRPr="00131B9D">
        <w:rPr>
          <w:b/>
        </w:rPr>
        <w:t xml:space="preserve">　</w:t>
      </w:r>
      <w:r w:rsidRPr="00131B9D">
        <w:rPr>
          <w:b/>
        </w:rPr>
        <w:t>2016</w:t>
      </w:r>
      <w:r w:rsidRPr="00131B9D">
        <w:rPr>
          <w:b/>
        </w:rPr>
        <w:t>年展望</w:t>
      </w:r>
    </w:p>
    <w:p w:rsidR="00F279F7" w:rsidRPr="00131B9D" w:rsidRDefault="00127C79" w:rsidP="00F279F7">
      <w:pPr>
        <w:pStyle w:val="-"/>
        <w:spacing w:before="72" w:after="72"/>
        <w:ind w:firstLine="560"/>
        <w:sectPr w:rsidR="00F279F7" w:rsidRPr="00131B9D" w:rsidSect="00097B8D">
          <w:pgSz w:w="11906" w:h="16838"/>
          <w:pgMar w:top="1440" w:right="1800" w:bottom="1440" w:left="1800" w:header="851" w:footer="992" w:gutter="0"/>
          <w:cols w:space="425"/>
          <w:docGrid w:type="lines" w:linePitch="360"/>
        </w:sectPr>
      </w:pPr>
      <w:r w:rsidRPr="00131B9D">
        <w:t>國際糖業組織（</w:t>
      </w:r>
      <w:r w:rsidRPr="00131B9D">
        <w:t>ISO</w:t>
      </w:r>
      <w:r w:rsidRPr="00131B9D">
        <w:t>）</w:t>
      </w:r>
      <w:r w:rsidRPr="00131B9D">
        <w:t>11</w:t>
      </w:r>
      <w:r w:rsidRPr="00131B9D">
        <w:t>月</w:t>
      </w:r>
      <w:r w:rsidRPr="00131B9D">
        <w:t>5</w:t>
      </w:r>
      <w:r w:rsidRPr="00131B9D">
        <w:t>日報告上調本年度糖市短缺預估，並預期下年度的缺口將繼續擴大。因歐盟糖產量預估下調</w:t>
      </w:r>
      <w:r w:rsidRPr="00131B9D">
        <w:t>52</w:t>
      </w:r>
      <w:r w:rsidRPr="00131B9D">
        <w:t>萬噸至</w:t>
      </w:r>
      <w:r w:rsidRPr="00131B9D">
        <w:t>1,498</w:t>
      </w:r>
      <w:r w:rsidRPr="00131B9D">
        <w:t>萬噸，以及印度糖產量預估下調</w:t>
      </w:r>
      <w:r w:rsidRPr="00131B9D">
        <w:t>74.5</w:t>
      </w:r>
      <w:r w:rsidRPr="00131B9D">
        <w:t>萬噸至</w:t>
      </w:r>
      <w:r w:rsidRPr="00131B9D">
        <w:t>2,700</w:t>
      </w:r>
      <w:r w:rsidRPr="00131B9D">
        <w:t>萬噸的影響，巴西糖產量預估則維持不變為</w:t>
      </w:r>
      <w:r w:rsidRPr="00131B9D">
        <w:t>3,559</w:t>
      </w:r>
      <w:r w:rsidRPr="00131B9D">
        <w:t>萬噸，較上一年度增加</w:t>
      </w:r>
      <w:r w:rsidRPr="00131B9D">
        <w:t>280</w:t>
      </w:r>
      <w:r w:rsidRPr="00131B9D">
        <w:t>萬噸，故</w:t>
      </w:r>
      <w:r w:rsidRPr="00131B9D">
        <w:t>ISO</w:t>
      </w:r>
      <w:r w:rsidRPr="00131B9D">
        <w:t>將自</w:t>
      </w:r>
      <w:r w:rsidRPr="00131B9D">
        <w:t>10</w:t>
      </w:r>
      <w:r w:rsidRPr="00131B9D">
        <w:t>月起的</w:t>
      </w:r>
      <w:r w:rsidRPr="00131B9D">
        <w:t>2015/16</w:t>
      </w:r>
      <w:r w:rsidRPr="00131B9D">
        <w:t>年度糖市短缺預估較</w:t>
      </w:r>
      <w:r w:rsidRPr="00131B9D">
        <w:t>10</w:t>
      </w:r>
      <w:r w:rsidRPr="00131B9D">
        <w:t>月上調</w:t>
      </w:r>
      <w:r w:rsidRPr="00131B9D">
        <w:t>104</w:t>
      </w:r>
      <w:r w:rsidRPr="00131B9D">
        <w:t>萬噸至</w:t>
      </w:r>
      <w:r w:rsidRPr="00131B9D">
        <w:t>353</w:t>
      </w:r>
      <w:r w:rsidRPr="00131B9D">
        <w:t>萬噸。摩根士丹利（</w:t>
      </w:r>
      <w:r w:rsidRPr="00131B9D">
        <w:t>Morgan Stanley</w:t>
      </w:r>
      <w:r w:rsidRPr="00131B9D">
        <w:t>）</w:t>
      </w:r>
      <w:r w:rsidRPr="00131B9D">
        <w:t>11</w:t>
      </w:r>
      <w:r w:rsidRPr="00131B9D">
        <w:t>月報告亦看好糖價表現，因預期糖市在連續多年的供給過剩之後，</w:t>
      </w:r>
      <w:r w:rsidRPr="00131B9D">
        <w:t>2015/16</w:t>
      </w:r>
      <w:r w:rsidRPr="00131B9D">
        <w:t>年將重新轉為供給短缺，其指出因最大產國巴西有更多的甘蔗用於生產乙醇，而中國大陸可能因為國內糖產量減少而增加進口糖，並且聖嬰現象也對泰國的糖產量造成威脅，因此糖市基本面將支撐糖價走升。</w:t>
      </w:r>
    </w:p>
    <w:p w:rsidR="00F279F7" w:rsidRPr="00131B9D" w:rsidRDefault="00F279F7" w:rsidP="00F279F7">
      <w:pPr>
        <w:pStyle w:val="aff1"/>
        <w:spacing w:line="0" w:lineRule="atLeast"/>
        <w:rPr>
          <w:b w:val="0"/>
          <w:bCs/>
          <w:kern w:val="52"/>
          <w:szCs w:val="28"/>
        </w:rPr>
      </w:pPr>
      <w:bookmarkStart w:id="111" w:name="_Ref375206589"/>
      <w:bookmarkStart w:id="112" w:name="_Toc365015463"/>
      <w:bookmarkStart w:id="113" w:name="_Toc373682411"/>
      <w:bookmarkStart w:id="114" w:name="_Toc375298452"/>
      <w:bookmarkStart w:id="115" w:name="_Toc398909989"/>
      <w:bookmarkStart w:id="116" w:name="_Toc439162994"/>
      <w:r w:rsidRPr="00131B9D">
        <w:rPr>
          <w:bCs/>
          <w:kern w:val="52"/>
          <w:szCs w:val="28"/>
        </w:rPr>
        <w:lastRenderedPageBreak/>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5</w:t>
      </w:r>
      <w:r w:rsidRPr="00131B9D">
        <w:rPr>
          <w:b w:val="0"/>
          <w:bCs/>
          <w:kern w:val="52"/>
          <w:szCs w:val="28"/>
        </w:rPr>
        <w:fldChar w:fldCharType="end"/>
      </w:r>
      <w:r w:rsidRPr="00131B9D">
        <w:rPr>
          <w:bCs/>
          <w:kern w:val="52"/>
          <w:szCs w:val="28"/>
        </w:rPr>
        <w:t xml:space="preserve">　全球糖供需概況</w:t>
      </w:r>
      <w:bookmarkEnd w:id="111"/>
      <w:bookmarkEnd w:id="112"/>
      <w:bookmarkEnd w:id="113"/>
      <w:bookmarkEnd w:id="114"/>
      <w:bookmarkEnd w:id="115"/>
      <w:bookmarkEnd w:id="116"/>
    </w:p>
    <w:tbl>
      <w:tblPr>
        <w:tblW w:w="8640" w:type="dxa"/>
        <w:tblInd w:w="13" w:type="dxa"/>
        <w:tblCellMar>
          <w:left w:w="28" w:type="dxa"/>
          <w:right w:w="28" w:type="dxa"/>
        </w:tblCellMar>
        <w:tblLook w:val="00A0" w:firstRow="1" w:lastRow="0" w:firstColumn="1" w:lastColumn="0" w:noHBand="0" w:noVBand="0"/>
      </w:tblPr>
      <w:tblGrid>
        <w:gridCol w:w="443"/>
        <w:gridCol w:w="1807"/>
        <w:gridCol w:w="947"/>
        <w:gridCol w:w="979"/>
        <w:gridCol w:w="838"/>
        <w:gridCol w:w="966"/>
        <w:gridCol w:w="838"/>
        <w:gridCol w:w="826"/>
        <w:gridCol w:w="996"/>
      </w:tblGrid>
      <w:tr w:rsidR="00F279F7" w:rsidRPr="00131B9D" w:rsidTr="00F279F7">
        <w:trPr>
          <w:trHeight w:val="339"/>
        </w:trPr>
        <w:tc>
          <w:tcPr>
            <w:tcW w:w="2250" w:type="dxa"/>
            <w:gridSpan w:val="2"/>
            <w:vMerge w:val="restart"/>
            <w:tcBorders>
              <w:top w:val="single" w:sz="8" w:space="0" w:color="auto"/>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（千公噸）</w:t>
            </w:r>
          </w:p>
        </w:tc>
        <w:tc>
          <w:tcPr>
            <w:tcW w:w="2764" w:type="dxa"/>
            <w:gridSpan w:val="3"/>
            <w:tcBorders>
              <w:top w:val="single" w:sz="8" w:space="0" w:color="auto"/>
              <w:left w:val="nil"/>
              <w:bottom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供給</w:t>
            </w:r>
          </w:p>
        </w:tc>
        <w:tc>
          <w:tcPr>
            <w:tcW w:w="2630" w:type="dxa"/>
            <w:gridSpan w:val="3"/>
            <w:tcBorders>
              <w:top w:val="single" w:sz="8" w:space="0" w:color="auto"/>
              <w:left w:val="nil"/>
              <w:bottom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需求</w:t>
            </w:r>
          </w:p>
        </w:tc>
        <w:tc>
          <w:tcPr>
            <w:tcW w:w="996" w:type="dxa"/>
            <w:vMerge w:val="restart"/>
            <w:tcBorders>
              <w:top w:val="single" w:sz="8" w:space="0" w:color="auto"/>
              <w:left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p w:rsidR="00F279F7" w:rsidRPr="00131B9D" w:rsidRDefault="00F279F7" w:rsidP="00F279F7">
            <w:pPr>
              <w:spacing w:line="240" w:lineRule="exact"/>
              <w:jc w:val="center"/>
              <w:rPr>
                <w:rFonts w:eastAsia="標楷體"/>
                <w:kern w:val="0"/>
              </w:rPr>
            </w:pPr>
            <w:r w:rsidRPr="00131B9D">
              <w:rPr>
                <w:rFonts w:eastAsia="標楷體"/>
                <w:kern w:val="0"/>
              </w:rPr>
              <w:t>變化</w:t>
            </w:r>
          </w:p>
        </w:tc>
      </w:tr>
      <w:tr w:rsidR="00F279F7" w:rsidRPr="00131B9D" w:rsidTr="00F279F7">
        <w:trPr>
          <w:trHeight w:val="336"/>
        </w:trPr>
        <w:tc>
          <w:tcPr>
            <w:tcW w:w="2250" w:type="dxa"/>
            <w:gridSpan w:val="2"/>
            <w:vMerge/>
            <w:tcBorders>
              <w:top w:val="single" w:sz="8" w:space="0" w:color="auto"/>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947" w:type="dxa"/>
            <w:tcBorders>
              <w:top w:val="nil"/>
              <w:left w:val="nil"/>
              <w:bottom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期初</w:t>
            </w:r>
          </w:p>
        </w:tc>
        <w:tc>
          <w:tcPr>
            <w:tcW w:w="979"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生產</w:t>
            </w:r>
          </w:p>
        </w:tc>
        <w:tc>
          <w:tcPr>
            <w:tcW w:w="838"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進口</w:t>
            </w:r>
          </w:p>
        </w:tc>
        <w:tc>
          <w:tcPr>
            <w:tcW w:w="966"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國內</w:t>
            </w:r>
          </w:p>
        </w:tc>
        <w:tc>
          <w:tcPr>
            <w:tcW w:w="838" w:type="dxa"/>
            <w:vMerge w:val="restart"/>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出口</w:t>
            </w:r>
          </w:p>
        </w:tc>
        <w:tc>
          <w:tcPr>
            <w:tcW w:w="826" w:type="dxa"/>
            <w:tcBorders>
              <w:top w:val="nil"/>
              <w:left w:val="nil"/>
              <w:bottom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期末</w:t>
            </w:r>
          </w:p>
        </w:tc>
        <w:tc>
          <w:tcPr>
            <w:tcW w:w="996" w:type="dxa"/>
            <w:vMerge/>
            <w:tcBorders>
              <w:left w:val="nil"/>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r>
      <w:tr w:rsidR="00F279F7" w:rsidRPr="00131B9D" w:rsidTr="00F279F7">
        <w:trPr>
          <w:trHeight w:val="53"/>
        </w:trPr>
        <w:tc>
          <w:tcPr>
            <w:tcW w:w="2250" w:type="dxa"/>
            <w:gridSpan w:val="2"/>
            <w:vMerge/>
            <w:tcBorders>
              <w:top w:val="single" w:sz="8" w:space="0" w:color="auto"/>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947" w:type="dxa"/>
            <w:tcBorders>
              <w:top w:val="nil"/>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tc>
        <w:tc>
          <w:tcPr>
            <w:tcW w:w="979"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38"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966"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38" w:type="dxa"/>
            <w:vMerge/>
            <w:tcBorders>
              <w:top w:val="nil"/>
              <w:left w:val="single" w:sz="8" w:space="0" w:color="auto"/>
              <w:bottom w:val="single" w:sz="8" w:space="0" w:color="000000"/>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c>
          <w:tcPr>
            <w:tcW w:w="826" w:type="dxa"/>
            <w:tcBorders>
              <w:top w:val="nil"/>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庫存</w:t>
            </w:r>
          </w:p>
        </w:tc>
        <w:tc>
          <w:tcPr>
            <w:tcW w:w="996" w:type="dxa"/>
            <w:vMerge/>
            <w:tcBorders>
              <w:left w:val="nil"/>
              <w:bottom w:val="single" w:sz="8" w:space="0" w:color="auto"/>
              <w:right w:val="single" w:sz="8" w:space="0" w:color="auto"/>
            </w:tcBorders>
            <w:vAlign w:val="center"/>
          </w:tcPr>
          <w:p w:rsidR="00F279F7" w:rsidRPr="00131B9D" w:rsidRDefault="00F279F7" w:rsidP="00F279F7">
            <w:pPr>
              <w:widowControl/>
              <w:spacing w:line="240" w:lineRule="exact"/>
              <w:jc w:val="center"/>
              <w:rPr>
                <w:rFonts w:eastAsia="標楷體"/>
                <w:kern w:val="0"/>
              </w:rPr>
            </w:pPr>
          </w:p>
        </w:tc>
      </w:tr>
      <w:tr w:rsidR="00F279F7" w:rsidRPr="00131B9D" w:rsidTr="00F279F7">
        <w:trPr>
          <w:trHeight w:val="69"/>
        </w:trPr>
        <w:tc>
          <w:tcPr>
            <w:tcW w:w="443" w:type="dxa"/>
            <w:vMerge w:val="restart"/>
            <w:tcBorders>
              <w:top w:val="nil"/>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全</w:t>
            </w:r>
          </w:p>
          <w:p w:rsidR="00F279F7" w:rsidRPr="00131B9D" w:rsidRDefault="00F279F7" w:rsidP="00F279F7">
            <w:pPr>
              <w:widowControl/>
              <w:spacing w:line="240" w:lineRule="exact"/>
              <w:jc w:val="center"/>
              <w:rPr>
                <w:rFonts w:eastAsia="標楷體"/>
                <w:kern w:val="0"/>
              </w:rPr>
            </w:pPr>
            <w:r w:rsidRPr="00131B9D">
              <w:rPr>
                <w:rFonts w:eastAsia="標楷體"/>
                <w:kern w:val="0"/>
              </w:rPr>
              <w:t>球</w:t>
            </w: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2012/13</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35,183</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177,624</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51,990</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165,626</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55,525</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42,492</w:t>
            </w:r>
          </w:p>
        </w:tc>
        <w:tc>
          <w:tcPr>
            <w:tcW w:w="996" w:type="dxa"/>
            <w:tcBorders>
              <w:top w:val="nil"/>
              <w:left w:val="nil"/>
              <w:bottom w:val="single" w:sz="8" w:space="0" w:color="000000"/>
              <w:right w:val="single" w:sz="8" w:space="0" w:color="auto"/>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2013/14</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42,492</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175,558</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51,178</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166,522</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57,650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43,845</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20.77%</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2014/15</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43,845</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175,103</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50,410</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170,825</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54,126</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43,558</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3.18%</w:t>
            </w:r>
          </w:p>
        </w:tc>
      </w:tr>
      <w:tr w:rsidR="00F279F7" w:rsidRPr="00131B9D" w:rsidTr="00F279F7">
        <w:trPr>
          <w:trHeight w:val="54"/>
        </w:trPr>
        <w:tc>
          <w:tcPr>
            <w:tcW w:w="443" w:type="dxa"/>
            <w:vMerge/>
            <w:tcBorders>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w:t>
            </w:r>
            <w:r w:rsidRPr="00131B9D">
              <w:rPr>
                <w:rFonts w:eastAsia="標楷體"/>
                <w:color w:val="000000"/>
                <w:sz w:val="23"/>
                <w:szCs w:val="23"/>
              </w:rPr>
              <w:t>15/16</w:t>
            </w:r>
            <w:r w:rsidRPr="00131B9D">
              <w:rPr>
                <w:rFonts w:eastAsia="標楷體"/>
                <w:color w:val="000000"/>
                <w:sz w:val="23"/>
                <w:szCs w:val="23"/>
              </w:rPr>
              <w:t>（</w:t>
            </w:r>
            <w:r w:rsidRPr="00131B9D">
              <w:rPr>
                <w:rFonts w:eastAsia="標楷體"/>
                <w:color w:val="000000"/>
                <w:sz w:val="23"/>
                <w:szCs w:val="23"/>
              </w:rPr>
              <w:t>11</w:t>
            </w:r>
            <w:r w:rsidRPr="00131B9D">
              <w:rPr>
                <w:rFonts w:eastAsia="標楷體"/>
                <w:color w:val="000000"/>
                <w:sz w:val="23"/>
                <w:szCs w:val="23"/>
              </w:rPr>
              <w:t>月）</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43,558</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172,146</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52,161</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172,768</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54,695</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39,598</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-0.65%</w:t>
            </w:r>
          </w:p>
        </w:tc>
      </w:tr>
      <w:tr w:rsidR="00F279F7" w:rsidRPr="00131B9D" w:rsidTr="00F279F7">
        <w:trPr>
          <w:trHeight w:val="54"/>
        </w:trPr>
        <w:tc>
          <w:tcPr>
            <w:tcW w:w="8640" w:type="dxa"/>
            <w:gridSpan w:val="9"/>
            <w:tcBorders>
              <w:top w:val="single" w:sz="8" w:space="0" w:color="auto"/>
              <w:left w:val="single" w:sz="8" w:space="0" w:color="auto"/>
              <w:bottom w:val="single" w:sz="8" w:space="0" w:color="auto"/>
              <w:right w:val="single" w:sz="8" w:space="0" w:color="000000"/>
            </w:tcBorders>
            <w:vAlign w:val="center"/>
          </w:tcPr>
          <w:p w:rsidR="00F279F7" w:rsidRPr="00131B9D" w:rsidRDefault="00F279F7" w:rsidP="00F279F7">
            <w:pPr>
              <w:widowControl/>
              <w:adjustRightInd w:val="0"/>
              <w:snapToGrid w:val="0"/>
              <w:spacing w:beforeLines="10" w:before="36" w:afterLines="10" w:after="36"/>
              <w:jc w:val="center"/>
              <w:rPr>
                <w:rFonts w:eastAsia="標楷體"/>
                <w:b/>
                <w:bCs/>
                <w:kern w:val="0"/>
                <w:sz w:val="23"/>
                <w:szCs w:val="23"/>
              </w:rPr>
            </w:pPr>
            <w:r w:rsidRPr="00131B9D">
              <w:rPr>
                <w:rFonts w:eastAsia="標楷體"/>
                <w:b/>
                <w:kern w:val="0"/>
                <w:sz w:val="23"/>
                <w:szCs w:val="23"/>
              </w:rPr>
              <w:t>主要供給國</w:t>
            </w:r>
          </w:p>
        </w:tc>
      </w:tr>
      <w:tr w:rsidR="00F279F7" w:rsidRPr="00131B9D" w:rsidTr="00F279F7">
        <w:trPr>
          <w:trHeight w:val="54"/>
        </w:trPr>
        <w:tc>
          <w:tcPr>
            <w:tcW w:w="443" w:type="dxa"/>
            <w:vMerge w:val="restart"/>
            <w:tcBorders>
              <w:top w:val="nil"/>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巴</w:t>
            </w:r>
          </w:p>
          <w:p w:rsidR="00F279F7" w:rsidRPr="00131B9D" w:rsidRDefault="00F279F7" w:rsidP="00F279F7">
            <w:pPr>
              <w:widowControl/>
              <w:spacing w:line="240" w:lineRule="exact"/>
              <w:jc w:val="center"/>
              <w:rPr>
                <w:rFonts w:eastAsia="標楷體"/>
                <w:b/>
                <w:bCs/>
                <w:kern w:val="0"/>
              </w:rPr>
            </w:pPr>
            <w:r w:rsidRPr="00131B9D">
              <w:rPr>
                <w:rFonts w:eastAsia="標楷體"/>
                <w:kern w:val="0"/>
              </w:rPr>
              <w:t>西</w:t>
            </w: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2012/13</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260</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38,600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11,200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27,650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10</w:t>
            </w:r>
          </w:p>
        </w:tc>
        <w:tc>
          <w:tcPr>
            <w:tcW w:w="996" w:type="dxa"/>
            <w:tcBorders>
              <w:top w:val="nil"/>
              <w:left w:val="nil"/>
              <w:bottom w:val="single" w:sz="8" w:space="0" w:color="000000"/>
              <w:right w:val="single" w:sz="8" w:space="0" w:color="auto"/>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2013/14</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10</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37,800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11,260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26,200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350</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-96.15%</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2014/15</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350</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35,950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11,500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23,950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850</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3400.00%</w:t>
            </w:r>
          </w:p>
        </w:tc>
      </w:tr>
      <w:tr w:rsidR="00F279F7" w:rsidRPr="00131B9D" w:rsidTr="00F279F7">
        <w:trPr>
          <w:trHeight w:val="54"/>
        </w:trPr>
        <w:tc>
          <w:tcPr>
            <w:tcW w:w="443" w:type="dxa"/>
            <w:vMerge/>
            <w:tcBorders>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w:t>
            </w:r>
            <w:r w:rsidRPr="00131B9D">
              <w:rPr>
                <w:rFonts w:eastAsia="標楷體"/>
                <w:color w:val="000000"/>
                <w:sz w:val="23"/>
                <w:szCs w:val="23"/>
              </w:rPr>
              <w:t>15/16</w:t>
            </w:r>
            <w:r w:rsidRPr="00131B9D">
              <w:rPr>
                <w:rFonts w:eastAsia="標楷體"/>
                <w:color w:val="000000"/>
                <w:sz w:val="23"/>
                <w:szCs w:val="23"/>
              </w:rPr>
              <w:t>（</w:t>
            </w:r>
            <w:r w:rsidRPr="00131B9D">
              <w:rPr>
                <w:rFonts w:eastAsia="標楷體"/>
                <w:color w:val="000000"/>
                <w:sz w:val="23"/>
                <w:szCs w:val="23"/>
              </w:rPr>
              <w:t>11</w:t>
            </w:r>
            <w:r w:rsidRPr="00131B9D">
              <w:rPr>
                <w:rFonts w:eastAsia="標楷體"/>
                <w:color w:val="000000"/>
                <w:sz w:val="23"/>
                <w:szCs w:val="23"/>
              </w:rPr>
              <w:t>月）</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350</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35,000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11,150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23,750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950</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0.00%</w:t>
            </w:r>
          </w:p>
        </w:tc>
      </w:tr>
      <w:tr w:rsidR="00F279F7" w:rsidRPr="00131B9D" w:rsidTr="00F279F7">
        <w:trPr>
          <w:trHeight w:val="54"/>
        </w:trPr>
        <w:tc>
          <w:tcPr>
            <w:tcW w:w="443" w:type="dxa"/>
            <w:vMerge w:val="restart"/>
            <w:tcBorders>
              <w:top w:val="nil"/>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泰</w:t>
            </w:r>
          </w:p>
          <w:p w:rsidR="00F279F7" w:rsidRPr="00131B9D" w:rsidRDefault="00F279F7" w:rsidP="00F279F7">
            <w:pPr>
              <w:widowControl/>
              <w:spacing w:line="240" w:lineRule="exact"/>
              <w:jc w:val="center"/>
              <w:rPr>
                <w:rFonts w:eastAsia="標楷體"/>
                <w:kern w:val="0"/>
              </w:rPr>
            </w:pPr>
            <w:r w:rsidRPr="00131B9D">
              <w:rPr>
                <w:rFonts w:eastAsia="標楷體"/>
                <w:kern w:val="0"/>
              </w:rPr>
              <w:t>國</w:t>
            </w: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2012/13</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2,810</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10,024</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2,525</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6,693</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3,616</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2013/14</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3,616</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11,333</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2,495</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7,200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5,254</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28.68%</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2014/15</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5,254</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10,790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2,500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8,000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5,544</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45.30%</w:t>
            </w:r>
          </w:p>
        </w:tc>
      </w:tr>
      <w:tr w:rsidR="00F279F7" w:rsidRPr="00131B9D" w:rsidTr="00F279F7">
        <w:trPr>
          <w:trHeight w:val="54"/>
        </w:trPr>
        <w:tc>
          <w:tcPr>
            <w:tcW w:w="443" w:type="dxa"/>
            <w:vMerge/>
            <w:tcBorders>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w:t>
            </w:r>
            <w:r w:rsidRPr="00131B9D">
              <w:rPr>
                <w:rFonts w:eastAsia="標楷體"/>
                <w:color w:val="000000"/>
                <w:sz w:val="23"/>
                <w:szCs w:val="23"/>
              </w:rPr>
              <w:t>15/16</w:t>
            </w:r>
            <w:r w:rsidRPr="00131B9D">
              <w:rPr>
                <w:rFonts w:eastAsia="標楷體"/>
                <w:color w:val="000000"/>
                <w:sz w:val="23"/>
                <w:szCs w:val="23"/>
              </w:rPr>
              <w:t>（</w:t>
            </w:r>
            <w:r w:rsidRPr="00131B9D">
              <w:rPr>
                <w:rFonts w:eastAsia="標楷體"/>
                <w:color w:val="000000"/>
                <w:sz w:val="23"/>
                <w:szCs w:val="23"/>
              </w:rPr>
              <w:t>11</w:t>
            </w:r>
            <w:r w:rsidRPr="00131B9D">
              <w:rPr>
                <w:rFonts w:eastAsia="標楷體"/>
                <w:color w:val="000000"/>
                <w:sz w:val="23"/>
                <w:szCs w:val="23"/>
              </w:rPr>
              <w:t>月）</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5,724</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10,800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2,600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8,800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4,944</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8.95%</w:t>
            </w:r>
          </w:p>
        </w:tc>
      </w:tr>
      <w:tr w:rsidR="00F279F7" w:rsidRPr="00131B9D" w:rsidTr="00F279F7">
        <w:trPr>
          <w:trHeight w:val="54"/>
        </w:trPr>
        <w:tc>
          <w:tcPr>
            <w:tcW w:w="443" w:type="dxa"/>
            <w:vMerge w:val="restart"/>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印</w:t>
            </w:r>
          </w:p>
          <w:p w:rsidR="00F279F7" w:rsidRPr="00131B9D" w:rsidRDefault="00F279F7" w:rsidP="00F279F7">
            <w:pPr>
              <w:widowControl/>
              <w:spacing w:line="240" w:lineRule="exact"/>
              <w:jc w:val="center"/>
              <w:rPr>
                <w:rFonts w:eastAsia="標楷體"/>
                <w:kern w:val="0"/>
              </w:rPr>
            </w:pPr>
            <w:r w:rsidRPr="00131B9D">
              <w:rPr>
                <w:rFonts w:eastAsia="標楷體"/>
                <w:kern w:val="0"/>
              </w:rPr>
              <w:t>度</w:t>
            </w: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2012/13</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7,163</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27,337</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1,722</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25,588</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1,261</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9,373</w:t>
            </w:r>
          </w:p>
        </w:tc>
        <w:tc>
          <w:tcPr>
            <w:tcW w:w="996" w:type="dxa"/>
            <w:tcBorders>
              <w:top w:val="nil"/>
              <w:left w:val="nil"/>
              <w:bottom w:val="single" w:sz="8" w:space="0" w:color="000000"/>
              <w:right w:val="single" w:sz="8" w:space="0" w:color="auto"/>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w:t>
            </w:r>
          </w:p>
        </w:tc>
      </w:tr>
      <w:tr w:rsidR="00F279F7" w:rsidRPr="00131B9D" w:rsidTr="00F279F7">
        <w:trPr>
          <w:trHeight w:val="54"/>
        </w:trPr>
        <w:tc>
          <w:tcPr>
            <w:tcW w:w="443"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2013/14</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9,373</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26,605</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1,078</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26,023</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2,806</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8,227</w:t>
            </w:r>
          </w:p>
        </w:tc>
        <w:tc>
          <w:tcPr>
            <w:tcW w:w="996" w:type="dxa"/>
            <w:tcBorders>
              <w:top w:val="nil"/>
              <w:left w:val="nil"/>
              <w:bottom w:val="single" w:sz="8" w:space="0" w:color="000000"/>
              <w:right w:val="single" w:sz="8" w:space="0" w:color="auto"/>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30.85%</w:t>
            </w:r>
          </w:p>
        </w:tc>
      </w:tr>
      <w:tr w:rsidR="00F279F7" w:rsidRPr="00131B9D" w:rsidTr="00F279F7">
        <w:trPr>
          <w:trHeight w:val="54"/>
        </w:trPr>
        <w:tc>
          <w:tcPr>
            <w:tcW w:w="443"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2014/15</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8,227</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30,240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1,100</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27,195</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2,425</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9,947</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-12.23%</w:t>
            </w:r>
          </w:p>
        </w:tc>
      </w:tr>
      <w:tr w:rsidR="00F279F7" w:rsidRPr="00131B9D" w:rsidTr="00F279F7">
        <w:trPr>
          <w:trHeight w:val="54"/>
        </w:trPr>
        <w:tc>
          <w:tcPr>
            <w:tcW w:w="443" w:type="dxa"/>
            <w:vMerge/>
            <w:tcBorders>
              <w:top w:val="nil"/>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w:t>
            </w:r>
            <w:r w:rsidRPr="00131B9D">
              <w:rPr>
                <w:rFonts w:eastAsia="標楷體"/>
                <w:color w:val="000000"/>
                <w:sz w:val="23"/>
                <w:szCs w:val="23"/>
              </w:rPr>
              <w:t>15/16</w:t>
            </w:r>
            <w:r w:rsidRPr="00131B9D">
              <w:rPr>
                <w:rFonts w:eastAsia="標楷體"/>
                <w:color w:val="000000"/>
                <w:sz w:val="23"/>
                <w:szCs w:val="23"/>
              </w:rPr>
              <w:t>（</w:t>
            </w:r>
            <w:r w:rsidRPr="00131B9D">
              <w:rPr>
                <w:rFonts w:eastAsia="標楷體"/>
                <w:color w:val="000000"/>
                <w:sz w:val="23"/>
                <w:szCs w:val="23"/>
              </w:rPr>
              <w:t>11</w:t>
            </w:r>
            <w:r w:rsidRPr="00131B9D">
              <w:rPr>
                <w:rFonts w:eastAsia="標楷體"/>
                <w:color w:val="000000"/>
                <w:sz w:val="23"/>
                <w:szCs w:val="23"/>
              </w:rPr>
              <w:t>月）</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9,947</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28,530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900</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28,000</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2,500</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8,877</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pStyle w:val="Web"/>
              <w:adjustRightInd w:val="0"/>
              <w:snapToGrid w:val="0"/>
              <w:spacing w:before="0" w:beforeAutospacing="0" w:after="0" w:afterAutospacing="0"/>
              <w:jc w:val="center"/>
              <w:textAlignment w:val="center"/>
              <w:rPr>
                <w:rFonts w:ascii="Times New Roman" w:hAnsi="Times New Roman" w:cs="Times New Roman"/>
                <w:sz w:val="23"/>
                <w:szCs w:val="23"/>
              </w:rPr>
            </w:pPr>
            <w:r w:rsidRPr="00131B9D">
              <w:rPr>
                <w:rFonts w:ascii="Times New Roman" w:eastAsia="標楷體" w:hAnsi="Times New Roman" w:cs="Times New Roman"/>
                <w:color w:val="000000"/>
                <w:kern w:val="24"/>
                <w:sz w:val="23"/>
                <w:szCs w:val="23"/>
              </w:rPr>
              <w:t>20.91%</w:t>
            </w:r>
          </w:p>
        </w:tc>
      </w:tr>
      <w:tr w:rsidR="00F279F7" w:rsidRPr="00131B9D" w:rsidTr="00F279F7">
        <w:trPr>
          <w:trHeight w:val="54"/>
        </w:trPr>
        <w:tc>
          <w:tcPr>
            <w:tcW w:w="8640" w:type="dxa"/>
            <w:gridSpan w:val="9"/>
            <w:tcBorders>
              <w:left w:val="single" w:sz="8" w:space="0" w:color="auto"/>
              <w:bottom w:val="single" w:sz="8" w:space="0" w:color="auto"/>
              <w:right w:val="single" w:sz="8" w:space="0" w:color="000000"/>
            </w:tcBorders>
            <w:vAlign w:val="center"/>
          </w:tcPr>
          <w:p w:rsidR="00F279F7" w:rsidRPr="00131B9D" w:rsidRDefault="00F279F7" w:rsidP="00F279F7">
            <w:pPr>
              <w:widowControl/>
              <w:spacing w:beforeLines="10" w:before="36" w:afterLines="10" w:after="36" w:line="240" w:lineRule="exact"/>
              <w:jc w:val="center"/>
              <w:rPr>
                <w:rFonts w:eastAsia="標楷體"/>
                <w:b/>
                <w:kern w:val="0"/>
                <w:sz w:val="23"/>
                <w:szCs w:val="23"/>
              </w:rPr>
            </w:pPr>
            <w:r w:rsidRPr="00131B9D">
              <w:rPr>
                <w:rFonts w:eastAsia="標楷體"/>
                <w:b/>
                <w:kern w:val="0"/>
                <w:sz w:val="23"/>
                <w:szCs w:val="23"/>
              </w:rPr>
              <w:t>主要需求國</w:t>
            </w:r>
          </w:p>
        </w:tc>
      </w:tr>
      <w:tr w:rsidR="00F279F7" w:rsidRPr="00131B9D" w:rsidTr="00F279F7">
        <w:trPr>
          <w:trHeight w:val="54"/>
        </w:trPr>
        <w:tc>
          <w:tcPr>
            <w:tcW w:w="443" w:type="dxa"/>
            <w:vMerge w:val="restart"/>
            <w:tcBorders>
              <w:top w:val="nil"/>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中</w:t>
            </w:r>
          </w:p>
          <w:p w:rsidR="00F279F7" w:rsidRPr="00131B9D" w:rsidRDefault="00F279F7" w:rsidP="00F279F7">
            <w:pPr>
              <w:widowControl/>
              <w:spacing w:line="240" w:lineRule="exact"/>
              <w:jc w:val="center"/>
              <w:rPr>
                <w:rFonts w:eastAsia="標楷體"/>
                <w:b/>
                <w:bCs/>
                <w:kern w:val="0"/>
              </w:rPr>
            </w:pPr>
            <w:r w:rsidRPr="00131B9D">
              <w:rPr>
                <w:rFonts w:eastAsia="標楷體"/>
                <w:kern w:val="0"/>
              </w:rPr>
              <w:t>國</w:t>
            </w: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2012/13</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4,140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14,001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3,802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15,100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 -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6,793 </w:t>
            </w:r>
          </w:p>
        </w:tc>
        <w:tc>
          <w:tcPr>
            <w:tcW w:w="996" w:type="dxa"/>
            <w:tcBorders>
              <w:top w:val="nil"/>
              <w:left w:val="nil"/>
              <w:bottom w:val="single" w:sz="8" w:space="0" w:color="000000"/>
              <w:right w:val="single" w:sz="8" w:space="0" w:color="auto"/>
            </w:tcBorders>
            <w:vAlign w:val="center"/>
          </w:tcPr>
          <w:p w:rsidR="00F279F7" w:rsidRPr="00131B9D" w:rsidRDefault="00F279F7" w:rsidP="00F279F7">
            <w:pPr>
              <w:snapToGrid w:val="0"/>
              <w:jc w:val="center"/>
              <w:rPr>
                <w:color w:val="000000"/>
                <w:sz w:val="23"/>
                <w:szCs w:val="23"/>
              </w:rPr>
            </w:pPr>
            <w:r w:rsidRPr="00131B9D">
              <w:rPr>
                <w:color w:val="000000"/>
                <w:sz w:val="23"/>
                <w:szCs w:val="23"/>
              </w:rPr>
              <w:t>-</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2013/14</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6,793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14,263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4,275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16,445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 -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8,832 </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64.08%</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2014/15</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8,832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11,000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5,058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17,558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 -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7,287 </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30.02%</w:t>
            </w:r>
          </w:p>
        </w:tc>
      </w:tr>
      <w:tr w:rsidR="00F279F7" w:rsidRPr="00131B9D" w:rsidTr="00F279F7">
        <w:trPr>
          <w:trHeight w:val="54"/>
        </w:trPr>
        <w:tc>
          <w:tcPr>
            <w:tcW w:w="443" w:type="dxa"/>
            <w:vMerge/>
            <w:tcBorders>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w:t>
            </w:r>
            <w:r w:rsidRPr="00131B9D">
              <w:rPr>
                <w:rFonts w:eastAsia="標楷體"/>
                <w:color w:val="000000"/>
                <w:sz w:val="23"/>
                <w:szCs w:val="23"/>
              </w:rPr>
              <w:t>15/16</w:t>
            </w:r>
            <w:r w:rsidRPr="00131B9D">
              <w:rPr>
                <w:rFonts w:eastAsia="標楷體"/>
                <w:color w:val="000000"/>
                <w:sz w:val="23"/>
                <w:szCs w:val="23"/>
              </w:rPr>
              <w:t>（</w:t>
            </w:r>
            <w:r w:rsidRPr="00131B9D">
              <w:rPr>
                <w:rFonts w:eastAsia="標楷體"/>
                <w:color w:val="000000"/>
                <w:sz w:val="23"/>
                <w:szCs w:val="23"/>
              </w:rPr>
              <w:t>11</w:t>
            </w:r>
            <w:r w:rsidRPr="00131B9D">
              <w:rPr>
                <w:rFonts w:eastAsia="標楷體"/>
                <w:color w:val="000000"/>
                <w:sz w:val="23"/>
                <w:szCs w:val="23"/>
              </w:rPr>
              <w:t>月）</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7,287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10,580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5,500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17,500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 -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5,822 </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-17.49%</w:t>
            </w:r>
          </w:p>
        </w:tc>
      </w:tr>
      <w:tr w:rsidR="00F279F7" w:rsidRPr="00131B9D" w:rsidTr="00F279F7">
        <w:trPr>
          <w:trHeight w:val="54"/>
        </w:trPr>
        <w:tc>
          <w:tcPr>
            <w:tcW w:w="443" w:type="dxa"/>
            <w:vMerge w:val="restart"/>
            <w:tcBorders>
              <w:top w:val="nil"/>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美國</w:t>
            </w: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2012/13</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1,795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8,148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2,925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10,421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 -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1,958 </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2013/14</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1,958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7,676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3,395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10,722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 -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1,642 </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9.08%</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2014/15</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1,642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7,845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3,238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10,836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 -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1,603 </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-16.14%</w:t>
            </w:r>
          </w:p>
        </w:tc>
      </w:tr>
      <w:tr w:rsidR="00F279F7" w:rsidRPr="00131B9D" w:rsidTr="00F279F7">
        <w:trPr>
          <w:trHeight w:val="54"/>
        </w:trPr>
        <w:tc>
          <w:tcPr>
            <w:tcW w:w="443" w:type="dxa"/>
            <w:vMerge/>
            <w:tcBorders>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w:t>
            </w:r>
            <w:r w:rsidRPr="00131B9D">
              <w:rPr>
                <w:rFonts w:eastAsia="標楷體"/>
                <w:color w:val="000000"/>
                <w:sz w:val="23"/>
                <w:szCs w:val="23"/>
              </w:rPr>
              <w:t>15/16</w:t>
            </w:r>
            <w:r w:rsidRPr="00131B9D">
              <w:rPr>
                <w:rFonts w:eastAsia="標楷體"/>
                <w:color w:val="000000"/>
                <w:sz w:val="23"/>
                <w:szCs w:val="23"/>
              </w:rPr>
              <w:t>（</w:t>
            </w:r>
            <w:r w:rsidRPr="00131B9D">
              <w:rPr>
                <w:rFonts w:eastAsia="標楷體"/>
                <w:color w:val="000000"/>
                <w:sz w:val="23"/>
                <w:szCs w:val="23"/>
              </w:rPr>
              <w:t>11</w:t>
            </w:r>
            <w:r w:rsidRPr="00131B9D">
              <w:rPr>
                <w:rFonts w:eastAsia="標楷體"/>
                <w:color w:val="000000"/>
                <w:sz w:val="23"/>
                <w:szCs w:val="23"/>
              </w:rPr>
              <w:t>月）</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1,603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7,992</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3,083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10,691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 -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1,683 </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-2.38%</w:t>
            </w:r>
          </w:p>
        </w:tc>
      </w:tr>
      <w:tr w:rsidR="00F279F7" w:rsidRPr="00131B9D" w:rsidTr="00F279F7">
        <w:trPr>
          <w:trHeight w:val="54"/>
        </w:trPr>
        <w:tc>
          <w:tcPr>
            <w:tcW w:w="443" w:type="dxa"/>
            <w:vMerge w:val="restart"/>
            <w:tcBorders>
              <w:top w:val="nil"/>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歐盟</w:t>
            </w: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2012/13</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3,303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16,655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3,790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18,250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1,662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3,836 </w:t>
            </w:r>
          </w:p>
        </w:tc>
        <w:tc>
          <w:tcPr>
            <w:tcW w:w="996" w:type="dxa"/>
            <w:tcBorders>
              <w:top w:val="nil"/>
              <w:left w:val="nil"/>
              <w:bottom w:val="single" w:sz="8" w:space="0" w:color="000000"/>
              <w:right w:val="single" w:sz="8" w:space="0" w:color="auto"/>
            </w:tcBorders>
            <w:vAlign w:val="center"/>
          </w:tcPr>
          <w:p w:rsidR="00F279F7" w:rsidRPr="00131B9D" w:rsidRDefault="00F279F7" w:rsidP="00F279F7">
            <w:pPr>
              <w:snapToGrid w:val="0"/>
              <w:jc w:val="center"/>
              <w:rPr>
                <w:color w:val="000000"/>
                <w:sz w:val="23"/>
                <w:szCs w:val="23"/>
              </w:rPr>
            </w:pPr>
            <w:r w:rsidRPr="00131B9D">
              <w:rPr>
                <w:color w:val="000000"/>
                <w:sz w:val="23"/>
                <w:szCs w:val="23"/>
              </w:rPr>
              <w:t>-</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2013/14</w:t>
            </w:r>
          </w:p>
        </w:tc>
        <w:tc>
          <w:tcPr>
            <w:tcW w:w="947"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3,836 </w:t>
            </w:r>
          </w:p>
        </w:tc>
        <w:tc>
          <w:tcPr>
            <w:tcW w:w="979"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16,020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3,262 </w:t>
            </w:r>
          </w:p>
        </w:tc>
        <w:tc>
          <w:tcPr>
            <w:tcW w:w="96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18,500 </w:t>
            </w:r>
          </w:p>
        </w:tc>
        <w:tc>
          <w:tcPr>
            <w:tcW w:w="838"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1,552 </w:t>
            </w:r>
          </w:p>
        </w:tc>
        <w:tc>
          <w:tcPr>
            <w:tcW w:w="826" w:type="dxa"/>
            <w:tcBorders>
              <w:top w:val="nil"/>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3,066 </w:t>
            </w:r>
          </w:p>
        </w:tc>
        <w:tc>
          <w:tcPr>
            <w:tcW w:w="996" w:type="dxa"/>
            <w:tcBorders>
              <w:top w:val="nil"/>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16.14%</w:t>
            </w:r>
          </w:p>
        </w:tc>
      </w:tr>
      <w:tr w:rsidR="00F279F7" w:rsidRPr="00131B9D" w:rsidTr="00F279F7">
        <w:trPr>
          <w:trHeight w:val="54"/>
        </w:trPr>
        <w:tc>
          <w:tcPr>
            <w:tcW w:w="443" w:type="dxa"/>
            <w:vMerge/>
            <w:tcBorders>
              <w:left w:val="single" w:sz="8" w:space="0" w:color="auto"/>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2014/15</w:t>
            </w:r>
          </w:p>
        </w:tc>
        <w:tc>
          <w:tcPr>
            <w:tcW w:w="947"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3,066 </w:t>
            </w:r>
          </w:p>
        </w:tc>
        <w:tc>
          <w:tcPr>
            <w:tcW w:w="979"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16,750 </w:t>
            </w:r>
          </w:p>
        </w:tc>
        <w:tc>
          <w:tcPr>
            <w:tcW w:w="838"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2,600 </w:t>
            </w:r>
          </w:p>
        </w:tc>
        <w:tc>
          <w:tcPr>
            <w:tcW w:w="966"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18,700 </w:t>
            </w:r>
          </w:p>
        </w:tc>
        <w:tc>
          <w:tcPr>
            <w:tcW w:w="838"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1,610 </w:t>
            </w:r>
          </w:p>
        </w:tc>
        <w:tc>
          <w:tcPr>
            <w:tcW w:w="826"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2,106 </w:t>
            </w:r>
          </w:p>
        </w:tc>
        <w:tc>
          <w:tcPr>
            <w:tcW w:w="996"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-20.07%</w:t>
            </w:r>
          </w:p>
        </w:tc>
      </w:tr>
      <w:tr w:rsidR="00F279F7" w:rsidRPr="00131B9D" w:rsidTr="00F279F7">
        <w:trPr>
          <w:trHeight w:val="54"/>
        </w:trPr>
        <w:tc>
          <w:tcPr>
            <w:tcW w:w="443" w:type="dxa"/>
            <w:vMerge/>
            <w:tcBorders>
              <w:left w:val="single" w:sz="8" w:space="0" w:color="auto"/>
              <w:bottom w:val="single" w:sz="8" w:space="0" w:color="000000"/>
              <w:right w:val="single" w:sz="8" w:space="0" w:color="000000"/>
            </w:tcBorders>
            <w:vAlign w:val="center"/>
          </w:tcPr>
          <w:p w:rsidR="00F279F7" w:rsidRPr="00131B9D" w:rsidRDefault="00F279F7" w:rsidP="00F279F7">
            <w:pPr>
              <w:widowControl/>
              <w:spacing w:line="240" w:lineRule="exact"/>
              <w:jc w:val="center"/>
              <w:rPr>
                <w:rFonts w:eastAsia="標楷體"/>
                <w:kern w:val="0"/>
              </w:rPr>
            </w:pPr>
          </w:p>
        </w:tc>
        <w:tc>
          <w:tcPr>
            <w:tcW w:w="1807"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color w:val="000000"/>
                <w:sz w:val="23"/>
                <w:szCs w:val="23"/>
              </w:rPr>
            </w:pPr>
            <w:r w:rsidRPr="00131B9D">
              <w:rPr>
                <w:color w:val="000000"/>
                <w:sz w:val="23"/>
                <w:szCs w:val="23"/>
              </w:rPr>
              <w:t>20</w:t>
            </w:r>
            <w:r w:rsidRPr="00131B9D">
              <w:rPr>
                <w:rFonts w:eastAsia="標楷體"/>
                <w:color w:val="000000"/>
                <w:sz w:val="23"/>
                <w:szCs w:val="23"/>
              </w:rPr>
              <w:t>15/16</w:t>
            </w:r>
            <w:r w:rsidRPr="00131B9D">
              <w:rPr>
                <w:rFonts w:eastAsia="標楷體"/>
                <w:color w:val="000000"/>
                <w:sz w:val="23"/>
                <w:szCs w:val="23"/>
              </w:rPr>
              <w:t>（</w:t>
            </w:r>
            <w:r w:rsidRPr="00131B9D">
              <w:rPr>
                <w:rFonts w:eastAsia="標楷體"/>
                <w:color w:val="000000"/>
                <w:sz w:val="23"/>
                <w:szCs w:val="23"/>
              </w:rPr>
              <w:t>11</w:t>
            </w:r>
            <w:r w:rsidRPr="00131B9D">
              <w:rPr>
                <w:rFonts w:eastAsia="標楷體"/>
                <w:color w:val="000000"/>
                <w:sz w:val="23"/>
                <w:szCs w:val="23"/>
              </w:rPr>
              <w:t>月）</w:t>
            </w:r>
          </w:p>
        </w:tc>
        <w:tc>
          <w:tcPr>
            <w:tcW w:w="947"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2,106 </w:t>
            </w:r>
          </w:p>
        </w:tc>
        <w:tc>
          <w:tcPr>
            <w:tcW w:w="979"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16,100 </w:t>
            </w:r>
          </w:p>
        </w:tc>
        <w:tc>
          <w:tcPr>
            <w:tcW w:w="838"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2,800 </w:t>
            </w:r>
          </w:p>
        </w:tc>
        <w:tc>
          <w:tcPr>
            <w:tcW w:w="966"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18,800 </w:t>
            </w:r>
          </w:p>
        </w:tc>
        <w:tc>
          <w:tcPr>
            <w:tcW w:w="838"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 xml:space="preserve">1,500 </w:t>
            </w:r>
          </w:p>
        </w:tc>
        <w:tc>
          <w:tcPr>
            <w:tcW w:w="826"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adjustRightInd w:val="0"/>
              <w:snapToGrid w:val="0"/>
              <w:jc w:val="center"/>
              <w:rPr>
                <w:sz w:val="23"/>
                <w:szCs w:val="23"/>
              </w:rPr>
            </w:pPr>
            <w:r w:rsidRPr="00131B9D">
              <w:rPr>
                <w:sz w:val="23"/>
                <w:szCs w:val="23"/>
              </w:rPr>
              <w:t>706</w:t>
            </w:r>
          </w:p>
        </w:tc>
        <w:tc>
          <w:tcPr>
            <w:tcW w:w="996" w:type="dxa"/>
            <w:tcBorders>
              <w:top w:val="single" w:sz="8" w:space="0" w:color="000000"/>
              <w:left w:val="nil"/>
              <w:bottom w:val="single" w:sz="8" w:space="0" w:color="000000"/>
              <w:right w:val="single" w:sz="8" w:space="0" w:color="000000"/>
            </w:tcBorders>
            <w:vAlign w:val="center"/>
          </w:tcPr>
          <w:p w:rsidR="00F279F7" w:rsidRPr="00131B9D" w:rsidRDefault="00F279F7" w:rsidP="00F279F7">
            <w:pPr>
              <w:snapToGrid w:val="0"/>
              <w:jc w:val="center"/>
              <w:rPr>
                <w:color w:val="000000"/>
                <w:sz w:val="23"/>
                <w:szCs w:val="23"/>
              </w:rPr>
            </w:pPr>
            <w:r w:rsidRPr="00131B9D">
              <w:rPr>
                <w:color w:val="000000"/>
                <w:sz w:val="23"/>
                <w:szCs w:val="23"/>
              </w:rPr>
              <w:t>-31.31%</w:t>
            </w:r>
          </w:p>
        </w:tc>
      </w:tr>
    </w:tbl>
    <w:p w:rsidR="00F279F7" w:rsidRPr="00131B9D" w:rsidRDefault="00F279F7" w:rsidP="00F279F7">
      <w:pPr>
        <w:adjustRightInd w:val="0"/>
        <w:snapToGrid w:val="0"/>
        <w:spacing w:line="240" w:lineRule="exact"/>
        <w:rPr>
          <w:rFonts w:eastAsia="標楷體"/>
          <w:sz w:val="20"/>
          <w:szCs w:val="20"/>
        </w:rPr>
      </w:pPr>
      <w:r w:rsidRPr="00131B9D">
        <w:rPr>
          <w:rFonts w:eastAsia="標楷體"/>
          <w:sz w:val="20"/>
          <w:szCs w:val="20"/>
        </w:rPr>
        <w:t>資料來源：美國農業部（</w:t>
      </w:r>
      <w:r w:rsidRPr="00131B9D">
        <w:rPr>
          <w:rFonts w:eastAsia="標楷體"/>
          <w:sz w:val="20"/>
          <w:szCs w:val="20"/>
        </w:rPr>
        <w:t>USDA</w:t>
      </w:r>
      <w:r w:rsidRPr="00131B9D">
        <w:rPr>
          <w:rFonts w:eastAsia="標楷體"/>
          <w:sz w:val="20"/>
          <w:szCs w:val="20"/>
        </w:rPr>
        <w:t>），</w:t>
      </w:r>
      <w:r w:rsidRPr="00131B9D">
        <w:rPr>
          <w:rFonts w:eastAsia="標楷體"/>
          <w:sz w:val="20"/>
          <w:szCs w:val="20"/>
        </w:rPr>
        <w:t>2015/11/20</w:t>
      </w:r>
      <w:r w:rsidRPr="00131B9D">
        <w:rPr>
          <w:rFonts w:eastAsia="標楷體"/>
          <w:sz w:val="20"/>
          <w:szCs w:val="20"/>
        </w:rPr>
        <w:t>。</w:t>
      </w:r>
    </w:p>
    <w:p w:rsidR="00F279F7" w:rsidRPr="00131B9D" w:rsidRDefault="00F279F7" w:rsidP="00F279F7">
      <w:pPr>
        <w:adjustRightInd w:val="0"/>
        <w:snapToGrid w:val="0"/>
        <w:spacing w:line="360" w:lineRule="auto"/>
        <w:rPr>
          <w:rFonts w:eastAsia="標楷體"/>
          <w:sz w:val="20"/>
          <w:szCs w:val="20"/>
        </w:rPr>
      </w:pPr>
    </w:p>
    <w:p w:rsidR="00626D27" w:rsidRPr="00131B9D" w:rsidRDefault="00626D27" w:rsidP="00626D27">
      <w:pPr>
        <w:adjustRightInd w:val="0"/>
        <w:snapToGrid w:val="0"/>
        <w:spacing w:line="360" w:lineRule="auto"/>
        <w:rPr>
          <w:rFonts w:eastAsia="標楷體"/>
          <w:sz w:val="20"/>
          <w:szCs w:val="20"/>
        </w:rPr>
      </w:pPr>
    </w:p>
    <w:p w:rsidR="00626D27" w:rsidRPr="00131B9D" w:rsidRDefault="00626D27" w:rsidP="00626D27">
      <w:pPr>
        <w:sectPr w:rsidR="00626D2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2"/>
        <w:spacing w:before="108" w:after="108"/>
        <w:rPr>
          <w:rFonts w:ascii="Times New Roman" w:hAnsi="Times New Roman"/>
        </w:rPr>
      </w:pPr>
      <w:bookmarkStart w:id="117" w:name="_Toc322706933"/>
      <w:bookmarkStart w:id="118" w:name="_Toc373760883"/>
      <w:bookmarkStart w:id="119" w:name="_Toc373761940"/>
      <w:bookmarkStart w:id="120" w:name="_Toc439162953"/>
      <w:bookmarkStart w:id="121" w:name="_Toc322706950"/>
      <w:bookmarkStart w:id="122" w:name="_Toc373760884"/>
      <w:bookmarkStart w:id="123" w:name="_Toc373761941"/>
      <w:r w:rsidRPr="00131B9D">
        <w:rPr>
          <w:rFonts w:ascii="Times New Roman" w:hAnsi="Times New Roman"/>
        </w:rPr>
        <w:lastRenderedPageBreak/>
        <w:t>三、基本金屬</w:t>
      </w:r>
      <w:bookmarkEnd w:id="117"/>
      <w:bookmarkEnd w:id="118"/>
      <w:bookmarkEnd w:id="119"/>
      <w:bookmarkEnd w:id="120"/>
    </w:p>
    <w:p w:rsidR="00F279F7" w:rsidRPr="00131B9D" w:rsidRDefault="00BC42BF" w:rsidP="00F279F7">
      <w:pPr>
        <w:pStyle w:val="-"/>
        <w:spacing w:before="72" w:after="72" w:line="460" w:lineRule="exact"/>
        <w:ind w:firstLine="560"/>
        <w:rPr>
          <w:szCs w:val="24"/>
        </w:rPr>
      </w:pPr>
      <w:bookmarkStart w:id="124" w:name="_Toc322706934"/>
      <w:r w:rsidRPr="00131B9D">
        <w:rPr>
          <w:szCs w:val="24"/>
        </w:rPr>
        <w:t>2015</w:t>
      </w:r>
      <w:r w:rsidRPr="00131B9D">
        <w:rPr>
          <w:szCs w:val="24"/>
        </w:rPr>
        <w:t>年第</w:t>
      </w:r>
      <w:r w:rsidRPr="00131B9D">
        <w:rPr>
          <w:szCs w:val="24"/>
        </w:rPr>
        <w:t>1</w:t>
      </w:r>
      <w:r w:rsidRPr="00131B9D">
        <w:rPr>
          <w:szCs w:val="24"/>
        </w:rPr>
        <w:t>季美國經濟增加速度放緩但仍持續成長、強勢美元和中國大陸經濟成長減緩，美國</w:t>
      </w:r>
      <w:r w:rsidRPr="00131B9D">
        <w:rPr>
          <w:szCs w:val="24"/>
        </w:rPr>
        <w:t>2</w:t>
      </w:r>
      <w:r w:rsidRPr="00131B9D">
        <w:rPr>
          <w:szCs w:val="24"/>
        </w:rPr>
        <w:t>月非農就業人數遠超預期以及歐元的走弱推升美元。美國勞工部資料顯示，美國</w:t>
      </w:r>
      <w:r w:rsidRPr="00131B9D">
        <w:rPr>
          <w:szCs w:val="24"/>
        </w:rPr>
        <w:t>2</w:t>
      </w:r>
      <w:r w:rsidRPr="00131B9D">
        <w:rPr>
          <w:szCs w:val="24"/>
        </w:rPr>
        <w:t>月季調後非農就業人口增加</w:t>
      </w:r>
      <w:r w:rsidRPr="00131B9D">
        <w:rPr>
          <w:szCs w:val="24"/>
        </w:rPr>
        <w:t>29.5</w:t>
      </w:r>
      <w:r w:rsidRPr="00131B9D">
        <w:rPr>
          <w:szCs w:val="24"/>
        </w:rPr>
        <w:t>萬人，較預期高出</w:t>
      </w:r>
      <w:r w:rsidRPr="00131B9D">
        <w:rPr>
          <w:szCs w:val="24"/>
        </w:rPr>
        <w:t>6</w:t>
      </w:r>
      <w:r w:rsidRPr="00131B9D">
        <w:rPr>
          <w:szCs w:val="24"/>
        </w:rPr>
        <w:t>萬人，</w:t>
      </w:r>
      <w:r w:rsidRPr="00131B9D">
        <w:rPr>
          <w:szCs w:val="24"/>
        </w:rPr>
        <w:t>2</w:t>
      </w:r>
      <w:r w:rsidRPr="00131B9D">
        <w:rPr>
          <w:szCs w:val="24"/>
        </w:rPr>
        <w:t>月失業率為</w:t>
      </w:r>
      <w:r w:rsidRPr="00131B9D">
        <w:rPr>
          <w:szCs w:val="24"/>
        </w:rPr>
        <w:t>5.5%</w:t>
      </w:r>
      <w:r w:rsidRPr="00131B9D">
        <w:rPr>
          <w:szCs w:val="24"/>
        </w:rPr>
        <w:t>，較</w:t>
      </w:r>
      <w:r w:rsidRPr="00131B9D">
        <w:rPr>
          <w:szCs w:val="24"/>
        </w:rPr>
        <w:t>1</w:t>
      </w:r>
      <w:r w:rsidRPr="00131B9D">
        <w:rPr>
          <w:szCs w:val="24"/>
        </w:rPr>
        <w:t>月的</w:t>
      </w:r>
      <w:r w:rsidRPr="00131B9D">
        <w:rPr>
          <w:szCs w:val="24"/>
        </w:rPr>
        <w:t>5.7%</w:t>
      </w:r>
      <w:r w:rsidRPr="00131B9D">
        <w:rPr>
          <w:szCs w:val="24"/>
        </w:rPr>
        <w:t>進一步下降，就業數據的正面訊息令市場產生對美聯儲加息的預期而推升美元；歐洲央行於</w:t>
      </w:r>
      <w:r w:rsidRPr="00131B9D">
        <w:rPr>
          <w:szCs w:val="24"/>
        </w:rPr>
        <w:t>3</w:t>
      </w:r>
      <w:r w:rsidRPr="00131B9D">
        <w:rPr>
          <w:szCs w:val="24"/>
        </w:rPr>
        <w:t>月</w:t>
      </w:r>
      <w:r w:rsidRPr="00131B9D">
        <w:rPr>
          <w:szCs w:val="24"/>
        </w:rPr>
        <w:t>9</w:t>
      </w:r>
      <w:r w:rsidRPr="00131B9D">
        <w:rPr>
          <w:szCs w:val="24"/>
        </w:rPr>
        <w:t>日開始啟動</w:t>
      </w:r>
      <w:r w:rsidRPr="00131B9D">
        <w:rPr>
          <w:szCs w:val="24"/>
        </w:rPr>
        <w:t>1</w:t>
      </w:r>
      <w:r w:rsidRPr="00131B9D">
        <w:rPr>
          <w:szCs w:val="24"/>
        </w:rPr>
        <w:t>兆規模的購債計畫，寬鬆計畫令歐元走弱，助美元走強，強勢的美元令金屬價格承壓；不過，美國</w:t>
      </w:r>
      <w:r w:rsidRPr="00131B9D">
        <w:rPr>
          <w:szCs w:val="24"/>
        </w:rPr>
        <w:t>3</w:t>
      </w:r>
      <w:r w:rsidRPr="00131B9D">
        <w:rPr>
          <w:szCs w:val="24"/>
        </w:rPr>
        <w:t>月季調後非農就業人口卻只增加</w:t>
      </w:r>
      <w:r w:rsidRPr="00131B9D">
        <w:rPr>
          <w:szCs w:val="24"/>
        </w:rPr>
        <w:t>12.6</w:t>
      </w:r>
      <w:r w:rsidRPr="00131B9D">
        <w:rPr>
          <w:szCs w:val="24"/>
        </w:rPr>
        <w:t>萬人，是</w:t>
      </w:r>
      <w:r w:rsidRPr="00131B9D">
        <w:rPr>
          <w:szCs w:val="24"/>
        </w:rPr>
        <w:t>2013</w:t>
      </w:r>
      <w:r w:rsidRPr="00131B9D">
        <w:rPr>
          <w:szCs w:val="24"/>
        </w:rPr>
        <w:t>年</w:t>
      </w:r>
      <w:r w:rsidRPr="00131B9D">
        <w:rPr>
          <w:szCs w:val="24"/>
        </w:rPr>
        <w:t>12</w:t>
      </w:r>
      <w:r w:rsidRPr="00131B9D">
        <w:rPr>
          <w:szCs w:val="24"/>
        </w:rPr>
        <w:t>月以來的最低增幅，使</w:t>
      </w:r>
      <w:r w:rsidRPr="00131B9D">
        <w:rPr>
          <w:szCs w:val="24"/>
        </w:rPr>
        <w:t>2015</w:t>
      </w:r>
      <w:r w:rsidRPr="00131B9D">
        <w:rPr>
          <w:szCs w:val="24"/>
        </w:rPr>
        <w:t>年第</w:t>
      </w:r>
      <w:r w:rsidRPr="00131B9D">
        <w:rPr>
          <w:szCs w:val="24"/>
        </w:rPr>
        <w:t>1</w:t>
      </w:r>
      <w:r w:rsidRPr="00131B9D">
        <w:rPr>
          <w:szCs w:val="24"/>
        </w:rPr>
        <w:t>季平均月度就業增幅為</w:t>
      </w:r>
      <w:r w:rsidRPr="00131B9D">
        <w:rPr>
          <w:szCs w:val="24"/>
        </w:rPr>
        <w:t>197,000</w:t>
      </w:r>
      <w:r w:rsidRPr="00131B9D">
        <w:rPr>
          <w:szCs w:val="24"/>
        </w:rPr>
        <w:t>人，不及</w:t>
      </w:r>
      <w:r w:rsidRPr="00131B9D">
        <w:rPr>
          <w:szCs w:val="24"/>
        </w:rPr>
        <w:t>2014</w:t>
      </w:r>
      <w:r w:rsidRPr="00131B9D">
        <w:rPr>
          <w:szCs w:val="24"/>
        </w:rPr>
        <w:t>年第</w:t>
      </w:r>
      <w:r w:rsidRPr="00131B9D">
        <w:rPr>
          <w:szCs w:val="24"/>
        </w:rPr>
        <w:t>4</w:t>
      </w:r>
      <w:r w:rsidRPr="00131B9D">
        <w:rPr>
          <w:szCs w:val="24"/>
        </w:rPr>
        <w:t>季</w:t>
      </w:r>
      <w:r w:rsidRPr="00131B9D">
        <w:rPr>
          <w:szCs w:val="24"/>
        </w:rPr>
        <w:t>324,000</w:t>
      </w:r>
      <w:r w:rsidRPr="00131B9D">
        <w:rPr>
          <w:szCs w:val="24"/>
        </w:rPr>
        <w:t>人的平均增幅水準，而</w:t>
      </w:r>
      <w:r w:rsidRPr="00131B9D">
        <w:rPr>
          <w:szCs w:val="24"/>
        </w:rPr>
        <w:t>3</w:t>
      </w:r>
      <w:r w:rsidRPr="00131B9D">
        <w:rPr>
          <w:szCs w:val="24"/>
        </w:rPr>
        <w:t>月失業率則持平在</w:t>
      </w:r>
      <w:r w:rsidRPr="00131B9D">
        <w:rPr>
          <w:szCs w:val="24"/>
        </w:rPr>
        <w:t>5.5%</w:t>
      </w:r>
      <w:r w:rsidRPr="00131B9D">
        <w:rPr>
          <w:szCs w:val="24"/>
        </w:rPr>
        <w:t>，此一情勢變化使原本持續升值的美元，在</w:t>
      </w:r>
      <w:r w:rsidRPr="00131B9D">
        <w:rPr>
          <w:szCs w:val="24"/>
        </w:rPr>
        <w:t>3</w:t>
      </w:r>
      <w:r w:rsidRPr="00131B9D">
        <w:rPr>
          <w:szCs w:val="24"/>
        </w:rPr>
        <w:t>月略微走軟，但仍未改變強勢美元的格局。</w:t>
      </w:r>
    </w:p>
    <w:p w:rsidR="00F279F7" w:rsidRPr="00131B9D" w:rsidRDefault="00127C79" w:rsidP="00F279F7">
      <w:pPr>
        <w:pStyle w:val="-"/>
        <w:spacing w:before="72" w:after="72" w:line="460" w:lineRule="exact"/>
        <w:ind w:firstLine="560"/>
        <w:rPr>
          <w:szCs w:val="24"/>
        </w:rPr>
      </w:pPr>
      <w:r w:rsidRPr="00131B9D">
        <w:rPr>
          <w:szCs w:val="24"/>
        </w:rPr>
        <w:t>2015</w:t>
      </w:r>
      <w:r w:rsidRPr="00131B9D">
        <w:rPr>
          <w:szCs w:val="24"/>
        </w:rPr>
        <w:t>年終，美國地質調查局（</w:t>
      </w:r>
      <w:r w:rsidRPr="00131B9D">
        <w:rPr>
          <w:szCs w:val="24"/>
        </w:rPr>
        <w:t>USGS</w:t>
      </w:r>
      <w:r w:rsidRPr="00131B9D">
        <w:rPr>
          <w:szCs w:val="24"/>
        </w:rPr>
        <w:t>）</w:t>
      </w:r>
      <w:r w:rsidRPr="00131B9D">
        <w:rPr>
          <w:szCs w:val="24"/>
        </w:rPr>
        <w:t>6</w:t>
      </w:r>
      <w:r w:rsidRPr="00131B9D">
        <w:rPr>
          <w:szCs w:val="24"/>
        </w:rPr>
        <w:t>月</w:t>
      </w:r>
      <w:r w:rsidRPr="00131B9D">
        <w:rPr>
          <w:szCs w:val="24"/>
        </w:rPr>
        <w:t>19</w:t>
      </w:r>
      <w:r w:rsidRPr="00131B9D">
        <w:rPr>
          <w:szCs w:val="24"/>
        </w:rPr>
        <w:t>日報告表示，持續下跌的基本金屬領先指數雖已連續</w:t>
      </w:r>
      <w:r w:rsidRPr="00131B9D">
        <w:rPr>
          <w:szCs w:val="24"/>
        </w:rPr>
        <w:t>2</w:t>
      </w:r>
      <w:r w:rsidRPr="00131B9D">
        <w:rPr>
          <w:szCs w:val="24"/>
        </w:rPr>
        <w:t>個月回升，但</w:t>
      </w:r>
      <w:r w:rsidRPr="00131B9D">
        <w:rPr>
          <w:szCs w:val="24"/>
        </w:rPr>
        <w:t>6</w:t>
      </w:r>
      <w:r w:rsidRPr="00131B9D">
        <w:rPr>
          <w:szCs w:val="24"/>
        </w:rPr>
        <w:t>個月平滑年成長率尚未回到金屬產業活動增長的區域中，近期製造業的金屬需求仍舊疲軟，美國耐久品庫存維持在歷史高點水準，並且增長的速度仍高於消費增長的速度。此外，包括全球經濟增長緩慢、全球金屬庫存仍高，以及金屬產品的進口增加等，也都削弱了美國國內的金屬產業活動，而美元的強勢也影響了美國金屬的出口競爭力。中國大陸國家統計局</w:t>
      </w:r>
      <w:r w:rsidRPr="00131B9D">
        <w:rPr>
          <w:szCs w:val="24"/>
        </w:rPr>
        <w:t>6</w:t>
      </w:r>
      <w:r w:rsidRPr="00131B9D">
        <w:rPr>
          <w:szCs w:val="24"/>
        </w:rPr>
        <w:t>月</w:t>
      </w:r>
      <w:r w:rsidRPr="00131B9D">
        <w:rPr>
          <w:szCs w:val="24"/>
        </w:rPr>
        <w:t>9</w:t>
      </w:r>
      <w:r w:rsidRPr="00131B9D">
        <w:rPr>
          <w:szCs w:val="24"/>
        </w:rPr>
        <w:t>日公佈的數據顯示，</w:t>
      </w:r>
      <w:r w:rsidRPr="00131B9D">
        <w:rPr>
          <w:szCs w:val="24"/>
        </w:rPr>
        <w:t>5</w:t>
      </w:r>
      <w:r w:rsidRPr="00131B9D">
        <w:rPr>
          <w:szCs w:val="24"/>
        </w:rPr>
        <w:t>月消費者價格指數（</w:t>
      </w:r>
      <w:r w:rsidRPr="00131B9D">
        <w:rPr>
          <w:szCs w:val="24"/>
        </w:rPr>
        <w:t>CPI</w:t>
      </w:r>
      <w:r w:rsidRPr="00131B9D">
        <w:rPr>
          <w:szCs w:val="24"/>
        </w:rPr>
        <w:t>）同比上漲</w:t>
      </w:r>
      <w:r w:rsidRPr="00131B9D">
        <w:rPr>
          <w:szCs w:val="24"/>
        </w:rPr>
        <w:t>1.2%</w:t>
      </w:r>
      <w:r w:rsidRPr="00131B9D">
        <w:rPr>
          <w:szCs w:val="24"/>
        </w:rPr>
        <w:t>，但工業生產者物價指數（</w:t>
      </w:r>
      <w:r w:rsidRPr="00131B9D">
        <w:rPr>
          <w:szCs w:val="24"/>
        </w:rPr>
        <w:t>PPI</w:t>
      </w:r>
      <w:r w:rsidRPr="00131B9D">
        <w:rPr>
          <w:szCs w:val="24"/>
        </w:rPr>
        <w:t>）同比下跌</w:t>
      </w:r>
      <w:r w:rsidRPr="00131B9D">
        <w:rPr>
          <w:szCs w:val="24"/>
        </w:rPr>
        <w:t>4.6%</w:t>
      </w:r>
      <w:r w:rsidRPr="00131B9D">
        <w:rPr>
          <w:szCs w:val="24"/>
        </w:rPr>
        <w:t>，為連續第</w:t>
      </w:r>
      <w:r w:rsidRPr="00131B9D">
        <w:rPr>
          <w:szCs w:val="24"/>
        </w:rPr>
        <w:t>38</w:t>
      </w:r>
      <w:r w:rsidRPr="00131B9D">
        <w:rPr>
          <w:szCs w:val="24"/>
        </w:rPr>
        <w:t>個月下降，引發了對經濟放緩之際通縮壓力加大的擔憂，不利基本金屬價格。</w:t>
      </w:r>
    </w:p>
    <w:p w:rsidR="00F279F7" w:rsidRPr="00131B9D" w:rsidRDefault="00127C79" w:rsidP="00F279F7">
      <w:pPr>
        <w:pStyle w:val="-"/>
        <w:spacing w:before="72" w:after="72" w:line="460" w:lineRule="exact"/>
        <w:ind w:firstLine="560"/>
        <w:rPr>
          <w:szCs w:val="24"/>
        </w:rPr>
      </w:pPr>
      <w:r w:rsidRPr="00131B9D">
        <w:rPr>
          <w:szCs w:val="24"/>
        </w:rPr>
        <w:t>2015</w:t>
      </w:r>
      <w:r w:rsidRPr="00131B9D">
        <w:rPr>
          <w:szCs w:val="24"/>
        </w:rPr>
        <w:t>年下半年，</w:t>
      </w:r>
      <w:r w:rsidRPr="00131B9D">
        <w:rPr>
          <w:szCs w:val="24"/>
        </w:rPr>
        <w:t>USGS 10</w:t>
      </w:r>
      <w:r w:rsidRPr="00131B9D">
        <w:rPr>
          <w:szCs w:val="24"/>
        </w:rPr>
        <w:t>月</w:t>
      </w:r>
      <w:r w:rsidRPr="00131B9D">
        <w:rPr>
          <w:szCs w:val="24"/>
        </w:rPr>
        <w:t>16</w:t>
      </w:r>
      <w:r w:rsidRPr="00131B9D">
        <w:rPr>
          <w:szCs w:val="24"/>
        </w:rPr>
        <w:t>日報告表示，基本金屬領先指數已連續</w:t>
      </w:r>
      <w:r w:rsidRPr="00131B9D">
        <w:rPr>
          <w:szCs w:val="24"/>
        </w:rPr>
        <w:t>3</w:t>
      </w:r>
      <w:r w:rsidRPr="00131B9D">
        <w:rPr>
          <w:szCs w:val="24"/>
        </w:rPr>
        <w:t>個月下跌，</w:t>
      </w:r>
      <w:r w:rsidRPr="00131B9D">
        <w:rPr>
          <w:szCs w:val="24"/>
        </w:rPr>
        <w:t>6</w:t>
      </w:r>
      <w:r w:rsidRPr="00131B9D">
        <w:rPr>
          <w:szCs w:val="24"/>
        </w:rPr>
        <w:t>個月平滑成長年率則由前月修正值</w:t>
      </w:r>
      <w:r w:rsidRPr="00131B9D">
        <w:rPr>
          <w:szCs w:val="24"/>
        </w:rPr>
        <w:t>-2.9%</w:t>
      </w:r>
      <w:r w:rsidRPr="00131B9D">
        <w:rPr>
          <w:szCs w:val="24"/>
        </w:rPr>
        <w:t>下跌至</w:t>
      </w:r>
      <w:r w:rsidRPr="00131B9D">
        <w:rPr>
          <w:szCs w:val="24"/>
        </w:rPr>
        <w:t>-6.8%</w:t>
      </w:r>
      <w:r w:rsidRPr="00131B9D">
        <w:rPr>
          <w:szCs w:val="24"/>
        </w:rPr>
        <w:t>。金屬產業活動增長在近期將可能進一步收縮，另一方面，全球經濟增長放緩（特別是中國大陸）以及美元的強勢則限制了美國的金屬出口。</w:t>
      </w:r>
    </w:p>
    <w:p w:rsidR="00F279F7" w:rsidRPr="00131B9D" w:rsidRDefault="00F279F7" w:rsidP="00EE753F"/>
    <w:p w:rsidR="00F279F7" w:rsidRPr="00131B9D" w:rsidRDefault="00F279F7" w:rsidP="00F279F7">
      <w:pPr>
        <w:pStyle w:val="3"/>
        <w:spacing w:line="460" w:lineRule="exact"/>
        <w:rPr>
          <w:rFonts w:ascii="Times New Roman" w:hAnsi="Times New Roman"/>
        </w:rPr>
      </w:pPr>
      <w:r w:rsidRPr="00131B9D">
        <w:rPr>
          <w:rFonts w:ascii="Times New Roman" w:hAnsi="Times New Roman"/>
        </w:rPr>
        <w:t>（一）銅</w:t>
      </w:r>
      <w:bookmarkEnd w:id="124"/>
    </w:p>
    <w:p w:rsidR="00F279F7" w:rsidRPr="00131B9D" w:rsidRDefault="00F279F7" w:rsidP="00F279F7">
      <w:pPr>
        <w:pStyle w:val="-"/>
        <w:spacing w:before="72" w:after="72" w:line="460" w:lineRule="exact"/>
        <w:ind w:firstLineChars="0" w:firstLine="0"/>
        <w:rPr>
          <w:b/>
        </w:rPr>
      </w:pPr>
      <w:r w:rsidRPr="00131B9D">
        <w:rPr>
          <w:b/>
        </w:rPr>
        <w:t>1.</w:t>
      </w:r>
      <w:r w:rsidRPr="00131B9D">
        <w:rPr>
          <w:b/>
        </w:rPr>
        <w:t xml:space="preserve">　價格走勢</w:t>
      </w:r>
    </w:p>
    <w:p w:rsidR="00F279F7" w:rsidRPr="00131B9D" w:rsidRDefault="00127C79" w:rsidP="00F279F7">
      <w:pPr>
        <w:pStyle w:val="-"/>
        <w:spacing w:before="72" w:after="72"/>
        <w:ind w:firstLine="560"/>
      </w:pPr>
      <w:r w:rsidRPr="00131B9D">
        <w:t>2015</w:t>
      </w:r>
      <w:r w:rsidRPr="00131B9D">
        <w:t>年整體銅價震盪走低。第</w:t>
      </w:r>
      <w:r w:rsidRPr="00131B9D">
        <w:t>1</w:t>
      </w:r>
      <w:r w:rsidRPr="00131B9D">
        <w:t>季銅價整體呈現先跌後漲趨勢，倫敦交易所（</w:t>
      </w:r>
      <w:r w:rsidRPr="00131B9D">
        <w:t>The London Metal Exchange, LME</w:t>
      </w:r>
      <w:r w:rsidRPr="00131B9D">
        <w:t>）銅價</w:t>
      </w:r>
      <w:r w:rsidRPr="00131B9D">
        <w:t>3</w:t>
      </w:r>
      <w:r w:rsidRPr="00131B9D">
        <w:t>月均價為</w:t>
      </w:r>
      <w:r w:rsidRPr="00131B9D">
        <w:t>5,942</w:t>
      </w:r>
      <w:r w:rsidRPr="00131B9D">
        <w:t>美元</w:t>
      </w:r>
      <w:r w:rsidRPr="00131B9D">
        <w:t>/</w:t>
      </w:r>
      <w:r w:rsidRPr="00131B9D">
        <w:t>噸，較</w:t>
      </w:r>
      <w:r w:rsidRPr="00131B9D">
        <w:t>1</w:t>
      </w:r>
      <w:r w:rsidRPr="00131B9D">
        <w:t>月均價</w:t>
      </w:r>
      <w:r w:rsidRPr="00131B9D">
        <w:t>5,870</w:t>
      </w:r>
      <w:r w:rsidRPr="00131B9D">
        <w:t>美元</w:t>
      </w:r>
      <w:r w:rsidRPr="00131B9D">
        <w:t>/</w:t>
      </w:r>
      <w:r w:rsidRPr="00131B9D">
        <w:t>噸上漲</w:t>
      </w:r>
      <w:r w:rsidRPr="00131B9D">
        <w:t>1.23%</w:t>
      </w:r>
      <w:r w:rsidRPr="00131B9D">
        <w:t>，第</w:t>
      </w:r>
      <w:r w:rsidRPr="00131B9D">
        <w:t>1</w:t>
      </w:r>
      <w:r w:rsidRPr="00131B9D">
        <w:t>季均價</w:t>
      </w:r>
      <w:r w:rsidRPr="00131B9D">
        <w:t>5,850</w:t>
      </w:r>
      <w:r w:rsidRPr="00131B9D">
        <w:t>美元</w:t>
      </w:r>
      <w:r w:rsidRPr="00131B9D">
        <w:t>/</w:t>
      </w:r>
      <w:r w:rsidRPr="00131B9D">
        <w:t>噸，則較上一季跌幅達</w:t>
      </w:r>
      <w:r w:rsidRPr="00131B9D">
        <w:t>11.8%</w:t>
      </w:r>
      <w:r w:rsidRPr="00131B9D">
        <w:t>。第</w:t>
      </w:r>
      <w:r w:rsidRPr="00131B9D">
        <w:t>2</w:t>
      </w:r>
      <w:r w:rsidRPr="00131B9D">
        <w:t>季銅價與第</w:t>
      </w:r>
      <w:r w:rsidRPr="00131B9D">
        <w:t>1</w:t>
      </w:r>
      <w:r w:rsidRPr="00131B9D">
        <w:t>季相反，呈現先漲後跌的趨勢，銅價在</w:t>
      </w:r>
      <w:r w:rsidRPr="00131B9D">
        <w:t>4</w:t>
      </w:r>
      <w:r w:rsidRPr="00131B9D">
        <w:t>月均價為</w:t>
      </w:r>
      <w:r w:rsidRPr="00131B9D">
        <w:t>6,039</w:t>
      </w:r>
      <w:r w:rsidRPr="00131B9D">
        <w:t>美元</w:t>
      </w:r>
      <w:r w:rsidRPr="00131B9D">
        <w:t>/</w:t>
      </w:r>
      <w:r w:rsidRPr="00131B9D">
        <w:t>噸，</w:t>
      </w:r>
      <w:r w:rsidRPr="00131B9D">
        <w:t>5</w:t>
      </w:r>
      <w:r w:rsidRPr="00131B9D">
        <w:t>月均價漲至</w:t>
      </w:r>
      <w:r w:rsidRPr="00131B9D">
        <w:t>6,288</w:t>
      </w:r>
      <w:r w:rsidRPr="00131B9D">
        <w:t>美元</w:t>
      </w:r>
      <w:r w:rsidRPr="00131B9D">
        <w:t>/</w:t>
      </w:r>
      <w:r w:rsidRPr="00131B9D">
        <w:t>噸，</w:t>
      </w:r>
      <w:r w:rsidRPr="00131B9D">
        <w:t>6</w:t>
      </w:r>
      <w:r w:rsidRPr="00131B9D">
        <w:t>月均價跌到</w:t>
      </w:r>
      <w:r w:rsidRPr="00131B9D">
        <w:t>5,825</w:t>
      </w:r>
      <w:r w:rsidRPr="00131B9D">
        <w:t>美元</w:t>
      </w:r>
      <w:r w:rsidRPr="00131B9D">
        <w:t>/</w:t>
      </w:r>
      <w:r w:rsidRPr="00131B9D">
        <w:t>噸，較</w:t>
      </w:r>
      <w:r w:rsidRPr="00131B9D">
        <w:t>4</w:t>
      </w:r>
      <w:r w:rsidRPr="00131B9D">
        <w:t>月均價下跌</w:t>
      </w:r>
      <w:r w:rsidRPr="00131B9D">
        <w:t>3.5%</w:t>
      </w:r>
      <w:r w:rsidRPr="00131B9D">
        <w:t>；第</w:t>
      </w:r>
      <w:r w:rsidRPr="00131B9D">
        <w:t>2</w:t>
      </w:r>
      <w:r w:rsidRPr="00131B9D">
        <w:t>季均價</w:t>
      </w:r>
      <w:r w:rsidRPr="00131B9D">
        <w:t>6,053</w:t>
      </w:r>
      <w:r w:rsidRPr="00131B9D">
        <w:t>美元</w:t>
      </w:r>
      <w:r w:rsidRPr="00131B9D">
        <w:t>/</w:t>
      </w:r>
      <w:r w:rsidRPr="00131B9D">
        <w:t>噸，則較第</w:t>
      </w:r>
      <w:r w:rsidRPr="00131B9D">
        <w:t>1</w:t>
      </w:r>
      <w:r w:rsidRPr="00131B9D">
        <w:t>季上漲達</w:t>
      </w:r>
      <w:r w:rsidRPr="00131B9D">
        <w:t>3.5%</w:t>
      </w:r>
      <w:r w:rsidRPr="00131B9D">
        <w:t>。第</w:t>
      </w:r>
      <w:r w:rsidRPr="00131B9D">
        <w:t>3</w:t>
      </w:r>
      <w:r w:rsidRPr="00131B9D">
        <w:t>季價格再度走跌，</w:t>
      </w:r>
      <w:r w:rsidRPr="00131B9D">
        <w:t>7</w:t>
      </w:r>
      <w:r w:rsidRPr="00131B9D">
        <w:t>月均價為</w:t>
      </w:r>
      <w:r w:rsidRPr="00131B9D">
        <w:t>5,470</w:t>
      </w:r>
      <w:r w:rsidRPr="00131B9D">
        <w:t>美元</w:t>
      </w:r>
      <w:r w:rsidRPr="00131B9D">
        <w:t>/</w:t>
      </w:r>
      <w:r w:rsidRPr="00131B9D">
        <w:t>公噸，</w:t>
      </w:r>
      <w:r w:rsidRPr="00131B9D">
        <w:t>8</w:t>
      </w:r>
      <w:r w:rsidRPr="00131B9D">
        <w:t>月均價降至</w:t>
      </w:r>
      <w:r w:rsidRPr="00131B9D">
        <w:t>5,135</w:t>
      </w:r>
      <w:r w:rsidRPr="00131B9D">
        <w:t>美元</w:t>
      </w:r>
      <w:r w:rsidRPr="00131B9D">
        <w:t>/</w:t>
      </w:r>
      <w:r w:rsidRPr="00131B9D">
        <w:t>公噸，只有</w:t>
      </w:r>
      <w:r w:rsidRPr="00131B9D">
        <w:t>9</w:t>
      </w:r>
      <w:r w:rsidRPr="00131B9D">
        <w:t>月均價微漲到</w:t>
      </w:r>
      <w:r w:rsidRPr="00131B9D">
        <w:t>5,215</w:t>
      </w:r>
      <w:r w:rsidRPr="00131B9D">
        <w:t>美元</w:t>
      </w:r>
      <w:r w:rsidRPr="00131B9D">
        <w:t>/</w:t>
      </w:r>
      <w:r w:rsidRPr="00131B9D">
        <w:t>公噸；第</w:t>
      </w:r>
      <w:r w:rsidRPr="00131B9D">
        <w:t>3</w:t>
      </w:r>
      <w:r w:rsidRPr="00131B9D">
        <w:t>季均價較第</w:t>
      </w:r>
      <w:r w:rsidRPr="00131B9D">
        <w:t>2</w:t>
      </w:r>
      <w:r w:rsidRPr="00131B9D">
        <w:t>季有高達</w:t>
      </w:r>
      <w:r w:rsidRPr="00131B9D">
        <w:t>12.87%</w:t>
      </w:r>
      <w:r w:rsidRPr="00131B9D">
        <w:t>的跌幅。</w:t>
      </w:r>
      <w:r w:rsidRPr="00131B9D">
        <w:t>10</w:t>
      </w:r>
      <w:r w:rsidRPr="00131B9D">
        <w:t>月份均價持平為</w:t>
      </w:r>
      <w:r w:rsidRPr="00131B9D">
        <w:t>5,216</w:t>
      </w:r>
      <w:r w:rsidRPr="00131B9D">
        <w:t>美元</w:t>
      </w:r>
      <w:r w:rsidRPr="00131B9D">
        <w:t>/</w:t>
      </w:r>
      <w:r w:rsidRPr="00131B9D">
        <w:t>公噸，但</w:t>
      </w:r>
      <w:r w:rsidRPr="00131B9D">
        <w:t>11</w:t>
      </w:r>
      <w:r w:rsidRPr="00131B9D">
        <w:t>月再度因供給大增而需求看壞而大跌（如圖</w:t>
      </w:r>
      <w:r w:rsidRPr="00131B9D">
        <w:t>3-7</w:t>
      </w:r>
      <w:r w:rsidRPr="00131B9D">
        <w:t>）。</w:t>
      </w:r>
    </w:p>
    <w:p w:rsidR="00EF2773" w:rsidRPr="00131B9D" w:rsidRDefault="00EF2773" w:rsidP="00EF2773"/>
    <w:p w:rsidR="00F279F7" w:rsidRPr="00131B9D" w:rsidRDefault="00F279F7" w:rsidP="00F279F7">
      <w:pPr>
        <w:spacing w:line="0" w:lineRule="atLeast"/>
        <w:rPr>
          <w:rFonts w:eastAsia="標楷體"/>
        </w:rPr>
      </w:pPr>
      <w:r w:rsidRPr="00131B9D">
        <w:rPr>
          <w:noProof/>
        </w:rPr>
        <w:drawing>
          <wp:inline distT="0" distB="0" distL="0" distR="0" wp14:anchorId="4D4F6A5B" wp14:editId="7AAFF501">
            <wp:extent cx="5274310" cy="2790701"/>
            <wp:effectExtent l="0" t="0" r="2540" b="10160"/>
            <wp:docPr id="33" name="圖表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F279F7" w:rsidRPr="00131B9D" w:rsidRDefault="00F279F7" w:rsidP="00F279F7">
      <w:pPr>
        <w:spacing w:line="0" w:lineRule="atLeas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125" w:name="_Toc398882641"/>
      <w:bookmarkStart w:id="126" w:name="_Toc438223341"/>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7</w:t>
      </w:r>
      <w:r w:rsidRPr="00131B9D">
        <w:rPr>
          <w:rFonts w:eastAsia="標楷體"/>
          <w:b/>
          <w:bCs/>
          <w:kern w:val="52"/>
          <w:sz w:val="28"/>
          <w:szCs w:val="28"/>
        </w:rPr>
        <w:fldChar w:fldCharType="end"/>
      </w:r>
      <w:r w:rsidRPr="00131B9D">
        <w:rPr>
          <w:rFonts w:eastAsia="標楷體"/>
          <w:b/>
          <w:bCs/>
          <w:kern w:val="52"/>
          <w:sz w:val="28"/>
          <w:szCs w:val="28"/>
        </w:rPr>
        <w:t xml:space="preserve">　銅近一年價格走勢圖</w:t>
      </w:r>
      <w:bookmarkEnd w:id="125"/>
      <w:bookmarkEnd w:id="126"/>
    </w:p>
    <w:p w:rsidR="00F279F7" w:rsidRPr="00131B9D" w:rsidRDefault="00F279F7" w:rsidP="00F279F7">
      <w:pPr>
        <w:rPr>
          <w:rFonts w:eastAsia="標楷體"/>
          <w:b/>
          <w:bCs/>
          <w:kern w:val="52"/>
          <w:sz w:val="28"/>
          <w:szCs w:val="28"/>
        </w:rPr>
        <w:sectPr w:rsidR="00F279F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
        <w:spacing w:before="72" w:after="72" w:line="460" w:lineRule="exact"/>
        <w:ind w:firstLineChars="0" w:firstLine="0"/>
        <w:rPr>
          <w:b/>
        </w:rPr>
      </w:pPr>
      <w:r w:rsidRPr="00131B9D">
        <w:rPr>
          <w:b/>
        </w:rPr>
        <w:lastRenderedPageBreak/>
        <w:t>2.</w:t>
      </w:r>
      <w:r w:rsidRPr="00131B9D">
        <w:rPr>
          <w:b/>
        </w:rPr>
        <w:t xml:space="preserve">　供需情勢</w:t>
      </w:r>
    </w:p>
    <w:p w:rsidR="00F279F7" w:rsidRPr="00131B9D" w:rsidRDefault="00F279F7" w:rsidP="00F279F7">
      <w:pPr>
        <w:pStyle w:val="-"/>
        <w:spacing w:before="72" w:after="72"/>
        <w:ind w:firstLine="560"/>
        <w:rPr>
          <w:szCs w:val="24"/>
        </w:rPr>
      </w:pPr>
      <w:bookmarkStart w:id="127" w:name="OLE_LINK62"/>
      <w:r w:rsidRPr="00131B9D">
        <w:rPr>
          <w:szCs w:val="24"/>
        </w:rPr>
        <w:t>全球主要銅礦生產國依序為智利、中國大陸、秘魯、美國、澳洲、剛果、尚比亞、俄國、加拿大、印尼、墨西哥、哈薩克、波蘭、巴西、伊朗、蒙古、寮國、巴布亞紐幾內亞等。</w:t>
      </w:r>
    </w:p>
    <w:p w:rsidR="00F279F7" w:rsidRPr="00131B9D" w:rsidRDefault="00F279F7" w:rsidP="00F279F7">
      <w:pPr>
        <w:pStyle w:val="-"/>
        <w:spacing w:before="72" w:after="72"/>
        <w:ind w:firstLine="560"/>
        <w:rPr>
          <w:szCs w:val="24"/>
        </w:rPr>
      </w:pPr>
      <w:r w:rsidRPr="00131B9D">
        <w:rPr>
          <w:szCs w:val="24"/>
        </w:rPr>
        <w:t>國際銅研究組織（</w:t>
      </w:r>
      <w:r w:rsidRPr="00131B9D">
        <w:rPr>
          <w:szCs w:val="24"/>
        </w:rPr>
        <w:t>ICSG</w:t>
      </w:r>
      <w:r w:rsidRPr="00131B9D">
        <w:rPr>
          <w:szCs w:val="24"/>
        </w:rPr>
        <w:t>）</w:t>
      </w:r>
      <w:r w:rsidRPr="00131B9D">
        <w:rPr>
          <w:szCs w:val="24"/>
        </w:rPr>
        <w:t xml:space="preserve"> 10</w:t>
      </w:r>
      <w:r w:rsidRPr="00131B9D">
        <w:rPr>
          <w:szCs w:val="24"/>
        </w:rPr>
        <w:t>月</w:t>
      </w:r>
      <w:r w:rsidRPr="00131B9D">
        <w:rPr>
          <w:szCs w:val="24"/>
        </w:rPr>
        <w:t>20</w:t>
      </w:r>
      <w:r w:rsidRPr="00131B9D">
        <w:rPr>
          <w:szCs w:val="24"/>
        </w:rPr>
        <w:t>日公佈的資料，</w:t>
      </w:r>
      <w:r w:rsidRPr="00131B9D">
        <w:rPr>
          <w:szCs w:val="24"/>
        </w:rPr>
        <w:t>2015</w:t>
      </w:r>
      <w:r w:rsidRPr="00131B9D">
        <w:rPr>
          <w:szCs w:val="24"/>
        </w:rPr>
        <w:t>年</w:t>
      </w:r>
      <w:r w:rsidRPr="00131B9D">
        <w:rPr>
          <w:szCs w:val="24"/>
        </w:rPr>
        <w:t>1-7</w:t>
      </w:r>
      <w:r w:rsidRPr="00131B9D">
        <w:rPr>
          <w:szCs w:val="24"/>
        </w:rPr>
        <w:t>月，全球銅礦產量較去年同期增加</w:t>
      </w:r>
      <w:r w:rsidRPr="00131B9D">
        <w:rPr>
          <w:szCs w:val="24"/>
        </w:rPr>
        <w:t>3%</w:t>
      </w:r>
      <w:r w:rsidRPr="00131B9D">
        <w:rPr>
          <w:szCs w:val="24"/>
        </w:rPr>
        <w:t>至</w:t>
      </w:r>
      <w:r w:rsidRPr="00131B9D">
        <w:rPr>
          <w:szCs w:val="24"/>
        </w:rPr>
        <w:t>1,097.4</w:t>
      </w:r>
      <w:r w:rsidRPr="00131B9D">
        <w:rPr>
          <w:szCs w:val="24"/>
        </w:rPr>
        <w:t>萬噸，主要受到智利與印尼的產量較去年同期恢復的影響，兩國合計產量較去年同期增加</w:t>
      </w:r>
      <w:r w:rsidRPr="00131B9D">
        <w:rPr>
          <w:szCs w:val="24"/>
        </w:rPr>
        <w:t>5.5%</w:t>
      </w:r>
      <w:r w:rsidRPr="00131B9D">
        <w:rPr>
          <w:szCs w:val="24"/>
        </w:rPr>
        <w:t>，秘魯產量較去年同期增加</w:t>
      </w:r>
      <w:r w:rsidRPr="00131B9D">
        <w:rPr>
          <w:szCs w:val="24"/>
        </w:rPr>
        <w:t>12%</w:t>
      </w:r>
      <w:r w:rsidRPr="00131B9D">
        <w:rPr>
          <w:szCs w:val="24"/>
        </w:rPr>
        <w:t>，美國產量較去年同期減少</w:t>
      </w:r>
      <w:r w:rsidRPr="00131B9D">
        <w:rPr>
          <w:szCs w:val="24"/>
        </w:rPr>
        <w:t>4%</w:t>
      </w:r>
      <w:r w:rsidRPr="00131B9D">
        <w:rPr>
          <w:szCs w:val="24"/>
        </w:rPr>
        <w:t>，中國大陸產量也較去年同期減少</w:t>
      </w:r>
      <w:r w:rsidRPr="00131B9D">
        <w:rPr>
          <w:szCs w:val="24"/>
        </w:rPr>
        <w:t>3%</w:t>
      </w:r>
      <w:r w:rsidRPr="00131B9D">
        <w:rPr>
          <w:szCs w:val="24"/>
        </w:rPr>
        <w:t>。就各個地區來看，非洲、南美洲、亞洲與歐洲產量分別較去年同期增加</w:t>
      </w:r>
      <w:r w:rsidRPr="00131B9D">
        <w:rPr>
          <w:szCs w:val="24"/>
        </w:rPr>
        <w:t>1.5%</w:t>
      </w:r>
      <w:r w:rsidRPr="00131B9D">
        <w:rPr>
          <w:szCs w:val="24"/>
        </w:rPr>
        <w:t>、</w:t>
      </w:r>
      <w:r w:rsidRPr="00131B9D">
        <w:rPr>
          <w:szCs w:val="24"/>
        </w:rPr>
        <w:t>4%</w:t>
      </w:r>
      <w:r w:rsidRPr="00131B9D">
        <w:rPr>
          <w:szCs w:val="24"/>
        </w:rPr>
        <w:t>、</w:t>
      </w:r>
      <w:r w:rsidRPr="00131B9D">
        <w:rPr>
          <w:szCs w:val="24"/>
        </w:rPr>
        <w:t>9%</w:t>
      </w:r>
      <w:r w:rsidRPr="00131B9D">
        <w:rPr>
          <w:szCs w:val="24"/>
        </w:rPr>
        <w:t>與</w:t>
      </w:r>
      <w:r w:rsidRPr="00131B9D">
        <w:rPr>
          <w:szCs w:val="24"/>
        </w:rPr>
        <w:t>1.5%</w:t>
      </w:r>
      <w:r w:rsidRPr="00131B9D">
        <w:rPr>
          <w:szCs w:val="24"/>
        </w:rPr>
        <w:t>，北美與大洋洲產量則分別較去年同期減少</w:t>
      </w:r>
      <w:r w:rsidRPr="00131B9D">
        <w:rPr>
          <w:szCs w:val="24"/>
        </w:rPr>
        <w:t>3%</w:t>
      </w:r>
      <w:r w:rsidRPr="00131B9D">
        <w:rPr>
          <w:szCs w:val="24"/>
        </w:rPr>
        <w:t>與</w:t>
      </w:r>
      <w:r w:rsidRPr="00131B9D">
        <w:rPr>
          <w:szCs w:val="24"/>
        </w:rPr>
        <w:t>5%</w:t>
      </w:r>
      <w:r w:rsidRPr="00131B9D">
        <w:rPr>
          <w:szCs w:val="24"/>
        </w:rPr>
        <w:t>。全球銅礦產能利用率較去年同期的</w:t>
      </w:r>
      <w:r w:rsidRPr="00131B9D">
        <w:rPr>
          <w:szCs w:val="24"/>
        </w:rPr>
        <w:t>85%</w:t>
      </w:r>
      <w:r w:rsidRPr="00131B9D">
        <w:rPr>
          <w:szCs w:val="24"/>
        </w:rPr>
        <w:t>下滑至</w:t>
      </w:r>
      <w:r w:rsidRPr="00131B9D">
        <w:rPr>
          <w:szCs w:val="24"/>
        </w:rPr>
        <w:t>83.5%</w:t>
      </w:r>
      <w:r w:rsidRPr="00131B9D">
        <w:rPr>
          <w:szCs w:val="24"/>
        </w:rPr>
        <w:t>。而</w:t>
      </w:r>
      <w:r w:rsidRPr="00131B9D">
        <w:rPr>
          <w:szCs w:val="24"/>
        </w:rPr>
        <w:t>1-7</w:t>
      </w:r>
      <w:r w:rsidRPr="00131B9D">
        <w:rPr>
          <w:szCs w:val="24"/>
        </w:rPr>
        <w:t>月全球精煉銅產量年增</w:t>
      </w:r>
      <w:r w:rsidRPr="00131B9D">
        <w:rPr>
          <w:szCs w:val="24"/>
        </w:rPr>
        <w:t>2.5%</w:t>
      </w:r>
      <w:r w:rsidRPr="00131B9D">
        <w:rPr>
          <w:szCs w:val="24"/>
        </w:rPr>
        <w:t>至</w:t>
      </w:r>
      <w:r w:rsidRPr="00131B9D">
        <w:rPr>
          <w:szCs w:val="24"/>
        </w:rPr>
        <w:t>1,308.9</w:t>
      </w:r>
      <w:r w:rsidRPr="00131B9D">
        <w:rPr>
          <w:szCs w:val="24"/>
        </w:rPr>
        <w:t>萬噸，產量增加主要來自於中國大陸（</w:t>
      </w:r>
      <w:r w:rsidRPr="00131B9D">
        <w:rPr>
          <w:szCs w:val="24"/>
        </w:rPr>
        <w:t>+5.5%</w:t>
      </w:r>
      <w:r w:rsidRPr="00131B9D">
        <w:rPr>
          <w:szCs w:val="24"/>
        </w:rPr>
        <w:t>）；菲律賓、印尼與剛果產量也有增長，其中剛果產量年增</w:t>
      </w:r>
      <w:r w:rsidRPr="00131B9D">
        <w:rPr>
          <w:szCs w:val="24"/>
        </w:rPr>
        <w:t>9%</w:t>
      </w:r>
      <w:r w:rsidRPr="00131B9D">
        <w:rPr>
          <w:szCs w:val="24"/>
        </w:rPr>
        <w:t>；智利與日本的精煉銅產量則分別年減</w:t>
      </w:r>
      <w:r w:rsidRPr="00131B9D">
        <w:rPr>
          <w:szCs w:val="24"/>
        </w:rPr>
        <w:t>3%</w:t>
      </w:r>
      <w:r w:rsidRPr="00131B9D">
        <w:rPr>
          <w:szCs w:val="24"/>
        </w:rPr>
        <w:t>與</w:t>
      </w:r>
      <w:r w:rsidRPr="00131B9D">
        <w:rPr>
          <w:szCs w:val="24"/>
        </w:rPr>
        <w:t>2.5%</w:t>
      </w:r>
      <w:r w:rsidRPr="00131B9D">
        <w:rPr>
          <w:szCs w:val="24"/>
        </w:rPr>
        <w:t>，美國產量則是年減</w:t>
      </w:r>
      <w:r w:rsidRPr="00131B9D">
        <w:rPr>
          <w:szCs w:val="24"/>
        </w:rPr>
        <w:t>6%</w:t>
      </w:r>
      <w:r w:rsidRPr="00131B9D">
        <w:rPr>
          <w:szCs w:val="24"/>
        </w:rPr>
        <w:t>。就各個地區來看，非洲、亞洲產量分別年增</w:t>
      </w:r>
      <w:r w:rsidRPr="00131B9D">
        <w:rPr>
          <w:szCs w:val="24"/>
        </w:rPr>
        <w:t>8%</w:t>
      </w:r>
      <w:r w:rsidRPr="00131B9D">
        <w:rPr>
          <w:szCs w:val="24"/>
        </w:rPr>
        <w:t>、</w:t>
      </w:r>
      <w:r w:rsidRPr="00131B9D">
        <w:rPr>
          <w:szCs w:val="24"/>
        </w:rPr>
        <w:t>6%</w:t>
      </w:r>
      <w:r w:rsidRPr="00131B9D">
        <w:rPr>
          <w:szCs w:val="24"/>
        </w:rPr>
        <w:t>，美洲、大洋洲產量年減</w:t>
      </w:r>
      <w:r w:rsidRPr="00131B9D">
        <w:rPr>
          <w:szCs w:val="24"/>
        </w:rPr>
        <w:t>2%</w:t>
      </w:r>
      <w:r w:rsidRPr="00131B9D">
        <w:rPr>
          <w:szCs w:val="24"/>
        </w:rPr>
        <w:t>、</w:t>
      </w:r>
      <w:r w:rsidRPr="00131B9D">
        <w:rPr>
          <w:szCs w:val="24"/>
        </w:rPr>
        <w:t>20%</w:t>
      </w:r>
      <w:r w:rsidRPr="00131B9D">
        <w:rPr>
          <w:szCs w:val="24"/>
        </w:rPr>
        <w:t>，歐洲產量則是持平。全球精煉銅產能利用率則較去年同期持平，並小幅供給過剩</w:t>
      </w:r>
      <w:r w:rsidRPr="00131B9D">
        <w:rPr>
          <w:szCs w:val="24"/>
        </w:rPr>
        <w:t>8,000</w:t>
      </w:r>
      <w:r w:rsidRPr="00131B9D">
        <w:rPr>
          <w:szCs w:val="24"/>
        </w:rPr>
        <w:t>公噸，去年同期則為短缺</w:t>
      </w:r>
      <w:r w:rsidRPr="00131B9D">
        <w:rPr>
          <w:szCs w:val="24"/>
        </w:rPr>
        <w:t>56.3</w:t>
      </w:r>
      <w:r w:rsidRPr="00131B9D">
        <w:rPr>
          <w:szCs w:val="24"/>
        </w:rPr>
        <w:t>萬噸。</w:t>
      </w:r>
    </w:p>
    <w:bookmarkEnd w:id="127"/>
    <w:p w:rsidR="00F279F7" w:rsidRPr="00131B9D" w:rsidRDefault="00F279F7" w:rsidP="00F279F7">
      <w:pPr>
        <w:pStyle w:val="-"/>
        <w:spacing w:before="72" w:after="72" w:line="460" w:lineRule="exact"/>
        <w:ind w:firstLine="560"/>
        <w:rPr>
          <w:szCs w:val="24"/>
        </w:rPr>
      </w:pPr>
      <w:r w:rsidRPr="00131B9D">
        <w:rPr>
          <w:szCs w:val="24"/>
        </w:rPr>
        <w:t>由銅的消費面而言，</w:t>
      </w:r>
      <w:r w:rsidRPr="00131B9D">
        <w:rPr>
          <w:szCs w:val="24"/>
        </w:rPr>
        <w:t>1-7</w:t>
      </w:r>
      <w:r w:rsidRPr="00131B9D">
        <w:rPr>
          <w:szCs w:val="24"/>
        </w:rPr>
        <w:t>月全球精煉銅消費量較去年同期減少</w:t>
      </w:r>
      <w:r w:rsidRPr="00131B9D">
        <w:rPr>
          <w:szCs w:val="24"/>
        </w:rPr>
        <w:t>2%</w:t>
      </w:r>
      <w:r w:rsidRPr="00131B9D">
        <w:rPr>
          <w:szCs w:val="24"/>
        </w:rPr>
        <w:t>；佔全球銅消費四成比重的中國大陸消費量較去年同期增加</w:t>
      </w:r>
      <w:r w:rsidRPr="00131B9D">
        <w:rPr>
          <w:szCs w:val="24"/>
        </w:rPr>
        <w:t>1%</w:t>
      </w:r>
      <w:r w:rsidRPr="00131B9D">
        <w:rPr>
          <w:szCs w:val="24"/>
        </w:rPr>
        <w:t>，中國大陸以外的全球消費量較去年同期減少</w:t>
      </w:r>
      <w:r w:rsidRPr="00131B9D">
        <w:rPr>
          <w:szCs w:val="24"/>
        </w:rPr>
        <w:t>4%</w:t>
      </w:r>
      <w:r w:rsidRPr="00131B9D">
        <w:rPr>
          <w:szCs w:val="24"/>
        </w:rPr>
        <w:t>，其中俄羅斯消費量較去年同期減少</w:t>
      </w:r>
      <w:r w:rsidRPr="00131B9D">
        <w:rPr>
          <w:szCs w:val="24"/>
        </w:rPr>
        <w:t>52%</w:t>
      </w:r>
      <w:r w:rsidRPr="00131B9D">
        <w:rPr>
          <w:szCs w:val="24"/>
        </w:rPr>
        <w:t>，日本與歐盟的消費量則分別較去年同期減少</w:t>
      </w:r>
      <w:r w:rsidRPr="00131B9D">
        <w:rPr>
          <w:szCs w:val="24"/>
        </w:rPr>
        <w:t>8%</w:t>
      </w:r>
      <w:r w:rsidRPr="00131B9D">
        <w:rPr>
          <w:szCs w:val="24"/>
        </w:rPr>
        <w:t>與</w:t>
      </w:r>
      <w:r w:rsidRPr="00131B9D">
        <w:rPr>
          <w:szCs w:val="24"/>
        </w:rPr>
        <w:t>6%</w:t>
      </w:r>
      <w:r w:rsidRPr="00131B9D">
        <w:rPr>
          <w:szCs w:val="24"/>
        </w:rPr>
        <w:t>。就各個地區來看，非洲與美洲的消費量分別較去年同期增加</w:t>
      </w:r>
      <w:r w:rsidRPr="00131B9D">
        <w:rPr>
          <w:szCs w:val="24"/>
        </w:rPr>
        <w:t>1%</w:t>
      </w:r>
      <w:r w:rsidRPr="00131B9D">
        <w:rPr>
          <w:szCs w:val="24"/>
        </w:rPr>
        <w:t>與</w:t>
      </w:r>
      <w:r w:rsidRPr="00131B9D">
        <w:rPr>
          <w:szCs w:val="24"/>
        </w:rPr>
        <w:t>2%</w:t>
      </w:r>
      <w:r w:rsidRPr="00131B9D">
        <w:rPr>
          <w:szCs w:val="24"/>
        </w:rPr>
        <w:t>，除中國大陸以外的亞洲消費量也較去年同期增加</w:t>
      </w:r>
      <w:r w:rsidRPr="00131B9D">
        <w:rPr>
          <w:szCs w:val="24"/>
        </w:rPr>
        <w:t>0.6%</w:t>
      </w:r>
      <w:r w:rsidRPr="00131B9D">
        <w:rPr>
          <w:szCs w:val="24"/>
        </w:rPr>
        <w:t>，歐洲與大洋洲的消費量則較去年同期減少</w:t>
      </w:r>
      <w:r w:rsidRPr="00131B9D">
        <w:rPr>
          <w:szCs w:val="24"/>
        </w:rPr>
        <w:t>12%</w:t>
      </w:r>
      <w:r w:rsidRPr="00131B9D">
        <w:rPr>
          <w:szCs w:val="24"/>
        </w:rPr>
        <w:t>與</w:t>
      </w:r>
      <w:r w:rsidRPr="00131B9D">
        <w:rPr>
          <w:szCs w:val="24"/>
        </w:rPr>
        <w:t>66%</w:t>
      </w:r>
      <w:r w:rsidRPr="00131B9D">
        <w:rPr>
          <w:szCs w:val="24"/>
        </w:rPr>
        <w:t>。</w:t>
      </w:r>
    </w:p>
    <w:p w:rsidR="00F279F7" w:rsidRPr="00131B9D" w:rsidRDefault="00F279F7" w:rsidP="00F279F7">
      <w:pPr>
        <w:pStyle w:val="-"/>
        <w:spacing w:before="72" w:after="72" w:line="460" w:lineRule="exact"/>
        <w:ind w:firstLine="560"/>
        <w:rPr>
          <w:szCs w:val="24"/>
        </w:rPr>
      </w:pPr>
      <w:r w:rsidRPr="00131B9D">
        <w:rPr>
          <w:szCs w:val="24"/>
        </w:rPr>
        <w:t>8</w:t>
      </w:r>
      <w:r w:rsidRPr="00131B9D">
        <w:rPr>
          <w:szCs w:val="24"/>
        </w:rPr>
        <w:t>月全球股災之際，對中國大陸經濟成長的憂慮，一度導致銅價創下六年新低至每噸</w:t>
      </w:r>
      <w:r w:rsidRPr="00131B9D">
        <w:rPr>
          <w:szCs w:val="24"/>
        </w:rPr>
        <w:t>4,855</w:t>
      </w:r>
      <w:r w:rsidRPr="00131B9D">
        <w:rPr>
          <w:szCs w:val="24"/>
        </w:rPr>
        <w:t>美元。</w:t>
      </w:r>
      <w:r w:rsidRPr="00131B9D">
        <w:rPr>
          <w:szCs w:val="24"/>
        </w:rPr>
        <w:t>9</w:t>
      </w:r>
      <w:r w:rsidRPr="00131B9D">
        <w:rPr>
          <w:szCs w:val="24"/>
        </w:rPr>
        <w:t>月過後，中國大陸保稅倉庫的銅</w:t>
      </w:r>
      <w:r w:rsidRPr="00131B9D">
        <w:rPr>
          <w:szCs w:val="24"/>
        </w:rPr>
        <w:lastRenderedPageBreak/>
        <w:t>庫存大減，礦商減少產出，像是全球五大礦商之一的嘉能可（</w:t>
      </w:r>
      <w:r w:rsidRPr="00131B9D">
        <w:rPr>
          <w:szCs w:val="24"/>
        </w:rPr>
        <w:t>Glencore</w:t>
      </w:r>
      <w:r w:rsidRPr="00131B9D">
        <w:rPr>
          <w:szCs w:val="24"/>
        </w:rPr>
        <w:t>）於</w:t>
      </w:r>
      <w:r w:rsidRPr="00131B9D">
        <w:rPr>
          <w:szCs w:val="24"/>
        </w:rPr>
        <w:t>9</w:t>
      </w:r>
      <w:r w:rsidRPr="00131B9D">
        <w:rPr>
          <w:szCs w:val="24"/>
        </w:rPr>
        <w:t>月</w:t>
      </w:r>
      <w:r w:rsidRPr="00131B9D">
        <w:rPr>
          <w:szCs w:val="24"/>
        </w:rPr>
        <w:t>7</w:t>
      </w:r>
      <w:r w:rsidRPr="00131B9D">
        <w:rPr>
          <w:szCs w:val="24"/>
        </w:rPr>
        <w:t>日宣佈暫停剛果和尚比亞的銅礦開採，減產銅礦、停發股利，減債</w:t>
      </w:r>
      <w:r w:rsidRPr="00131B9D">
        <w:rPr>
          <w:szCs w:val="24"/>
        </w:rPr>
        <w:t>100</w:t>
      </w:r>
      <w:r w:rsidRPr="00131B9D">
        <w:rPr>
          <w:szCs w:val="24"/>
        </w:rPr>
        <w:t>億美元，以因應低迷的商品價格，估計市場產出會減少</w:t>
      </w:r>
      <w:r w:rsidRPr="00131B9D">
        <w:rPr>
          <w:szCs w:val="24"/>
        </w:rPr>
        <w:t>40</w:t>
      </w:r>
      <w:r w:rsidRPr="00131B9D">
        <w:rPr>
          <w:szCs w:val="24"/>
        </w:rPr>
        <w:t>萬噸，使銅價自六年低點反彈，</w:t>
      </w:r>
      <w:r w:rsidRPr="00131B9D">
        <w:rPr>
          <w:szCs w:val="24"/>
        </w:rPr>
        <w:t>9</w:t>
      </w:r>
      <w:r w:rsidRPr="00131B9D">
        <w:rPr>
          <w:szCs w:val="24"/>
        </w:rPr>
        <w:t>月</w:t>
      </w:r>
      <w:r w:rsidRPr="00131B9D">
        <w:rPr>
          <w:szCs w:val="24"/>
        </w:rPr>
        <w:t>17</w:t>
      </w:r>
      <w:r w:rsidRPr="00131B9D">
        <w:rPr>
          <w:szCs w:val="24"/>
        </w:rPr>
        <w:t>日因智利發生強震後，</w:t>
      </w:r>
      <w:r w:rsidR="00B22890" w:rsidRPr="00131B9D">
        <w:rPr>
          <w:szCs w:val="24"/>
        </w:rPr>
        <w:t>部分</w:t>
      </w:r>
      <w:r w:rsidRPr="00131B9D">
        <w:rPr>
          <w:szCs w:val="24"/>
        </w:rPr>
        <w:t>礦場因防範措施而暫停營運，再度推升銅價走揚，達到近兩個月高點。然而哈德貝礦產公司於</w:t>
      </w:r>
      <w:r w:rsidRPr="00131B9D">
        <w:rPr>
          <w:szCs w:val="24"/>
        </w:rPr>
        <w:t>8</w:t>
      </w:r>
      <w:r w:rsidRPr="00131B9D">
        <w:rPr>
          <w:szCs w:val="24"/>
        </w:rPr>
        <w:t>月下旬甫投產位於秘魯的大型銅礦康斯坦西亞（</w:t>
      </w:r>
      <w:r w:rsidRPr="00131B9D">
        <w:rPr>
          <w:szCs w:val="24"/>
        </w:rPr>
        <w:t>Constancia</w:t>
      </w:r>
      <w:r w:rsidRPr="00131B9D">
        <w:rPr>
          <w:szCs w:val="24"/>
        </w:rPr>
        <w:t>），且</w:t>
      </w:r>
      <w:r w:rsidRPr="00131B9D">
        <w:rPr>
          <w:szCs w:val="24"/>
        </w:rPr>
        <w:t>2016</w:t>
      </w:r>
      <w:r w:rsidRPr="00131B9D">
        <w:rPr>
          <w:szCs w:val="24"/>
        </w:rPr>
        <w:t>年單是在秘魯就還有三處大型項目投產，分別是中國大陸五礦集團的拉斯班巴斯銅礦（</w:t>
      </w:r>
      <w:r w:rsidRPr="00131B9D">
        <w:rPr>
          <w:szCs w:val="24"/>
        </w:rPr>
        <w:t>Las Bambas</w:t>
      </w:r>
      <w:r w:rsidRPr="00131B9D">
        <w:rPr>
          <w:szCs w:val="24"/>
        </w:rPr>
        <w:t>），美國自由港麥克墨倫公司（</w:t>
      </w:r>
      <w:r w:rsidRPr="00131B9D">
        <w:rPr>
          <w:szCs w:val="24"/>
        </w:rPr>
        <w:t>Freeport-McMoRan Inc.</w:t>
      </w:r>
      <w:r w:rsidRPr="00131B9D">
        <w:rPr>
          <w:szCs w:val="24"/>
        </w:rPr>
        <w:t>）旗下的賽洛維德銅礦（</w:t>
      </w:r>
      <w:r w:rsidRPr="00131B9D">
        <w:rPr>
          <w:szCs w:val="24"/>
        </w:rPr>
        <w:t>Cerro Verde</w:t>
      </w:r>
      <w:r w:rsidRPr="00131B9D">
        <w:rPr>
          <w:szCs w:val="24"/>
        </w:rPr>
        <w:t>），以及南方銅業公司（</w:t>
      </w:r>
      <w:r w:rsidRPr="00131B9D">
        <w:rPr>
          <w:szCs w:val="24"/>
        </w:rPr>
        <w:t>Southern Copper Corp.</w:t>
      </w:r>
      <w:r w:rsidRPr="00131B9D">
        <w:rPr>
          <w:szCs w:val="24"/>
        </w:rPr>
        <w:t>）所屬的托克帕拉銅礦（</w:t>
      </w:r>
      <w:r w:rsidRPr="00131B9D">
        <w:rPr>
          <w:szCs w:val="24"/>
        </w:rPr>
        <w:t>Toquepala</w:t>
      </w:r>
      <w:r w:rsidRPr="00131B9D">
        <w:rPr>
          <w:szCs w:val="24"/>
        </w:rPr>
        <w:t>），近一年內銅市的供應還將大幅增長。</w:t>
      </w:r>
      <w:r w:rsidRPr="00131B9D">
        <w:rPr>
          <w:szCs w:val="24"/>
        </w:rPr>
        <w:t>11</w:t>
      </w:r>
      <w:r w:rsidRPr="00131B9D">
        <w:rPr>
          <w:szCs w:val="24"/>
        </w:rPr>
        <w:t>月</w:t>
      </w:r>
      <w:r w:rsidRPr="00131B9D">
        <w:rPr>
          <w:szCs w:val="24"/>
        </w:rPr>
        <w:t>13</w:t>
      </w:r>
      <w:r w:rsidRPr="00131B9D">
        <w:rPr>
          <w:szCs w:val="24"/>
        </w:rPr>
        <w:t>日因對中國大陸經濟成長和需求增長的擔憂加劇，且供應充足加深供應過剩的憂慮，銅的價格下跌至六年低點，在目前供過於求的情況下，銅價的下跌可能導致更多生產商減產</w:t>
      </w:r>
      <w:r w:rsidRPr="00131B9D">
        <w:t>（如表</w:t>
      </w:r>
      <w:r w:rsidRPr="00131B9D">
        <w:t>3-</w:t>
      </w:r>
      <w:r w:rsidR="00473701" w:rsidRPr="00131B9D">
        <w:t>6</w:t>
      </w:r>
      <w:r w:rsidRPr="00131B9D">
        <w:t>）</w:t>
      </w:r>
      <w:r w:rsidRPr="00131B9D">
        <w:rPr>
          <w:szCs w:val="24"/>
        </w:rPr>
        <w:t>。</w:t>
      </w:r>
      <w:r w:rsidR="00BC42BF" w:rsidRPr="00131B9D">
        <w:rPr>
          <w:szCs w:val="24"/>
        </w:rPr>
        <w:t>12</w:t>
      </w:r>
      <w:r w:rsidR="00BC42BF" w:rsidRPr="00131B9D">
        <w:rPr>
          <w:szCs w:val="24"/>
        </w:rPr>
        <w:t>月</w:t>
      </w:r>
      <w:r w:rsidR="00BC42BF" w:rsidRPr="00131B9D">
        <w:rPr>
          <w:szCs w:val="24"/>
        </w:rPr>
        <w:t>1</w:t>
      </w:r>
      <w:r w:rsidR="00BC42BF" w:rsidRPr="00131B9D">
        <w:rPr>
          <w:szCs w:val="24"/>
        </w:rPr>
        <w:t>日，江西銅業、銅陵有色、雲南銅業等</w:t>
      </w:r>
      <w:r w:rsidR="00BC42BF" w:rsidRPr="00131B9D">
        <w:rPr>
          <w:szCs w:val="24"/>
        </w:rPr>
        <w:t>10</w:t>
      </w:r>
      <w:r w:rsidR="00BC42BF" w:rsidRPr="00131B9D">
        <w:rPr>
          <w:szCs w:val="24"/>
        </w:rPr>
        <w:t>多家大型銅冶煉企業宣佈將在</w:t>
      </w:r>
      <w:r w:rsidR="00BC42BF" w:rsidRPr="00131B9D">
        <w:rPr>
          <w:szCs w:val="24"/>
        </w:rPr>
        <w:t>2016</w:t>
      </w:r>
      <w:r w:rsidR="00BC42BF" w:rsidRPr="00131B9D">
        <w:rPr>
          <w:szCs w:val="24"/>
        </w:rPr>
        <w:t>年減少</w:t>
      </w:r>
      <w:r w:rsidR="00BC42BF" w:rsidRPr="00131B9D">
        <w:rPr>
          <w:szCs w:val="24"/>
        </w:rPr>
        <w:t>35</w:t>
      </w:r>
      <w:r w:rsidR="00BC42BF" w:rsidRPr="00131B9D">
        <w:rPr>
          <w:szCs w:val="24"/>
        </w:rPr>
        <w:t>萬噸精煉銅產量，約佔</w:t>
      </w:r>
      <w:r w:rsidR="00BC42BF" w:rsidRPr="00131B9D">
        <w:rPr>
          <w:szCs w:val="24"/>
        </w:rPr>
        <w:t>2015</w:t>
      </w:r>
      <w:r w:rsidR="00BC42BF" w:rsidRPr="00131B9D">
        <w:rPr>
          <w:szCs w:val="24"/>
        </w:rPr>
        <w:t>年總產量的</w:t>
      </w:r>
      <w:r w:rsidR="00BC42BF" w:rsidRPr="00131B9D">
        <w:rPr>
          <w:szCs w:val="24"/>
        </w:rPr>
        <w:t>4.5%</w:t>
      </w:r>
      <w:r w:rsidR="00BC42BF" w:rsidRPr="00131B9D">
        <w:rPr>
          <w:szCs w:val="24"/>
        </w:rPr>
        <w:t>。</w:t>
      </w:r>
    </w:p>
    <w:p w:rsidR="00F279F7" w:rsidRPr="00131B9D" w:rsidRDefault="00F279F7" w:rsidP="00F279F7"/>
    <w:p w:rsidR="00F279F7" w:rsidRPr="00131B9D" w:rsidRDefault="00F279F7" w:rsidP="00F279F7">
      <w:pPr>
        <w:pStyle w:val="aff1"/>
        <w:spacing w:line="0" w:lineRule="atLeast"/>
        <w:rPr>
          <w:bCs/>
          <w:kern w:val="52"/>
          <w:szCs w:val="28"/>
        </w:rPr>
      </w:pPr>
      <w:bookmarkStart w:id="128" w:name="_Toc439162995"/>
      <w:r w:rsidRPr="00131B9D">
        <w:rPr>
          <w:bCs/>
          <w:kern w:val="52"/>
          <w:szCs w:val="28"/>
        </w:rPr>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6</w:t>
      </w:r>
      <w:r w:rsidRPr="00131B9D">
        <w:rPr>
          <w:b w:val="0"/>
          <w:bCs/>
          <w:kern w:val="52"/>
          <w:szCs w:val="28"/>
        </w:rPr>
        <w:fldChar w:fldCharType="end"/>
      </w:r>
      <w:r w:rsidRPr="00131B9D">
        <w:rPr>
          <w:bCs/>
          <w:kern w:val="52"/>
          <w:szCs w:val="28"/>
        </w:rPr>
        <w:t xml:space="preserve">　全球銅市供需概況</w:t>
      </w:r>
      <w:bookmarkEnd w:id="128"/>
    </w:p>
    <w:tbl>
      <w:tblPr>
        <w:tblW w:w="5039"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1968"/>
        <w:gridCol w:w="1559"/>
        <w:gridCol w:w="1512"/>
      </w:tblGrid>
      <w:tr w:rsidR="00F279F7" w:rsidRPr="00131B9D" w:rsidTr="003B29E8">
        <w:trPr>
          <w:trHeight w:val="330"/>
          <w:tblHeader/>
          <w:jc w:val="center"/>
        </w:trPr>
        <w:tc>
          <w:tcPr>
            <w:tcW w:w="1968" w:type="dxa"/>
            <w:tcBorders>
              <w:right w:val="single" w:sz="4" w:space="0" w:color="auto"/>
            </w:tcBorders>
            <w:shd w:val="clear" w:color="auto" w:fill="D9D9D9" w:themeFill="background1" w:themeFillShade="D9"/>
            <w:noWrap/>
            <w:vAlign w:val="center"/>
          </w:tcPr>
          <w:p w:rsidR="00F279F7" w:rsidRPr="00131B9D" w:rsidRDefault="00F279F7" w:rsidP="003B29E8">
            <w:pPr>
              <w:widowControl/>
              <w:adjustRightInd w:val="0"/>
              <w:snapToGrid w:val="0"/>
              <w:spacing w:line="240" w:lineRule="exact"/>
              <w:jc w:val="center"/>
              <w:rPr>
                <w:rFonts w:eastAsia="標楷體"/>
                <w:b/>
                <w:kern w:val="0"/>
              </w:rPr>
            </w:pPr>
            <w:r w:rsidRPr="00131B9D">
              <w:rPr>
                <w:rFonts w:eastAsia="標楷體"/>
                <w:b/>
                <w:kern w:val="0"/>
              </w:rPr>
              <w:t>LME</w:t>
            </w:r>
            <w:r w:rsidRPr="00131B9D">
              <w:rPr>
                <w:rFonts w:eastAsia="標楷體"/>
                <w:b/>
                <w:kern w:val="0"/>
              </w:rPr>
              <w:t>統計</w:t>
            </w:r>
          </w:p>
        </w:tc>
        <w:tc>
          <w:tcPr>
            <w:tcW w:w="1559" w:type="dxa"/>
            <w:tcBorders>
              <w:left w:val="single" w:sz="4" w:space="0" w:color="auto"/>
              <w:right w:val="single" w:sz="4" w:space="0" w:color="auto"/>
            </w:tcBorders>
            <w:shd w:val="clear" w:color="auto" w:fill="D9D9D9" w:themeFill="background1" w:themeFillShade="D9"/>
            <w:noWrap/>
            <w:vAlign w:val="center"/>
          </w:tcPr>
          <w:p w:rsidR="00F279F7" w:rsidRPr="00131B9D" w:rsidRDefault="00F279F7" w:rsidP="003B29E8">
            <w:pPr>
              <w:widowControl/>
              <w:adjustRightInd w:val="0"/>
              <w:snapToGrid w:val="0"/>
              <w:spacing w:line="240" w:lineRule="exact"/>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512" w:type="dxa"/>
            <w:tcBorders>
              <w:left w:val="single" w:sz="4" w:space="0" w:color="auto"/>
            </w:tcBorders>
            <w:shd w:val="clear" w:color="auto" w:fill="D9D9D9" w:themeFill="background1" w:themeFillShade="D9"/>
            <w:noWrap/>
            <w:vAlign w:val="center"/>
          </w:tcPr>
          <w:p w:rsidR="00F279F7" w:rsidRPr="00131B9D" w:rsidRDefault="00F279F7" w:rsidP="003B29E8">
            <w:pPr>
              <w:widowControl/>
              <w:adjustRightInd w:val="0"/>
              <w:snapToGrid w:val="0"/>
              <w:spacing w:line="240" w:lineRule="exact"/>
              <w:jc w:val="center"/>
              <w:rPr>
                <w:rFonts w:eastAsia="標楷體"/>
                <w:b/>
                <w:kern w:val="0"/>
              </w:rPr>
            </w:pPr>
            <w:r w:rsidRPr="00131B9D">
              <w:rPr>
                <w:rFonts w:eastAsia="標楷體"/>
                <w:b/>
                <w:kern w:val="0"/>
              </w:rPr>
              <w:t>變動量</w:t>
            </w:r>
          </w:p>
        </w:tc>
      </w:tr>
      <w:tr w:rsidR="00F279F7" w:rsidRPr="00131B9D" w:rsidTr="003B29E8">
        <w:trPr>
          <w:trHeight w:val="70"/>
          <w:jc w:val="center"/>
        </w:trPr>
        <w:tc>
          <w:tcPr>
            <w:tcW w:w="5039" w:type="dxa"/>
            <w:gridSpan w:val="3"/>
            <w:shd w:val="clear" w:color="auto" w:fill="D9D9D9" w:themeFill="background1" w:themeFillShade="D9"/>
            <w:noWrap/>
            <w:vAlign w:val="center"/>
          </w:tcPr>
          <w:p w:rsidR="00F279F7" w:rsidRPr="00131B9D" w:rsidRDefault="00F279F7" w:rsidP="003B29E8">
            <w:pPr>
              <w:adjustRightInd w:val="0"/>
              <w:snapToGrid w:val="0"/>
              <w:jc w:val="center"/>
              <w:rPr>
                <w:color w:val="000000"/>
              </w:rPr>
            </w:pPr>
            <w:r w:rsidRPr="00131B9D">
              <w:rPr>
                <w:rFonts w:eastAsia="標楷體"/>
                <w:kern w:val="0"/>
                <w:sz w:val="23"/>
                <w:szCs w:val="23"/>
              </w:rPr>
              <w:t>2014</w:t>
            </w:r>
            <w:r w:rsidRPr="00131B9D">
              <w:rPr>
                <w:rFonts w:eastAsia="標楷體"/>
                <w:kern w:val="0"/>
                <w:sz w:val="23"/>
                <w:szCs w:val="23"/>
              </w:rPr>
              <w:t>年</w:t>
            </w:r>
          </w:p>
        </w:tc>
      </w:tr>
      <w:tr w:rsidR="00F279F7" w:rsidRPr="00131B9D" w:rsidTr="003B29E8">
        <w:trPr>
          <w:trHeight w:val="70"/>
          <w:jc w:val="center"/>
        </w:trPr>
        <w:tc>
          <w:tcPr>
            <w:tcW w:w="1968" w:type="dxa"/>
            <w:tcBorders>
              <w:right w:val="single" w:sz="4" w:space="0" w:color="auto"/>
            </w:tcBorders>
            <w:shd w:val="clear" w:color="auto" w:fill="auto"/>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1</w:t>
            </w:r>
            <w:r w:rsidRPr="00131B9D">
              <w:rPr>
                <w:rFonts w:eastAsia="標楷體"/>
                <w:kern w:val="0"/>
              </w:rPr>
              <w:t>月</w:t>
            </w:r>
          </w:p>
        </w:tc>
        <w:tc>
          <w:tcPr>
            <w:tcW w:w="1559" w:type="dxa"/>
            <w:tcBorders>
              <w:left w:val="single" w:sz="4" w:space="0" w:color="auto"/>
              <w:righ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 xml:space="preserve">314,525 </w:t>
            </w:r>
          </w:p>
        </w:tc>
        <w:tc>
          <w:tcPr>
            <w:tcW w:w="1512" w:type="dxa"/>
            <w:tcBorders>
              <w:lef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-14.16%</w:t>
            </w:r>
          </w:p>
        </w:tc>
      </w:tr>
      <w:tr w:rsidR="00F279F7" w:rsidRPr="00131B9D" w:rsidTr="003B29E8">
        <w:trPr>
          <w:trHeight w:val="70"/>
          <w:jc w:val="center"/>
        </w:trPr>
        <w:tc>
          <w:tcPr>
            <w:tcW w:w="1968" w:type="dxa"/>
            <w:tcBorders>
              <w:right w:val="single" w:sz="4" w:space="0" w:color="auto"/>
            </w:tcBorders>
            <w:shd w:val="clear" w:color="auto" w:fill="auto"/>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2</w:t>
            </w:r>
            <w:r w:rsidRPr="00131B9D">
              <w:rPr>
                <w:rFonts w:eastAsia="標楷體"/>
                <w:kern w:val="0"/>
              </w:rPr>
              <w:t>月</w:t>
            </w:r>
          </w:p>
        </w:tc>
        <w:tc>
          <w:tcPr>
            <w:tcW w:w="1559" w:type="dxa"/>
            <w:tcBorders>
              <w:left w:val="single" w:sz="4" w:space="0" w:color="auto"/>
              <w:righ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 xml:space="preserve">276,225 </w:t>
            </w:r>
          </w:p>
        </w:tc>
        <w:tc>
          <w:tcPr>
            <w:tcW w:w="1512" w:type="dxa"/>
            <w:tcBorders>
              <w:lef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-12.18%</w:t>
            </w:r>
          </w:p>
        </w:tc>
      </w:tr>
      <w:tr w:rsidR="00F279F7" w:rsidRPr="00131B9D" w:rsidTr="003B29E8">
        <w:trPr>
          <w:trHeight w:val="70"/>
          <w:jc w:val="center"/>
        </w:trPr>
        <w:tc>
          <w:tcPr>
            <w:tcW w:w="1968" w:type="dxa"/>
            <w:tcBorders>
              <w:right w:val="single" w:sz="4" w:space="0" w:color="auto"/>
            </w:tcBorders>
            <w:shd w:val="clear" w:color="auto" w:fill="auto"/>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3</w:t>
            </w:r>
            <w:r w:rsidRPr="00131B9D">
              <w:rPr>
                <w:rFonts w:eastAsia="標楷體"/>
                <w:kern w:val="0"/>
              </w:rPr>
              <w:t>月</w:t>
            </w:r>
          </w:p>
        </w:tc>
        <w:tc>
          <w:tcPr>
            <w:tcW w:w="1559" w:type="dxa"/>
            <w:tcBorders>
              <w:left w:val="single" w:sz="4" w:space="0" w:color="auto"/>
              <w:righ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 xml:space="preserve">265,175 </w:t>
            </w:r>
          </w:p>
        </w:tc>
        <w:tc>
          <w:tcPr>
            <w:tcW w:w="1512" w:type="dxa"/>
            <w:tcBorders>
              <w:lef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-4.00%</w:t>
            </w:r>
          </w:p>
        </w:tc>
      </w:tr>
      <w:tr w:rsidR="00F279F7" w:rsidRPr="00131B9D" w:rsidTr="003B29E8">
        <w:trPr>
          <w:trHeight w:val="70"/>
          <w:jc w:val="center"/>
        </w:trPr>
        <w:tc>
          <w:tcPr>
            <w:tcW w:w="1968" w:type="dxa"/>
            <w:tcBorders>
              <w:right w:val="single" w:sz="4" w:space="0" w:color="auto"/>
            </w:tcBorders>
            <w:shd w:val="clear" w:color="auto" w:fill="auto"/>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4</w:t>
            </w:r>
            <w:r w:rsidRPr="00131B9D">
              <w:rPr>
                <w:rFonts w:eastAsia="標楷體"/>
                <w:kern w:val="0"/>
              </w:rPr>
              <w:t>月</w:t>
            </w:r>
          </w:p>
        </w:tc>
        <w:tc>
          <w:tcPr>
            <w:tcW w:w="1559" w:type="dxa"/>
            <w:tcBorders>
              <w:left w:val="single" w:sz="4" w:space="0" w:color="auto"/>
              <w:righ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 xml:space="preserve">233,325 </w:t>
            </w:r>
          </w:p>
        </w:tc>
        <w:tc>
          <w:tcPr>
            <w:tcW w:w="1512" w:type="dxa"/>
            <w:tcBorders>
              <w:lef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-12.01%</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auto"/>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5</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3B29E8">
            <w:pPr>
              <w:adjustRightInd w:val="0"/>
              <w:snapToGrid w:val="0"/>
              <w:jc w:val="center"/>
            </w:pPr>
            <w:r w:rsidRPr="00131B9D">
              <w:rPr>
                <w:color w:val="000000"/>
              </w:rPr>
              <w:t xml:space="preserve">171,350 </w:t>
            </w:r>
          </w:p>
        </w:tc>
        <w:tc>
          <w:tcPr>
            <w:tcW w:w="1512" w:type="dxa"/>
            <w:tcBorders>
              <w:left w:val="single" w:sz="4" w:space="0" w:color="auto"/>
              <w:bottom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-26.56%</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auto"/>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6</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 xml:space="preserve">154,675 </w:t>
            </w:r>
          </w:p>
        </w:tc>
        <w:tc>
          <w:tcPr>
            <w:tcW w:w="1512" w:type="dxa"/>
            <w:tcBorders>
              <w:left w:val="single" w:sz="4" w:space="0" w:color="auto"/>
              <w:bottom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-9.73%</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auto"/>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7</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3B29E8">
            <w:pPr>
              <w:adjustRightInd w:val="0"/>
              <w:snapToGrid w:val="0"/>
              <w:jc w:val="center"/>
            </w:pPr>
            <w:r w:rsidRPr="00131B9D">
              <w:rPr>
                <w:color w:val="000000"/>
              </w:rPr>
              <w:t xml:space="preserve">146,750 </w:t>
            </w:r>
          </w:p>
        </w:tc>
        <w:tc>
          <w:tcPr>
            <w:tcW w:w="1512" w:type="dxa"/>
            <w:tcBorders>
              <w:left w:val="single" w:sz="4" w:space="0" w:color="auto"/>
              <w:bottom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-5.12%</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auto"/>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8</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3B29E8">
            <w:pPr>
              <w:adjustRightInd w:val="0"/>
              <w:snapToGrid w:val="0"/>
              <w:jc w:val="center"/>
            </w:pPr>
            <w:r w:rsidRPr="00131B9D">
              <w:rPr>
                <w:color w:val="000000"/>
              </w:rPr>
              <w:t xml:space="preserve">148,150 </w:t>
            </w:r>
          </w:p>
        </w:tc>
        <w:tc>
          <w:tcPr>
            <w:tcW w:w="1512" w:type="dxa"/>
            <w:tcBorders>
              <w:left w:val="single" w:sz="4" w:space="0" w:color="auto"/>
              <w:bottom w:val="single" w:sz="4" w:space="0" w:color="auto"/>
            </w:tcBorders>
            <w:shd w:val="clear" w:color="auto" w:fill="auto"/>
            <w:noWrap/>
            <w:vAlign w:val="center"/>
          </w:tcPr>
          <w:p w:rsidR="00F279F7" w:rsidRPr="00131B9D" w:rsidRDefault="00F279F7" w:rsidP="003B29E8">
            <w:pPr>
              <w:adjustRightInd w:val="0"/>
              <w:snapToGrid w:val="0"/>
              <w:jc w:val="center"/>
              <w:rPr>
                <w:color w:val="000000"/>
              </w:rPr>
            </w:pPr>
            <w:r w:rsidRPr="00131B9D">
              <w:rPr>
                <w:color w:val="000000"/>
              </w:rPr>
              <w:t>0.95%</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FFFFFF"/>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9</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F279F7" w:rsidRPr="00131B9D" w:rsidRDefault="00F279F7" w:rsidP="003B29E8">
            <w:pPr>
              <w:adjustRightInd w:val="0"/>
              <w:snapToGrid w:val="0"/>
              <w:jc w:val="center"/>
            </w:pPr>
            <w:r w:rsidRPr="00131B9D">
              <w:rPr>
                <w:color w:val="000000"/>
              </w:rPr>
              <w:t xml:space="preserve">152,550 </w:t>
            </w:r>
          </w:p>
        </w:tc>
        <w:tc>
          <w:tcPr>
            <w:tcW w:w="1512" w:type="dxa"/>
            <w:tcBorders>
              <w:left w:val="single" w:sz="4" w:space="0" w:color="auto"/>
              <w:bottom w:val="single" w:sz="4" w:space="0" w:color="auto"/>
            </w:tcBorders>
            <w:shd w:val="clear" w:color="auto" w:fill="FFFFFF"/>
            <w:noWrap/>
            <w:vAlign w:val="center"/>
          </w:tcPr>
          <w:p w:rsidR="00F279F7" w:rsidRPr="00131B9D" w:rsidRDefault="00F279F7" w:rsidP="003B29E8">
            <w:pPr>
              <w:adjustRightInd w:val="0"/>
              <w:snapToGrid w:val="0"/>
              <w:jc w:val="center"/>
              <w:rPr>
                <w:color w:val="000000"/>
              </w:rPr>
            </w:pPr>
            <w:r w:rsidRPr="00131B9D">
              <w:rPr>
                <w:color w:val="000000"/>
              </w:rPr>
              <w:t>2.97%</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FFFFFF"/>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10</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F279F7" w:rsidRPr="00131B9D" w:rsidRDefault="00F279F7" w:rsidP="003B29E8">
            <w:pPr>
              <w:adjustRightInd w:val="0"/>
              <w:snapToGrid w:val="0"/>
              <w:jc w:val="center"/>
            </w:pPr>
            <w:r w:rsidRPr="00131B9D">
              <w:rPr>
                <w:color w:val="000000"/>
              </w:rPr>
              <w:t xml:space="preserve">162,600 </w:t>
            </w:r>
          </w:p>
        </w:tc>
        <w:tc>
          <w:tcPr>
            <w:tcW w:w="1512" w:type="dxa"/>
            <w:tcBorders>
              <w:left w:val="single" w:sz="4" w:space="0" w:color="auto"/>
              <w:bottom w:val="single" w:sz="4" w:space="0" w:color="auto"/>
            </w:tcBorders>
            <w:shd w:val="clear" w:color="auto" w:fill="FFFFFF"/>
            <w:noWrap/>
            <w:vAlign w:val="center"/>
          </w:tcPr>
          <w:p w:rsidR="00F279F7" w:rsidRPr="00131B9D" w:rsidRDefault="00F279F7" w:rsidP="003B29E8">
            <w:pPr>
              <w:adjustRightInd w:val="0"/>
              <w:snapToGrid w:val="0"/>
              <w:jc w:val="center"/>
              <w:rPr>
                <w:color w:val="000000"/>
              </w:rPr>
            </w:pPr>
            <w:r w:rsidRPr="00131B9D">
              <w:rPr>
                <w:color w:val="000000"/>
              </w:rPr>
              <w:t>6.59%</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FFFFFF"/>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11</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F279F7" w:rsidRPr="00131B9D" w:rsidRDefault="00F279F7" w:rsidP="003B29E8">
            <w:pPr>
              <w:adjustRightInd w:val="0"/>
              <w:snapToGrid w:val="0"/>
              <w:jc w:val="center"/>
            </w:pPr>
            <w:r w:rsidRPr="00131B9D">
              <w:rPr>
                <w:color w:val="000000"/>
              </w:rPr>
              <w:t xml:space="preserve">164,300 </w:t>
            </w:r>
          </w:p>
        </w:tc>
        <w:tc>
          <w:tcPr>
            <w:tcW w:w="1512" w:type="dxa"/>
            <w:tcBorders>
              <w:left w:val="single" w:sz="4" w:space="0" w:color="auto"/>
              <w:bottom w:val="single" w:sz="4" w:space="0" w:color="auto"/>
            </w:tcBorders>
            <w:shd w:val="clear" w:color="auto" w:fill="FFFFFF"/>
            <w:noWrap/>
            <w:vAlign w:val="center"/>
          </w:tcPr>
          <w:p w:rsidR="00F279F7" w:rsidRPr="00131B9D" w:rsidRDefault="00F279F7" w:rsidP="003B29E8">
            <w:pPr>
              <w:adjustRightInd w:val="0"/>
              <w:snapToGrid w:val="0"/>
              <w:jc w:val="center"/>
              <w:rPr>
                <w:color w:val="000000"/>
              </w:rPr>
            </w:pPr>
            <w:r w:rsidRPr="00131B9D">
              <w:rPr>
                <w:color w:val="000000"/>
              </w:rPr>
              <w:t>1.05%</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FFFFFF"/>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12</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F279F7" w:rsidRPr="00131B9D" w:rsidRDefault="00F279F7" w:rsidP="003B29E8">
            <w:pPr>
              <w:adjustRightInd w:val="0"/>
              <w:snapToGrid w:val="0"/>
              <w:jc w:val="center"/>
            </w:pPr>
            <w:r w:rsidRPr="00131B9D">
              <w:rPr>
                <w:color w:val="000000"/>
              </w:rPr>
              <w:t xml:space="preserve">177,025 </w:t>
            </w:r>
          </w:p>
        </w:tc>
        <w:tc>
          <w:tcPr>
            <w:tcW w:w="1512" w:type="dxa"/>
            <w:tcBorders>
              <w:left w:val="single" w:sz="4" w:space="0" w:color="auto"/>
              <w:bottom w:val="single" w:sz="4" w:space="0" w:color="auto"/>
            </w:tcBorders>
            <w:shd w:val="clear" w:color="auto" w:fill="FFFFFF"/>
            <w:noWrap/>
            <w:vAlign w:val="center"/>
          </w:tcPr>
          <w:p w:rsidR="00F279F7" w:rsidRPr="00131B9D" w:rsidRDefault="00F279F7" w:rsidP="003B29E8">
            <w:pPr>
              <w:adjustRightInd w:val="0"/>
              <w:snapToGrid w:val="0"/>
              <w:jc w:val="center"/>
              <w:rPr>
                <w:color w:val="000000"/>
              </w:rPr>
            </w:pPr>
            <w:r w:rsidRPr="00131B9D">
              <w:rPr>
                <w:color w:val="000000"/>
              </w:rPr>
              <w:t>7.74%</w:t>
            </w:r>
          </w:p>
        </w:tc>
      </w:tr>
      <w:tr w:rsidR="00F279F7" w:rsidRPr="00131B9D" w:rsidTr="003B29E8">
        <w:trPr>
          <w:trHeight w:val="70"/>
          <w:jc w:val="center"/>
        </w:trPr>
        <w:tc>
          <w:tcPr>
            <w:tcW w:w="5039" w:type="dxa"/>
            <w:gridSpan w:val="3"/>
            <w:tcBorders>
              <w:bottom w:val="single" w:sz="4" w:space="0" w:color="auto"/>
            </w:tcBorders>
            <w:shd w:val="clear" w:color="auto" w:fill="D9D9D9" w:themeFill="background1" w:themeFillShade="D9"/>
            <w:noWrap/>
            <w:vAlign w:val="center"/>
          </w:tcPr>
          <w:p w:rsidR="00F279F7" w:rsidRPr="00131B9D" w:rsidRDefault="00F279F7" w:rsidP="003B29E8">
            <w:pPr>
              <w:adjustRightInd w:val="0"/>
              <w:snapToGrid w:val="0"/>
              <w:jc w:val="center"/>
              <w:rPr>
                <w:rFonts w:eastAsia="標楷體"/>
                <w:color w:val="000000"/>
              </w:rPr>
            </w:pPr>
            <w:r w:rsidRPr="00131B9D">
              <w:rPr>
                <w:rFonts w:eastAsia="標楷體"/>
                <w:color w:val="000000"/>
              </w:rPr>
              <w:t>2015</w:t>
            </w:r>
            <w:r w:rsidRPr="00131B9D">
              <w:rPr>
                <w:rFonts w:eastAsia="標楷體"/>
                <w:color w:val="000000"/>
              </w:rPr>
              <w:t>年</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FFFFFF"/>
            <w:noWrap/>
            <w:vAlign w:val="center"/>
          </w:tcPr>
          <w:p w:rsidR="00F279F7" w:rsidRPr="00131B9D" w:rsidRDefault="00F279F7" w:rsidP="003B29E8">
            <w:pPr>
              <w:widowControl/>
              <w:adjustRightInd w:val="0"/>
              <w:snapToGrid w:val="0"/>
              <w:spacing w:line="240" w:lineRule="exact"/>
              <w:jc w:val="center"/>
              <w:rPr>
                <w:rFonts w:eastAsia="標楷體"/>
                <w:kern w:val="0"/>
              </w:rPr>
            </w:pPr>
            <w:r w:rsidRPr="00131B9D">
              <w:rPr>
                <w:rFonts w:eastAsia="標楷體"/>
                <w:kern w:val="0"/>
              </w:rPr>
              <w:t>1</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F279F7" w:rsidRPr="00131B9D" w:rsidRDefault="00F279F7" w:rsidP="003B29E8">
            <w:pPr>
              <w:adjustRightInd w:val="0"/>
              <w:snapToGrid w:val="0"/>
              <w:jc w:val="center"/>
            </w:pPr>
            <w:r w:rsidRPr="00131B9D">
              <w:t>248,125</w:t>
            </w:r>
          </w:p>
        </w:tc>
        <w:tc>
          <w:tcPr>
            <w:tcW w:w="1512" w:type="dxa"/>
            <w:tcBorders>
              <w:left w:val="single" w:sz="4" w:space="0" w:color="auto"/>
              <w:bottom w:val="single" w:sz="4" w:space="0" w:color="auto"/>
            </w:tcBorders>
            <w:shd w:val="clear" w:color="auto" w:fill="FFFFFF"/>
            <w:noWrap/>
            <w:vAlign w:val="center"/>
          </w:tcPr>
          <w:p w:rsidR="00F279F7" w:rsidRPr="00131B9D" w:rsidRDefault="00F279F7" w:rsidP="003B29E8">
            <w:pPr>
              <w:adjustRightInd w:val="0"/>
              <w:snapToGrid w:val="0"/>
              <w:jc w:val="center"/>
              <w:rPr>
                <w:color w:val="000000"/>
              </w:rPr>
            </w:pPr>
            <w:r w:rsidRPr="00131B9D">
              <w:rPr>
                <w:color w:val="000000"/>
              </w:rPr>
              <w:t>40.16%</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FFFFFF"/>
            <w:noWrap/>
            <w:vAlign w:val="center"/>
          </w:tcPr>
          <w:p w:rsidR="00F279F7" w:rsidRPr="00131B9D" w:rsidDel="006C65F6" w:rsidRDefault="00F279F7" w:rsidP="003B29E8">
            <w:pPr>
              <w:widowControl/>
              <w:adjustRightInd w:val="0"/>
              <w:snapToGrid w:val="0"/>
              <w:spacing w:line="240" w:lineRule="exact"/>
              <w:jc w:val="center"/>
              <w:rPr>
                <w:rFonts w:eastAsia="標楷體"/>
                <w:kern w:val="0"/>
              </w:rPr>
            </w:pPr>
            <w:r w:rsidRPr="00131B9D">
              <w:rPr>
                <w:rFonts w:eastAsia="標楷體"/>
                <w:kern w:val="0"/>
              </w:rPr>
              <w:t>2</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F279F7" w:rsidRPr="00131B9D" w:rsidDel="006C65F6" w:rsidRDefault="00F279F7" w:rsidP="003B29E8">
            <w:pPr>
              <w:adjustRightInd w:val="0"/>
              <w:snapToGrid w:val="0"/>
              <w:jc w:val="center"/>
            </w:pPr>
            <w:r w:rsidRPr="00131B9D">
              <w:t>296,375</w:t>
            </w:r>
          </w:p>
        </w:tc>
        <w:tc>
          <w:tcPr>
            <w:tcW w:w="1512" w:type="dxa"/>
            <w:tcBorders>
              <w:left w:val="single" w:sz="4" w:space="0" w:color="auto"/>
              <w:bottom w:val="single" w:sz="4" w:space="0" w:color="auto"/>
            </w:tcBorders>
            <w:shd w:val="clear" w:color="auto" w:fill="FFFFFF"/>
            <w:noWrap/>
            <w:vAlign w:val="center"/>
          </w:tcPr>
          <w:p w:rsidR="00F279F7" w:rsidRPr="00131B9D" w:rsidDel="006C65F6" w:rsidRDefault="00F279F7" w:rsidP="003B29E8">
            <w:pPr>
              <w:adjustRightInd w:val="0"/>
              <w:snapToGrid w:val="0"/>
              <w:jc w:val="center"/>
              <w:rPr>
                <w:color w:val="000000"/>
              </w:rPr>
            </w:pPr>
            <w:r w:rsidRPr="00131B9D">
              <w:rPr>
                <w:color w:val="000000"/>
              </w:rPr>
              <w:t>19.45%</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FFFFFF"/>
            <w:noWrap/>
            <w:vAlign w:val="center"/>
          </w:tcPr>
          <w:p w:rsidR="00F279F7" w:rsidRPr="00131B9D" w:rsidDel="006C65F6" w:rsidRDefault="00F279F7" w:rsidP="003B29E8">
            <w:pPr>
              <w:widowControl/>
              <w:adjustRightInd w:val="0"/>
              <w:snapToGrid w:val="0"/>
              <w:spacing w:line="240" w:lineRule="exact"/>
              <w:jc w:val="center"/>
              <w:rPr>
                <w:rFonts w:eastAsia="標楷體"/>
                <w:kern w:val="0"/>
              </w:rPr>
            </w:pPr>
            <w:r w:rsidRPr="00131B9D">
              <w:rPr>
                <w:rFonts w:eastAsia="標楷體"/>
                <w:kern w:val="0"/>
              </w:rPr>
              <w:t>3</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F279F7" w:rsidRPr="00131B9D" w:rsidDel="006C65F6" w:rsidRDefault="00F279F7" w:rsidP="003B29E8">
            <w:pPr>
              <w:adjustRightInd w:val="0"/>
              <w:snapToGrid w:val="0"/>
              <w:jc w:val="center"/>
            </w:pPr>
            <w:r w:rsidRPr="00131B9D">
              <w:t>332,300</w:t>
            </w:r>
          </w:p>
        </w:tc>
        <w:tc>
          <w:tcPr>
            <w:tcW w:w="1512" w:type="dxa"/>
            <w:tcBorders>
              <w:left w:val="single" w:sz="4" w:space="0" w:color="auto"/>
              <w:bottom w:val="single" w:sz="4" w:space="0" w:color="auto"/>
            </w:tcBorders>
            <w:shd w:val="clear" w:color="auto" w:fill="FFFFFF"/>
            <w:noWrap/>
            <w:vAlign w:val="center"/>
          </w:tcPr>
          <w:p w:rsidR="00F279F7" w:rsidRPr="00131B9D" w:rsidDel="006C65F6" w:rsidRDefault="00F279F7" w:rsidP="003B29E8">
            <w:pPr>
              <w:adjustRightInd w:val="0"/>
              <w:snapToGrid w:val="0"/>
              <w:jc w:val="center"/>
              <w:rPr>
                <w:color w:val="000000"/>
              </w:rPr>
            </w:pPr>
            <w:r w:rsidRPr="00131B9D">
              <w:rPr>
                <w:color w:val="000000"/>
              </w:rPr>
              <w:t>12.12%</w:t>
            </w:r>
          </w:p>
        </w:tc>
      </w:tr>
      <w:tr w:rsidR="00F279F7" w:rsidRPr="00131B9D" w:rsidTr="003B29E8">
        <w:trPr>
          <w:trHeight w:val="70"/>
          <w:jc w:val="center"/>
        </w:trPr>
        <w:tc>
          <w:tcPr>
            <w:tcW w:w="1968" w:type="dxa"/>
            <w:tcBorders>
              <w:bottom w:val="single" w:sz="4" w:space="0" w:color="auto"/>
              <w:right w:val="single" w:sz="4" w:space="0" w:color="auto"/>
            </w:tcBorders>
            <w:shd w:val="clear" w:color="auto" w:fill="FFFFFF"/>
            <w:noWrap/>
            <w:vAlign w:val="center"/>
          </w:tcPr>
          <w:p w:rsidR="00F279F7" w:rsidRPr="00131B9D" w:rsidDel="006C65F6" w:rsidRDefault="00F279F7" w:rsidP="003B29E8">
            <w:pPr>
              <w:widowControl/>
              <w:adjustRightInd w:val="0"/>
              <w:snapToGrid w:val="0"/>
              <w:spacing w:line="240" w:lineRule="exact"/>
              <w:jc w:val="center"/>
              <w:rPr>
                <w:rFonts w:eastAsia="標楷體"/>
                <w:kern w:val="0"/>
              </w:rPr>
            </w:pPr>
            <w:r w:rsidRPr="00131B9D">
              <w:rPr>
                <w:rFonts w:eastAsia="標楷體"/>
                <w:kern w:val="0"/>
              </w:rPr>
              <w:t>4</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F279F7" w:rsidRPr="00131B9D" w:rsidDel="006C65F6" w:rsidRDefault="00F279F7" w:rsidP="003B29E8">
            <w:pPr>
              <w:adjustRightInd w:val="0"/>
              <w:snapToGrid w:val="0"/>
              <w:jc w:val="center"/>
            </w:pPr>
            <w:r w:rsidRPr="00131B9D">
              <w:t>337,925</w:t>
            </w:r>
          </w:p>
        </w:tc>
        <w:tc>
          <w:tcPr>
            <w:tcW w:w="1512" w:type="dxa"/>
            <w:tcBorders>
              <w:left w:val="single" w:sz="4" w:space="0" w:color="auto"/>
              <w:bottom w:val="single" w:sz="4" w:space="0" w:color="auto"/>
            </w:tcBorders>
            <w:shd w:val="clear" w:color="auto" w:fill="FFFFFF"/>
            <w:noWrap/>
            <w:vAlign w:val="center"/>
          </w:tcPr>
          <w:p w:rsidR="00F279F7" w:rsidRPr="00131B9D" w:rsidDel="006C65F6" w:rsidRDefault="00F279F7" w:rsidP="003B29E8">
            <w:pPr>
              <w:adjustRightInd w:val="0"/>
              <w:snapToGrid w:val="0"/>
              <w:jc w:val="center"/>
              <w:rPr>
                <w:color w:val="000000"/>
              </w:rPr>
            </w:pPr>
            <w:r w:rsidRPr="00131B9D">
              <w:rPr>
                <w:color w:val="000000"/>
              </w:rPr>
              <w:t>1.69%</w:t>
            </w:r>
          </w:p>
        </w:tc>
      </w:tr>
    </w:tbl>
    <w:p w:rsidR="00F279F7" w:rsidRPr="00131B9D" w:rsidRDefault="003B29E8" w:rsidP="00CD56C1">
      <w:pPr>
        <w:spacing w:line="0" w:lineRule="atLeast"/>
        <w:jc w:val="center"/>
        <w:rPr>
          <w:rFonts w:eastAsia="標楷體"/>
          <w:b/>
          <w:bCs/>
          <w:kern w:val="52"/>
          <w:sz w:val="28"/>
          <w:szCs w:val="28"/>
        </w:rPr>
      </w:pPr>
      <w:r w:rsidRPr="00131B9D">
        <w:rPr>
          <w:rFonts w:eastAsia="標楷體"/>
          <w:b/>
          <w:bCs/>
          <w:kern w:val="52"/>
          <w:sz w:val="28"/>
          <w:szCs w:val="28"/>
        </w:rPr>
        <w:lastRenderedPageBreak/>
        <w:t>表</w:t>
      </w:r>
      <w:r w:rsidRPr="00131B9D">
        <w:rPr>
          <w:rFonts w:eastAsia="標楷體"/>
          <w:b/>
          <w:bCs/>
          <w:kern w:val="52"/>
          <w:sz w:val="28"/>
          <w:szCs w:val="28"/>
        </w:rPr>
        <w:t>3-</w:t>
      </w:r>
      <w:r w:rsidR="00473701" w:rsidRPr="00131B9D">
        <w:rPr>
          <w:rFonts w:eastAsia="標楷體"/>
          <w:b/>
          <w:bCs/>
          <w:kern w:val="52"/>
          <w:sz w:val="28"/>
          <w:szCs w:val="28"/>
        </w:rPr>
        <w:t>6</w:t>
      </w:r>
      <w:r w:rsidRPr="00131B9D">
        <w:rPr>
          <w:rFonts w:eastAsia="標楷體"/>
          <w:b/>
          <w:bCs/>
          <w:kern w:val="52"/>
          <w:sz w:val="28"/>
          <w:szCs w:val="28"/>
        </w:rPr>
        <w:t xml:space="preserve">　全球銅市供需概況</w:t>
      </w:r>
      <w:r w:rsidRPr="00131B9D">
        <w:rPr>
          <w:rFonts w:eastAsia="標楷體"/>
          <w:b/>
          <w:bCs/>
          <w:kern w:val="52"/>
          <w:sz w:val="28"/>
          <w:szCs w:val="28"/>
        </w:rPr>
        <w:t>(</w:t>
      </w:r>
      <w:r w:rsidRPr="00131B9D">
        <w:rPr>
          <w:rFonts w:eastAsia="標楷體"/>
          <w:b/>
          <w:bCs/>
          <w:kern w:val="52"/>
          <w:sz w:val="28"/>
          <w:szCs w:val="28"/>
        </w:rPr>
        <w:t>續</w:t>
      </w:r>
      <w:r w:rsidRPr="00131B9D">
        <w:rPr>
          <w:rFonts w:eastAsia="標楷體"/>
          <w:b/>
          <w:bCs/>
          <w:kern w:val="52"/>
          <w:sz w:val="28"/>
          <w:szCs w:val="28"/>
        </w:rPr>
        <w:t>)</w:t>
      </w:r>
    </w:p>
    <w:tbl>
      <w:tblPr>
        <w:tblW w:w="5039"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1968"/>
        <w:gridCol w:w="1559"/>
        <w:gridCol w:w="1512"/>
      </w:tblGrid>
      <w:tr w:rsidR="003B29E8" w:rsidRPr="00131B9D" w:rsidTr="00CD56C1">
        <w:trPr>
          <w:trHeight w:val="330"/>
          <w:tblHeader/>
          <w:jc w:val="center"/>
        </w:trPr>
        <w:tc>
          <w:tcPr>
            <w:tcW w:w="1968" w:type="dxa"/>
            <w:tcBorders>
              <w:right w:val="single" w:sz="4" w:space="0" w:color="auto"/>
            </w:tcBorders>
            <w:shd w:val="clear" w:color="auto" w:fill="D9D9D9" w:themeFill="background1" w:themeFillShade="D9"/>
            <w:noWrap/>
            <w:vAlign w:val="center"/>
          </w:tcPr>
          <w:p w:rsidR="003B29E8" w:rsidRPr="00131B9D" w:rsidRDefault="003B29E8" w:rsidP="00CD56C1">
            <w:pPr>
              <w:widowControl/>
              <w:adjustRightInd w:val="0"/>
              <w:snapToGrid w:val="0"/>
              <w:spacing w:line="240" w:lineRule="exact"/>
              <w:jc w:val="center"/>
              <w:rPr>
                <w:rFonts w:eastAsia="標楷體"/>
                <w:b/>
                <w:kern w:val="0"/>
              </w:rPr>
            </w:pPr>
            <w:r w:rsidRPr="00131B9D">
              <w:rPr>
                <w:rFonts w:eastAsia="標楷體"/>
                <w:b/>
                <w:kern w:val="0"/>
              </w:rPr>
              <w:t>LME</w:t>
            </w:r>
            <w:r w:rsidRPr="00131B9D">
              <w:rPr>
                <w:rFonts w:eastAsia="標楷體"/>
                <w:b/>
                <w:kern w:val="0"/>
              </w:rPr>
              <w:t>統計</w:t>
            </w:r>
          </w:p>
        </w:tc>
        <w:tc>
          <w:tcPr>
            <w:tcW w:w="1559" w:type="dxa"/>
            <w:tcBorders>
              <w:left w:val="single" w:sz="4" w:space="0" w:color="auto"/>
              <w:right w:val="single" w:sz="4" w:space="0" w:color="auto"/>
            </w:tcBorders>
            <w:shd w:val="clear" w:color="auto" w:fill="D9D9D9" w:themeFill="background1" w:themeFillShade="D9"/>
            <w:noWrap/>
            <w:vAlign w:val="center"/>
          </w:tcPr>
          <w:p w:rsidR="003B29E8" w:rsidRPr="00131B9D" w:rsidRDefault="003B29E8" w:rsidP="00CD56C1">
            <w:pPr>
              <w:widowControl/>
              <w:adjustRightInd w:val="0"/>
              <w:snapToGrid w:val="0"/>
              <w:spacing w:line="240" w:lineRule="exact"/>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512" w:type="dxa"/>
            <w:tcBorders>
              <w:left w:val="single" w:sz="4" w:space="0" w:color="auto"/>
            </w:tcBorders>
            <w:shd w:val="clear" w:color="auto" w:fill="D9D9D9" w:themeFill="background1" w:themeFillShade="D9"/>
            <w:noWrap/>
            <w:vAlign w:val="center"/>
          </w:tcPr>
          <w:p w:rsidR="003B29E8" w:rsidRPr="00131B9D" w:rsidRDefault="003B29E8" w:rsidP="00CD56C1">
            <w:pPr>
              <w:widowControl/>
              <w:adjustRightInd w:val="0"/>
              <w:snapToGrid w:val="0"/>
              <w:spacing w:line="240" w:lineRule="exact"/>
              <w:jc w:val="center"/>
              <w:rPr>
                <w:rFonts w:eastAsia="標楷體"/>
                <w:b/>
                <w:kern w:val="0"/>
              </w:rPr>
            </w:pPr>
            <w:r w:rsidRPr="00131B9D">
              <w:rPr>
                <w:rFonts w:eastAsia="標楷體"/>
                <w:b/>
                <w:kern w:val="0"/>
              </w:rPr>
              <w:t>變動量</w:t>
            </w:r>
          </w:p>
        </w:tc>
      </w:tr>
      <w:tr w:rsidR="003B29E8" w:rsidRPr="00131B9D" w:rsidTr="00CD56C1">
        <w:trPr>
          <w:trHeight w:val="70"/>
          <w:jc w:val="center"/>
        </w:trPr>
        <w:tc>
          <w:tcPr>
            <w:tcW w:w="5039" w:type="dxa"/>
            <w:gridSpan w:val="3"/>
            <w:tcBorders>
              <w:bottom w:val="single" w:sz="4" w:space="0" w:color="auto"/>
            </w:tcBorders>
            <w:shd w:val="clear" w:color="auto" w:fill="D9D9D9" w:themeFill="background1" w:themeFillShade="D9"/>
            <w:noWrap/>
            <w:vAlign w:val="center"/>
          </w:tcPr>
          <w:p w:rsidR="003B29E8" w:rsidRPr="00131B9D" w:rsidRDefault="003B29E8" w:rsidP="00CD56C1">
            <w:pPr>
              <w:adjustRightInd w:val="0"/>
              <w:snapToGrid w:val="0"/>
              <w:jc w:val="center"/>
              <w:rPr>
                <w:rFonts w:eastAsia="標楷體"/>
                <w:color w:val="000000"/>
              </w:rPr>
            </w:pPr>
            <w:r w:rsidRPr="00131B9D">
              <w:rPr>
                <w:rFonts w:eastAsia="標楷體"/>
                <w:color w:val="000000"/>
              </w:rPr>
              <w:t>2015</w:t>
            </w:r>
            <w:r w:rsidRPr="00131B9D">
              <w:rPr>
                <w:rFonts w:eastAsia="標楷體"/>
                <w:color w:val="000000"/>
              </w:rPr>
              <w:t>年</w:t>
            </w:r>
          </w:p>
        </w:tc>
      </w:tr>
      <w:tr w:rsidR="00DB6505" w:rsidRPr="00131B9D" w:rsidTr="00CD56C1">
        <w:trPr>
          <w:trHeight w:val="70"/>
          <w:jc w:val="center"/>
        </w:trPr>
        <w:tc>
          <w:tcPr>
            <w:tcW w:w="1968" w:type="dxa"/>
            <w:tcBorders>
              <w:bottom w:val="single" w:sz="4" w:space="0" w:color="auto"/>
              <w:right w:val="single" w:sz="4" w:space="0" w:color="auto"/>
            </w:tcBorders>
            <w:shd w:val="clear" w:color="auto" w:fill="FFFFFF"/>
            <w:noWrap/>
            <w:vAlign w:val="center"/>
          </w:tcPr>
          <w:p w:rsidR="00DB6505" w:rsidRPr="00131B9D" w:rsidRDefault="00DB6505" w:rsidP="00DB6505">
            <w:pPr>
              <w:widowControl/>
              <w:adjustRightInd w:val="0"/>
              <w:snapToGrid w:val="0"/>
              <w:spacing w:line="240" w:lineRule="exact"/>
              <w:jc w:val="center"/>
              <w:rPr>
                <w:rFonts w:eastAsia="標楷體"/>
                <w:kern w:val="0"/>
              </w:rPr>
            </w:pPr>
            <w:r w:rsidRPr="00131B9D">
              <w:rPr>
                <w:rFonts w:eastAsia="標楷體"/>
                <w:kern w:val="0"/>
              </w:rPr>
              <w:t>5</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DB6505" w:rsidRPr="00131B9D" w:rsidRDefault="00DB6505" w:rsidP="00DB6505">
            <w:pPr>
              <w:adjustRightInd w:val="0"/>
              <w:snapToGrid w:val="0"/>
              <w:jc w:val="center"/>
            </w:pPr>
            <w:r w:rsidRPr="00131B9D">
              <w:t>322,150</w:t>
            </w:r>
          </w:p>
        </w:tc>
        <w:tc>
          <w:tcPr>
            <w:tcW w:w="1512" w:type="dxa"/>
            <w:tcBorders>
              <w:left w:val="single" w:sz="4" w:space="0" w:color="auto"/>
              <w:bottom w:val="single" w:sz="4" w:space="0" w:color="auto"/>
            </w:tcBorders>
            <w:shd w:val="clear" w:color="auto" w:fill="FFFFFF"/>
            <w:noWrap/>
            <w:vAlign w:val="center"/>
          </w:tcPr>
          <w:p w:rsidR="00DB6505" w:rsidRPr="00131B9D" w:rsidRDefault="00DB6505" w:rsidP="00DB6505">
            <w:pPr>
              <w:adjustRightInd w:val="0"/>
              <w:snapToGrid w:val="0"/>
              <w:jc w:val="center"/>
              <w:rPr>
                <w:color w:val="000000"/>
              </w:rPr>
            </w:pPr>
            <w:r w:rsidRPr="00131B9D">
              <w:rPr>
                <w:color w:val="000000"/>
              </w:rPr>
              <w:t>-4.67%</w:t>
            </w:r>
          </w:p>
        </w:tc>
      </w:tr>
      <w:tr w:rsidR="00DB6505" w:rsidRPr="00131B9D" w:rsidTr="00CD56C1">
        <w:trPr>
          <w:trHeight w:val="70"/>
          <w:jc w:val="center"/>
        </w:trPr>
        <w:tc>
          <w:tcPr>
            <w:tcW w:w="1968" w:type="dxa"/>
            <w:tcBorders>
              <w:bottom w:val="single" w:sz="4" w:space="0" w:color="auto"/>
              <w:right w:val="single" w:sz="4" w:space="0" w:color="auto"/>
            </w:tcBorders>
            <w:shd w:val="clear" w:color="auto" w:fill="FFFFFF"/>
            <w:noWrap/>
            <w:vAlign w:val="center"/>
          </w:tcPr>
          <w:p w:rsidR="00DB6505" w:rsidRPr="00131B9D" w:rsidRDefault="00DB6505" w:rsidP="00DB6505">
            <w:pPr>
              <w:widowControl/>
              <w:adjustRightInd w:val="0"/>
              <w:snapToGrid w:val="0"/>
              <w:spacing w:line="240" w:lineRule="exact"/>
              <w:jc w:val="center"/>
              <w:rPr>
                <w:rFonts w:eastAsia="標楷體"/>
                <w:kern w:val="0"/>
              </w:rPr>
            </w:pPr>
            <w:r w:rsidRPr="00131B9D">
              <w:rPr>
                <w:rFonts w:eastAsia="標楷體"/>
                <w:kern w:val="0"/>
              </w:rPr>
              <w:t>6</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DB6505" w:rsidRPr="00131B9D" w:rsidRDefault="00DB6505" w:rsidP="00DB6505">
            <w:pPr>
              <w:adjustRightInd w:val="0"/>
              <w:snapToGrid w:val="0"/>
              <w:jc w:val="center"/>
            </w:pPr>
            <w:r w:rsidRPr="00131B9D">
              <w:t>324,100</w:t>
            </w:r>
          </w:p>
        </w:tc>
        <w:tc>
          <w:tcPr>
            <w:tcW w:w="1512" w:type="dxa"/>
            <w:tcBorders>
              <w:left w:val="single" w:sz="4" w:space="0" w:color="auto"/>
              <w:bottom w:val="single" w:sz="4" w:space="0" w:color="auto"/>
            </w:tcBorders>
            <w:shd w:val="clear" w:color="auto" w:fill="FFFFFF"/>
            <w:noWrap/>
            <w:vAlign w:val="center"/>
          </w:tcPr>
          <w:p w:rsidR="00DB6505" w:rsidRPr="00131B9D" w:rsidRDefault="00DB6505" w:rsidP="00DB6505">
            <w:pPr>
              <w:adjustRightInd w:val="0"/>
              <w:snapToGrid w:val="0"/>
              <w:jc w:val="center"/>
              <w:rPr>
                <w:color w:val="000000"/>
              </w:rPr>
            </w:pPr>
            <w:r w:rsidRPr="00131B9D">
              <w:rPr>
                <w:color w:val="000000"/>
              </w:rPr>
              <w:t>0.60%</w:t>
            </w:r>
          </w:p>
        </w:tc>
      </w:tr>
      <w:tr w:rsidR="00DB6505" w:rsidRPr="00131B9D" w:rsidTr="00CD56C1">
        <w:trPr>
          <w:trHeight w:val="70"/>
          <w:jc w:val="center"/>
        </w:trPr>
        <w:tc>
          <w:tcPr>
            <w:tcW w:w="1968" w:type="dxa"/>
            <w:tcBorders>
              <w:bottom w:val="single" w:sz="4" w:space="0" w:color="auto"/>
              <w:right w:val="single" w:sz="4" w:space="0" w:color="auto"/>
            </w:tcBorders>
            <w:shd w:val="clear" w:color="auto" w:fill="FFFFFF"/>
            <w:noWrap/>
            <w:vAlign w:val="center"/>
          </w:tcPr>
          <w:p w:rsidR="00DB6505" w:rsidRPr="00131B9D" w:rsidRDefault="00DB6505" w:rsidP="00DB6505">
            <w:pPr>
              <w:widowControl/>
              <w:adjustRightInd w:val="0"/>
              <w:snapToGrid w:val="0"/>
              <w:spacing w:line="240" w:lineRule="exact"/>
              <w:jc w:val="center"/>
              <w:rPr>
                <w:rFonts w:eastAsia="標楷體"/>
                <w:kern w:val="0"/>
              </w:rPr>
            </w:pPr>
            <w:r w:rsidRPr="00131B9D">
              <w:rPr>
                <w:rFonts w:eastAsia="標楷體"/>
                <w:kern w:val="0"/>
              </w:rPr>
              <w:t>7</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DB6505" w:rsidRPr="00131B9D" w:rsidRDefault="00DB6505" w:rsidP="00DB6505">
            <w:pPr>
              <w:adjustRightInd w:val="0"/>
              <w:snapToGrid w:val="0"/>
              <w:jc w:val="center"/>
            </w:pPr>
            <w:r w:rsidRPr="00131B9D">
              <w:t>345,475</w:t>
            </w:r>
          </w:p>
        </w:tc>
        <w:tc>
          <w:tcPr>
            <w:tcW w:w="1512" w:type="dxa"/>
            <w:tcBorders>
              <w:left w:val="single" w:sz="4" w:space="0" w:color="auto"/>
              <w:bottom w:val="single" w:sz="4" w:space="0" w:color="auto"/>
            </w:tcBorders>
            <w:shd w:val="clear" w:color="auto" w:fill="FFFFFF"/>
            <w:noWrap/>
            <w:vAlign w:val="center"/>
          </w:tcPr>
          <w:p w:rsidR="00DB6505" w:rsidRPr="00131B9D" w:rsidRDefault="00DB6505" w:rsidP="00DB6505">
            <w:pPr>
              <w:adjustRightInd w:val="0"/>
              <w:snapToGrid w:val="0"/>
              <w:jc w:val="center"/>
              <w:rPr>
                <w:color w:val="000000"/>
              </w:rPr>
            </w:pPr>
            <w:r w:rsidRPr="00131B9D">
              <w:rPr>
                <w:color w:val="000000"/>
              </w:rPr>
              <w:t>6.60%</w:t>
            </w:r>
          </w:p>
        </w:tc>
      </w:tr>
      <w:tr w:rsidR="003B29E8" w:rsidRPr="00131B9D" w:rsidTr="00CD56C1">
        <w:trPr>
          <w:trHeight w:val="70"/>
          <w:jc w:val="center"/>
        </w:trPr>
        <w:tc>
          <w:tcPr>
            <w:tcW w:w="1968" w:type="dxa"/>
            <w:tcBorders>
              <w:bottom w:val="single" w:sz="4" w:space="0" w:color="auto"/>
              <w:right w:val="single" w:sz="4" w:space="0" w:color="auto"/>
            </w:tcBorders>
            <w:shd w:val="clear" w:color="auto" w:fill="FFFFFF"/>
            <w:noWrap/>
            <w:vAlign w:val="center"/>
          </w:tcPr>
          <w:p w:rsidR="003B29E8" w:rsidRPr="00131B9D" w:rsidRDefault="003B29E8" w:rsidP="00CD56C1">
            <w:pPr>
              <w:widowControl/>
              <w:adjustRightInd w:val="0"/>
              <w:snapToGrid w:val="0"/>
              <w:spacing w:line="240" w:lineRule="exact"/>
              <w:jc w:val="center"/>
              <w:rPr>
                <w:rFonts w:eastAsia="標楷體"/>
                <w:kern w:val="0"/>
              </w:rPr>
            </w:pPr>
            <w:r w:rsidRPr="00131B9D">
              <w:rPr>
                <w:rFonts w:eastAsia="標楷體"/>
                <w:kern w:val="0"/>
              </w:rPr>
              <w:t>8</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3B29E8" w:rsidRPr="00131B9D" w:rsidRDefault="003B29E8" w:rsidP="00CD56C1">
            <w:pPr>
              <w:adjustRightInd w:val="0"/>
              <w:snapToGrid w:val="0"/>
              <w:jc w:val="center"/>
            </w:pPr>
            <w:r w:rsidRPr="00131B9D">
              <w:t>367,650</w:t>
            </w:r>
          </w:p>
        </w:tc>
        <w:tc>
          <w:tcPr>
            <w:tcW w:w="1512" w:type="dxa"/>
            <w:tcBorders>
              <w:left w:val="single" w:sz="4" w:space="0" w:color="auto"/>
              <w:bottom w:val="single" w:sz="4" w:space="0" w:color="auto"/>
            </w:tcBorders>
            <w:shd w:val="clear" w:color="auto" w:fill="FFFFFF"/>
            <w:noWrap/>
            <w:vAlign w:val="center"/>
          </w:tcPr>
          <w:p w:rsidR="003B29E8" w:rsidRPr="00131B9D" w:rsidRDefault="003B29E8" w:rsidP="00CD56C1">
            <w:pPr>
              <w:adjustRightInd w:val="0"/>
              <w:snapToGrid w:val="0"/>
              <w:jc w:val="center"/>
              <w:rPr>
                <w:color w:val="000000"/>
              </w:rPr>
            </w:pPr>
            <w:r w:rsidRPr="00131B9D">
              <w:rPr>
                <w:color w:val="000000"/>
              </w:rPr>
              <w:t>6.42%</w:t>
            </w:r>
          </w:p>
        </w:tc>
      </w:tr>
      <w:tr w:rsidR="003B29E8" w:rsidRPr="00131B9D" w:rsidTr="00CD56C1">
        <w:trPr>
          <w:trHeight w:val="70"/>
          <w:jc w:val="center"/>
        </w:trPr>
        <w:tc>
          <w:tcPr>
            <w:tcW w:w="1968" w:type="dxa"/>
            <w:tcBorders>
              <w:bottom w:val="single" w:sz="4" w:space="0" w:color="auto"/>
              <w:right w:val="single" w:sz="4" w:space="0" w:color="auto"/>
            </w:tcBorders>
            <w:shd w:val="clear" w:color="auto" w:fill="FFFFFF"/>
            <w:noWrap/>
            <w:vAlign w:val="center"/>
          </w:tcPr>
          <w:p w:rsidR="003B29E8" w:rsidRPr="00131B9D" w:rsidRDefault="003B29E8" w:rsidP="00CD56C1">
            <w:pPr>
              <w:widowControl/>
              <w:adjustRightInd w:val="0"/>
              <w:snapToGrid w:val="0"/>
              <w:spacing w:line="240" w:lineRule="exact"/>
              <w:jc w:val="center"/>
              <w:rPr>
                <w:rFonts w:eastAsia="標楷體"/>
                <w:kern w:val="0"/>
              </w:rPr>
            </w:pPr>
            <w:r w:rsidRPr="00131B9D">
              <w:rPr>
                <w:rFonts w:eastAsia="標楷體"/>
                <w:kern w:val="0"/>
              </w:rPr>
              <w:t>9</w:t>
            </w:r>
            <w:r w:rsidRPr="00131B9D">
              <w:rPr>
                <w:rFonts w:eastAsia="標楷體"/>
                <w:kern w:val="0"/>
              </w:rPr>
              <w:t>月</w:t>
            </w:r>
          </w:p>
        </w:tc>
        <w:tc>
          <w:tcPr>
            <w:tcW w:w="1559" w:type="dxa"/>
            <w:tcBorders>
              <w:left w:val="single" w:sz="4" w:space="0" w:color="auto"/>
              <w:bottom w:val="single" w:sz="4" w:space="0" w:color="auto"/>
              <w:right w:val="single" w:sz="4" w:space="0" w:color="auto"/>
            </w:tcBorders>
            <w:shd w:val="clear" w:color="auto" w:fill="FFFFFF"/>
            <w:noWrap/>
            <w:vAlign w:val="center"/>
          </w:tcPr>
          <w:p w:rsidR="003B29E8" w:rsidRPr="00131B9D" w:rsidRDefault="003B29E8" w:rsidP="00CD56C1">
            <w:pPr>
              <w:adjustRightInd w:val="0"/>
              <w:snapToGrid w:val="0"/>
              <w:jc w:val="center"/>
            </w:pPr>
            <w:r w:rsidRPr="00131B9D">
              <w:t>323,800</w:t>
            </w:r>
          </w:p>
        </w:tc>
        <w:tc>
          <w:tcPr>
            <w:tcW w:w="1512" w:type="dxa"/>
            <w:tcBorders>
              <w:left w:val="single" w:sz="4" w:space="0" w:color="auto"/>
              <w:bottom w:val="single" w:sz="4" w:space="0" w:color="auto"/>
            </w:tcBorders>
            <w:shd w:val="clear" w:color="auto" w:fill="FFFFFF"/>
            <w:noWrap/>
            <w:vAlign w:val="center"/>
          </w:tcPr>
          <w:p w:rsidR="003B29E8" w:rsidRPr="00131B9D" w:rsidRDefault="003B29E8" w:rsidP="00CD56C1">
            <w:pPr>
              <w:adjustRightInd w:val="0"/>
              <w:snapToGrid w:val="0"/>
              <w:jc w:val="center"/>
              <w:rPr>
                <w:color w:val="000000"/>
              </w:rPr>
            </w:pPr>
            <w:r w:rsidRPr="00131B9D">
              <w:rPr>
                <w:color w:val="000000"/>
              </w:rPr>
              <w:t>-11.93%</w:t>
            </w:r>
          </w:p>
        </w:tc>
      </w:tr>
      <w:tr w:rsidR="003B29E8" w:rsidRPr="00131B9D" w:rsidTr="00CD56C1">
        <w:trPr>
          <w:trHeight w:val="70"/>
          <w:jc w:val="center"/>
        </w:trPr>
        <w:tc>
          <w:tcPr>
            <w:tcW w:w="1968" w:type="dxa"/>
            <w:tcBorders>
              <w:top w:val="single" w:sz="4" w:space="0" w:color="auto"/>
              <w:bottom w:val="doub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spacing w:line="240" w:lineRule="exact"/>
              <w:jc w:val="center"/>
              <w:rPr>
                <w:rFonts w:eastAsia="標楷體"/>
                <w:kern w:val="0"/>
              </w:rPr>
            </w:pPr>
            <w:r w:rsidRPr="00131B9D">
              <w:rPr>
                <w:rFonts w:eastAsia="標楷體"/>
                <w:kern w:val="0"/>
              </w:rPr>
              <w:t>10</w:t>
            </w:r>
            <w:r w:rsidRPr="00131B9D">
              <w:rPr>
                <w:rFonts w:eastAsia="標楷體"/>
                <w:kern w:val="0"/>
              </w:rPr>
              <w:t>月</w:t>
            </w:r>
          </w:p>
        </w:tc>
        <w:tc>
          <w:tcPr>
            <w:tcW w:w="1559" w:type="dxa"/>
            <w:tcBorders>
              <w:top w:val="single" w:sz="4" w:space="0" w:color="auto"/>
              <w:left w:val="single" w:sz="4" w:space="0" w:color="auto"/>
              <w:bottom w:val="doub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267,775</w:t>
            </w:r>
          </w:p>
        </w:tc>
        <w:tc>
          <w:tcPr>
            <w:tcW w:w="1512" w:type="dxa"/>
            <w:tcBorders>
              <w:top w:val="single" w:sz="4" w:space="0" w:color="auto"/>
              <w:left w:val="single" w:sz="4" w:space="0" w:color="auto"/>
              <w:bottom w:val="doub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-17.30%</w:t>
            </w:r>
          </w:p>
        </w:tc>
      </w:tr>
      <w:tr w:rsidR="003B29E8" w:rsidRPr="00131B9D" w:rsidTr="00CD56C1">
        <w:trPr>
          <w:trHeight w:val="50"/>
          <w:jc w:val="center"/>
        </w:trPr>
        <w:tc>
          <w:tcPr>
            <w:tcW w:w="1968" w:type="dxa"/>
            <w:tcBorders>
              <w:top w:val="double" w:sz="4" w:space="0" w:color="auto"/>
              <w:right w:val="single" w:sz="4" w:space="0" w:color="auto"/>
            </w:tcBorders>
            <w:shd w:val="clear" w:color="auto" w:fill="D9D9D9" w:themeFill="background1" w:themeFillShade="D9"/>
            <w:noWrap/>
            <w:vAlign w:val="center"/>
          </w:tcPr>
          <w:p w:rsidR="003B29E8" w:rsidRPr="00131B9D" w:rsidRDefault="003B29E8" w:rsidP="00CD56C1">
            <w:pPr>
              <w:widowControl/>
              <w:adjustRightInd w:val="0"/>
              <w:snapToGrid w:val="0"/>
              <w:spacing w:line="240" w:lineRule="exact"/>
              <w:jc w:val="center"/>
              <w:rPr>
                <w:rFonts w:eastAsia="標楷體"/>
                <w:b/>
                <w:kern w:val="0"/>
              </w:rPr>
            </w:pPr>
            <w:r w:rsidRPr="00131B9D">
              <w:rPr>
                <w:rFonts w:eastAsia="標楷體"/>
                <w:b/>
                <w:kern w:val="0"/>
              </w:rPr>
              <w:t>世界金屬統計（</w:t>
            </w:r>
            <w:r w:rsidRPr="00131B9D">
              <w:rPr>
                <w:rFonts w:eastAsia="標楷體"/>
                <w:b/>
                <w:kern w:val="0"/>
              </w:rPr>
              <w:t>WBMS</w:t>
            </w:r>
            <w:r w:rsidRPr="00131B9D">
              <w:rPr>
                <w:rFonts w:eastAsia="標楷體"/>
                <w:b/>
                <w:kern w:val="0"/>
              </w:rPr>
              <w:t>）</w:t>
            </w:r>
          </w:p>
        </w:tc>
        <w:tc>
          <w:tcPr>
            <w:tcW w:w="3071" w:type="dxa"/>
            <w:gridSpan w:val="2"/>
            <w:tcBorders>
              <w:top w:val="double" w:sz="4" w:space="0" w:color="auto"/>
              <w:left w:val="single" w:sz="4" w:space="0" w:color="auto"/>
            </w:tcBorders>
            <w:shd w:val="clear" w:color="auto" w:fill="D9D9D9" w:themeFill="background1" w:themeFillShade="D9"/>
            <w:noWrap/>
            <w:vAlign w:val="center"/>
          </w:tcPr>
          <w:p w:rsidR="003B29E8" w:rsidRPr="00131B9D" w:rsidRDefault="003B29E8" w:rsidP="00CD56C1">
            <w:pPr>
              <w:widowControl/>
              <w:adjustRightInd w:val="0"/>
              <w:snapToGrid w:val="0"/>
              <w:spacing w:line="240" w:lineRule="exact"/>
              <w:jc w:val="center"/>
              <w:rPr>
                <w:rFonts w:eastAsia="標楷體"/>
                <w:b/>
                <w:kern w:val="0"/>
              </w:rPr>
            </w:pPr>
            <w:r w:rsidRPr="00131B9D">
              <w:rPr>
                <w:rFonts w:eastAsia="標楷體"/>
                <w:b/>
                <w:kern w:val="0"/>
              </w:rPr>
              <w:t>過剩量</w:t>
            </w:r>
            <w:r w:rsidRPr="00131B9D">
              <w:rPr>
                <w:rFonts w:eastAsia="標楷體"/>
                <w:b/>
                <w:kern w:val="0"/>
              </w:rPr>
              <w:t>(</w:t>
            </w:r>
            <w:r w:rsidRPr="00131B9D">
              <w:rPr>
                <w:rFonts w:eastAsia="標楷體"/>
                <w:b/>
                <w:kern w:val="0"/>
              </w:rPr>
              <w:t>公噸</w:t>
            </w:r>
            <w:r w:rsidRPr="00131B9D">
              <w:rPr>
                <w:rFonts w:eastAsia="標楷體"/>
                <w:b/>
                <w:kern w:val="0"/>
              </w:rPr>
              <w:t>)</w:t>
            </w:r>
          </w:p>
        </w:tc>
      </w:tr>
      <w:tr w:rsidR="003B29E8" w:rsidRPr="00131B9D" w:rsidTr="00CD56C1">
        <w:trPr>
          <w:trHeight w:val="70"/>
          <w:jc w:val="center"/>
        </w:trPr>
        <w:tc>
          <w:tcPr>
            <w:tcW w:w="1968" w:type="dxa"/>
            <w:tcBorders>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2013</w:t>
            </w:r>
            <w:r w:rsidRPr="00131B9D">
              <w:rPr>
                <w:rFonts w:eastAsia="標楷體"/>
                <w:kern w:val="0"/>
              </w:rPr>
              <w:t>年</w:t>
            </w:r>
            <w:r w:rsidRPr="00131B9D">
              <w:rPr>
                <w:rFonts w:eastAsia="標楷體"/>
                <w:kern w:val="0"/>
              </w:rPr>
              <w:t>1-12</w:t>
            </w:r>
            <w:r w:rsidRPr="00131B9D">
              <w:rPr>
                <w:rFonts w:eastAsia="標楷體"/>
                <w:kern w:val="0"/>
              </w:rPr>
              <w:t>月</w:t>
            </w:r>
          </w:p>
        </w:tc>
        <w:tc>
          <w:tcPr>
            <w:tcW w:w="3071" w:type="dxa"/>
            <w:gridSpan w:val="2"/>
            <w:tcBorders>
              <w:left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rFonts w:eastAsia="標楷體"/>
                <w:kern w:val="0"/>
              </w:rPr>
              <w:t>283,000</w:t>
            </w:r>
          </w:p>
        </w:tc>
      </w:tr>
      <w:tr w:rsidR="003B29E8" w:rsidRPr="00131B9D" w:rsidTr="00CD56C1">
        <w:trPr>
          <w:trHeight w:val="70"/>
          <w:jc w:val="center"/>
        </w:trPr>
        <w:tc>
          <w:tcPr>
            <w:tcW w:w="1968" w:type="dxa"/>
            <w:tcBorders>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2014</w:t>
            </w:r>
            <w:r w:rsidRPr="00131B9D">
              <w:rPr>
                <w:rFonts w:eastAsia="標楷體"/>
                <w:kern w:val="0"/>
              </w:rPr>
              <w:t>年</w:t>
            </w:r>
            <w:r w:rsidRPr="00131B9D">
              <w:rPr>
                <w:rFonts w:eastAsia="標楷體"/>
                <w:kern w:val="0"/>
              </w:rPr>
              <w:t>1-12</w:t>
            </w:r>
            <w:r w:rsidRPr="00131B9D">
              <w:rPr>
                <w:rFonts w:eastAsia="標楷體"/>
                <w:kern w:val="0"/>
              </w:rPr>
              <w:t>月</w:t>
            </w:r>
          </w:p>
        </w:tc>
        <w:tc>
          <w:tcPr>
            <w:tcW w:w="3071" w:type="dxa"/>
            <w:gridSpan w:val="2"/>
            <w:tcBorders>
              <w:left w:val="single" w:sz="4" w:space="0" w:color="auto"/>
            </w:tcBorders>
            <w:shd w:val="clear" w:color="auto" w:fill="auto"/>
            <w:noWrap/>
            <w:vAlign w:val="center"/>
          </w:tcPr>
          <w:p w:rsidR="003B29E8" w:rsidRPr="00131B9D" w:rsidRDefault="003B29E8" w:rsidP="00CD56C1">
            <w:pPr>
              <w:widowControl/>
              <w:adjustRightInd w:val="0"/>
              <w:snapToGrid w:val="0"/>
              <w:jc w:val="center"/>
              <w:rPr>
                <w:color w:val="000000"/>
              </w:rPr>
            </w:pPr>
            <w:r w:rsidRPr="00131B9D">
              <w:rPr>
                <w:rFonts w:eastAsia="標楷體"/>
                <w:kern w:val="0"/>
              </w:rPr>
              <w:t>295,000</w:t>
            </w:r>
          </w:p>
        </w:tc>
      </w:tr>
      <w:tr w:rsidR="003B29E8" w:rsidRPr="00131B9D" w:rsidTr="00CD56C1">
        <w:trPr>
          <w:trHeight w:val="70"/>
          <w:jc w:val="center"/>
        </w:trPr>
        <w:tc>
          <w:tcPr>
            <w:tcW w:w="1968" w:type="dxa"/>
            <w:tcBorders>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2015</w:t>
            </w:r>
            <w:r w:rsidRPr="00131B9D">
              <w:rPr>
                <w:rFonts w:eastAsia="標楷體"/>
                <w:kern w:val="0"/>
              </w:rPr>
              <w:t>年</w:t>
            </w:r>
            <w:r w:rsidRPr="00131B9D">
              <w:rPr>
                <w:rFonts w:eastAsia="標楷體"/>
                <w:kern w:val="0"/>
              </w:rPr>
              <w:t>1-8</w:t>
            </w:r>
            <w:r w:rsidRPr="00131B9D">
              <w:rPr>
                <w:rFonts w:eastAsia="標楷體"/>
                <w:kern w:val="0"/>
              </w:rPr>
              <w:t>月</w:t>
            </w:r>
          </w:p>
        </w:tc>
        <w:tc>
          <w:tcPr>
            <w:tcW w:w="3071" w:type="dxa"/>
            <w:gridSpan w:val="2"/>
            <w:tcBorders>
              <w:lef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134,000</w:t>
            </w:r>
          </w:p>
        </w:tc>
      </w:tr>
    </w:tbl>
    <w:p w:rsidR="00F279F7" w:rsidRPr="00131B9D" w:rsidRDefault="00F279F7" w:rsidP="00F279F7">
      <w:pPr>
        <w:rPr>
          <w:rFonts w:eastAsia="標楷體"/>
          <w:kern w:val="0"/>
          <w:sz w:val="20"/>
          <w:szCs w:val="20"/>
        </w:rPr>
      </w:pPr>
      <w:r w:rsidRPr="00131B9D">
        <w:rPr>
          <w:rFonts w:eastAsia="標楷體"/>
          <w:sz w:val="20"/>
          <w:szCs w:val="20"/>
        </w:rPr>
        <w:t xml:space="preserve">                </w:t>
      </w:r>
      <w:r w:rsidRPr="00131B9D">
        <w:rPr>
          <w:rFonts w:eastAsia="標楷體"/>
          <w:sz w:val="20"/>
          <w:szCs w:val="20"/>
        </w:rPr>
        <w:t>資料來源：</w:t>
      </w:r>
      <w:r w:rsidRPr="00131B9D">
        <w:rPr>
          <w:rFonts w:eastAsia="標楷體"/>
          <w:kern w:val="0"/>
          <w:sz w:val="20"/>
          <w:szCs w:val="20"/>
        </w:rPr>
        <w:t>LME</w:t>
      </w:r>
      <w:r w:rsidRPr="00131B9D">
        <w:rPr>
          <w:rFonts w:eastAsia="標楷體"/>
          <w:kern w:val="0"/>
          <w:sz w:val="20"/>
          <w:szCs w:val="20"/>
        </w:rPr>
        <w:t>統計、世界金屬統計（</w:t>
      </w:r>
      <w:r w:rsidRPr="00131B9D">
        <w:rPr>
          <w:rFonts w:eastAsia="標楷體"/>
          <w:kern w:val="0"/>
          <w:sz w:val="20"/>
          <w:szCs w:val="20"/>
        </w:rPr>
        <w:t>WBMS</w:t>
      </w:r>
      <w:r w:rsidRPr="00131B9D">
        <w:rPr>
          <w:rFonts w:eastAsia="標楷體"/>
          <w:kern w:val="0"/>
          <w:sz w:val="20"/>
          <w:szCs w:val="20"/>
        </w:rPr>
        <w:t>）。</w:t>
      </w:r>
    </w:p>
    <w:p w:rsidR="00F279F7" w:rsidRPr="00131B9D" w:rsidRDefault="00F279F7" w:rsidP="00F279F7">
      <w:pPr>
        <w:rPr>
          <w:rFonts w:eastAsia="標楷體"/>
          <w:kern w:val="0"/>
          <w:sz w:val="20"/>
          <w:szCs w:val="20"/>
        </w:rPr>
      </w:pPr>
    </w:p>
    <w:p w:rsidR="00F279F7" w:rsidRPr="00131B9D" w:rsidRDefault="00F279F7" w:rsidP="00F279F7">
      <w:pPr>
        <w:pStyle w:val="-"/>
        <w:spacing w:before="72" w:after="72" w:line="460" w:lineRule="exact"/>
        <w:ind w:firstLineChars="0" w:firstLine="0"/>
        <w:rPr>
          <w:b/>
        </w:rPr>
      </w:pPr>
      <w:bookmarkStart w:id="129" w:name="_Toc322706936"/>
      <w:r w:rsidRPr="00131B9D">
        <w:rPr>
          <w:b/>
        </w:rPr>
        <w:t>3.</w:t>
      </w:r>
      <w:r w:rsidRPr="00131B9D">
        <w:rPr>
          <w:b/>
        </w:rPr>
        <w:t xml:space="preserve">　</w:t>
      </w:r>
      <w:r w:rsidRPr="00131B9D">
        <w:rPr>
          <w:b/>
        </w:rPr>
        <w:t>2016</w:t>
      </w:r>
      <w:r w:rsidRPr="00131B9D">
        <w:rPr>
          <w:b/>
        </w:rPr>
        <w:t>年展望</w:t>
      </w:r>
    </w:p>
    <w:p w:rsidR="00F279F7" w:rsidRPr="00131B9D" w:rsidRDefault="00F279F7" w:rsidP="00F279F7">
      <w:pPr>
        <w:pStyle w:val="-"/>
        <w:spacing w:before="72" w:afterLines="50" w:after="180" w:line="460" w:lineRule="exact"/>
        <w:ind w:firstLine="560"/>
        <w:rPr>
          <w:szCs w:val="24"/>
        </w:rPr>
      </w:pPr>
      <w:r w:rsidRPr="00131B9D">
        <w:rPr>
          <w:szCs w:val="24"/>
        </w:rPr>
        <w:t>國際銅研究組織</w:t>
      </w:r>
      <w:r w:rsidRPr="00131B9D">
        <w:rPr>
          <w:szCs w:val="24"/>
        </w:rPr>
        <w:t xml:space="preserve"> 10</w:t>
      </w:r>
      <w:r w:rsidRPr="00131B9D">
        <w:rPr>
          <w:szCs w:val="24"/>
        </w:rPr>
        <w:t>月底發佈的半年報告表示，因為銅價處於六年低位附近抑制產量增長，此抵銷中國大陸經濟增長放緩疑慮下，全球需求減少的影響，故</w:t>
      </w:r>
      <w:r w:rsidRPr="00131B9D">
        <w:rPr>
          <w:szCs w:val="24"/>
        </w:rPr>
        <w:t>2016</w:t>
      </w:r>
      <w:r w:rsidRPr="00131B9D">
        <w:rPr>
          <w:szCs w:val="24"/>
        </w:rPr>
        <w:t>年全球精煉銅市場由</w:t>
      </w:r>
      <w:r w:rsidRPr="00131B9D">
        <w:rPr>
          <w:szCs w:val="24"/>
        </w:rPr>
        <w:t>4</w:t>
      </w:r>
      <w:r w:rsidRPr="00131B9D">
        <w:rPr>
          <w:szCs w:val="24"/>
        </w:rPr>
        <w:t>月時的預估過剩</w:t>
      </w:r>
      <w:r w:rsidRPr="00131B9D">
        <w:rPr>
          <w:szCs w:val="24"/>
        </w:rPr>
        <w:t>22.8</w:t>
      </w:r>
      <w:r w:rsidRPr="00131B9D">
        <w:rPr>
          <w:szCs w:val="24"/>
        </w:rPr>
        <w:t>萬噸，調整為有</w:t>
      </w:r>
      <w:r w:rsidRPr="00131B9D">
        <w:rPr>
          <w:szCs w:val="24"/>
        </w:rPr>
        <w:t>12.7</w:t>
      </w:r>
      <w:r w:rsidRPr="00131B9D">
        <w:rPr>
          <w:szCs w:val="24"/>
        </w:rPr>
        <w:t>萬噸的供給缺口產生。但預測</w:t>
      </w:r>
      <w:r w:rsidRPr="00131B9D">
        <w:rPr>
          <w:szCs w:val="24"/>
        </w:rPr>
        <w:t>2016</w:t>
      </w:r>
      <w:r w:rsidRPr="00131B9D">
        <w:rPr>
          <w:szCs w:val="24"/>
        </w:rPr>
        <w:t>年銅礦產量仍將小幅增長</w:t>
      </w:r>
      <w:r w:rsidRPr="00131B9D">
        <w:rPr>
          <w:szCs w:val="24"/>
        </w:rPr>
        <w:t>4%</w:t>
      </w:r>
      <w:r w:rsidRPr="00131B9D">
        <w:rPr>
          <w:szCs w:val="24"/>
        </w:rPr>
        <w:t>至</w:t>
      </w:r>
      <w:r w:rsidRPr="00131B9D">
        <w:rPr>
          <w:szCs w:val="24"/>
        </w:rPr>
        <w:t>1,954</w:t>
      </w:r>
      <w:r w:rsidRPr="00131B9D">
        <w:rPr>
          <w:szCs w:val="24"/>
        </w:rPr>
        <w:t>萬噸，產量增長主要來自於既有銅礦的擴充項目，以及</w:t>
      </w:r>
      <w:r w:rsidRPr="00131B9D">
        <w:rPr>
          <w:szCs w:val="24"/>
        </w:rPr>
        <w:t>2015</w:t>
      </w:r>
      <w:r w:rsidRPr="00131B9D">
        <w:rPr>
          <w:szCs w:val="24"/>
        </w:rPr>
        <w:t>年已經投產的少數新礦。智利國家銅業委員會（</w:t>
      </w:r>
      <w:r w:rsidRPr="00131B9D">
        <w:rPr>
          <w:szCs w:val="24"/>
        </w:rPr>
        <w:t>Cochilco</w:t>
      </w:r>
      <w:r w:rsidRPr="00131B9D">
        <w:rPr>
          <w:szCs w:val="24"/>
        </w:rPr>
        <w:t>）</w:t>
      </w:r>
      <w:r w:rsidRPr="00131B9D">
        <w:rPr>
          <w:szCs w:val="24"/>
        </w:rPr>
        <w:t>10</w:t>
      </w:r>
      <w:r w:rsidRPr="00131B9D">
        <w:rPr>
          <w:szCs w:val="24"/>
        </w:rPr>
        <w:t>月</w:t>
      </w:r>
      <w:r w:rsidRPr="00131B9D">
        <w:rPr>
          <w:szCs w:val="24"/>
        </w:rPr>
        <w:t>23</w:t>
      </w:r>
      <w:r w:rsidRPr="00131B9D">
        <w:rPr>
          <w:szCs w:val="24"/>
        </w:rPr>
        <w:t>日發布之季報指出，過去幾週以來陸續有礦商宣布將減少銅產量，這有助於刺激銅價展開反彈，預估</w:t>
      </w:r>
      <w:r w:rsidRPr="00131B9D">
        <w:rPr>
          <w:szCs w:val="24"/>
        </w:rPr>
        <w:t>2016</w:t>
      </w:r>
      <w:r w:rsidRPr="00131B9D">
        <w:rPr>
          <w:szCs w:val="24"/>
        </w:rPr>
        <w:t>年平均銅價將為每磅</w:t>
      </w:r>
      <w:r w:rsidRPr="00131B9D">
        <w:rPr>
          <w:szCs w:val="24"/>
        </w:rPr>
        <w:t>2.50</w:t>
      </w:r>
      <w:r w:rsidRPr="00131B9D">
        <w:rPr>
          <w:szCs w:val="24"/>
        </w:rPr>
        <w:t>美元。</w:t>
      </w:r>
    </w:p>
    <w:p w:rsidR="00F279F7" w:rsidRPr="00131B9D" w:rsidRDefault="00F279F7" w:rsidP="00F279F7"/>
    <w:p w:rsidR="00F279F7" w:rsidRPr="00131B9D" w:rsidRDefault="00F279F7" w:rsidP="00F279F7">
      <w:pPr>
        <w:pStyle w:val="3"/>
        <w:rPr>
          <w:rFonts w:ascii="Times New Roman" w:hAnsi="Times New Roman"/>
        </w:rPr>
      </w:pPr>
      <w:r w:rsidRPr="00131B9D">
        <w:rPr>
          <w:rFonts w:ascii="Times New Roman" w:hAnsi="Times New Roman"/>
        </w:rPr>
        <w:t>（二）鋁</w:t>
      </w:r>
      <w:bookmarkEnd w:id="129"/>
    </w:p>
    <w:p w:rsidR="00F279F7" w:rsidRPr="00131B9D" w:rsidRDefault="00F279F7" w:rsidP="00F279F7">
      <w:pPr>
        <w:pStyle w:val="-"/>
        <w:spacing w:before="72" w:after="72"/>
        <w:ind w:firstLineChars="0" w:firstLine="0"/>
        <w:rPr>
          <w:b/>
        </w:rPr>
      </w:pPr>
      <w:r w:rsidRPr="00131B9D">
        <w:rPr>
          <w:b/>
        </w:rPr>
        <w:t>1.</w:t>
      </w:r>
      <w:r w:rsidRPr="00131B9D">
        <w:rPr>
          <w:b/>
        </w:rPr>
        <w:t xml:space="preserve">　價格走勢</w:t>
      </w:r>
    </w:p>
    <w:p w:rsidR="00F279F7" w:rsidRPr="00131B9D" w:rsidRDefault="00F279F7" w:rsidP="00F279F7">
      <w:pPr>
        <w:pStyle w:val="-"/>
        <w:spacing w:before="72" w:after="72"/>
        <w:ind w:firstLine="560"/>
      </w:pPr>
      <w:r w:rsidRPr="00131B9D">
        <w:t>2015</w:t>
      </w:r>
      <w:r w:rsidRPr="00131B9D">
        <w:t>年國際鋁價緩步走跌。第</w:t>
      </w:r>
      <w:r w:rsidRPr="00131B9D">
        <w:t>1</w:t>
      </w:r>
      <w:r w:rsidRPr="00131B9D">
        <w:t>季鋁價跌勢較緩，倫敦交易所（</w:t>
      </w:r>
      <w:r w:rsidRPr="00131B9D">
        <w:t>LME</w:t>
      </w:r>
      <w:r w:rsidRPr="00131B9D">
        <w:t>）鋁價</w:t>
      </w:r>
      <w:r w:rsidRPr="00131B9D">
        <w:t>3</w:t>
      </w:r>
      <w:r w:rsidRPr="00131B9D">
        <w:t>月均價</w:t>
      </w:r>
      <w:r w:rsidRPr="00131B9D">
        <w:t>1,775</w:t>
      </w:r>
      <w:r w:rsidRPr="00131B9D">
        <w:t>美元</w:t>
      </w:r>
      <w:r w:rsidRPr="00131B9D">
        <w:t>/</w:t>
      </w:r>
      <w:r w:rsidRPr="00131B9D">
        <w:t>噸，較</w:t>
      </w:r>
      <w:r w:rsidRPr="00131B9D">
        <w:t>1</w:t>
      </w:r>
      <w:r w:rsidRPr="00131B9D">
        <w:t>月均價</w:t>
      </w:r>
      <w:r w:rsidRPr="00131B9D">
        <w:t>1,816.27</w:t>
      </w:r>
      <w:r w:rsidRPr="00131B9D">
        <w:t>美元</w:t>
      </w:r>
      <w:r w:rsidRPr="00131B9D">
        <w:t>/</w:t>
      </w:r>
      <w:r w:rsidRPr="00131B9D">
        <w:t>噸下降</w:t>
      </w:r>
      <w:r w:rsidRPr="00131B9D">
        <w:t>2.27%</w:t>
      </w:r>
      <w:r w:rsidRPr="00131B9D">
        <w:t>。第</w:t>
      </w:r>
      <w:r w:rsidRPr="00131B9D">
        <w:t>1</w:t>
      </w:r>
      <w:r w:rsidRPr="00131B9D">
        <w:t>季均價</w:t>
      </w:r>
      <w:r w:rsidRPr="00131B9D">
        <w:t>1,803</w:t>
      </w:r>
      <w:r w:rsidRPr="00131B9D">
        <w:t>美元</w:t>
      </w:r>
      <w:r w:rsidRPr="00131B9D">
        <w:t>/</w:t>
      </w:r>
      <w:r w:rsidRPr="00131B9D">
        <w:t>噸，則較上一季有</w:t>
      </w:r>
      <w:r w:rsidRPr="00131B9D">
        <w:t>8.4%</w:t>
      </w:r>
      <w:r w:rsidRPr="00131B9D">
        <w:t>的跌幅；第</w:t>
      </w:r>
      <w:r w:rsidRPr="00131B9D">
        <w:t>2</w:t>
      </w:r>
      <w:r w:rsidRPr="00131B9D">
        <w:t>季鋁價下跌較多，鋁價在</w:t>
      </w:r>
      <w:r w:rsidRPr="00131B9D">
        <w:t>4</w:t>
      </w:r>
      <w:r w:rsidRPr="00131B9D">
        <w:t>月均價為</w:t>
      </w:r>
      <w:r w:rsidRPr="00131B9D">
        <w:t>1,813.5</w:t>
      </w:r>
      <w:r w:rsidRPr="00131B9D">
        <w:t>美元</w:t>
      </w:r>
      <w:r w:rsidRPr="00131B9D">
        <w:t>/</w:t>
      </w:r>
      <w:r w:rsidRPr="00131B9D">
        <w:t>噸，</w:t>
      </w:r>
      <w:r w:rsidRPr="00131B9D">
        <w:t>5</w:t>
      </w:r>
      <w:r w:rsidRPr="00131B9D">
        <w:t>月均價下跌至</w:t>
      </w:r>
      <w:r w:rsidRPr="00131B9D">
        <w:t>1,804.1</w:t>
      </w:r>
      <w:r w:rsidRPr="00131B9D">
        <w:t>美元</w:t>
      </w:r>
      <w:r w:rsidRPr="00131B9D">
        <w:t>/</w:t>
      </w:r>
      <w:r w:rsidRPr="00131B9D">
        <w:t>噸，</w:t>
      </w:r>
      <w:r w:rsidRPr="00131B9D">
        <w:t>6</w:t>
      </w:r>
      <w:r w:rsidRPr="00131B9D">
        <w:t>月均價再下降至</w:t>
      </w:r>
      <w:r w:rsidRPr="00131B9D">
        <w:t>1,686.5</w:t>
      </w:r>
      <w:r w:rsidRPr="00131B9D">
        <w:t>美元</w:t>
      </w:r>
      <w:r w:rsidRPr="00131B9D">
        <w:t>/</w:t>
      </w:r>
      <w:r w:rsidRPr="00131B9D">
        <w:t>噸，第</w:t>
      </w:r>
      <w:r w:rsidRPr="00131B9D">
        <w:t>2</w:t>
      </w:r>
      <w:r w:rsidRPr="00131B9D">
        <w:t>季</w:t>
      </w:r>
      <w:r w:rsidRPr="00131B9D">
        <w:lastRenderedPageBreak/>
        <w:t>均價</w:t>
      </w:r>
      <w:r w:rsidRPr="00131B9D">
        <w:t>1,768.4</w:t>
      </w:r>
      <w:r w:rsidRPr="00131B9D">
        <w:t>美元</w:t>
      </w:r>
      <w:r w:rsidRPr="00131B9D">
        <w:t>/</w:t>
      </w:r>
      <w:r w:rsidRPr="00131B9D">
        <w:t>噸，則較第</w:t>
      </w:r>
      <w:r w:rsidRPr="00131B9D">
        <w:t>1</w:t>
      </w:r>
      <w:r w:rsidRPr="00131B9D">
        <w:t>季跌幅約為</w:t>
      </w:r>
      <w:r w:rsidRPr="00131B9D">
        <w:t>1.9%</w:t>
      </w:r>
      <w:r w:rsidRPr="00131B9D">
        <w:t>；第</w:t>
      </w:r>
      <w:r w:rsidRPr="00131B9D">
        <w:t>3</w:t>
      </w:r>
      <w:r w:rsidRPr="00131B9D">
        <w:t>季鋁價整體呈先下跌後微漲態勢，</w:t>
      </w:r>
      <w:r w:rsidRPr="00131B9D">
        <w:t>7</w:t>
      </w:r>
      <w:r w:rsidRPr="00131B9D">
        <w:t>月均價為</w:t>
      </w:r>
      <w:r w:rsidRPr="00131B9D">
        <w:t>1,641.34</w:t>
      </w:r>
      <w:r w:rsidRPr="00131B9D">
        <w:t>美元</w:t>
      </w:r>
      <w:r w:rsidRPr="00131B9D">
        <w:t>/</w:t>
      </w:r>
      <w:r w:rsidRPr="00131B9D">
        <w:t>公噸，</w:t>
      </w:r>
      <w:r w:rsidRPr="00131B9D">
        <w:t>8</w:t>
      </w:r>
      <w:r w:rsidRPr="00131B9D">
        <w:t>月均價下跌至</w:t>
      </w:r>
      <w:r w:rsidRPr="00131B9D">
        <w:t>1,553.25</w:t>
      </w:r>
      <w:r w:rsidRPr="00131B9D">
        <w:t>美元</w:t>
      </w:r>
      <w:r w:rsidRPr="00131B9D">
        <w:t>/</w:t>
      </w:r>
      <w:r w:rsidRPr="00131B9D">
        <w:t>公噸，</w:t>
      </w:r>
      <w:r w:rsidRPr="00131B9D">
        <w:t>9</w:t>
      </w:r>
      <w:r w:rsidRPr="00131B9D">
        <w:t>月均價微幅上漲至</w:t>
      </w:r>
      <w:r w:rsidRPr="00131B9D">
        <w:t>1,591.06</w:t>
      </w:r>
      <w:r w:rsidRPr="00131B9D">
        <w:t>美元</w:t>
      </w:r>
      <w:r w:rsidRPr="00131B9D">
        <w:t>/</w:t>
      </w:r>
      <w:r w:rsidRPr="00131B9D">
        <w:t>公噸，第</w:t>
      </w:r>
      <w:r w:rsidRPr="00131B9D">
        <w:t>3</w:t>
      </w:r>
      <w:r w:rsidRPr="00131B9D">
        <w:t>季均價仍較第</w:t>
      </w:r>
      <w:r w:rsidRPr="00131B9D">
        <w:t>2</w:t>
      </w:r>
      <w:r w:rsidRPr="00131B9D">
        <w:t>季有</w:t>
      </w:r>
      <w:r w:rsidRPr="00131B9D">
        <w:t>9.79%</w:t>
      </w:r>
      <w:r w:rsidRPr="00131B9D">
        <w:t>之跌幅。</w:t>
      </w:r>
      <w:r w:rsidRPr="00131B9D">
        <w:t>10</w:t>
      </w:r>
      <w:r w:rsidRPr="00131B9D">
        <w:t>月份鋁均價為</w:t>
      </w:r>
      <w:r w:rsidRPr="00131B9D">
        <w:t>1,519.76</w:t>
      </w:r>
      <w:r w:rsidRPr="00131B9D">
        <w:t>美元</w:t>
      </w:r>
      <w:r w:rsidRPr="00131B9D">
        <w:t>/</w:t>
      </w:r>
      <w:r w:rsidRPr="00131B9D">
        <w:t>公噸（如圖</w:t>
      </w:r>
      <w:r w:rsidRPr="00131B9D">
        <w:t>3-8</w:t>
      </w:r>
      <w:r w:rsidRPr="00131B9D">
        <w:t>）。</w:t>
      </w:r>
    </w:p>
    <w:p w:rsidR="00F279F7" w:rsidRPr="00131B9D" w:rsidRDefault="00F279F7" w:rsidP="00F279F7">
      <w:pPr>
        <w:pStyle w:val="-"/>
        <w:spacing w:before="72" w:after="72"/>
        <w:ind w:firstLine="560"/>
      </w:pPr>
    </w:p>
    <w:p w:rsidR="00F279F7" w:rsidRPr="00131B9D" w:rsidRDefault="00F279F7" w:rsidP="00F279F7">
      <w:pPr>
        <w:spacing w:beforeLines="100" w:before="360"/>
        <w:jc w:val="center"/>
        <w:rPr>
          <w:rFonts w:eastAsia="標楷體"/>
          <w:b/>
          <w:sz w:val="28"/>
          <w:szCs w:val="28"/>
        </w:rPr>
      </w:pPr>
      <w:r w:rsidRPr="00131B9D">
        <w:rPr>
          <w:noProof/>
        </w:rPr>
        <w:drawing>
          <wp:inline distT="0" distB="0" distL="0" distR="0" wp14:anchorId="4B57204C" wp14:editId="687EE40A">
            <wp:extent cx="5276850" cy="3241963"/>
            <wp:effectExtent l="0" t="0" r="0" b="15875"/>
            <wp:docPr id="50" name="圖表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F279F7" w:rsidRPr="00131B9D" w:rsidRDefault="00F279F7" w:rsidP="00F279F7">
      <w:pPr>
        <w:spacing w:line="240" w:lineRule="exact"/>
        <w:ind w:firstLineChars="100" w:firstLine="200"/>
        <w:jc w:val="both"/>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130" w:name="_Toc398882642"/>
      <w:bookmarkStart w:id="131" w:name="_Toc438223342"/>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8</w:t>
      </w:r>
      <w:r w:rsidRPr="00131B9D">
        <w:rPr>
          <w:rFonts w:eastAsia="標楷體"/>
          <w:b/>
          <w:bCs/>
          <w:kern w:val="52"/>
          <w:sz w:val="28"/>
          <w:szCs w:val="28"/>
        </w:rPr>
        <w:fldChar w:fldCharType="end"/>
      </w:r>
      <w:r w:rsidRPr="00131B9D">
        <w:rPr>
          <w:rFonts w:eastAsia="標楷體"/>
          <w:b/>
          <w:bCs/>
          <w:kern w:val="52"/>
          <w:sz w:val="28"/>
          <w:szCs w:val="28"/>
        </w:rPr>
        <w:t xml:space="preserve">　鋁近一年價格走勢圖</w:t>
      </w:r>
      <w:bookmarkEnd w:id="130"/>
      <w:bookmarkEnd w:id="131"/>
    </w:p>
    <w:p w:rsidR="00F279F7" w:rsidRPr="00131B9D" w:rsidRDefault="00F279F7" w:rsidP="00F279F7"/>
    <w:p w:rsidR="00F279F7" w:rsidRPr="00131B9D" w:rsidRDefault="00F279F7" w:rsidP="00F279F7">
      <w:pPr>
        <w:pStyle w:val="-"/>
        <w:spacing w:before="72" w:after="72"/>
        <w:ind w:firstLineChars="0" w:firstLine="0"/>
        <w:rPr>
          <w:b/>
        </w:rPr>
      </w:pPr>
      <w:r w:rsidRPr="00131B9D">
        <w:rPr>
          <w:b/>
        </w:rPr>
        <w:t>2.</w:t>
      </w:r>
      <w:r w:rsidRPr="00131B9D">
        <w:rPr>
          <w:b/>
        </w:rPr>
        <w:t xml:space="preserve">　供需情勢</w:t>
      </w:r>
    </w:p>
    <w:p w:rsidR="00F279F7" w:rsidRPr="00131B9D" w:rsidRDefault="00821D0B" w:rsidP="00F279F7">
      <w:pPr>
        <w:pStyle w:val="-"/>
        <w:spacing w:before="72" w:after="72"/>
        <w:ind w:firstLine="560"/>
        <w:rPr>
          <w:szCs w:val="24"/>
        </w:rPr>
      </w:pPr>
      <w:bookmarkStart w:id="132" w:name="_Ref373679616"/>
      <w:bookmarkStart w:id="133" w:name="_Toc373682413"/>
      <w:bookmarkStart w:id="134" w:name="_Toc375298454"/>
      <w:r w:rsidRPr="00131B9D">
        <w:rPr>
          <w:szCs w:val="24"/>
        </w:rPr>
        <w:t>國際鋁業協會（</w:t>
      </w:r>
      <w:r w:rsidRPr="00131B9D">
        <w:rPr>
          <w:szCs w:val="24"/>
        </w:rPr>
        <w:t>IAI</w:t>
      </w:r>
      <w:r w:rsidRPr="00131B9D">
        <w:rPr>
          <w:szCs w:val="24"/>
        </w:rPr>
        <w:t>）</w:t>
      </w:r>
      <w:r w:rsidRPr="00131B9D">
        <w:rPr>
          <w:szCs w:val="24"/>
        </w:rPr>
        <w:t>11</w:t>
      </w:r>
      <w:r w:rsidRPr="00131B9D">
        <w:rPr>
          <w:szCs w:val="24"/>
        </w:rPr>
        <w:t>月</w:t>
      </w:r>
      <w:r w:rsidRPr="00131B9D">
        <w:rPr>
          <w:szCs w:val="24"/>
        </w:rPr>
        <w:t>20</w:t>
      </w:r>
      <w:r w:rsidRPr="00131B9D">
        <w:rPr>
          <w:szCs w:val="24"/>
        </w:rPr>
        <w:t>日之資料顯示，全球原鋁生產量大小依序為中國大陸、海灣合作委員會</w:t>
      </w:r>
      <w:bookmarkStart w:id="135" w:name="OLE_LINK3"/>
      <w:bookmarkStart w:id="136" w:name="OLE_LINK6"/>
      <w:r w:rsidRPr="00131B9D">
        <w:rPr>
          <w:szCs w:val="24"/>
        </w:rPr>
        <w:t>（</w:t>
      </w:r>
      <w:r w:rsidRPr="00131B9D">
        <w:rPr>
          <w:szCs w:val="24"/>
        </w:rPr>
        <w:t>GCC</w:t>
      </w:r>
      <w:r w:rsidRPr="00131B9D">
        <w:rPr>
          <w:szCs w:val="24"/>
        </w:rPr>
        <w:t>）</w:t>
      </w:r>
      <w:bookmarkEnd w:id="135"/>
      <w:bookmarkEnd w:id="136"/>
      <w:r w:rsidRPr="00131B9D">
        <w:rPr>
          <w:szCs w:val="24"/>
        </w:rPr>
        <w:t>六個成員國家、北美、東歐與中歐、西歐、亞洲（不含中國大陸）、大洋洲、非洲及南美洲，其中中國大陸的總產量就占全球總產量將近</w:t>
      </w:r>
      <w:r w:rsidRPr="00131B9D">
        <w:rPr>
          <w:szCs w:val="24"/>
        </w:rPr>
        <w:t>55%</w:t>
      </w:r>
      <w:r w:rsidRPr="00131B9D">
        <w:rPr>
          <w:szCs w:val="24"/>
        </w:rPr>
        <w:t>。</w:t>
      </w:r>
    </w:p>
    <w:p w:rsidR="00F279F7" w:rsidRPr="00131B9D" w:rsidRDefault="00F279F7" w:rsidP="00F279F7">
      <w:pPr>
        <w:pStyle w:val="-"/>
        <w:spacing w:before="72" w:after="72"/>
        <w:ind w:firstLine="560"/>
        <w:rPr>
          <w:szCs w:val="24"/>
        </w:rPr>
      </w:pPr>
      <w:r w:rsidRPr="00131B9D">
        <w:rPr>
          <w:szCs w:val="24"/>
        </w:rPr>
        <w:t>國際鋁業協會（</w:t>
      </w:r>
      <w:r w:rsidRPr="00131B9D">
        <w:rPr>
          <w:szCs w:val="24"/>
        </w:rPr>
        <w:t>IAI</w:t>
      </w:r>
      <w:r w:rsidRPr="00131B9D">
        <w:rPr>
          <w:szCs w:val="24"/>
        </w:rPr>
        <w:t>）</w:t>
      </w:r>
      <w:r w:rsidRPr="00131B9D">
        <w:rPr>
          <w:szCs w:val="24"/>
        </w:rPr>
        <w:t xml:space="preserve"> 2015</w:t>
      </w:r>
      <w:r w:rsidRPr="00131B9D">
        <w:rPr>
          <w:szCs w:val="24"/>
        </w:rPr>
        <w:t>年</w:t>
      </w:r>
      <w:r w:rsidRPr="00131B9D">
        <w:rPr>
          <w:szCs w:val="24"/>
        </w:rPr>
        <w:t>5</w:t>
      </w:r>
      <w:r w:rsidRPr="00131B9D">
        <w:rPr>
          <w:szCs w:val="24"/>
        </w:rPr>
        <w:t>月公佈的數據顯示，</w:t>
      </w:r>
      <w:r w:rsidRPr="00131B9D">
        <w:rPr>
          <w:szCs w:val="24"/>
        </w:rPr>
        <w:t>1</w:t>
      </w:r>
      <w:r w:rsidRPr="00131B9D">
        <w:rPr>
          <w:szCs w:val="24"/>
        </w:rPr>
        <w:t>月至</w:t>
      </w:r>
      <w:r w:rsidRPr="00131B9D">
        <w:rPr>
          <w:szCs w:val="24"/>
        </w:rPr>
        <w:t>4</w:t>
      </w:r>
      <w:r w:rsidRPr="00131B9D">
        <w:rPr>
          <w:szCs w:val="24"/>
        </w:rPr>
        <w:t>月全球原鋁產量分別為</w:t>
      </w:r>
      <w:r w:rsidRPr="00131B9D">
        <w:rPr>
          <w:szCs w:val="24"/>
        </w:rPr>
        <w:t>493.3</w:t>
      </w:r>
      <w:r w:rsidRPr="00131B9D">
        <w:rPr>
          <w:szCs w:val="24"/>
        </w:rPr>
        <w:t>萬噸、</w:t>
      </w:r>
      <w:r w:rsidRPr="00131B9D">
        <w:rPr>
          <w:szCs w:val="24"/>
        </w:rPr>
        <w:t>450.4</w:t>
      </w:r>
      <w:r w:rsidRPr="00131B9D">
        <w:rPr>
          <w:szCs w:val="24"/>
        </w:rPr>
        <w:t>萬噸、</w:t>
      </w:r>
      <w:r w:rsidRPr="00131B9D">
        <w:rPr>
          <w:szCs w:val="24"/>
        </w:rPr>
        <w:t>477.1</w:t>
      </w:r>
      <w:r w:rsidRPr="00131B9D">
        <w:rPr>
          <w:szCs w:val="24"/>
        </w:rPr>
        <w:t>萬噸和</w:t>
      </w:r>
      <w:r w:rsidRPr="00131B9D">
        <w:rPr>
          <w:szCs w:val="24"/>
        </w:rPr>
        <w:t>473.3</w:t>
      </w:r>
      <w:r w:rsidRPr="00131B9D">
        <w:rPr>
          <w:szCs w:val="24"/>
        </w:rPr>
        <w:t>萬噸，而其中產量佔全球將近</w:t>
      </w:r>
      <w:r w:rsidRPr="00131B9D">
        <w:rPr>
          <w:szCs w:val="24"/>
        </w:rPr>
        <w:t>5</w:t>
      </w:r>
      <w:r w:rsidRPr="00131B9D">
        <w:rPr>
          <w:szCs w:val="24"/>
        </w:rPr>
        <w:t>成的中國大陸，</w:t>
      </w:r>
      <w:r w:rsidRPr="00131B9D">
        <w:rPr>
          <w:szCs w:val="24"/>
        </w:rPr>
        <w:t>1</w:t>
      </w:r>
      <w:r w:rsidRPr="00131B9D">
        <w:rPr>
          <w:szCs w:val="24"/>
        </w:rPr>
        <w:t>月至</w:t>
      </w:r>
      <w:r w:rsidRPr="00131B9D">
        <w:rPr>
          <w:szCs w:val="24"/>
        </w:rPr>
        <w:t>4</w:t>
      </w:r>
      <w:r w:rsidRPr="00131B9D">
        <w:rPr>
          <w:szCs w:val="24"/>
        </w:rPr>
        <w:t>月的原鋁產量</w:t>
      </w:r>
      <w:r w:rsidRPr="00131B9D">
        <w:rPr>
          <w:szCs w:val="24"/>
        </w:rPr>
        <w:lastRenderedPageBreak/>
        <w:t>則分別為</w:t>
      </w:r>
      <w:r w:rsidRPr="00131B9D">
        <w:rPr>
          <w:szCs w:val="24"/>
        </w:rPr>
        <w:t>243.9</w:t>
      </w:r>
      <w:r w:rsidRPr="00131B9D">
        <w:rPr>
          <w:szCs w:val="24"/>
        </w:rPr>
        <w:t>萬噸、</w:t>
      </w:r>
      <w:r w:rsidRPr="00131B9D">
        <w:rPr>
          <w:szCs w:val="24"/>
        </w:rPr>
        <w:t>220.3</w:t>
      </w:r>
      <w:r w:rsidRPr="00131B9D">
        <w:rPr>
          <w:szCs w:val="24"/>
        </w:rPr>
        <w:t>萬噸、</w:t>
      </w:r>
      <w:r w:rsidRPr="00131B9D">
        <w:rPr>
          <w:szCs w:val="24"/>
        </w:rPr>
        <w:t>256.3</w:t>
      </w:r>
      <w:r w:rsidRPr="00131B9D">
        <w:rPr>
          <w:szCs w:val="24"/>
        </w:rPr>
        <w:t>萬噸及</w:t>
      </w:r>
      <w:r w:rsidRPr="00131B9D">
        <w:rPr>
          <w:szCs w:val="24"/>
        </w:rPr>
        <w:t>258.7</w:t>
      </w:r>
      <w:r w:rsidRPr="00131B9D">
        <w:rPr>
          <w:szCs w:val="24"/>
        </w:rPr>
        <w:t>萬噸，因</w:t>
      </w:r>
      <w:r w:rsidRPr="00131B9D">
        <w:rPr>
          <w:szCs w:val="24"/>
        </w:rPr>
        <w:t>4</w:t>
      </w:r>
      <w:r w:rsidRPr="00131B9D">
        <w:rPr>
          <w:szCs w:val="24"/>
        </w:rPr>
        <w:t>月份產量高於過往，使中國大陸在全球產量佔比也升到創新高的</w:t>
      </w:r>
      <w:r w:rsidRPr="00131B9D">
        <w:rPr>
          <w:szCs w:val="24"/>
        </w:rPr>
        <w:t>54.66%</w:t>
      </w:r>
      <w:r w:rsidRPr="00131B9D">
        <w:rPr>
          <w:szCs w:val="24"/>
        </w:rPr>
        <w:t>。世界金屬統計局（</w:t>
      </w:r>
      <w:r w:rsidRPr="00131B9D">
        <w:rPr>
          <w:szCs w:val="24"/>
        </w:rPr>
        <w:t>WBMS</w:t>
      </w:r>
      <w:r w:rsidRPr="00131B9D">
        <w:rPr>
          <w:szCs w:val="24"/>
        </w:rPr>
        <w:t>）</w:t>
      </w:r>
      <w:r w:rsidRPr="00131B9D">
        <w:rPr>
          <w:szCs w:val="24"/>
        </w:rPr>
        <w:t>10</w:t>
      </w:r>
      <w:r w:rsidRPr="00131B9D">
        <w:rPr>
          <w:szCs w:val="24"/>
        </w:rPr>
        <w:t>月</w:t>
      </w:r>
      <w:r w:rsidRPr="00131B9D">
        <w:rPr>
          <w:szCs w:val="24"/>
        </w:rPr>
        <w:t>21</w:t>
      </w:r>
      <w:r w:rsidRPr="00131B9D">
        <w:rPr>
          <w:szCs w:val="24"/>
        </w:rPr>
        <w:t>日公佈月報表示，</w:t>
      </w:r>
      <w:r w:rsidRPr="00131B9D">
        <w:rPr>
          <w:szCs w:val="24"/>
        </w:rPr>
        <w:t xml:space="preserve"> 2015</w:t>
      </w:r>
      <w:r w:rsidRPr="00131B9D">
        <w:rPr>
          <w:szCs w:val="24"/>
        </w:rPr>
        <w:t>年</w:t>
      </w:r>
      <w:r w:rsidRPr="00131B9D">
        <w:rPr>
          <w:szCs w:val="24"/>
        </w:rPr>
        <w:t>1-8</w:t>
      </w:r>
      <w:r w:rsidRPr="00131B9D">
        <w:rPr>
          <w:szCs w:val="24"/>
        </w:rPr>
        <w:t>月，全球鋁市供給短缺</w:t>
      </w:r>
      <w:r w:rsidRPr="00131B9D">
        <w:rPr>
          <w:szCs w:val="24"/>
        </w:rPr>
        <w:t>25.7</w:t>
      </w:r>
      <w:r w:rsidRPr="00131B9D">
        <w:rPr>
          <w:szCs w:val="24"/>
        </w:rPr>
        <w:t>萬噸，相比去年全年為短缺</w:t>
      </w:r>
      <w:r w:rsidRPr="00131B9D">
        <w:rPr>
          <w:szCs w:val="24"/>
        </w:rPr>
        <w:t>65.4</w:t>
      </w:r>
      <w:r w:rsidRPr="00131B9D">
        <w:rPr>
          <w:szCs w:val="24"/>
        </w:rPr>
        <w:t>萬噸。截至</w:t>
      </w:r>
      <w:r w:rsidRPr="00131B9D">
        <w:rPr>
          <w:szCs w:val="24"/>
        </w:rPr>
        <w:t>8</w:t>
      </w:r>
      <w:r w:rsidRPr="00131B9D">
        <w:rPr>
          <w:szCs w:val="24"/>
        </w:rPr>
        <w:t>月底，全球鋁庫存為</w:t>
      </w:r>
      <w:r w:rsidRPr="00131B9D">
        <w:rPr>
          <w:szCs w:val="24"/>
        </w:rPr>
        <w:t>428</w:t>
      </w:r>
      <w:r w:rsidRPr="00131B9D">
        <w:rPr>
          <w:szCs w:val="24"/>
        </w:rPr>
        <w:t>萬噸，約合</w:t>
      </w:r>
      <w:r w:rsidRPr="00131B9D">
        <w:rPr>
          <w:szCs w:val="24"/>
        </w:rPr>
        <w:t>29</w:t>
      </w:r>
      <w:r w:rsidRPr="00131B9D">
        <w:rPr>
          <w:szCs w:val="24"/>
        </w:rPr>
        <w:t>天的消費量，相比去年底的庫存量為</w:t>
      </w:r>
      <w:r w:rsidRPr="00131B9D">
        <w:rPr>
          <w:szCs w:val="24"/>
        </w:rPr>
        <w:t>502</w:t>
      </w:r>
      <w:r w:rsidRPr="00131B9D">
        <w:rPr>
          <w:szCs w:val="24"/>
        </w:rPr>
        <w:t>萬噸。倫敦、上海、美國與東京四大交易所合計鋁庫存較去年底減少</w:t>
      </w:r>
      <w:r w:rsidRPr="00131B9D">
        <w:rPr>
          <w:szCs w:val="24"/>
        </w:rPr>
        <w:t>82.5</w:t>
      </w:r>
      <w:r w:rsidRPr="00131B9D">
        <w:rPr>
          <w:szCs w:val="24"/>
        </w:rPr>
        <w:t>萬噸</w:t>
      </w:r>
      <w:r w:rsidRPr="00131B9D">
        <w:t>（如表</w:t>
      </w:r>
      <w:r w:rsidRPr="00131B9D">
        <w:t>3-7</w:t>
      </w:r>
      <w:r w:rsidRPr="00131B9D">
        <w:t>）</w:t>
      </w:r>
      <w:r w:rsidRPr="00131B9D">
        <w:rPr>
          <w:szCs w:val="24"/>
        </w:rPr>
        <w:t>。</w:t>
      </w:r>
    </w:p>
    <w:p w:rsidR="00F279F7" w:rsidRPr="00131B9D" w:rsidRDefault="00127C79" w:rsidP="00F279F7">
      <w:pPr>
        <w:pStyle w:val="-"/>
        <w:spacing w:before="72" w:after="72"/>
        <w:ind w:firstLine="560"/>
        <w:rPr>
          <w:szCs w:val="24"/>
        </w:rPr>
      </w:pPr>
      <w:r w:rsidRPr="00131B9D">
        <w:rPr>
          <w:szCs w:val="24"/>
        </w:rPr>
        <w:t>中國大陸的鋁產能過剩迫使生產商持續增加出口，成為國際鋁市過剩的主要原因，也導致了鋁價的持續低迷。倫敦金屬交易所（</w:t>
      </w:r>
      <w:r w:rsidRPr="00131B9D">
        <w:rPr>
          <w:szCs w:val="24"/>
        </w:rPr>
        <w:t>LME</w:t>
      </w:r>
      <w:r w:rsidRPr="00131B9D">
        <w:rPr>
          <w:szCs w:val="24"/>
        </w:rPr>
        <w:t>）鋁價</w:t>
      </w:r>
      <w:r w:rsidRPr="00131B9D">
        <w:rPr>
          <w:szCs w:val="24"/>
        </w:rPr>
        <w:t>11</w:t>
      </w:r>
      <w:r w:rsidRPr="00131B9D">
        <w:rPr>
          <w:szCs w:val="24"/>
        </w:rPr>
        <w:t>月中旬仍處於六年低點位置附近，中國大陸今年以來的鋁產量年增</w:t>
      </w:r>
      <w:r w:rsidRPr="00131B9D">
        <w:rPr>
          <w:szCs w:val="24"/>
        </w:rPr>
        <w:t>18%</w:t>
      </w:r>
      <w:r w:rsidRPr="00131B9D">
        <w:rPr>
          <w:szCs w:val="24"/>
        </w:rPr>
        <w:t>，出口則是增長</w:t>
      </w:r>
      <w:r w:rsidRPr="00131B9D">
        <w:rPr>
          <w:szCs w:val="24"/>
        </w:rPr>
        <w:t>14.4%</w:t>
      </w:r>
      <w:r w:rsidRPr="00131B9D">
        <w:rPr>
          <w:szCs w:val="24"/>
        </w:rPr>
        <w:t>，各國鋁企則是將矛頭對準了中國大陸政府對鋁業進行大量的補貼。印度韋丹塔集團（</w:t>
      </w:r>
      <w:r w:rsidRPr="00131B9D">
        <w:rPr>
          <w:szCs w:val="24"/>
        </w:rPr>
        <w:t>Vedanta Group</w:t>
      </w:r>
      <w:r w:rsidRPr="00131B9D">
        <w:rPr>
          <w:szCs w:val="24"/>
        </w:rPr>
        <w:t>）鋁部門執行長巴提（</w:t>
      </w:r>
      <w:r w:rsidRPr="00131B9D">
        <w:rPr>
          <w:szCs w:val="24"/>
        </w:rPr>
        <w:t>Abhijit Pati</w:t>
      </w:r>
      <w:r w:rsidRPr="00131B9D">
        <w:rPr>
          <w:szCs w:val="24"/>
        </w:rPr>
        <w:t>）表示，來自中國大陸的鋁進口增長，已經令印度國內鋁企快要窒息，而原因在於中國大陸對鋁企的龐大補貼，使得該國鋁企能夠受惠於較低的生產成本。像是中國大陸最大鋁生產商中國鋁業今年</w:t>
      </w:r>
      <w:r w:rsidRPr="00131B9D">
        <w:rPr>
          <w:szCs w:val="24"/>
        </w:rPr>
        <w:t>10</w:t>
      </w:r>
      <w:r w:rsidRPr="00131B9D">
        <w:rPr>
          <w:szCs w:val="24"/>
        </w:rPr>
        <w:t>月原宣佈將關閉年產能</w:t>
      </w:r>
      <w:r w:rsidRPr="00131B9D">
        <w:rPr>
          <w:szCs w:val="24"/>
        </w:rPr>
        <w:t>53</w:t>
      </w:r>
      <w:r w:rsidRPr="00131B9D">
        <w:rPr>
          <w:szCs w:val="24"/>
        </w:rPr>
        <w:t>萬噸的連城冶煉廠，但在當地政府表示將補貼廉價的電力供應之後，中鋁取消了關廠的計劃，而只削減了該廠</w:t>
      </w:r>
      <w:r w:rsidRPr="00131B9D">
        <w:rPr>
          <w:szCs w:val="24"/>
        </w:rPr>
        <w:t>15</w:t>
      </w:r>
      <w:r w:rsidRPr="00131B9D">
        <w:rPr>
          <w:szCs w:val="24"/>
        </w:rPr>
        <w:t>萬噸的年產能。不過也並非所有鋁廠都能得到足夠的補貼，中鋁</w:t>
      </w:r>
      <w:r w:rsidRPr="00131B9D">
        <w:rPr>
          <w:szCs w:val="24"/>
        </w:rPr>
        <w:t>35</w:t>
      </w:r>
      <w:r w:rsidRPr="00131B9D">
        <w:rPr>
          <w:szCs w:val="24"/>
        </w:rPr>
        <w:t>萬噸年產能的撫順鋁廠就因為不堪虧損而在</w:t>
      </w:r>
      <w:r w:rsidRPr="00131B9D">
        <w:rPr>
          <w:szCs w:val="24"/>
        </w:rPr>
        <w:t>10</w:t>
      </w:r>
      <w:r w:rsidRPr="00131B9D">
        <w:rPr>
          <w:szCs w:val="24"/>
        </w:rPr>
        <w:t>月份關閉。美國鋁業（</w:t>
      </w:r>
      <w:r w:rsidRPr="00131B9D">
        <w:rPr>
          <w:szCs w:val="24"/>
        </w:rPr>
        <w:t>Alcoa Inc</w:t>
      </w:r>
      <w:r w:rsidRPr="00131B9D">
        <w:rPr>
          <w:szCs w:val="24"/>
        </w:rPr>
        <w:t>）</w:t>
      </w:r>
      <w:r w:rsidRPr="00131B9D">
        <w:rPr>
          <w:szCs w:val="24"/>
        </w:rPr>
        <w:t>11</w:t>
      </w:r>
      <w:r w:rsidRPr="00131B9D">
        <w:rPr>
          <w:szCs w:val="24"/>
        </w:rPr>
        <w:t>月</w:t>
      </w:r>
      <w:r w:rsidRPr="00131B9D">
        <w:rPr>
          <w:szCs w:val="24"/>
        </w:rPr>
        <w:t>2</w:t>
      </w:r>
      <w:r w:rsidRPr="00131B9D">
        <w:rPr>
          <w:szCs w:val="24"/>
        </w:rPr>
        <w:t>日表示，為因應鋁價低迷的環境，將削減不具競爭力的冶煉與精煉產能。美鋁計劃削減</w:t>
      </w:r>
      <w:r w:rsidRPr="00131B9D">
        <w:rPr>
          <w:szCs w:val="24"/>
        </w:rPr>
        <w:t>503,000</w:t>
      </w:r>
      <w:r w:rsidRPr="00131B9D">
        <w:rPr>
          <w:szCs w:val="24"/>
        </w:rPr>
        <w:t>公噸的原鋁冶煉產能，以及</w:t>
      </w:r>
      <w:r w:rsidRPr="00131B9D">
        <w:rPr>
          <w:szCs w:val="24"/>
        </w:rPr>
        <w:t>120</w:t>
      </w:r>
      <w:r w:rsidRPr="00131B9D">
        <w:rPr>
          <w:szCs w:val="24"/>
        </w:rPr>
        <w:t>萬噸的氧化鋁精煉產能，此項計劃從</w:t>
      </w:r>
      <w:r w:rsidRPr="00131B9D">
        <w:rPr>
          <w:szCs w:val="24"/>
        </w:rPr>
        <w:t>2015</w:t>
      </w:r>
      <w:r w:rsidRPr="00131B9D">
        <w:rPr>
          <w:szCs w:val="24"/>
        </w:rPr>
        <w:t>年第四季開始執行，一直持續到</w:t>
      </w:r>
      <w:r w:rsidRPr="00131B9D">
        <w:rPr>
          <w:szCs w:val="24"/>
        </w:rPr>
        <w:t>2016</w:t>
      </w:r>
      <w:r w:rsidRPr="00131B9D">
        <w:rPr>
          <w:szCs w:val="24"/>
        </w:rPr>
        <w:t>年第四季。美國世紀鋁業公司（</w:t>
      </w:r>
      <w:r w:rsidRPr="00131B9D">
        <w:rPr>
          <w:szCs w:val="24"/>
        </w:rPr>
        <w:t>Century Aluminum Co.</w:t>
      </w:r>
      <w:r w:rsidRPr="00131B9D">
        <w:rPr>
          <w:szCs w:val="24"/>
        </w:rPr>
        <w:t>）則將在</w:t>
      </w:r>
      <w:r w:rsidRPr="00131B9D">
        <w:rPr>
          <w:szCs w:val="24"/>
        </w:rPr>
        <w:t>2015</w:t>
      </w:r>
      <w:r w:rsidRPr="00131B9D">
        <w:rPr>
          <w:szCs w:val="24"/>
        </w:rPr>
        <w:t>年底以前關閉肯塔基州錫布里（</w:t>
      </w:r>
      <w:r w:rsidRPr="00131B9D">
        <w:rPr>
          <w:szCs w:val="24"/>
        </w:rPr>
        <w:t>Sebree</w:t>
      </w:r>
      <w:r w:rsidRPr="00131B9D">
        <w:rPr>
          <w:szCs w:val="24"/>
        </w:rPr>
        <w:t>）煉鋁廠三條生產線當中的一條，這將令該廠的年產能從</w:t>
      </w:r>
      <w:r w:rsidRPr="00131B9D">
        <w:rPr>
          <w:szCs w:val="24"/>
        </w:rPr>
        <w:t>21</w:t>
      </w:r>
      <w:r w:rsidRPr="00131B9D">
        <w:rPr>
          <w:szCs w:val="24"/>
        </w:rPr>
        <w:t>萬噸減少</w:t>
      </w:r>
      <w:r w:rsidRPr="00131B9D">
        <w:rPr>
          <w:szCs w:val="24"/>
        </w:rPr>
        <w:t>7</w:t>
      </w:r>
      <w:r w:rsidRPr="00131B9D">
        <w:rPr>
          <w:szCs w:val="24"/>
        </w:rPr>
        <w:t>萬噸至</w:t>
      </w:r>
      <w:r w:rsidRPr="00131B9D">
        <w:rPr>
          <w:szCs w:val="24"/>
        </w:rPr>
        <w:t>14</w:t>
      </w:r>
      <w:r w:rsidRPr="00131B9D">
        <w:rPr>
          <w:szCs w:val="24"/>
        </w:rPr>
        <w:t>萬噸。世紀鋁業也表示，如果沒有辦法達成有利的電力供應合約，其可能在</w:t>
      </w:r>
      <w:r w:rsidRPr="00131B9D">
        <w:rPr>
          <w:szCs w:val="24"/>
        </w:rPr>
        <w:t>2015</w:t>
      </w:r>
      <w:r w:rsidRPr="00131B9D">
        <w:rPr>
          <w:szCs w:val="24"/>
        </w:rPr>
        <w:t>年底前關閉南加州</w:t>
      </w:r>
      <w:r w:rsidRPr="00131B9D">
        <w:rPr>
          <w:szCs w:val="24"/>
        </w:rPr>
        <w:t>22.4</w:t>
      </w:r>
      <w:r w:rsidRPr="00131B9D">
        <w:rPr>
          <w:szCs w:val="24"/>
        </w:rPr>
        <w:t>萬噸年產能的</w:t>
      </w:r>
      <w:r w:rsidRPr="00131B9D">
        <w:rPr>
          <w:szCs w:val="24"/>
        </w:rPr>
        <w:t>Mount Holly</w:t>
      </w:r>
      <w:r w:rsidRPr="00131B9D">
        <w:rPr>
          <w:szCs w:val="24"/>
        </w:rPr>
        <w:t>煉鋁廠。</w:t>
      </w:r>
      <w:r w:rsidR="00BC42BF" w:rsidRPr="00131B9D">
        <w:rPr>
          <w:szCs w:val="24"/>
        </w:rPr>
        <w:t>此外，中國大陸第二大民營</w:t>
      </w:r>
      <w:r w:rsidR="00BC42BF" w:rsidRPr="00131B9D">
        <w:rPr>
          <w:szCs w:val="24"/>
        </w:rPr>
        <w:lastRenderedPageBreak/>
        <w:t>鋁企宏橋集團有限公司宣布</w:t>
      </w:r>
      <w:r w:rsidR="00BC42BF" w:rsidRPr="00131B9D">
        <w:rPr>
          <w:szCs w:val="24"/>
        </w:rPr>
        <w:t>12</w:t>
      </w:r>
      <w:r w:rsidR="00BC42BF" w:rsidRPr="00131B9D">
        <w:rPr>
          <w:szCs w:val="24"/>
        </w:rPr>
        <w:t>月</w:t>
      </w:r>
      <w:r w:rsidR="00BC42BF" w:rsidRPr="00131B9D">
        <w:rPr>
          <w:szCs w:val="24"/>
        </w:rPr>
        <w:t>10</w:t>
      </w:r>
      <w:r w:rsidR="00BC42BF" w:rsidRPr="00131B9D">
        <w:rPr>
          <w:szCs w:val="24"/>
        </w:rPr>
        <w:t>日起關閉</w:t>
      </w:r>
      <w:r w:rsidR="00BC42BF" w:rsidRPr="00131B9D">
        <w:rPr>
          <w:szCs w:val="24"/>
        </w:rPr>
        <w:t>25</w:t>
      </w:r>
      <w:r w:rsidR="00BC42BF" w:rsidRPr="00131B9D">
        <w:rPr>
          <w:szCs w:val="24"/>
        </w:rPr>
        <w:t>萬噸年產能，或佔該公司鋁產能的</w:t>
      </w:r>
      <w:r w:rsidR="00BC42BF" w:rsidRPr="00131B9D">
        <w:rPr>
          <w:szCs w:val="24"/>
        </w:rPr>
        <w:t>6%</w:t>
      </w:r>
      <w:r w:rsidR="00BC42BF" w:rsidRPr="00131B9D">
        <w:rPr>
          <w:szCs w:val="24"/>
        </w:rPr>
        <w:t>。研究機構英國商品研究所（</w:t>
      </w:r>
      <w:r w:rsidR="00BC42BF" w:rsidRPr="00131B9D">
        <w:rPr>
          <w:szCs w:val="24"/>
        </w:rPr>
        <w:t>CRU</w:t>
      </w:r>
      <w:r w:rsidR="00BC42BF" w:rsidRPr="00131B9D">
        <w:rPr>
          <w:szCs w:val="24"/>
        </w:rPr>
        <w:t>）分析師</w:t>
      </w:r>
      <w:r w:rsidR="00BC42BF" w:rsidRPr="00131B9D">
        <w:rPr>
          <w:szCs w:val="24"/>
        </w:rPr>
        <w:t>Wan Ling</w:t>
      </w:r>
      <w:r w:rsidR="00BC42BF" w:rsidRPr="00131B9D">
        <w:rPr>
          <w:szCs w:val="24"/>
        </w:rPr>
        <w:t>表示，對於那些高成本以及大額虧損的生產商來說，未來可能還會有更進一步的減產行動，此對於鋁價將會有一定的支撐作用，但是否足夠推升鋁價則還需觀察。</w:t>
      </w:r>
    </w:p>
    <w:p w:rsidR="00F279F7" w:rsidRPr="00131B9D" w:rsidRDefault="00F279F7" w:rsidP="00F279F7">
      <w:pPr>
        <w:pStyle w:val="-"/>
        <w:spacing w:before="72" w:after="72"/>
        <w:ind w:firstLine="560"/>
        <w:rPr>
          <w:szCs w:val="24"/>
        </w:rPr>
      </w:pPr>
      <w:r w:rsidRPr="00131B9D">
        <w:rPr>
          <w:szCs w:val="24"/>
        </w:rPr>
        <w:t>在需求方面，據世界金屬統計局（</w:t>
      </w:r>
      <w:r w:rsidRPr="00131B9D">
        <w:rPr>
          <w:szCs w:val="24"/>
        </w:rPr>
        <w:t>WBMS</w:t>
      </w:r>
      <w:r w:rsidRPr="00131B9D">
        <w:rPr>
          <w:szCs w:val="24"/>
        </w:rPr>
        <w:t>）報告指出，</w:t>
      </w:r>
      <w:r w:rsidRPr="00131B9D">
        <w:rPr>
          <w:szCs w:val="24"/>
        </w:rPr>
        <w:t>1-8</w:t>
      </w:r>
      <w:r w:rsidRPr="00131B9D">
        <w:rPr>
          <w:szCs w:val="24"/>
        </w:rPr>
        <w:t>月，全球原鋁需求年增</w:t>
      </w:r>
      <w:r w:rsidRPr="00131B9D">
        <w:rPr>
          <w:szCs w:val="24"/>
        </w:rPr>
        <w:t>229.5</w:t>
      </w:r>
      <w:r w:rsidRPr="00131B9D">
        <w:rPr>
          <w:szCs w:val="24"/>
        </w:rPr>
        <w:t>萬噸或</w:t>
      </w:r>
      <w:r w:rsidRPr="00131B9D">
        <w:rPr>
          <w:szCs w:val="24"/>
        </w:rPr>
        <w:t>6.4%</w:t>
      </w:r>
      <w:r w:rsidRPr="00131B9D">
        <w:rPr>
          <w:szCs w:val="24"/>
        </w:rPr>
        <w:t>至</w:t>
      </w:r>
      <w:r w:rsidRPr="00131B9D">
        <w:rPr>
          <w:szCs w:val="24"/>
        </w:rPr>
        <w:t>3,728</w:t>
      </w:r>
      <w:r w:rsidRPr="00131B9D">
        <w:rPr>
          <w:szCs w:val="24"/>
        </w:rPr>
        <w:t>萬噸，中國大陸原鋁需求量較去年同期增加</w:t>
      </w:r>
      <w:r w:rsidRPr="00131B9D">
        <w:rPr>
          <w:szCs w:val="24"/>
        </w:rPr>
        <w:t>14%</w:t>
      </w:r>
      <w:r w:rsidRPr="00131B9D">
        <w:rPr>
          <w:szCs w:val="24"/>
        </w:rPr>
        <w:t>。日本是亞洲最大的鋁進口國，日本現貨鋁升水為亞洲地區鋁價標竿，</w:t>
      </w:r>
      <w:r w:rsidRPr="00131B9D">
        <w:rPr>
          <w:szCs w:val="24"/>
        </w:rPr>
        <w:t>6</w:t>
      </w:r>
      <w:r w:rsidRPr="00131B9D">
        <w:rPr>
          <w:szCs w:val="24"/>
        </w:rPr>
        <w:t>月</w:t>
      </w:r>
      <w:r w:rsidRPr="00131B9D">
        <w:rPr>
          <w:szCs w:val="24"/>
        </w:rPr>
        <w:t>16</w:t>
      </w:r>
      <w:r w:rsidRPr="00131B9D">
        <w:rPr>
          <w:szCs w:val="24"/>
        </w:rPr>
        <w:t>日因日本港口現貨鋁庫存量創歷史記錄，日本現貨鋁升水跌破每公噸</w:t>
      </w:r>
      <w:r w:rsidRPr="00131B9D">
        <w:rPr>
          <w:szCs w:val="24"/>
        </w:rPr>
        <w:t>100</w:t>
      </w:r>
      <w:r w:rsidRPr="00131B9D">
        <w:rPr>
          <w:szCs w:val="24"/>
        </w:rPr>
        <w:t>美元，為</w:t>
      </w:r>
      <w:r w:rsidRPr="00131B9D">
        <w:rPr>
          <w:szCs w:val="24"/>
        </w:rPr>
        <w:t>6</w:t>
      </w:r>
      <w:r w:rsidRPr="00131B9D">
        <w:rPr>
          <w:szCs w:val="24"/>
        </w:rPr>
        <w:t>年來首次出現</w:t>
      </w:r>
      <w:r w:rsidRPr="00131B9D">
        <w:rPr>
          <w:szCs w:val="24"/>
        </w:rPr>
        <w:t>LME</w:t>
      </w:r>
      <w:r w:rsidRPr="00131B9D">
        <w:rPr>
          <w:szCs w:val="24"/>
        </w:rPr>
        <w:t>現貨及</w:t>
      </w:r>
      <w:r w:rsidRPr="00131B9D">
        <w:rPr>
          <w:szCs w:val="24"/>
        </w:rPr>
        <w:t>3</w:t>
      </w:r>
      <w:r w:rsidRPr="00131B9D">
        <w:rPr>
          <w:szCs w:val="24"/>
        </w:rPr>
        <w:t>個月合約間價差下滑至逆價差狀態，隨著鋁價升水持續跌落，對鋁市形成重大利空。而日本現貨鋁升水自</w:t>
      </w:r>
      <w:r w:rsidRPr="00131B9D">
        <w:rPr>
          <w:szCs w:val="24"/>
        </w:rPr>
        <w:t>10</w:t>
      </w:r>
      <w:r w:rsidRPr="00131B9D">
        <w:rPr>
          <w:szCs w:val="24"/>
        </w:rPr>
        <w:t>月</w:t>
      </w:r>
      <w:r w:rsidRPr="00131B9D">
        <w:rPr>
          <w:szCs w:val="24"/>
        </w:rPr>
        <w:t>1</w:t>
      </w:r>
      <w:r w:rsidRPr="00131B9D">
        <w:rPr>
          <w:szCs w:val="24"/>
        </w:rPr>
        <w:t>日以來，維持較倫敦金屬交易所現貨鋁價高出</w:t>
      </w:r>
      <w:r w:rsidRPr="00131B9D">
        <w:rPr>
          <w:szCs w:val="24"/>
        </w:rPr>
        <w:t>87-90</w:t>
      </w:r>
      <w:r w:rsidRPr="00131B9D">
        <w:rPr>
          <w:szCs w:val="24"/>
        </w:rPr>
        <w:t>美元左右的水準。</w:t>
      </w:r>
    </w:p>
    <w:p w:rsidR="00F279F7" w:rsidRPr="00131B9D" w:rsidRDefault="00F279F7" w:rsidP="00F279F7"/>
    <w:p w:rsidR="00F279F7" w:rsidRPr="00131B9D" w:rsidRDefault="00F279F7" w:rsidP="00F279F7">
      <w:pPr>
        <w:pStyle w:val="-"/>
        <w:spacing w:before="72" w:after="72"/>
        <w:ind w:firstLineChars="0" w:firstLine="0"/>
        <w:rPr>
          <w:b/>
        </w:rPr>
      </w:pPr>
      <w:r w:rsidRPr="00131B9D">
        <w:rPr>
          <w:b/>
        </w:rPr>
        <w:t>3.</w:t>
      </w:r>
      <w:r w:rsidRPr="00131B9D">
        <w:rPr>
          <w:b/>
        </w:rPr>
        <w:t xml:space="preserve">　</w:t>
      </w:r>
      <w:r w:rsidRPr="00131B9D">
        <w:rPr>
          <w:b/>
        </w:rPr>
        <w:t>2016</w:t>
      </w:r>
      <w:r w:rsidRPr="00131B9D">
        <w:rPr>
          <w:b/>
        </w:rPr>
        <w:t>年展望</w:t>
      </w:r>
    </w:p>
    <w:p w:rsidR="00F279F7" w:rsidRPr="00131B9D" w:rsidRDefault="00127C79" w:rsidP="00F279F7">
      <w:pPr>
        <w:pStyle w:val="-"/>
        <w:spacing w:before="72" w:after="72"/>
        <w:ind w:firstLine="560"/>
        <w:rPr>
          <w:szCs w:val="24"/>
        </w:rPr>
      </w:pPr>
      <w:bookmarkStart w:id="137" w:name="_Toc384853751"/>
      <w:bookmarkStart w:id="138" w:name="_Toc384887724"/>
      <w:bookmarkEnd w:id="132"/>
      <w:bookmarkEnd w:id="133"/>
      <w:bookmarkEnd w:id="134"/>
      <w:r w:rsidRPr="00131B9D">
        <w:rPr>
          <w:szCs w:val="24"/>
        </w:rPr>
        <w:t>國際鋁業協會（</w:t>
      </w:r>
      <w:r w:rsidRPr="00131B9D">
        <w:rPr>
          <w:szCs w:val="24"/>
        </w:rPr>
        <w:t>International Aluminum Institute</w:t>
      </w:r>
      <w:r w:rsidRPr="00131B9D">
        <w:rPr>
          <w:szCs w:val="24"/>
        </w:rPr>
        <w:t>）</w:t>
      </w:r>
      <w:r w:rsidRPr="00131B9D">
        <w:rPr>
          <w:szCs w:val="24"/>
        </w:rPr>
        <w:t>11</w:t>
      </w:r>
      <w:r w:rsidRPr="00131B9D">
        <w:rPr>
          <w:szCs w:val="24"/>
        </w:rPr>
        <w:t>月的數據顯示，在美國鋁業公司（</w:t>
      </w:r>
      <w:r w:rsidRPr="00131B9D">
        <w:rPr>
          <w:szCs w:val="24"/>
        </w:rPr>
        <w:t>Aocoa Inc., AA</w:t>
      </w:r>
      <w:r w:rsidRPr="00131B9D">
        <w:rPr>
          <w:szCs w:val="24"/>
        </w:rPr>
        <w:t>）等主要鋁業公司今年減產之際，中國大陸的鋁產量</w:t>
      </w:r>
      <w:r w:rsidRPr="00131B9D">
        <w:rPr>
          <w:szCs w:val="24"/>
        </w:rPr>
        <w:t>2015</w:t>
      </w:r>
      <w:r w:rsidRPr="00131B9D">
        <w:rPr>
          <w:szCs w:val="24"/>
        </w:rPr>
        <w:t>年初至</w:t>
      </w:r>
      <w:r w:rsidRPr="00131B9D">
        <w:rPr>
          <w:szCs w:val="24"/>
        </w:rPr>
        <w:t>11</w:t>
      </w:r>
      <w:r w:rsidRPr="00131B9D">
        <w:rPr>
          <w:szCs w:val="24"/>
        </w:rPr>
        <w:t>月上旬為止卻增長了</w:t>
      </w:r>
      <w:r w:rsidRPr="00131B9D">
        <w:rPr>
          <w:szCs w:val="24"/>
        </w:rPr>
        <w:t>18%</w:t>
      </w:r>
      <w:r w:rsidRPr="00131B9D">
        <w:rPr>
          <w:szCs w:val="24"/>
        </w:rPr>
        <w:t>。大量供應導致價格一直承壓。幾乎沒有跡象顯示中國大陸會很快減產，這意味幾乎沒人預期鋁價會很快回升。花旗銀行（</w:t>
      </w:r>
      <w:r w:rsidRPr="00131B9D">
        <w:rPr>
          <w:szCs w:val="24"/>
        </w:rPr>
        <w:t>Citibank</w:t>
      </w:r>
      <w:r w:rsidRPr="00131B9D">
        <w:rPr>
          <w:szCs w:val="24"/>
        </w:rPr>
        <w:t>）表示，中資生產商</w:t>
      </w:r>
      <w:r w:rsidRPr="00131B9D">
        <w:rPr>
          <w:szCs w:val="24"/>
        </w:rPr>
        <w:t>2015</w:t>
      </w:r>
      <w:r w:rsidRPr="00131B9D">
        <w:rPr>
          <w:szCs w:val="24"/>
        </w:rPr>
        <w:t>年新增了大約</w:t>
      </w:r>
      <w:r w:rsidRPr="00131B9D">
        <w:rPr>
          <w:szCs w:val="24"/>
        </w:rPr>
        <w:t>300</w:t>
      </w:r>
      <w:r w:rsidRPr="00131B9D">
        <w:rPr>
          <w:szCs w:val="24"/>
        </w:rPr>
        <w:t>萬噸年煉鋁產能，到年底前可能還會再增加</w:t>
      </w:r>
      <w:r w:rsidRPr="00131B9D">
        <w:rPr>
          <w:szCs w:val="24"/>
        </w:rPr>
        <w:t>100</w:t>
      </w:r>
      <w:r w:rsidRPr="00131B9D">
        <w:rPr>
          <w:szCs w:val="24"/>
        </w:rPr>
        <w:t>萬噸。產能增加對價格非常不利，中國大陸的鋁市場因產能增加面臨越來越嚴重的供應過剩，因此被迫增加出口量，並預計</w:t>
      </w:r>
      <w:r w:rsidRPr="00131B9D">
        <w:rPr>
          <w:szCs w:val="24"/>
        </w:rPr>
        <w:t>2016</w:t>
      </w:r>
      <w:r w:rsidRPr="00131B9D">
        <w:rPr>
          <w:szCs w:val="24"/>
        </w:rPr>
        <w:t>年鋁價僅會小幅回升。</w:t>
      </w:r>
    </w:p>
    <w:p w:rsidR="00F279F7" w:rsidRPr="00131B9D" w:rsidRDefault="00F279F7" w:rsidP="00F279F7"/>
    <w:p w:rsidR="00F279F7" w:rsidRPr="00131B9D" w:rsidRDefault="00F279F7" w:rsidP="00F279F7">
      <w:pPr>
        <w:pStyle w:val="aff1"/>
        <w:spacing w:line="0" w:lineRule="atLeast"/>
        <w:rPr>
          <w:bCs/>
          <w:kern w:val="52"/>
          <w:szCs w:val="28"/>
        </w:rPr>
      </w:pPr>
      <w:bookmarkStart w:id="139" w:name="_Toc439162996"/>
      <w:r w:rsidRPr="00131B9D">
        <w:rPr>
          <w:bCs/>
          <w:kern w:val="52"/>
          <w:szCs w:val="28"/>
        </w:rPr>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7</w:t>
      </w:r>
      <w:r w:rsidRPr="00131B9D">
        <w:rPr>
          <w:b w:val="0"/>
          <w:bCs/>
          <w:kern w:val="52"/>
          <w:szCs w:val="28"/>
        </w:rPr>
        <w:fldChar w:fldCharType="end"/>
      </w:r>
      <w:r w:rsidRPr="00131B9D">
        <w:rPr>
          <w:bCs/>
          <w:kern w:val="52"/>
          <w:szCs w:val="28"/>
        </w:rPr>
        <w:t xml:space="preserve">　全球鋁市供需概況</w:t>
      </w:r>
      <w:bookmarkEnd w:id="139"/>
    </w:p>
    <w:tbl>
      <w:tblPr>
        <w:tblW w:w="4567"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012"/>
        <w:gridCol w:w="1598"/>
        <w:gridCol w:w="957"/>
      </w:tblGrid>
      <w:tr w:rsidR="00F279F7" w:rsidRPr="00131B9D" w:rsidTr="00F279F7">
        <w:trPr>
          <w:trHeight w:val="330"/>
          <w:jc w:val="center"/>
        </w:trPr>
        <w:tc>
          <w:tcPr>
            <w:tcW w:w="2012" w:type="dxa"/>
            <w:tcBorders>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b/>
                <w:kern w:val="0"/>
              </w:rPr>
            </w:pPr>
            <w:r w:rsidRPr="00131B9D">
              <w:rPr>
                <w:rFonts w:eastAsia="標楷體"/>
                <w:b/>
                <w:kern w:val="0"/>
              </w:rPr>
              <w:t>LME</w:t>
            </w:r>
            <w:r w:rsidRPr="00131B9D">
              <w:rPr>
                <w:rFonts w:eastAsia="標楷體"/>
                <w:b/>
                <w:kern w:val="0"/>
              </w:rPr>
              <w:t>統計</w:t>
            </w:r>
          </w:p>
        </w:tc>
        <w:tc>
          <w:tcPr>
            <w:tcW w:w="1598" w:type="dxa"/>
            <w:tcBorders>
              <w:left w:val="single" w:sz="4" w:space="0" w:color="auto"/>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957" w:type="dxa"/>
            <w:tcBorders>
              <w:lef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b/>
                <w:kern w:val="0"/>
              </w:rPr>
            </w:pPr>
            <w:r w:rsidRPr="00131B9D">
              <w:rPr>
                <w:rFonts w:eastAsia="標楷體"/>
                <w:b/>
                <w:kern w:val="0"/>
              </w:rPr>
              <w:t>變動量</w:t>
            </w:r>
          </w:p>
        </w:tc>
      </w:tr>
      <w:tr w:rsidR="00F279F7" w:rsidRPr="00131B9D" w:rsidTr="00F279F7">
        <w:trPr>
          <w:trHeight w:val="330"/>
          <w:jc w:val="center"/>
        </w:trPr>
        <w:tc>
          <w:tcPr>
            <w:tcW w:w="4567" w:type="dxa"/>
            <w:gridSpan w:val="3"/>
            <w:shd w:val="clear" w:color="auto" w:fill="auto"/>
            <w:noWrap/>
            <w:vAlign w:val="center"/>
          </w:tcPr>
          <w:p w:rsidR="00F279F7" w:rsidRPr="00131B9D" w:rsidRDefault="00F279F7" w:rsidP="00F279F7">
            <w:pPr>
              <w:adjustRightInd w:val="0"/>
              <w:snapToGrid w:val="0"/>
              <w:jc w:val="center"/>
              <w:rPr>
                <w:color w:val="000000"/>
              </w:rPr>
            </w:pPr>
            <w:r w:rsidRPr="00131B9D">
              <w:rPr>
                <w:rFonts w:eastAsia="標楷體"/>
                <w:kern w:val="0"/>
                <w:sz w:val="23"/>
                <w:szCs w:val="23"/>
              </w:rPr>
              <w:t>2014</w:t>
            </w:r>
            <w:r w:rsidRPr="00131B9D">
              <w:rPr>
                <w:rFonts w:eastAsia="標楷體"/>
                <w:kern w:val="0"/>
                <w:sz w:val="23"/>
                <w:szCs w:val="23"/>
              </w:rPr>
              <w:t>年</w:t>
            </w:r>
          </w:p>
        </w:tc>
      </w:tr>
      <w:tr w:rsidR="00F279F7" w:rsidRPr="00131B9D" w:rsidTr="00F279F7">
        <w:trPr>
          <w:trHeight w:val="330"/>
          <w:jc w:val="center"/>
        </w:trPr>
        <w:tc>
          <w:tcPr>
            <w:tcW w:w="2012" w:type="dxa"/>
            <w:tcBorders>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1</w:t>
            </w:r>
            <w:r w:rsidRPr="00131B9D">
              <w:rPr>
                <w:rFonts w:eastAsia="標楷體"/>
                <w:kern w:val="0"/>
              </w:rPr>
              <w:t>月</w:t>
            </w:r>
          </w:p>
        </w:tc>
        <w:tc>
          <w:tcPr>
            <w:tcW w:w="1598" w:type="dxa"/>
            <w:tcBorders>
              <w:left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 xml:space="preserve">5,423,550 </w:t>
            </w:r>
          </w:p>
        </w:tc>
        <w:tc>
          <w:tcPr>
            <w:tcW w:w="957" w:type="dxa"/>
            <w:tcBorders>
              <w:lef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-0.63%</w:t>
            </w:r>
          </w:p>
        </w:tc>
      </w:tr>
      <w:tr w:rsidR="00F279F7" w:rsidRPr="00131B9D" w:rsidTr="00F279F7">
        <w:trPr>
          <w:trHeight w:val="330"/>
          <w:jc w:val="center"/>
        </w:trPr>
        <w:tc>
          <w:tcPr>
            <w:tcW w:w="2012" w:type="dxa"/>
            <w:tcBorders>
              <w:bottom w:val="single" w:sz="4" w:space="0" w:color="auto"/>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2</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 xml:space="preserve">5,311,300 </w:t>
            </w:r>
          </w:p>
        </w:tc>
        <w:tc>
          <w:tcPr>
            <w:tcW w:w="957" w:type="dxa"/>
            <w:tcBorders>
              <w:left w:val="single" w:sz="4" w:space="0" w:color="auto"/>
              <w:bottom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-2.07%</w:t>
            </w:r>
          </w:p>
        </w:tc>
      </w:tr>
    </w:tbl>
    <w:p w:rsidR="0099219E" w:rsidRPr="00131B9D" w:rsidRDefault="0099219E" w:rsidP="0099219E">
      <w:pPr>
        <w:spacing w:line="240" w:lineRule="exact"/>
        <w:jc w:val="center"/>
        <w:rPr>
          <w:rFonts w:eastAsia="標楷體"/>
          <w:b/>
          <w:bCs/>
          <w:kern w:val="52"/>
          <w:sz w:val="28"/>
          <w:szCs w:val="28"/>
        </w:rPr>
      </w:pPr>
      <w:r w:rsidRPr="00131B9D">
        <w:rPr>
          <w:rFonts w:eastAsia="標楷體"/>
          <w:b/>
          <w:bCs/>
          <w:kern w:val="52"/>
          <w:sz w:val="28"/>
          <w:szCs w:val="28"/>
        </w:rPr>
        <w:lastRenderedPageBreak/>
        <w:t>表</w:t>
      </w:r>
      <w:r w:rsidRPr="00131B9D">
        <w:rPr>
          <w:rFonts w:eastAsia="標楷體"/>
          <w:b/>
          <w:bCs/>
          <w:kern w:val="52"/>
          <w:sz w:val="28"/>
          <w:szCs w:val="28"/>
        </w:rPr>
        <w:t>3-7</w:t>
      </w:r>
      <w:r w:rsidRPr="00131B9D">
        <w:rPr>
          <w:rFonts w:eastAsia="標楷體"/>
          <w:b/>
          <w:bCs/>
          <w:kern w:val="52"/>
          <w:sz w:val="28"/>
          <w:szCs w:val="28"/>
        </w:rPr>
        <w:t xml:space="preserve">　全球鋁市供需概況</w:t>
      </w:r>
      <w:r w:rsidRPr="00131B9D">
        <w:rPr>
          <w:rFonts w:eastAsia="標楷體"/>
          <w:b/>
          <w:bCs/>
          <w:kern w:val="52"/>
          <w:sz w:val="28"/>
          <w:szCs w:val="28"/>
        </w:rPr>
        <w:t>(</w:t>
      </w:r>
      <w:r w:rsidRPr="00131B9D">
        <w:rPr>
          <w:rFonts w:eastAsia="標楷體"/>
          <w:b/>
          <w:bCs/>
          <w:kern w:val="52"/>
          <w:sz w:val="28"/>
          <w:szCs w:val="28"/>
        </w:rPr>
        <w:t>續</w:t>
      </w:r>
      <w:r w:rsidRPr="00131B9D">
        <w:rPr>
          <w:rFonts w:eastAsia="標楷體"/>
          <w:b/>
          <w:bCs/>
          <w:kern w:val="52"/>
          <w:sz w:val="28"/>
          <w:szCs w:val="28"/>
        </w:rPr>
        <w:t>)</w:t>
      </w:r>
    </w:p>
    <w:tbl>
      <w:tblPr>
        <w:tblW w:w="4567"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012"/>
        <w:gridCol w:w="1598"/>
        <w:gridCol w:w="957"/>
      </w:tblGrid>
      <w:tr w:rsidR="0099219E" w:rsidRPr="00131B9D" w:rsidTr="00B22890">
        <w:trPr>
          <w:trHeight w:val="330"/>
          <w:jc w:val="center"/>
        </w:trPr>
        <w:tc>
          <w:tcPr>
            <w:tcW w:w="2012" w:type="dxa"/>
            <w:tcBorders>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b/>
                <w:kern w:val="0"/>
              </w:rPr>
            </w:pPr>
            <w:r w:rsidRPr="00131B9D">
              <w:rPr>
                <w:rFonts w:eastAsia="標楷體"/>
                <w:b/>
                <w:kern w:val="0"/>
              </w:rPr>
              <w:t>LME</w:t>
            </w:r>
            <w:r w:rsidRPr="00131B9D">
              <w:rPr>
                <w:rFonts w:eastAsia="標楷體"/>
                <w:b/>
                <w:kern w:val="0"/>
              </w:rPr>
              <w:t>統計</w:t>
            </w:r>
          </w:p>
        </w:tc>
        <w:tc>
          <w:tcPr>
            <w:tcW w:w="1598" w:type="dxa"/>
            <w:tcBorders>
              <w:left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957" w:type="dxa"/>
            <w:tcBorders>
              <w:lef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b/>
                <w:kern w:val="0"/>
              </w:rPr>
            </w:pPr>
            <w:r w:rsidRPr="00131B9D">
              <w:rPr>
                <w:rFonts w:eastAsia="標楷體"/>
                <w:b/>
                <w:kern w:val="0"/>
              </w:rPr>
              <w:t>變動量</w:t>
            </w:r>
          </w:p>
        </w:tc>
      </w:tr>
      <w:tr w:rsidR="0099219E" w:rsidRPr="00131B9D" w:rsidTr="00B22890">
        <w:trPr>
          <w:trHeight w:val="330"/>
          <w:jc w:val="center"/>
        </w:trPr>
        <w:tc>
          <w:tcPr>
            <w:tcW w:w="4567" w:type="dxa"/>
            <w:gridSpan w:val="3"/>
            <w:shd w:val="clear" w:color="auto" w:fill="auto"/>
            <w:noWrap/>
            <w:vAlign w:val="center"/>
          </w:tcPr>
          <w:p w:rsidR="0099219E" w:rsidRPr="00131B9D" w:rsidRDefault="0099219E" w:rsidP="00B22890">
            <w:pPr>
              <w:adjustRightInd w:val="0"/>
              <w:snapToGrid w:val="0"/>
              <w:jc w:val="center"/>
              <w:rPr>
                <w:color w:val="000000"/>
              </w:rPr>
            </w:pPr>
            <w:r w:rsidRPr="00131B9D">
              <w:rPr>
                <w:rFonts w:eastAsia="標楷體"/>
                <w:kern w:val="0"/>
                <w:sz w:val="23"/>
                <w:szCs w:val="23"/>
              </w:rPr>
              <w:t>2014</w:t>
            </w:r>
            <w:r w:rsidRPr="00131B9D">
              <w:rPr>
                <w:rFonts w:eastAsia="標楷體"/>
                <w:kern w:val="0"/>
                <w:sz w:val="23"/>
                <w:szCs w:val="23"/>
              </w:rPr>
              <w:t>年</w:t>
            </w:r>
          </w:p>
        </w:tc>
      </w:tr>
      <w:tr w:rsidR="0099219E" w:rsidRPr="00131B9D" w:rsidTr="00B22890">
        <w:trPr>
          <w:trHeight w:val="330"/>
          <w:jc w:val="center"/>
        </w:trPr>
        <w:tc>
          <w:tcPr>
            <w:tcW w:w="2012"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3</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 xml:space="preserve">5,381,900 </w:t>
            </w:r>
          </w:p>
        </w:tc>
        <w:tc>
          <w:tcPr>
            <w:tcW w:w="957"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1.33%</w:t>
            </w:r>
          </w:p>
        </w:tc>
      </w:tr>
      <w:tr w:rsidR="0099219E" w:rsidRPr="00131B9D" w:rsidTr="00B22890">
        <w:trPr>
          <w:trHeight w:val="330"/>
          <w:jc w:val="center"/>
        </w:trPr>
        <w:tc>
          <w:tcPr>
            <w:tcW w:w="2012" w:type="dxa"/>
            <w:tcBorders>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4</w:t>
            </w:r>
            <w:r w:rsidRPr="00131B9D">
              <w:rPr>
                <w:rFonts w:eastAsia="標楷體"/>
                <w:kern w:val="0"/>
              </w:rPr>
              <w:t>月</w:t>
            </w:r>
          </w:p>
        </w:tc>
        <w:tc>
          <w:tcPr>
            <w:tcW w:w="1598" w:type="dxa"/>
            <w:tcBorders>
              <w:left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 xml:space="preserve">5,352,900 </w:t>
            </w:r>
          </w:p>
        </w:tc>
        <w:tc>
          <w:tcPr>
            <w:tcW w:w="957" w:type="dxa"/>
            <w:tcBorders>
              <w:left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-0.54%</w:t>
            </w:r>
          </w:p>
        </w:tc>
      </w:tr>
      <w:tr w:rsidR="0099219E" w:rsidRPr="00131B9D" w:rsidTr="00B22890">
        <w:trPr>
          <w:trHeight w:val="330"/>
          <w:jc w:val="center"/>
        </w:trPr>
        <w:tc>
          <w:tcPr>
            <w:tcW w:w="2012"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5</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 xml:space="preserve">5,194,425 </w:t>
            </w:r>
          </w:p>
        </w:tc>
        <w:tc>
          <w:tcPr>
            <w:tcW w:w="957"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-2.96%</w:t>
            </w:r>
          </w:p>
        </w:tc>
      </w:tr>
      <w:tr w:rsidR="0099219E" w:rsidRPr="00131B9D" w:rsidTr="00B22890">
        <w:trPr>
          <w:trHeight w:val="330"/>
          <w:jc w:val="center"/>
        </w:trPr>
        <w:tc>
          <w:tcPr>
            <w:tcW w:w="2012"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6</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 xml:space="preserve">5,046,200 </w:t>
            </w:r>
          </w:p>
        </w:tc>
        <w:tc>
          <w:tcPr>
            <w:tcW w:w="957"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-2.85%</w:t>
            </w:r>
          </w:p>
        </w:tc>
      </w:tr>
      <w:tr w:rsidR="0099219E" w:rsidRPr="00131B9D" w:rsidTr="00B22890">
        <w:trPr>
          <w:trHeight w:val="330"/>
          <w:jc w:val="center"/>
        </w:trPr>
        <w:tc>
          <w:tcPr>
            <w:tcW w:w="2012"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7</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4,968,700 </w:t>
            </w:r>
          </w:p>
        </w:tc>
        <w:tc>
          <w:tcPr>
            <w:tcW w:w="957"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-1.54%</w:t>
            </w:r>
          </w:p>
        </w:tc>
      </w:tr>
      <w:tr w:rsidR="0099219E" w:rsidRPr="00131B9D" w:rsidTr="00B22890">
        <w:trPr>
          <w:trHeight w:val="330"/>
          <w:jc w:val="center"/>
        </w:trPr>
        <w:tc>
          <w:tcPr>
            <w:tcW w:w="2012"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8</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4,803,425 </w:t>
            </w:r>
          </w:p>
        </w:tc>
        <w:tc>
          <w:tcPr>
            <w:tcW w:w="957"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-3.33%</w:t>
            </w:r>
          </w:p>
        </w:tc>
      </w:tr>
      <w:tr w:rsidR="0099219E" w:rsidRPr="00131B9D" w:rsidTr="00B22890">
        <w:trPr>
          <w:trHeight w:val="330"/>
          <w:jc w:val="center"/>
        </w:trPr>
        <w:tc>
          <w:tcPr>
            <w:tcW w:w="2012"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9</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4,620,175 </w:t>
            </w:r>
          </w:p>
        </w:tc>
        <w:tc>
          <w:tcPr>
            <w:tcW w:w="957"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-3.81%</w:t>
            </w:r>
          </w:p>
        </w:tc>
      </w:tr>
      <w:tr w:rsidR="0099219E" w:rsidRPr="00131B9D" w:rsidTr="00B22890">
        <w:trPr>
          <w:trHeight w:val="330"/>
          <w:jc w:val="center"/>
        </w:trPr>
        <w:tc>
          <w:tcPr>
            <w:tcW w:w="2012"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10</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4,435,525 </w:t>
            </w:r>
          </w:p>
        </w:tc>
        <w:tc>
          <w:tcPr>
            <w:tcW w:w="957"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-4.00%</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11</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4,324,175 </w:t>
            </w:r>
          </w:p>
        </w:tc>
        <w:tc>
          <w:tcPr>
            <w:tcW w:w="957"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-2.51%</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12</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4,210,275 </w:t>
            </w:r>
          </w:p>
        </w:tc>
        <w:tc>
          <w:tcPr>
            <w:tcW w:w="957"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-2.63%</w:t>
            </w:r>
          </w:p>
        </w:tc>
      </w:tr>
      <w:tr w:rsidR="003B29E8" w:rsidRPr="00131B9D" w:rsidTr="00CD56C1">
        <w:trPr>
          <w:trHeight w:val="330"/>
          <w:jc w:val="center"/>
        </w:trPr>
        <w:tc>
          <w:tcPr>
            <w:tcW w:w="4567" w:type="dxa"/>
            <w:gridSpan w:val="3"/>
            <w:tcBorders>
              <w:bottom w:val="single" w:sz="4" w:space="0" w:color="auto"/>
            </w:tcBorders>
            <w:shd w:val="clear" w:color="auto" w:fill="auto"/>
            <w:noWrap/>
            <w:vAlign w:val="center"/>
          </w:tcPr>
          <w:p w:rsidR="003B29E8" w:rsidRPr="00131B9D" w:rsidRDefault="003B29E8" w:rsidP="00CD56C1">
            <w:pPr>
              <w:widowControl/>
              <w:adjustRightInd w:val="0"/>
              <w:snapToGrid w:val="0"/>
              <w:jc w:val="center"/>
              <w:rPr>
                <w:color w:val="000000"/>
              </w:rPr>
            </w:pPr>
            <w:r w:rsidRPr="00131B9D">
              <w:rPr>
                <w:rFonts w:eastAsia="標楷體"/>
                <w:kern w:val="0"/>
              </w:rPr>
              <w:t>2015</w:t>
            </w:r>
            <w:r w:rsidRPr="00131B9D">
              <w:rPr>
                <w:rFonts w:eastAsia="標楷體"/>
                <w:kern w:val="0"/>
              </w:rPr>
              <w:t>年</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4,048,900 </w:t>
            </w:r>
          </w:p>
        </w:tc>
        <w:tc>
          <w:tcPr>
            <w:tcW w:w="957"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-3.83%</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adjustRightInd w:val="0"/>
              <w:snapToGrid w:val="0"/>
              <w:jc w:val="center"/>
              <w:rPr>
                <w:rFonts w:eastAsia="標楷體"/>
                <w:kern w:val="0"/>
              </w:rPr>
            </w:pPr>
            <w:r w:rsidRPr="00131B9D">
              <w:rPr>
                <w:rFonts w:eastAsia="標楷體"/>
                <w:kern w:val="0"/>
              </w:rPr>
              <w:t>2</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Del="006C65F6" w:rsidRDefault="003B29E8" w:rsidP="00CD56C1">
            <w:pPr>
              <w:adjustRightInd w:val="0"/>
              <w:snapToGrid w:val="0"/>
              <w:jc w:val="center"/>
              <w:rPr>
                <w:color w:val="000000"/>
              </w:rPr>
            </w:pPr>
            <w:r w:rsidRPr="00131B9D">
              <w:rPr>
                <w:color w:val="000000"/>
              </w:rPr>
              <w:t xml:space="preserve">3,946,650 </w:t>
            </w:r>
          </w:p>
        </w:tc>
        <w:tc>
          <w:tcPr>
            <w:tcW w:w="957"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adjustRightInd w:val="0"/>
              <w:snapToGrid w:val="0"/>
              <w:jc w:val="center"/>
              <w:rPr>
                <w:color w:val="000000"/>
              </w:rPr>
            </w:pPr>
            <w:r w:rsidRPr="00131B9D">
              <w:rPr>
                <w:color w:val="000000"/>
              </w:rPr>
              <w:t>-2.53%</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adjustRightInd w:val="0"/>
              <w:snapToGrid w:val="0"/>
              <w:jc w:val="center"/>
              <w:rPr>
                <w:rFonts w:eastAsia="標楷體"/>
                <w:kern w:val="0"/>
              </w:rPr>
            </w:pPr>
            <w:r w:rsidRPr="00131B9D">
              <w:rPr>
                <w:rFonts w:eastAsia="標楷體"/>
                <w:kern w:val="0"/>
              </w:rPr>
              <w:t>3</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Del="006C65F6" w:rsidRDefault="003B29E8" w:rsidP="00CD56C1">
            <w:pPr>
              <w:adjustRightInd w:val="0"/>
              <w:snapToGrid w:val="0"/>
              <w:jc w:val="center"/>
              <w:rPr>
                <w:color w:val="000000"/>
              </w:rPr>
            </w:pPr>
            <w:r w:rsidRPr="00131B9D">
              <w:t>3,943,725</w:t>
            </w:r>
          </w:p>
        </w:tc>
        <w:tc>
          <w:tcPr>
            <w:tcW w:w="957"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adjustRightInd w:val="0"/>
              <w:snapToGrid w:val="0"/>
              <w:jc w:val="center"/>
              <w:rPr>
                <w:color w:val="000000"/>
              </w:rPr>
            </w:pPr>
            <w:r w:rsidRPr="00131B9D">
              <w:rPr>
                <w:color w:val="000000"/>
              </w:rPr>
              <w:t>-0.07%</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adjustRightInd w:val="0"/>
              <w:snapToGrid w:val="0"/>
              <w:jc w:val="center"/>
              <w:rPr>
                <w:rFonts w:eastAsia="標楷體"/>
                <w:kern w:val="0"/>
              </w:rPr>
            </w:pPr>
            <w:r w:rsidRPr="00131B9D">
              <w:rPr>
                <w:rFonts w:eastAsia="標楷體"/>
                <w:kern w:val="0"/>
              </w:rPr>
              <w:t>4</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Del="006C65F6" w:rsidRDefault="003B29E8" w:rsidP="00CD56C1">
            <w:pPr>
              <w:adjustRightInd w:val="0"/>
              <w:snapToGrid w:val="0"/>
              <w:jc w:val="center"/>
              <w:rPr>
                <w:color w:val="000000"/>
              </w:rPr>
            </w:pPr>
            <w:r w:rsidRPr="00131B9D">
              <w:t>3,822,300</w:t>
            </w:r>
          </w:p>
        </w:tc>
        <w:tc>
          <w:tcPr>
            <w:tcW w:w="957"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adjustRightInd w:val="0"/>
              <w:snapToGrid w:val="0"/>
              <w:jc w:val="center"/>
              <w:rPr>
                <w:color w:val="000000"/>
              </w:rPr>
            </w:pPr>
            <w:r w:rsidRPr="00131B9D">
              <w:rPr>
                <w:color w:val="000000"/>
              </w:rPr>
              <w:t>-3.08%</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5</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3,733,550</w:t>
            </w:r>
          </w:p>
        </w:tc>
        <w:tc>
          <w:tcPr>
            <w:tcW w:w="957"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-2.32%</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6</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3,582,525</w:t>
            </w:r>
          </w:p>
        </w:tc>
        <w:tc>
          <w:tcPr>
            <w:tcW w:w="957"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-4.05%</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7</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3,436,975</w:t>
            </w:r>
          </w:p>
        </w:tc>
        <w:tc>
          <w:tcPr>
            <w:tcW w:w="957"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-4.06%</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8</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3,276,075</w:t>
            </w:r>
          </w:p>
        </w:tc>
        <w:tc>
          <w:tcPr>
            <w:tcW w:w="957"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-4.68%</w:t>
            </w:r>
          </w:p>
        </w:tc>
      </w:tr>
      <w:tr w:rsidR="003B29E8" w:rsidRPr="00131B9D" w:rsidTr="00CD56C1">
        <w:trPr>
          <w:trHeight w:val="330"/>
          <w:jc w:val="center"/>
        </w:trPr>
        <w:tc>
          <w:tcPr>
            <w:tcW w:w="2012"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9</w:t>
            </w:r>
            <w:r w:rsidRPr="00131B9D">
              <w:rPr>
                <w:rFonts w:eastAsia="標楷體"/>
                <w:kern w:val="0"/>
              </w:rPr>
              <w:t>月</w:t>
            </w:r>
          </w:p>
        </w:tc>
        <w:tc>
          <w:tcPr>
            <w:tcW w:w="1598"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3,187,000</w:t>
            </w:r>
          </w:p>
        </w:tc>
        <w:tc>
          <w:tcPr>
            <w:tcW w:w="957"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-2.72%</w:t>
            </w:r>
          </w:p>
        </w:tc>
      </w:tr>
      <w:tr w:rsidR="003B29E8" w:rsidRPr="00131B9D" w:rsidTr="00CD56C1">
        <w:trPr>
          <w:trHeight w:val="330"/>
          <w:jc w:val="center"/>
        </w:trPr>
        <w:tc>
          <w:tcPr>
            <w:tcW w:w="2012" w:type="dxa"/>
            <w:tcBorders>
              <w:top w:val="single" w:sz="4" w:space="0" w:color="auto"/>
              <w:bottom w:val="doub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10</w:t>
            </w:r>
            <w:r w:rsidRPr="00131B9D">
              <w:rPr>
                <w:rFonts w:eastAsia="標楷體"/>
                <w:kern w:val="0"/>
              </w:rPr>
              <w:t>月</w:t>
            </w:r>
          </w:p>
        </w:tc>
        <w:tc>
          <w:tcPr>
            <w:tcW w:w="1598" w:type="dxa"/>
            <w:tcBorders>
              <w:top w:val="single" w:sz="4" w:space="0" w:color="auto"/>
              <w:left w:val="single" w:sz="4" w:space="0" w:color="auto"/>
              <w:bottom w:val="doub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3,048,100</w:t>
            </w:r>
          </w:p>
        </w:tc>
        <w:tc>
          <w:tcPr>
            <w:tcW w:w="957" w:type="dxa"/>
            <w:tcBorders>
              <w:top w:val="single" w:sz="4" w:space="0" w:color="auto"/>
              <w:left w:val="single" w:sz="4" w:space="0" w:color="auto"/>
              <w:bottom w:val="doub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-4.36%</w:t>
            </w:r>
          </w:p>
        </w:tc>
      </w:tr>
      <w:tr w:rsidR="003B29E8" w:rsidRPr="00131B9D" w:rsidTr="00CD56C1">
        <w:trPr>
          <w:trHeight w:val="465"/>
          <w:jc w:val="center"/>
        </w:trPr>
        <w:tc>
          <w:tcPr>
            <w:tcW w:w="2012" w:type="dxa"/>
            <w:tcBorders>
              <w:top w:val="doub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b/>
                <w:kern w:val="0"/>
              </w:rPr>
            </w:pPr>
            <w:r w:rsidRPr="00131B9D">
              <w:rPr>
                <w:rFonts w:eastAsia="標楷體"/>
                <w:b/>
                <w:kern w:val="0"/>
              </w:rPr>
              <w:t>世界金屬統計（</w:t>
            </w:r>
            <w:r w:rsidRPr="00131B9D">
              <w:rPr>
                <w:rFonts w:eastAsia="標楷體"/>
                <w:b/>
                <w:kern w:val="0"/>
              </w:rPr>
              <w:t>WBMS</w:t>
            </w:r>
            <w:r w:rsidRPr="00131B9D">
              <w:rPr>
                <w:rFonts w:eastAsia="標楷體"/>
                <w:b/>
                <w:kern w:val="0"/>
              </w:rPr>
              <w:t>）</w:t>
            </w:r>
          </w:p>
        </w:tc>
        <w:tc>
          <w:tcPr>
            <w:tcW w:w="2555" w:type="dxa"/>
            <w:gridSpan w:val="2"/>
            <w:tcBorders>
              <w:top w:val="double" w:sz="4" w:space="0" w:color="auto"/>
              <w:lef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b/>
                <w:kern w:val="0"/>
              </w:rPr>
            </w:pPr>
            <w:r w:rsidRPr="00131B9D">
              <w:rPr>
                <w:rFonts w:eastAsia="標楷體"/>
                <w:b/>
                <w:kern w:val="0"/>
              </w:rPr>
              <w:t>過剩量</w:t>
            </w:r>
            <w:r w:rsidRPr="00131B9D">
              <w:rPr>
                <w:rFonts w:eastAsia="標楷體"/>
                <w:b/>
                <w:kern w:val="0"/>
              </w:rPr>
              <w:t>(</w:t>
            </w:r>
            <w:r w:rsidRPr="00131B9D">
              <w:rPr>
                <w:rFonts w:eastAsia="標楷體"/>
                <w:b/>
                <w:kern w:val="0"/>
              </w:rPr>
              <w:t>公噸</w:t>
            </w:r>
            <w:r w:rsidRPr="00131B9D">
              <w:rPr>
                <w:rFonts w:eastAsia="標楷體"/>
                <w:b/>
                <w:kern w:val="0"/>
              </w:rPr>
              <w:t>)</w:t>
            </w:r>
          </w:p>
        </w:tc>
      </w:tr>
      <w:tr w:rsidR="003B29E8" w:rsidRPr="00131B9D" w:rsidTr="00CD56C1">
        <w:trPr>
          <w:trHeight w:val="330"/>
          <w:jc w:val="center"/>
        </w:trPr>
        <w:tc>
          <w:tcPr>
            <w:tcW w:w="2012" w:type="dxa"/>
            <w:tcBorders>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2013</w:t>
            </w:r>
            <w:r w:rsidRPr="00131B9D">
              <w:rPr>
                <w:rFonts w:eastAsia="標楷體"/>
                <w:kern w:val="0"/>
              </w:rPr>
              <w:t>年</w:t>
            </w:r>
            <w:r w:rsidRPr="00131B9D">
              <w:rPr>
                <w:rFonts w:eastAsia="標楷體"/>
                <w:kern w:val="0"/>
              </w:rPr>
              <w:t>1-12</w:t>
            </w:r>
            <w:r w:rsidRPr="00131B9D">
              <w:rPr>
                <w:rFonts w:eastAsia="標楷體"/>
                <w:kern w:val="0"/>
              </w:rPr>
              <w:t>月</w:t>
            </w:r>
          </w:p>
        </w:tc>
        <w:tc>
          <w:tcPr>
            <w:tcW w:w="2555" w:type="dxa"/>
            <w:gridSpan w:val="2"/>
            <w:tcBorders>
              <w:left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rFonts w:eastAsia="標楷體"/>
                <w:kern w:val="0"/>
              </w:rPr>
              <w:t>1,147,000</w:t>
            </w:r>
          </w:p>
        </w:tc>
      </w:tr>
      <w:tr w:rsidR="003B29E8" w:rsidRPr="00131B9D" w:rsidTr="00CD56C1">
        <w:trPr>
          <w:trHeight w:val="330"/>
          <w:jc w:val="center"/>
        </w:trPr>
        <w:tc>
          <w:tcPr>
            <w:tcW w:w="2012" w:type="dxa"/>
            <w:tcBorders>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sz w:val="23"/>
                <w:szCs w:val="23"/>
              </w:rPr>
              <w:t>2014</w:t>
            </w:r>
            <w:r w:rsidRPr="00131B9D">
              <w:rPr>
                <w:rFonts w:eastAsia="標楷體"/>
                <w:kern w:val="0"/>
                <w:sz w:val="23"/>
                <w:szCs w:val="23"/>
              </w:rPr>
              <w:t>年</w:t>
            </w:r>
            <w:r w:rsidRPr="00131B9D">
              <w:rPr>
                <w:rFonts w:eastAsia="標楷體"/>
                <w:kern w:val="0"/>
              </w:rPr>
              <w:t>1-12</w:t>
            </w:r>
            <w:r w:rsidRPr="00131B9D">
              <w:rPr>
                <w:rFonts w:eastAsia="標楷體"/>
                <w:kern w:val="0"/>
              </w:rPr>
              <w:t>月</w:t>
            </w:r>
          </w:p>
        </w:tc>
        <w:tc>
          <w:tcPr>
            <w:tcW w:w="2555" w:type="dxa"/>
            <w:gridSpan w:val="2"/>
            <w:tcBorders>
              <w:left w:val="single" w:sz="4" w:space="0" w:color="auto"/>
            </w:tcBorders>
            <w:shd w:val="clear" w:color="auto" w:fill="auto"/>
            <w:noWrap/>
            <w:vAlign w:val="center"/>
          </w:tcPr>
          <w:p w:rsidR="003B29E8" w:rsidRPr="00131B9D" w:rsidRDefault="003B29E8" w:rsidP="00CD56C1">
            <w:pPr>
              <w:adjustRightInd w:val="0"/>
              <w:snapToGrid w:val="0"/>
              <w:jc w:val="center"/>
              <w:rPr>
                <w:rFonts w:eastAsia="標楷體"/>
                <w:kern w:val="0"/>
              </w:rPr>
            </w:pPr>
            <w:r w:rsidRPr="00131B9D">
              <w:rPr>
                <w:rFonts w:eastAsia="標楷體"/>
                <w:kern w:val="0"/>
              </w:rPr>
              <w:t>-716,000</w:t>
            </w:r>
          </w:p>
        </w:tc>
      </w:tr>
      <w:tr w:rsidR="003B29E8" w:rsidRPr="00131B9D" w:rsidTr="00CD56C1">
        <w:trPr>
          <w:trHeight w:val="330"/>
          <w:jc w:val="center"/>
        </w:trPr>
        <w:tc>
          <w:tcPr>
            <w:tcW w:w="2012" w:type="dxa"/>
            <w:tcBorders>
              <w:right w:val="single" w:sz="4" w:space="0" w:color="auto"/>
            </w:tcBorders>
            <w:shd w:val="clear" w:color="auto" w:fill="auto"/>
            <w:noWrap/>
            <w:vAlign w:val="center"/>
          </w:tcPr>
          <w:p w:rsidR="003B29E8" w:rsidRPr="00131B9D" w:rsidRDefault="003B29E8" w:rsidP="00CD56C1">
            <w:pPr>
              <w:adjustRightInd w:val="0"/>
              <w:snapToGrid w:val="0"/>
              <w:jc w:val="center"/>
              <w:rPr>
                <w:rFonts w:eastAsia="標楷體"/>
                <w:kern w:val="0"/>
              </w:rPr>
            </w:pPr>
            <w:r w:rsidRPr="00131B9D">
              <w:rPr>
                <w:rFonts w:eastAsia="標楷體"/>
                <w:kern w:val="0"/>
              </w:rPr>
              <w:t>2015</w:t>
            </w:r>
            <w:r w:rsidRPr="00131B9D">
              <w:rPr>
                <w:rFonts w:eastAsia="標楷體"/>
                <w:kern w:val="0"/>
              </w:rPr>
              <w:t>年</w:t>
            </w:r>
            <w:r w:rsidRPr="00131B9D">
              <w:rPr>
                <w:rFonts w:eastAsia="標楷體"/>
                <w:kern w:val="0"/>
              </w:rPr>
              <w:t>1-8</w:t>
            </w:r>
            <w:r w:rsidRPr="00131B9D">
              <w:rPr>
                <w:rFonts w:eastAsia="標楷體"/>
                <w:kern w:val="0"/>
              </w:rPr>
              <w:t>月</w:t>
            </w:r>
          </w:p>
        </w:tc>
        <w:tc>
          <w:tcPr>
            <w:tcW w:w="2555" w:type="dxa"/>
            <w:gridSpan w:val="2"/>
            <w:tcBorders>
              <w:left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rFonts w:eastAsia="標楷體"/>
                <w:kern w:val="0"/>
              </w:rPr>
              <w:t>-257,000</w:t>
            </w:r>
          </w:p>
        </w:tc>
      </w:tr>
    </w:tbl>
    <w:p w:rsidR="00F279F7" w:rsidRPr="00131B9D" w:rsidRDefault="00F279F7" w:rsidP="00F279F7">
      <w:pPr>
        <w:spacing w:line="240" w:lineRule="exact"/>
        <w:ind w:firstLineChars="900" w:firstLine="1800"/>
        <w:rPr>
          <w:rFonts w:eastAsia="標楷體"/>
          <w:kern w:val="0"/>
          <w:sz w:val="20"/>
          <w:szCs w:val="20"/>
        </w:rPr>
      </w:pPr>
      <w:r w:rsidRPr="00131B9D">
        <w:rPr>
          <w:rFonts w:eastAsia="標楷體"/>
          <w:sz w:val="20"/>
          <w:szCs w:val="20"/>
        </w:rPr>
        <w:t>資料來源：</w:t>
      </w:r>
      <w:r w:rsidRPr="00131B9D">
        <w:rPr>
          <w:rFonts w:eastAsia="標楷體"/>
          <w:kern w:val="0"/>
          <w:sz w:val="20"/>
          <w:szCs w:val="20"/>
        </w:rPr>
        <w:t>LME</w:t>
      </w:r>
      <w:r w:rsidRPr="00131B9D">
        <w:rPr>
          <w:rFonts w:eastAsia="標楷體"/>
          <w:kern w:val="0"/>
          <w:sz w:val="20"/>
          <w:szCs w:val="20"/>
        </w:rPr>
        <w:t>統計、世界金屬統計（</w:t>
      </w:r>
      <w:r w:rsidRPr="00131B9D">
        <w:rPr>
          <w:rFonts w:eastAsia="標楷體"/>
          <w:kern w:val="0"/>
          <w:sz w:val="20"/>
          <w:szCs w:val="20"/>
        </w:rPr>
        <w:t>WBMS</w:t>
      </w:r>
      <w:r w:rsidRPr="00131B9D">
        <w:rPr>
          <w:rFonts w:eastAsia="標楷體"/>
          <w:kern w:val="0"/>
          <w:sz w:val="20"/>
          <w:szCs w:val="20"/>
        </w:rPr>
        <w:t>）。</w:t>
      </w:r>
    </w:p>
    <w:p w:rsidR="003B29E8" w:rsidRPr="00131B9D" w:rsidRDefault="003B29E8" w:rsidP="00CD56C1">
      <w:bookmarkStart w:id="140" w:name="_Toc322706938"/>
      <w:bookmarkEnd w:id="137"/>
      <w:bookmarkEnd w:id="138"/>
    </w:p>
    <w:p w:rsidR="00F279F7" w:rsidRPr="00131B9D" w:rsidRDefault="00F279F7" w:rsidP="00F279F7">
      <w:pPr>
        <w:pStyle w:val="3"/>
        <w:rPr>
          <w:rFonts w:ascii="Times New Roman" w:hAnsi="Times New Roman"/>
        </w:rPr>
      </w:pPr>
      <w:r w:rsidRPr="00131B9D">
        <w:rPr>
          <w:rFonts w:ascii="Times New Roman" w:hAnsi="Times New Roman"/>
        </w:rPr>
        <w:t>（三）鎳</w:t>
      </w:r>
      <w:bookmarkEnd w:id="140"/>
    </w:p>
    <w:p w:rsidR="00F279F7" w:rsidRPr="00131B9D" w:rsidRDefault="00F279F7" w:rsidP="00F279F7">
      <w:pPr>
        <w:pStyle w:val="-"/>
        <w:spacing w:before="72" w:after="72"/>
        <w:ind w:firstLineChars="0" w:firstLine="0"/>
        <w:rPr>
          <w:b/>
        </w:rPr>
      </w:pPr>
      <w:r w:rsidRPr="00131B9D">
        <w:rPr>
          <w:b/>
        </w:rPr>
        <w:t>1.</w:t>
      </w:r>
      <w:r w:rsidRPr="00131B9D">
        <w:rPr>
          <w:b/>
        </w:rPr>
        <w:t>價格走勢</w:t>
      </w:r>
    </w:p>
    <w:p w:rsidR="00F279F7" w:rsidRPr="00131B9D" w:rsidRDefault="00127C79" w:rsidP="00F279F7">
      <w:pPr>
        <w:pStyle w:val="-"/>
        <w:spacing w:before="72" w:after="72"/>
        <w:ind w:firstLine="560"/>
      </w:pPr>
      <w:r w:rsidRPr="00131B9D">
        <w:t>2015</w:t>
      </w:r>
      <w:r w:rsidRPr="00131B9D">
        <w:t>年國際鎳價大幅走跌。</w:t>
      </w:r>
      <w:bookmarkStart w:id="141" w:name="OLE_LINK126"/>
      <w:bookmarkStart w:id="142" w:name="OLE_LINK127"/>
      <w:r w:rsidRPr="00131B9D">
        <w:t>第</w:t>
      </w:r>
      <w:r w:rsidRPr="00131B9D">
        <w:t>1</w:t>
      </w:r>
      <w:r w:rsidRPr="00131B9D">
        <w:t>季鎳價逐步下滑，</w:t>
      </w:r>
      <w:r w:rsidRPr="00131B9D">
        <w:t>3</w:t>
      </w:r>
      <w:r w:rsidRPr="00131B9D">
        <w:t>月倫敦交易所（</w:t>
      </w:r>
      <w:r w:rsidRPr="00131B9D">
        <w:t>LME</w:t>
      </w:r>
      <w:r w:rsidRPr="00131B9D">
        <w:t>）鎳均價則為</w:t>
      </w:r>
      <w:r w:rsidRPr="00131B9D">
        <w:t>13,817</w:t>
      </w:r>
      <w:r w:rsidRPr="00131B9D">
        <w:t>美元</w:t>
      </w:r>
      <w:r w:rsidRPr="00131B9D">
        <w:t>/</w:t>
      </w:r>
      <w:r w:rsidRPr="00131B9D">
        <w:t>噸，較</w:t>
      </w:r>
      <w:r w:rsidRPr="00131B9D">
        <w:t>1</w:t>
      </w:r>
      <w:r w:rsidRPr="00131B9D">
        <w:t>月均價下跌將近</w:t>
      </w:r>
      <w:r w:rsidRPr="00131B9D">
        <w:t>7%</w:t>
      </w:r>
      <w:r w:rsidRPr="00131B9D">
        <w:t>，而第</w:t>
      </w:r>
      <w:r w:rsidRPr="00131B9D">
        <w:t>1</w:t>
      </w:r>
      <w:r w:rsidRPr="00131B9D">
        <w:t>季均價較前一季亦有</w:t>
      </w:r>
      <w:r w:rsidRPr="00131B9D">
        <w:t>9.2%</w:t>
      </w:r>
      <w:r w:rsidRPr="00131B9D">
        <w:t>之跌幅；</w:t>
      </w:r>
      <w:bookmarkEnd w:id="141"/>
      <w:bookmarkEnd w:id="142"/>
      <w:r w:rsidRPr="00131B9D">
        <w:t>第</w:t>
      </w:r>
      <w:r w:rsidRPr="00131B9D">
        <w:t>2</w:t>
      </w:r>
      <w:r w:rsidRPr="00131B9D">
        <w:t>季鎳價則呈現震盪走跌，鎳價在</w:t>
      </w:r>
      <w:r w:rsidRPr="00131B9D">
        <w:t>4</w:t>
      </w:r>
      <w:r w:rsidRPr="00131B9D">
        <w:t>月均價為</w:t>
      </w:r>
      <w:r w:rsidRPr="00131B9D">
        <w:t>12,834</w:t>
      </w:r>
      <w:r w:rsidRPr="00131B9D">
        <w:t>美元</w:t>
      </w:r>
      <w:r w:rsidRPr="00131B9D">
        <w:t>/</w:t>
      </w:r>
      <w:r w:rsidRPr="00131B9D">
        <w:t>公噸，</w:t>
      </w:r>
      <w:r w:rsidRPr="00131B9D">
        <w:t>5</w:t>
      </w:r>
      <w:r w:rsidRPr="00131B9D">
        <w:t>月均價上漲</w:t>
      </w:r>
      <w:r w:rsidRPr="00131B9D">
        <w:t>5%</w:t>
      </w:r>
      <w:r w:rsidRPr="00131B9D">
        <w:t>至</w:t>
      </w:r>
      <w:r w:rsidRPr="00131B9D">
        <w:t>13,465</w:t>
      </w:r>
      <w:r w:rsidRPr="00131B9D">
        <w:t>美元</w:t>
      </w:r>
      <w:r w:rsidRPr="00131B9D">
        <w:t>/</w:t>
      </w:r>
      <w:r w:rsidRPr="00131B9D">
        <w:t>公噸，</w:t>
      </w:r>
      <w:r w:rsidRPr="00131B9D">
        <w:t>6</w:t>
      </w:r>
      <w:r w:rsidRPr="00131B9D">
        <w:t>月均價下跌至</w:t>
      </w:r>
      <w:r w:rsidRPr="00131B9D">
        <w:t>12,826</w:t>
      </w:r>
      <w:r w:rsidRPr="00131B9D">
        <w:t>美元</w:t>
      </w:r>
      <w:r w:rsidRPr="00131B9D">
        <w:t>/</w:t>
      </w:r>
      <w:r w:rsidRPr="00131B9D">
        <w:t>公噸；然而第</w:t>
      </w:r>
      <w:r w:rsidRPr="00131B9D">
        <w:t>2</w:t>
      </w:r>
      <w:r w:rsidRPr="00131B9D">
        <w:t>季均價</w:t>
      </w:r>
      <w:r w:rsidRPr="00131B9D">
        <w:t>13,046</w:t>
      </w:r>
      <w:r w:rsidRPr="00131B9D">
        <w:lastRenderedPageBreak/>
        <w:t>美元</w:t>
      </w:r>
      <w:r w:rsidRPr="00131B9D">
        <w:t>/</w:t>
      </w:r>
      <w:r w:rsidRPr="00131B9D">
        <w:t>公噸，仍較第</w:t>
      </w:r>
      <w:r w:rsidRPr="00131B9D">
        <w:t>1</w:t>
      </w:r>
      <w:r w:rsidRPr="00131B9D">
        <w:t>季下跌</w:t>
      </w:r>
      <w:r w:rsidRPr="00131B9D">
        <w:t>9.4%</w:t>
      </w:r>
      <w:r w:rsidRPr="00131B9D">
        <w:t>；第</w:t>
      </w:r>
      <w:r w:rsidRPr="00131B9D">
        <w:t>3</w:t>
      </w:r>
      <w:r w:rsidRPr="00131B9D">
        <w:t>季鎳價持續逐月下跌，</w:t>
      </w:r>
      <w:r w:rsidRPr="00131B9D">
        <w:t>7</w:t>
      </w:r>
      <w:r w:rsidRPr="00131B9D">
        <w:t>月均價為</w:t>
      </w:r>
      <w:r w:rsidRPr="00131B9D">
        <w:t>11,428</w:t>
      </w:r>
      <w:r w:rsidRPr="00131B9D">
        <w:t>美元</w:t>
      </w:r>
      <w:r w:rsidRPr="00131B9D">
        <w:t>/</w:t>
      </w:r>
      <w:r w:rsidRPr="00131B9D">
        <w:t>公噸，</w:t>
      </w:r>
      <w:r w:rsidRPr="00131B9D">
        <w:t>8</w:t>
      </w:r>
      <w:r w:rsidRPr="00131B9D">
        <w:t>月均價下跌至</w:t>
      </w:r>
      <w:r w:rsidRPr="00131B9D">
        <w:t>10,413</w:t>
      </w:r>
      <w:r w:rsidRPr="00131B9D">
        <w:t>美元</w:t>
      </w:r>
      <w:r w:rsidRPr="00131B9D">
        <w:t>/</w:t>
      </w:r>
      <w:r w:rsidRPr="00131B9D">
        <w:t>公噸，</w:t>
      </w:r>
      <w:r w:rsidRPr="00131B9D">
        <w:t>9</w:t>
      </w:r>
      <w:r w:rsidRPr="00131B9D">
        <w:t>月均價則再降為</w:t>
      </w:r>
      <w:r w:rsidRPr="00131B9D">
        <w:t>9,938</w:t>
      </w:r>
      <w:r w:rsidRPr="00131B9D">
        <w:t>美元</w:t>
      </w:r>
      <w:r w:rsidRPr="00131B9D">
        <w:t>/</w:t>
      </w:r>
      <w:r w:rsidRPr="00131B9D">
        <w:t>公噸，第</w:t>
      </w:r>
      <w:r w:rsidRPr="00131B9D">
        <w:t>3</w:t>
      </w:r>
      <w:r w:rsidRPr="00131B9D">
        <w:t>季均價較第</w:t>
      </w:r>
      <w:r w:rsidRPr="00131B9D">
        <w:t>2</w:t>
      </w:r>
      <w:r w:rsidRPr="00131B9D">
        <w:t>季下跌高達</w:t>
      </w:r>
      <w:r w:rsidRPr="00131B9D">
        <w:t>18.75%</w:t>
      </w:r>
      <w:r w:rsidRPr="00131B9D">
        <w:t>；而</w:t>
      </w:r>
      <w:r w:rsidRPr="00131B9D">
        <w:t>10</w:t>
      </w:r>
      <w:r w:rsidRPr="00131B9D">
        <w:t>月份鎳均價略微回升至</w:t>
      </w:r>
      <w:r w:rsidRPr="00131B9D">
        <w:t>10,323</w:t>
      </w:r>
      <w:r w:rsidRPr="00131B9D">
        <w:t>美元</w:t>
      </w:r>
      <w:r w:rsidRPr="00131B9D">
        <w:t>/</w:t>
      </w:r>
      <w:r w:rsidRPr="00131B9D">
        <w:t>公噸，</w:t>
      </w:r>
      <w:r w:rsidRPr="00131B9D">
        <w:t>11</w:t>
      </w:r>
      <w:r w:rsidRPr="00131B9D">
        <w:t>月再度大跌（如圖</w:t>
      </w:r>
      <w:r w:rsidRPr="00131B9D">
        <w:t>3-9</w:t>
      </w:r>
      <w:r w:rsidRPr="00131B9D">
        <w:t>）。</w:t>
      </w:r>
    </w:p>
    <w:p w:rsidR="00F279F7" w:rsidRPr="00131B9D" w:rsidRDefault="00F279F7" w:rsidP="00F279F7"/>
    <w:p w:rsidR="00F279F7" w:rsidRPr="00131B9D" w:rsidRDefault="00F279F7" w:rsidP="00F279F7">
      <w:pPr>
        <w:spacing w:beforeLines="100" w:before="360"/>
        <w:jc w:val="center"/>
        <w:rPr>
          <w:rFonts w:eastAsia="標楷體"/>
        </w:rPr>
      </w:pPr>
      <w:r w:rsidRPr="00131B9D">
        <w:rPr>
          <w:noProof/>
        </w:rPr>
        <w:drawing>
          <wp:inline distT="0" distB="0" distL="0" distR="0" wp14:anchorId="66FF4B11" wp14:editId="6AEFB98B">
            <wp:extent cx="5276850" cy="3543300"/>
            <wp:effectExtent l="0" t="0" r="19050" b="19050"/>
            <wp:docPr id="57" name="圖表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F279F7" w:rsidRPr="00131B9D" w:rsidRDefault="00F279F7" w:rsidP="00F279F7">
      <w:pPr>
        <w:spacing w:line="240" w:lineRule="exact"/>
        <w:ind w:firstLineChars="100" w:firstLine="200"/>
        <w:jc w:val="both"/>
        <w:rPr>
          <w:rFonts w:eastAsia="標楷體"/>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r w:rsidRPr="00131B9D">
        <w:rPr>
          <w:rFonts w:eastAsia="標楷體"/>
        </w:rPr>
        <w:t>。</w:t>
      </w:r>
    </w:p>
    <w:p w:rsidR="00F279F7" w:rsidRPr="00131B9D" w:rsidRDefault="00F279F7" w:rsidP="00F279F7">
      <w:pPr>
        <w:pStyle w:val="afff5"/>
        <w:spacing w:line="0" w:lineRule="atLeast"/>
        <w:jc w:val="center"/>
        <w:rPr>
          <w:rFonts w:eastAsia="標楷體"/>
          <w:b/>
          <w:bCs/>
          <w:kern w:val="52"/>
          <w:sz w:val="28"/>
          <w:szCs w:val="28"/>
        </w:rPr>
      </w:pPr>
      <w:bookmarkStart w:id="143" w:name="_Toc398882643"/>
      <w:bookmarkStart w:id="144" w:name="_Toc438223343"/>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9</w:t>
      </w:r>
      <w:r w:rsidRPr="00131B9D">
        <w:rPr>
          <w:rFonts w:eastAsia="標楷體"/>
          <w:b/>
          <w:bCs/>
          <w:kern w:val="52"/>
          <w:sz w:val="28"/>
          <w:szCs w:val="28"/>
        </w:rPr>
        <w:fldChar w:fldCharType="end"/>
      </w:r>
      <w:r w:rsidRPr="00131B9D">
        <w:rPr>
          <w:rFonts w:eastAsia="標楷體"/>
          <w:b/>
          <w:bCs/>
          <w:kern w:val="52"/>
          <w:sz w:val="28"/>
          <w:szCs w:val="28"/>
        </w:rPr>
        <w:t xml:space="preserve">　鎳近一年價格走勢圖</w:t>
      </w:r>
      <w:bookmarkEnd w:id="143"/>
      <w:bookmarkEnd w:id="144"/>
    </w:p>
    <w:p w:rsidR="00F279F7" w:rsidRPr="00131B9D" w:rsidRDefault="00F279F7" w:rsidP="00F279F7">
      <w:pPr>
        <w:pStyle w:val="-"/>
        <w:spacing w:before="72" w:after="72"/>
        <w:ind w:firstLineChars="0" w:firstLine="0"/>
        <w:rPr>
          <w:b/>
        </w:rPr>
      </w:pPr>
      <w:r w:rsidRPr="00131B9D">
        <w:rPr>
          <w:b/>
        </w:rPr>
        <w:t>2.</w:t>
      </w:r>
      <w:r w:rsidRPr="00131B9D">
        <w:rPr>
          <w:b/>
        </w:rPr>
        <w:t xml:space="preserve">　供需情勢</w:t>
      </w:r>
    </w:p>
    <w:p w:rsidR="00F279F7" w:rsidRPr="00131B9D" w:rsidRDefault="00F279F7" w:rsidP="00F279F7">
      <w:pPr>
        <w:pStyle w:val="-"/>
        <w:spacing w:before="72" w:after="72"/>
        <w:ind w:firstLine="560"/>
        <w:rPr>
          <w:szCs w:val="24"/>
        </w:rPr>
      </w:pPr>
      <w:r w:rsidRPr="00131B9D">
        <w:rPr>
          <w:szCs w:val="24"/>
        </w:rPr>
        <w:t>國際鎳業研究組織（</w:t>
      </w:r>
      <w:r w:rsidRPr="00131B9D">
        <w:rPr>
          <w:szCs w:val="24"/>
        </w:rPr>
        <w:t>INSG</w:t>
      </w:r>
      <w:r w:rsidRPr="00131B9D">
        <w:rPr>
          <w:szCs w:val="24"/>
        </w:rPr>
        <w:t>）公佈數據顯示，今年</w:t>
      </w:r>
      <w:r w:rsidRPr="00131B9D">
        <w:rPr>
          <w:szCs w:val="24"/>
        </w:rPr>
        <w:t>1-5</w:t>
      </w:r>
      <w:r w:rsidRPr="00131B9D">
        <w:rPr>
          <w:szCs w:val="24"/>
        </w:rPr>
        <w:t>月全球鎳市供應過剩</w:t>
      </w:r>
      <w:r w:rsidRPr="00131B9D">
        <w:rPr>
          <w:szCs w:val="24"/>
        </w:rPr>
        <w:t>14,600</w:t>
      </w:r>
      <w:r w:rsidRPr="00131B9D">
        <w:rPr>
          <w:szCs w:val="24"/>
        </w:rPr>
        <w:t>噸，較</w:t>
      </w:r>
      <w:r w:rsidRPr="00131B9D">
        <w:rPr>
          <w:szCs w:val="24"/>
        </w:rPr>
        <w:t>2014</w:t>
      </w:r>
      <w:r w:rsidRPr="00131B9D">
        <w:rPr>
          <w:szCs w:val="24"/>
        </w:rPr>
        <w:t>年同期過剩</w:t>
      </w:r>
      <w:r w:rsidRPr="00131B9D">
        <w:rPr>
          <w:szCs w:val="24"/>
        </w:rPr>
        <w:t>27,800</w:t>
      </w:r>
      <w:r w:rsidRPr="00131B9D">
        <w:rPr>
          <w:szCs w:val="24"/>
        </w:rPr>
        <w:t>噸為低。此外，世界金屬統計局（</w:t>
      </w:r>
      <w:r w:rsidRPr="00131B9D">
        <w:rPr>
          <w:szCs w:val="24"/>
        </w:rPr>
        <w:t>WBMS</w:t>
      </w:r>
      <w:r w:rsidRPr="00131B9D">
        <w:rPr>
          <w:szCs w:val="24"/>
        </w:rPr>
        <w:t>）的報告指出，</w:t>
      </w:r>
      <w:r w:rsidRPr="00131B9D">
        <w:rPr>
          <w:szCs w:val="24"/>
        </w:rPr>
        <w:t>1-5</w:t>
      </w:r>
      <w:r w:rsidRPr="00131B9D">
        <w:rPr>
          <w:szCs w:val="24"/>
        </w:rPr>
        <w:t>月，全球鎳市供給過剩</w:t>
      </w:r>
      <w:r w:rsidRPr="00131B9D">
        <w:rPr>
          <w:szCs w:val="24"/>
        </w:rPr>
        <w:t>19,000</w:t>
      </w:r>
      <w:r w:rsidRPr="00131B9D">
        <w:rPr>
          <w:szCs w:val="24"/>
        </w:rPr>
        <w:t>噸，且截至</w:t>
      </w:r>
      <w:r w:rsidRPr="00131B9D">
        <w:rPr>
          <w:szCs w:val="24"/>
        </w:rPr>
        <w:t>5</w:t>
      </w:r>
      <w:r w:rsidRPr="00131B9D">
        <w:rPr>
          <w:szCs w:val="24"/>
        </w:rPr>
        <w:t>月底，</w:t>
      </w:r>
      <w:r w:rsidRPr="00131B9D">
        <w:rPr>
          <w:szCs w:val="24"/>
        </w:rPr>
        <w:t>LME</w:t>
      </w:r>
      <w:r w:rsidRPr="00131B9D">
        <w:rPr>
          <w:szCs w:val="24"/>
        </w:rPr>
        <w:t>鎳庫存較</w:t>
      </w:r>
      <w:r w:rsidRPr="00131B9D">
        <w:rPr>
          <w:szCs w:val="24"/>
        </w:rPr>
        <w:t>2014</w:t>
      </w:r>
      <w:r w:rsidRPr="00131B9D">
        <w:rPr>
          <w:szCs w:val="24"/>
        </w:rPr>
        <w:t>年底增加</w:t>
      </w:r>
      <w:r w:rsidRPr="00131B9D">
        <w:rPr>
          <w:szCs w:val="24"/>
        </w:rPr>
        <w:t>5,100</w:t>
      </w:r>
      <w:r w:rsidRPr="00131B9D">
        <w:rPr>
          <w:szCs w:val="24"/>
        </w:rPr>
        <w:t>噸，預期全球鎳礦產量年增</w:t>
      </w:r>
      <w:r w:rsidRPr="00131B9D">
        <w:rPr>
          <w:szCs w:val="24"/>
        </w:rPr>
        <w:t>25,100</w:t>
      </w:r>
      <w:r w:rsidRPr="00131B9D">
        <w:rPr>
          <w:szCs w:val="24"/>
        </w:rPr>
        <w:t>噸至</w:t>
      </w:r>
      <w:r w:rsidRPr="00131B9D">
        <w:rPr>
          <w:szCs w:val="24"/>
        </w:rPr>
        <w:t>832,400</w:t>
      </w:r>
      <w:r w:rsidRPr="00131B9D">
        <w:rPr>
          <w:szCs w:val="24"/>
        </w:rPr>
        <w:t>噸。雖</w:t>
      </w:r>
      <w:r w:rsidRPr="00131B9D">
        <w:rPr>
          <w:szCs w:val="24"/>
        </w:rPr>
        <w:t>INSG</w:t>
      </w:r>
      <w:r w:rsidRPr="00131B9D">
        <w:rPr>
          <w:szCs w:val="24"/>
        </w:rPr>
        <w:t>與</w:t>
      </w:r>
      <w:r w:rsidRPr="00131B9D">
        <w:rPr>
          <w:szCs w:val="24"/>
        </w:rPr>
        <w:t>WBMS</w:t>
      </w:r>
      <w:r w:rsidRPr="00131B9D">
        <w:rPr>
          <w:szCs w:val="24"/>
        </w:rPr>
        <w:t>估計數據有所不同，但可知鎳市存在供給過剩現象，而根據倫敦交易所（</w:t>
      </w:r>
      <w:r w:rsidRPr="00131B9D">
        <w:rPr>
          <w:szCs w:val="24"/>
        </w:rPr>
        <w:t>LME</w:t>
      </w:r>
      <w:r w:rsidRPr="00131B9D">
        <w:rPr>
          <w:szCs w:val="24"/>
        </w:rPr>
        <w:t>）鎳庫存資料顯示，目前鎳的庫存量處於高檔水準。</w:t>
      </w:r>
      <w:r w:rsidRPr="00131B9D">
        <w:rPr>
          <w:szCs w:val="24"/>
        </w:rPr>
        <w:t>2015</w:t>
      </w:r>
      <w:r w:rsidRPr="00131B9D">
        <w:rPr>
          <w:szCs w:val="24"/>
        </w:rPr>
        <w:t>年至</w:t>
      </w:r>
      <w:r w:rsidRPr="00131B9D">
        <w:rPr>
          <w:szCs w:val="24"/>
        </w:rPr>
        <w:t>9</w:t>
      </w:r>
      <w:r w:rsidRPr="00131B9D">
        <w:rPr>
          <w:szCs w:val="24"/>
        </w:rPr>
        <w:t>月中</w:t>
      </w:r>
      <w:r w:rsidRPr="00131B9D">
        <w:rPr>
          <w:szCs w:val="24"/>
        </w:rPr>
        <w:lastRenderedPageBreak/>
        <w:t>旬，鎳價累計已下跌</w:t>
      </w:r>
      <w:r w:rsidRPr="00131B9D">
        <w:rPr>
          <w:szCs w:val="24"/>
        </w:rPr>
        <w:t>35%</w:t>
      </w:r>
      <w:r w:rsidRPr="00131B9D">
        <w:rPr>
          <w:szCs w:val="24"/>
        </w:rPr>
        <w:t>，據</w:t>
      </w:r>
      <w:r w:rsidRPr="00131B9D">
        <w:rPr>
          <w:szCs w:val="24"/>
        </w:rPr>
        <w:t>INSG 10</w:t>
      </w:r>
      <w:r w:rsidRPr="00131B9D">
        <w:rPr>
          <w:szCs w:val="24"/>
        </w:rPr>
        <w:t>月</w:t>
      </w:r>
      <w:r w:rsidRPr="00131B9D">
        <w:rPr>
          <w:szCs w:val="24"/>
        </w:rPr>
        <w:t>21</w:t>
      </w:r>
      <w:r w:rsidRPr="00131B9D">
        <w:rPr>
          <w:szCs w:val="24"/>
        </w:rPr>
        <w:t>日再度公佈之數據顯示，今年</w:t>
      </w:r>
      <w:r w:rsidRPr="00131B9D">
        <w:rPr>
          <w:szCs w:val="24"/>
        </w:rPr>
        <w:t>1-8</w:t>
      </w:r>
      <w:r w:rsidRPr="00131B9D">
        <w:rPr>
          <w:szCs w:val="24"/>
        </w:rPr>
        <w:t>月，全球初級鎳產量下降</w:t>
      </w:r>
      <w:r w:rsidRPr="00131B9D">
        <w:rPr>
          <w:szCs w:val="24"/>
        </w:rPr>
        <w:t>1.1%</w:t>
      </w:r>
      <w:r w:rsidRPr="00131B9D">
        <w:rPr>
          <w:szCs w:val="24"/>
        </w:rPr>
        <w:t>至</w:t>
      </w:r>
      <w:r w:rsidRPr="00131B9D">
        <w:rPr>
          <w:szCs w:val="24"/>
        </w:rPr>
        <w:t>1,307,300</w:t>
      </w:r>
      <w:r w:rsidRPr="00131B9D">
        <w:rPr>
          <w:szCs w:val="24"/>
        </w:rPr>
        <w:t>噸，而消耗量增加</w:t>
      </w:r>
      <w:r w:rsidRPr="00131B9D">
        <w:rPr>
          <w:szCs w:val="24"/>
        </w:rPr>
        <w:t>0.7%</w:t>
      </w:r>
      <w:r w:rsidRPr="00131B9D">
        <w:rPr>
          <w:szCs w:val="24"/>
        </w:rPr>
        <w:t>至</w:t>
      </w:r>
      <w:r w:rsidRPr="00131B9D">
        <w:rPr>
          <w:szCs w:val="24"/>
        </w:rPr>
        <w:t>1,261,300</w:t>
      </w:r>
      <w:r w:rsidRPr="00131B9D">
        <w:rPr>
          <w:szCs w:val="24"/>
        </w:rPr>
        <w:t>噸，供應過剩</w:t>
      </w:r>
      <w:r w:rsidRPr="00131B9D">
        <w:rPr>
          <w:szCs w:val="24"/>
        </w:rPr>
        <w:t>46,000</w:t>
      </w:r>
      <w:r w:rsidRPr="00131B9D">
        <w:rPr>
          <w:szCs w:val="24"/>
        </w:rPr>
        <w:t>噸。</w:t>
      </w:r>
      <w:r w:rsidRPr="00131B9D">
        <w:rPr>
          <w:szCs w:val="24"/>
        </w:rPr>
        <w:t>WBMS</w:t>
      </w:r>
      <w:r w:rsidRPr="00131B9D">
        <w:rPr>
          <w:szCs w:val="24"/>
        </w:rPr>
        <w:t>則指出今年</w:t>
      </w:r>
      <w:r w:rsidRPr="00131B9D">
        <w:rPr>
          <w:szCs w:val="24"/>
        </w:rPr>
        <w:t>1-8</w:t>
      </w:r>
      <w:r w:rsidRPr="00131B9D">
        <w:rPr>
          <w:szCs w:val="24"/>
        </w:rPr>
        <w:t>月底止，</w:t>
      </w:r>
      <w:r w:rsidRPr="00131B9D">
        <w:rPr>
          <w:szCs w:val="24"/>
        </w:rPr>
        <w:t>LME</w:t>
      </w:r>
      <w:r w:rsidRPr="00131B9D">
        <w:rPr>
          <w:szCs w:val="24"/>
        </w:rPr>
        <w:t>鎳庫存較去年底增加</w:t>
      </w:r>
      <w:r w:rsidRPr="00131B9D">
        <w:rPr>
          <w:szCs w:val="24"/>
        </w:rPr>
        <w:t>39,000</w:t>
      </w:r>
      <w:r w:rsidRPr="00131B9D">
        <w:rPr>
          <w:szCs w:val="24"/>
        </w:rPr>
        <w:t>公噸。此外，印尼自</w:t>
      </w:r>
      <w:r w:rsidRPr="00131B9D">
        <w:rPr>
          <w:szCs w:val="24"/>
        </w:rPr>
        <w:t>2014</w:t>
      </w:r>
      <w:r w:rsidRPr="00131B9D">
        <w:rPr>
          <w:szCs w:val="24"/>
        </w:rPr>
        <w:t>年</w:t>
      </w:r>
      <w:r w:rsidRPr="00131B9D">
        <w:rPr>
          <w:szCs w:val="24"/>
        </w:rPr>
        <w:t>1</w:t>
      </w:r>
      <w:r w:rsidRPr="00131B9D">
        <w:rPr>
          <w:szCs w:val="24"/>
        </w:rPr>
        <w:t>月開始，為強制礦業公司在印尼投建冶煉產能，提高其國內資源產品附加價值以獲得更高的稅收和能源使用費，實施原礦出口禁令。</w:t>
      </w:r>
      <w:r w:rsidRPr="00131B9D">
        <w:rPr>
          <w:szCs w:val="24"/>
        </w:rPr>
        <w:t>9</w:t>
      </w:r>
      <w:r w:rsidRPr="00131B9D">
        <w:rPr>
          <w:szCs w:val="24"/>
        </w:rPr>
        <w:t>月</w:t>
      </w:r>
      <w:r w:rsidRPr="00131B9D">
        <w:rPr>
          <w:szCs w:val="24"/>
        </w:rPr>
        <w:t>22</w:t>
      </w:r>
      <w:r w:rsidRPr="00131B9D">
        <w:rPr>
          <w:szCs w:val="24"/>
        </w:rPr>
        <w:t>日，印尼經濟事務協調部官員</w:t>
      </w:r>
      <w:r w:rsidRPr="00131B9D">
        <w:rPr>
          <w:szCs w:val="24"/>
        </w:rPr>
        <w:t>Totok Hari Wibowo</w:t>
      </w:r>
      <w:r w:rsidRPr="00131B9D">
        <w:rPr>
          <w:szCs w:val="24"/>
        </w:rPr>
        <w:t>，在雅加達舉行的鎳行業會議上重申，印尼總統仍會繼續執行原礦出口禁令，雖禁令實施後，印尼鎳礦出口下降，但菲律賓的鎳礦出口有所增長並取代印尼成為中國大陸的最大鎳礦供應國，供應問題並未在印尼出口禁令後出現。此外，</w:t>
      </w:r>
      <w:r w:rsidRPr="00131B9D">
        <w:rPr>
          <w:szCs w:val="24"/>
        </w:rPr>
        <w:t>11</w:t>
      </w:r>
      <w:r w:rsidRPr="00131B9D">
        <w:rPr>
          <w:szCs w:val="24"/>
        </w:rPr>
        <w:t>月</w:t>
      </w:r>
      <w:r w:rsidRPr="00131B9D">
        <w:rPr>
          <w:szCs w:val="24"/>
        </w:rPr>
        <w:t>19</w:t>
      </w:r>
      <w:r w:rsidRPr="00131B9D">
        <w:rPr>
          <w:szCs w:val="24"/>
        </w:rPr>
        <w:t>日因</w:t>
      </w:r>
      <w:r w:rsidRPr="00131B9D">
        <w:rPr>
          <w:szCs w:val="24"/>
        </w:rPr>
        <w:t>Fed</w:t>
      </w:r>
      <w:r w:rsidRPr="00131B9D">
        <w:rPr>
          <w:szCs w:val="24"/>
        </w:rPr>
        <w:t>公布會議記錄，增強</w:t>
      </w:r>
      <w:r w:rsidRPr="00131B9D">
        <w:rPr>
          <w:szCs w:val="24"/>
        </w:rPr>
        <w:t>12</w:t>
      </w:r>
      <w:r w:rsidRPr="00131B9D">
        <w:rPr>
          <w:szCs w:val="24"/>
        </w:rPr>
        <w:t>月升息的可能性，使鎳價跌至</w:t>
      </w:r>
      <w:r w:rsidRPr="00131B9D">
        <w:rPr>
          <w:szCs w:val="24"/>
        </w:rPr>
        <w:t>12</w:t>
      </w:r>
      <w:r w:rsidRPr="00131B9D">
        <w:rPr>
          <w:szCs w:val="24"/>
        </w:rPr>
        <w:t>年以來最低點</w:t>
      </w:r>
      <w:r w:rsidRPr="00131B9D">
        <w:t>（如表</w:t>
      </w:r>
      <w:r w:rsidRPr="00131B9D">
        <w:t>3-8</w:t>
      </w:r>
      <w:r w:rsidRPr="00131B9D">
        <w:t>）</w:t>
      </w:r>
      <w:r w:rsidRPr="00131B9D">
        <w:rPr>
          <w:szCs w:val="24"/>
        </w:rPr>
        <w:t>。</w:t>
      </w:r>
      <w:r w:rsidR="00BC42BF" w:rsidRPr="00131B9D">
        <w:rPr>
          <w:szCs w:val="24"/>
        </w:rPr>
        <w:t>11</w:t>
      </w:r>
      <w:r w:rsidR="00BC42BF" w:rsidRPr="00131B9D">
        <w:rPr>
          <w:szCs w:val="24"/>
        </w:rPr>
        <w:t>月</w:t>
      </w:r>
      <w:r w:rsidR="00BC42BF" w:rsidRPr="00131B9D">
        <w:rPr>
          <w:szCs w:val="24"/>
        </w:rPr>
        <w:t>27</w:t>
      </w:r>
      <w:r w:rsidR="00BC42BF" w:rsidRPr="00131B9D">
        <w:rPr>
          <w:szCs w:val="24"/>
        </w:rPr>
        <w:t>日，金川集團與</w:t>
      </w:r>
      <w:r w:rsidR="00BC42BF" w:rsidRPr="00131B9D">
        <w:rPr>
          <w:szCs w:val="24"/>
        </w:rPr>
        <w:t>7</w:t>
      </w:r>
      <w:r w:rsidR="00BC42BF" w:rsidRPr="00131B9D">
        <w:rPr>
          <w:szCs w:val="24"/>
        </w:rPr>
        <w:t>家大型鎳生產商宣佈將在</w:t>
      </w:r>
      <w:r w:rsidR="00BC42BF" w:rsidRPr="00131B9D">
        <w:rPr>
          <w:szCs w:val="24"/>
        </w:rPr>
        <w:t>2016</w:t>
      </w:r>
      <w:r w:rsidR="00BC42BF" w:rsidRPr="00131B9D">
        <w:rPr>
          <w:szCs w:val="24"/>
        </w:rPr>
        <w:t>年減少鎳產量</w:t>
      </w:r>
      <w:r w:rsidR="00BC42BF" w:rsidRPr="00131B9D">
        <w:rPr>
          <w:szCs w:val="24"/>
        </w:rPr>
        <w:t>20%</w:t>
      </w:r>
      <w:r w:rsidR="00BC42BF" w:rsidRPr="00131B9D">
        <w:rPr>
          <w:szCs w:val="24"/>
        </w:rPr>
        <w:t>，並且在今年</w:t>
      </w:r>
      <w:r w:rsidR="00BC42BF" w:rsidRPr="00131B9D">
        <w:rPr>
          <w:szCs w:val="24"/>
        </w:rPr>
        <w:t>12</w:t>
      </w:r>
      <w:r w:rsidR="00BC42BF" w:rsidRPr="00131B9D">
        <w:rPr>
          <w:szCs w:val="24"/>
        </w:rPr>
        <w:t>月減產</w:t>
      </w:r>
      <w:r w:rsidR="00BC42BF" w:rsidRPr="00131B9D">
        <w:rPr>
          <w:szCs w:val="24"/>
        </w:rPr>
        <w:t>1.5</w:t>
      </w:r>
      <w:r w:rsidR="00BC42BF" w:rsidRPr="00131B9D">
        <w:rPr>
          <w:szCs w:val="24"/>
        </w:rPr>
        <w:t>萬噸鎳。</w:t>
      </w:r>
    </w:p>
    <w:p w:rsidR="00F279F7" w:rsidRPr="00131B9D" w:rsidRDefault="00F279F7" w:rsidP="00F279F7">
      <w:pPr>
        <w:pStyle w:val="-"/>
        <w:spacing w:before="72" w:after="72"/>
        <w:ind w:firstLine="560"/>
        <w:rPr>
          <w:szCs w:val="24"/>
        </w:rPr>
      </w:pPr>
      <w:r w:rsidRPr="00131B9D">
        <w:rPr>
          <w:szCs w:val="24"/>
        </w:rPr>
        <w:t>就消費面而言，原生鎳消費國以中國大陸位居首位，消費量佔全球比例超過</w:t>
      </w:r>
      <w:r w:rsidRPr="00131B9D">
        <w:rPr>
          <w:szCs w:val="24"/>
        </w:rPr>
        <w:t>50%</w:t>
      </w:r>
      <w:r w:rsidRPr="00131B9D">
        <w:rPr>
          <w:szCs w:val="24"/>
        </w:rPr>
        <w:t>，美國、日本、韓國和德國的原生鎳消費量分別位居世界第</w:t>
      </w:r>
      <w:r w:rsidRPr="00131B9D">
        <w:rPr>
          <w:szCs w:val="24"/>
        </w:rPr>
        <w:t>2</w:t>
      </w:r>
      <w:r w:rsidRPr="00131B9D">
        <w:rPr>
          <w:szCs w:val="24"/>
        </w:rPr>
        <w:t>到第</w:t>
      </w:r>
      <w:r w:rsidRPr="00131B9D">
        <w:rPr>
          <w:szCs w:val="24"/>
        </w:rPr>
        <w:t>5</w:t>
      </w:r>
      <w:r w:rsidRPr="00131B9D">
        <w:rPr>
          <w:szCs w:val="24"/>
        </w:rPr>
        <w:t>位。</w:t>
      </w:r>
      <w:r w:rsidRPr="00131B9D">
        <w:rPr>
          <w:szCs w:val="24"/>
        </w:rPr>
        <w:t>INSG</w:t>
      </w:r>
      <w:r w:rsidRPr="00131B9D">
        <w:rPr>
          <w:szCs w:val="24"/>
        </w:rPr>
        <w:t>報告表示，中國大陸的鎳消費</w:t>
      </w:r>
      <w:r w:rsidR="00BA424F" w:rsidRPr="00131B9D">
        <w:rPr>
          <w:szCs w:val="24"/>
        </w:rPr>
        <w:t>增加速度</w:t>
      </w:r>
      <w:r w:rsidRPr="00131B9D">
        <w:rPr>
          <w:szCs w:val="24"/>
        </w:rPr>
        <w:t>將會放緩，而美國與歐洲因不鏽鋼生產的增長將會帶動鎳消費溫和增長。依世界金屬統計局（</w:t>
      </w:r>
      <w:r w:rsidRPr="00131B9D">
        <w:rPr>
          <w:szCs w:val="24"/>
        </w:rPr>
        <w:t>WBMS</w:t>
      </w:r>
      <w:r w:rsidRPr="00131B9D">
        <w:rPr>
          <w:szCs w:val="24"/>
        </w:rPr>
        <w:t>）</w:t>
      </w:r>
      <w:r w:rsidRPr="00131B9D">
        <w:rPr>
          <w:szCs w:val="24"/>
        </w:rPr>
        <w:t>10</w:t>
      </w:r>
      <w:r w:rsidRPr="00131B9D">
        <w:rPr>
          <w:szCs w:val="24"/>
        </w:rPr>
        <w:t>月</w:t>
      </w:r>
      <w:r w:rsidRPr="00131B9D">
        <w:rPr>
          <w:szCs w:val="24"/>
        </w:rPr>
        <w:t>21</w:t>
      </w:r>
      <w:r w:rsidRPr="00131B9D">
        <w:rPr>
          <w:szCs w:val="24"/>
        </w:rPr>
        <w:t>日數據，鎳消費排名前</w:t>
      </w:r>
      <w:r w:rsidRPr="00131B9D">
        <w:rPr>
          <w:szCs w:val="24"/>
        </w:rPr>
        <w:t>3</w:t>
      </w:r>
      <w:r w:rsidRPr="00131B9D">
        <w:rPr>
          <w:szCs w:val="24"/>
        </w:rPr>
        <w:t>名之一的日本，</w:t>
      </w:r>
      <w:r w:rsidRPr="00131B9D">
        <w:rPr>
          <w:szCs w:val="24"/>
        </w:rPr>
        <w:t>2015</w:t>
      </w:r>
      <w:r w:rsidRPr="00131B9D">
        <w:rPr>
          <w:szCs w:val="24"/>
        </w:rPr>
        <w:t>年</w:t>
      </w:r>
      <w:r w:rsidRPr="00131B9D">
        <w:rPr>
          <w:szCs w:val="24"/>
        </w:rPr>
        <w:t>1-8</w:t>
      </w:r>
      <w:r w:rsidRPr="00131B9D">
        <w:rPr>
          <w:szCs w:val="24"/>
        </w:rPr>
        <w:t>月鎳需求量較</w:t>
      </w:r>
      <w:r w:rsidRPr="00131B9D">
        <w:rPr>
          <w:szCs w:val="24"/>
        </w:rPr>
        <w:t>2014</w:t>
      </w:r>
      <w:r w:rsidRPr="00131B9D">
        <w:rPr>
          <w:szCs w:val="24"/>
        </w:rPr>
        <w:t>年同期增加</w:t>
      </w:r>
      <w:r w:rsidRPr="00131B9D">
        <w:rPr>
          <w:szCs w:val="24"/>
        </w:rPr>
        <w:t>2,500</w:t>
      </w:r>
      <w:r w:rsidRPr="00131B9D">
        <w:rPr>
          <w:szCs w:val="24"/>
        </w:rPr>
        <w:t>噸。</w:t>
      </w:r>
    </w:p>
    <w:p w:rsidR="003B29E8" w:rsidRPr="00131B9D" w:rsidRDefault="003B29E8" w:rsidP="003B29E8"/>
    <w:p w:rsidR="00F279F7" w:rsidRPr="00131B9D" w:rsidRDefault="00F279F7" w:rsidP="00F279F7">
      <w:pPr>
        <w:pStyle w:val="aff1"/>
        <w:spacing w:line="0" w:lineRule="atLeast"/>
        <w:rPr>
          <w:bCs/>
          <w:kern w:val="52"/>
          <w:szCs w:val="28"/>
        </w:rPr>
      </w:pPr>
      <w:bookmarkStart w:id="145" w:name="_Toc439162997"/>
      <w:r w:rsidRPr="00131B9D">
        <w:rPr>
          <w:bCs/>
          <w:kern w:val="52"/>
          <w:szCs w:val="28"/>
        </w:rPr>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8</w:t>
      </w:r>
      <w:r w:rsidRPr="00131B9D">
        <w:rPr>
          <w:b w:val="0"/>
          <w:bCs/>
          <w:kern w:val="52"/>
          <w:szCs w:val="28"/>
        </w:rPr>
        <w:fldChar w:fldCharType="end"/>
      </w:r>
      <w:r w:rsidRPr="00131B9D">
        <w:rPr>
          <w:bCs/>
          <w:kern w:val="52"/>
          <w:szCs w:val="28"/>
        </w:rPr>
        <w:t xml:space="preserve">　全球鎳市供需概況</w:t>
      </w:r>
      <w:bookmarkEnd w:id="145"/>
    </w:p>
    <w:tbl>
      <w:tblPr>
        <w:tblW w:w="5458"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198"/>
        <w:gridCol w:w="1842"/>
        <w:gridCol w:w="1418"/>
      </w:tblGrid>
      <w:tr w:rsidR="00F279F7" w:rsidRPr="00131B9D" w:rsidTr="00F279F7">
        <w:trPr>
          <w:trHeight w:val="330"/>
          <w:jc w:val="center"/>
        </w:trPr>
        <w:tc>
          <w:tcPr>
            <w:tcW w:w="219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F279F7" w:rsidRPr="00131B9D" w:rsidRDefault="00F279F7" w:rsidP="00F279F7">
            <w:pPr>
              <w:widowControl/>
              <w:adjustRightInd w:val="0"/>
              <w:snapToGrid w:val="0"/>
              <w:jc w:val="center"/>
              <w:rPr>
                <w:rFonts w:eastAsia="標楷體"/>
                <w:b/>
                <w:kern w:val="0"/>
              </w:rPr>
            </w:pPr>
            <w:r w:rsidRPr="00131B9D">
              <w:rPr>
                <w:rFonts w:eastAsia="標楷體"/>
                <w:b/>
                <w:kern w:val="0"/>
              </w:rPr>
              <w:t>LME</w:t>
            </w:r>
            <w:r w:rsidRPr="00131B9D">
              <w:rPr>
                <w:rFonts w:eastAsia="標楷體"/>
                <w:b/>
                <w:kern w:val="0"/>
              </w:rPr>
              <w:t>統計</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F279F7" w:rsidRPr="00131B9D" w:rsidRDefault="00F279F7" w:rsidP="00F279F7">
            <w:pPr>
              <w:widowControl/>
              <w:adjustRightInd w:val="0"/>
              <w:snapToGrid w:val="0"/>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F279F7" w:rsidRPr="00131B9D" w:rsidRDefault="00F279F7" w:rsidP="00F279F7">
            <w:pPr>
              <w:widowControl/>
              <w:adjustRightInd w:val="0"/>
              <w:snapToGrid w:val="0"/>
              <w:jc w:val="center"/>
              <w:rPr>
                <w:rFonts w:eastAsia="標楷體"/>
                <w:b/>
                <w:kern w:val="0"/>
              </w:rPr>
            </w:pPr>
            <w:r w:rsidRPr="00131B9D">
              <w:rPr>
                <w:rFonts w:eastAsia="標楷體"/>
                <w:b/>
                <w:kern w:val="0"/>
              </w:rPr>
              <w:t>變動量</w:t>
            </w:r>
          </w:p>
        </w:tc>
      </w:tr>
      <w:tr w:rsidR="00F279F7" w:rsidRPr="00131B9D" w:rsidTr="00F279F7">
        <w:trPr>
          <w:trHeight w:val="330"/>
          <w:jc w:val="center"/>
        </w:trPr>
        <w:tc>
          <w:tcPr>
            <w:tcW w:w="5458" w:type="dxa"/>
            <w:gridSpan w:val="3"/>
            <w:shd w:val="clear" w:color="auto" w:fill="D9D9D9" w:themeFill="background1" w:themeFillShade="D9"/>
            <w:noWrap/>
            <w:vAlign w:val="center"/>
          </w:tcPr>
          <w:p w:rsidR="00F279F7" w:rsidRPr="00131B9D" w:rsidRDefault="00F279F7" w:rsidP="00F279F7">
            <w:pPr>
              <w:adjustRightInd w:val="0"/>
              <w:snapToGrid w:val="0"/>
              <w:jc w:val="center"/>
              <w:rPr>
                <w:color w:val="000000"/>
              </w:rPr>
            </w:pPr>
            <w:r w:rsidRPr="00131B9D">
              <w:rPr>
                <w:rFonts w:eastAsia="標楷體"/>
                <w:kern w:val="0"/>
                <w:sz w:val="23"/>
                <w:szCs w:val="23"/>
              </w:rPr>
              <w:t>2014</w:t>
            </w:r>
            <w:r w:rsidRPr="00131B9D">
              <w:rPr>
                <w:rFonts w:eastAsia="標楷體"/>
                <w:kern w:val="0"/>
                <w:sz w:val="23"/>
                <w:szCs w:val="23"/>
              </w:rPr>
              <w:t>年</w:t>
            </w:r>
          </w:p>
        </w:tc>
      </w:tr>
      <w:tr w:rsidR="00F279F7" w:rsidRPr="00131B9D" w:rsidTr="00F279F7">
        <w:trPr>
          <w:trHeight w:val="330"/>
          <w:jc w:val="center"/>
        </w:trPr>
        <w:tc>
          <w:tcPr>
            <w:tcW w:w="2198" w:type="dxa"/>
            <w:tcBorders>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1</w:t>
            </w:r>
            <w:r w:rsidRPr="00131B9D">
              <w:rPr>
                <w:rFonts w:eastAsia="標楷體"/>
                <w:kern w:val="0"/>
              </w:rPr>
              <w:t>月</w:t>
            </w:r>
          </w:p>
        </w:tc>
        <w:tc>
          <w:tcPr>
            <w:tcW w:w="1842" w:type="dxa"/>
            <w:tcBorders>
              <w:left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 xml:space="preserve">266,538 </w:t>
            </w:r>
          </w:p>
        </w:tc>
        <w:tc>
          <w:tcPr>
            <w:tcW w:w="1418" w:type="dxa"/>
            <w:tcBorders>
              <w:lef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1.87%</w:t>
            </w:r>
          </w:p>
        </w:tc>
      </w:tr>
      <w:tr w:rsidR="00F279F7" w:rsidRPr="00131B9D" w:rsidTr="00F279F7">
        <w:trPr>
          <w:trHeight w:val="330"/>
          <w:jc w:val="center"/>
        </w:trPr>
        <w:tc>
          <w:tcPr>
            <w:tcW w:w="2198" w:type="dxa"/>
            <w:tcBorders>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2</w:t>
            </w:r>
            <w:r w:rsidRPr="00131B9D">
              <w:rPr>
                <w:rFonts w:eastAsia="標楷體"/>
                <w:kern w:val="0"/>
              </w:rPr>
              <w:t>月</w:t>
            </w:r>
          </w:p>
        </w:tc>
        <w:tc>
          <w:tcPr>
            <w:tcW w:w="1842" w:type="dxa"/>
            <w:tcBorders>
              <w:left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 xml:space="preserve">270,618 </w:t>
            </w:r>
          </w:p>
        </w:tc>
        <w:tc>
          <w:tcPr>
            <w:tcW w:w="1418" w:type="dxa"/>
            <w:tcBorders>
              <w:lef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1.53%</w:t>
            </w:r>
          </w:p>
        </w:tc>
      </w:tr>
      <w:tr w:rsidR="00F279F7" w:rsidRPr="00131B9D" w:rsidTr="00F279F7">
        <w:trPr>
          <w:trHeight w:val="330"/>
          <w:jc w:val="center"/>
        </w:trPr>
        <w:tc>
          <w:tcPr>
            <w:tcW w:w="2198" w:type="dxa"/>
            <w:tcBorders>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3</w:t>
            </w:r>
            <w:r w:rsidRPr="00131B9D">
              <w:rPr>
                <w:rFonts w:eastAsia="標楷體"/>
                <w:kern w:val="0"/>
              </w:rPr>
              <w:t>月</w:t>
            </w:r>
          </w:p>
        </w:tc>
        <w:tc>
          <w:tcPr>
            <w:tcW w:w="1842" w:type="dxa"/>
            <w:tcBorders>
              <w:left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 xml:space="preserve">284,694 </w:t>
            </w:r>
          </w:p>
        </w:tc>
        <w:tc>
          <w:tcPr>
            <w:tcW w:w="1418" w:type="dxa"/>
            <w:tcBorders>
              <w:lef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5.20%</w:t>
            </w:r>
          </w:p>
        </w:tc>
      </w:tr>
      <w:tr w:rsidR="00F279F7" w:rsidRPr="00131B9D" w:rsidTr="00F279F7">
        <w:trPr>
          <w:trHeight w:val="330"/>
          <w:jc w:val="center"/>
        </w:trPr>
        <w:tc>
          <w:tcPr>
            <w:tcW w:w="2198" w:type="dxa"/>
            <w:tcBorders>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4</w:t>
            </w:r>
            <w:r w:rsidRPr="00131B9D">
              <w:rPr>
                <w:rFonts w:eastAsia="標楷體"/>
                <w:kern w:val="0"/>
              </w:rPr>
              <w:t>月</w:t>
            </w:r>
          </w:p>
        </w:tc>
        <w:tc>
          <w:tcPr>
            <w:tcW w:w="1842" w:type="dxa"/>
            <w:tcBorders>
              <w:left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 xml:space="preserve">276,846 </w:t>
            </w:r>
          </w:p>
        </w:tc>
        <w:tc>
          <w:tcPr>
            <w:tcW w:w="1418" w:type="dxa"/>
            <w:tcBorders>
              <w:left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-2.76%</w:t>
            </w:r>
          </w:p>
        </w:tc>
      </w:tr>
      <w:tr w:rsidR="00F279F7" w:rsidRPr="00131B9D" w:rsidTr="00F279F7">
        <w:trPr>
          <w:trHeight w:val="330"/>
          <w:jc w:val="center"/>
        </w:trPr>
        <w:tc>
          <w:tcPr>
            <w:tcW w:w="2198" w:type="dxa"/>
            <w:tcBorders>
              <w:bottom w:val="single" w:sz="4" w:space="0" w:color="auto"/>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5</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pPr>
            <w:r w:rsidRPr="00131B9D">
              <w:rPr>
                <w:color w:val="000000"/>
              </w:rPr>
              <w:t xml:space="preserve">284,436 </w:t>
            </w:r>
          </w:p>
        </w:tc>
        <w:tc>
          <w:tcPr>
            <w:tcW w:w="1418" w:type="dxa"/>
            <w:tcBorders>
              <w:left w:val="single" w:sz="4" w:space="0" w:color="auto"/>
              <w:bottom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2.74%</w:t>
            </w:r>
          </w:p>
        </w:tc>
      </w:tr>
      <w:tr w:rsidR="00F279F7" w:rsidRPr="00131B9D" w:rsidTr="00F279F7">
        <w:trPr>
          <w:trHeight w:val="330"/>
          <w:jc w:val="center"/>
        </w:trPr>
        <w:tc>
          <w:tcPr>
            <w:tcW w:w="2198" w:type="dxa"/>
            <w:tcBorders>
              <w:bottom w:val="single" w:sz="4" w:space="0" w:color="auto"/>
              <w:right w:val="single" w:sz="4" w:space="0" w:color="auto"/>
            </w:tcBorders>
            <w:shd w:val="clear" w:color="auto" w:fill="auto"/>
            <w:noWrap/>
            <w:vAlign w:val="center"/>
          </w:tcPr>
          <w:p w:rsidR="00F279F7" w:rsidRPr="00131B9D" w:rsidRDefault="00F279F7" w:rsidP="00F279F7">
            <w:pPr>
              <w:widowControl/>
              <w:adjustRightInd w:val="0"/>
              <w:snapToGrid w:val="0"/>
              <w:jc w:val="center"/>
            </w:pPr>
            <w:r w:rsidRPr="00131B9D">
              <w:rPr>
                <w:rFonts w:eastAsia="標楷體"/>
                <w:kern w:val="0"/>
              </w:rPr>
              <w:t>6</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pPr>
            <w:r w:rsidRPr="00131B9D">
              <w:rPr>
                <w:color w:val="000000"/>
              </w:rPr>
              <w:t xml:space="preserve">304,890 </w:t>
            </w:r>
          </w:p>
        </w:tc>
        <w:tc>
          <w:tcPr>
            <w:tcW w:w="1418" w:type="dxa"/>
            <w:tcBorders>
              <w:left w:val="single" w:sz="4" w:space="0" w:color="auto"/>
              <w:bottom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7.19%</w:t>
            </w:r>
          </w:p>
        </w:tc>
      </w:tr>
      <w:tr w:rsidR="00F279F7" w:rsidRPr="00131B9D" w:rsidTr="00F279F7">
        <w:trPr>
          <w:trHeight w:val="330"/>
          <w:jc w:val="center"/>
        </w:trPr>
        <w:tc>
          <w:tcPr>
            <w:tcW w:w="2198" w:type="dxa"/>
            <w:tcBorders>
              <w:bottom w:val="single" w:sz="4" w:space="0" w:color="auto"/>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7</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pPr>
            <w:r w:rsidRPr="00131B9D">
              <w:rPr>
                <w:color w:val="000000"/>
              </w:rPr>
              <w:t xml:space="preserve">315,798 </w:t>
            </w:r>
          </w:p>
        </w:tc>
        <w:tc>
          <w:tcPr>
            <w:tcW w:w="1418" w:type="dxa"/>
            <w:tcBorders>
              <w:left w:val="single" w:sz="4" w:space="0" w:color="auto"/>
              <w:bottom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3.58%</w:t>
            </w:r>
          </w:p>
        </w:tc>
      </w:tr>
      <w:tr w:rsidR="00F279F7" w:rsidRPr="00131B9D" w:rsidTr="00F279F7">
        <w:trPr>
          <w:trHeight w:val="330"/>
          <w:jc w:val="center"/>
        </w:trPr>
        <w:tc>
          <w:tcPr>
            <w:tcW w:w="2198" w:type="dxa"/>
            <w:tcBorders>
              <w:bottom w:val="single" w:sz="4" w:space="0" w:color="auto"/>
              <w:right w:val="single" w:sz="4" w:space="0" w:color="auto"/>
            </w:tcBorders>
            <w:shd w:val="clear" w:color="auto" w:fill="auto"/>
            <w:noWrap/>
            <w:vAlign w:val="center"/>
          </w:tcPr>
          <w:p w:rsidR="00F279F7" w:rsidRPr="00131B9D" w:rsidRDefault="00F279F7" w:rsidP="00F279F7">
            <w:pPr>
              <w:widowControl/>
              <w:adjustRightInd w:val="0"/>
              <w:snapToGrid w:val="0"/>
              <w:jc w:val="center"/>
              <w:rPr>
                <w:rFonts w:eastAsia="標楷體"/>
                <w:kern w:val="0"/>
              </w:rPr>
            </w:pPr>
            <w:r w:rsidRPr="00131B9D">
              <w:rPr>
                <w:rFonts w:eastAsia="標楷體"/>
                <w:kern w:val="0"/>
              </w:rPr>
              <w:t>8</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adjustRightInd w:val="0"/>
              <w:snapToGrid w:val="0"/>
              <w:jc w:val="center"/>
            </w:pPr>
            <w:r w:rsidRPr="00131B9D">
              <w:rPr>
                <w:color w:val="000000"/>
              </w:rPr>
              <w:t xml:space="preserve">329,136 </w:t>
            </w:r>
          </w:p>
        </w:tc>
        <w:tc>
          <w:tcPr>
            <w:tcW w:w="1418" w:type="dxa"/>
            <w:tcBorders>
              <w:left w:val="single" w:sz="4" w:space="0" w:color="auto"/>
              <w:bottom w:val="single" w:sz="4" w:space="0" w:color="auto"/>
            </w:tcBorders>
            <w:shd w:val="clear" w:color="auto" w:fill="auto"/>
            <w:noWrap/>
            <w:vAlign w:val="center"/>
          </w:tcPr>
          <w:p w:rsidR="00F279F7" w:rsidRPr="00131B9D" w:rsidRDefault="00F279F7" w:rsidP="00F279F7">
            <w:pPr>
              <w:adjustRightInd w:val="0"/>
              <w:snapToGrid w:val="0"/>
              <w:jc w:val="center"/>
              <w:rPr>
                <w:color w:val="000000"/>
              </w:rPr>
            </w:pPr>
            <w:r w:rsidRPr="00131B9D">
              <w:rPr>
                <w:color w:val="000000"/>
              </w:rPr>
              <w:t>4.22%</w:t>
            </w:r>
          </w:p>
        </w:tc>
      </w:tr>
    </w:tbl>
    <w:p w:rsidR="003B29E8" w:rsidRPr="00131B9D" w:rsidRDefault="0099219E" w:rsidP="0099219E">
      <w:pPr>
        <w:spacing w:line="0" w:lineRule="atLeast"/>
        <w:jc w:val="center"/>
      </w:pPr>
      <w:r w:rsidRPr="00131B9D">
        <w:rPr>
          <w:rFonts w:eastAsia="標楷體"/>
          <w:b/>
          <w:bCs/>
          <w:kern w:val="52"/>
          <w:sz w:val="28"/>
          <w:szCs w:val="28"/>
        </w:rPr>
        <w:lastRenderedPageBreak/>
        <w:t>表</w:t>
      </w:r>
      <w:r w:rsidRPr="00131B9D">
        <w:rPr>
          <w:rFonts w:eastAsia="標楷體"/>
          <w:b/>
          <w:bCs/>
          <w:kern w:val="52"/>
          <w:sz w:val="28"/>
          <w:szCs w:val="28"/>
        </w:rPr>
        <w:t>3-8</w:t>
      </w:r>
      <w:r w:rsidRPr="00131B9D">
        <w:rPr>
          <w:rFonts w:eastAsia="標楷體"/>
          <w:b/>
          <w:bCs/>
          <w:kern w:val="52"/>
          <w:sz w:val="28"/>
          <w:szCs w:val="28"/>
        </w:rPr>
        <w:t xml:space="preserve">　全球鎳市供需概況</w:t>
      </w:r>
      <w:r w:rsidRPr="00131B9D">
        <w:rPr>
          <w:rFonts w:eastAsia="標楷體"/>
          <w:b/>
          <w:bCs/>
          <w:kern w:val="52"/>
          <w:sz w:val="28"/>
          <w:szCs w:val="28"/>
        </w:rPr>
        <w:t>(</w:t>
      </w:r>
      <w:r w:rsidRPr="00131B9D">
        <w:rPr>
          <w:rFonts w:eastAsia="標楷體"/>
          <w:b/>
          <w:bCs/>
          <w:kern w:val="52"/>
          <w:sz w:val="28"/>
          <w:szCs w:val="28"/>
        </w:rPr>
        <w:t>續</w:t>
      </w:r>
      <w:r w:rsidRPr="00131B9D">
        <w:rPr>
          <w:rFonts w:eastAsia="標楷體"/>
          <w:b/>
          <w:bCs/>
          <w:kern w:val="52"/>
          <w:sz w:val="28"/>
          <w:szCs w:val="28"/>
        </w:rPr>
        <w:t>)</w:t>
      </w:r>
    </w:p>
    <w:tbl>
      <w:tblPr>
        <w:tblW w:w="5458"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198"/>
        <w:gridCol w:w="1842"/>
        <w:gridCol w:w="1418"/>
      </w:tblGrid>
      <w:tr w:rsidR="0099219E" w:rsidRPr="00131B9D" w:rsidTr="00B22890">
        <w:trPr>
          <w:trHeight w:val="330"/>
          <w:jc w:val="center"/>
        </w:trPr>
        <w:tc>
          <w:tcPr>
            <w:tcW w:w="219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99219E" w:rsidRPr="00131B9D" w:rsidRDefault="0099219E" w:rsidP="00B22890">
            <w:pPr>
              <w:widowControl/>
              <w:adjustRightInd w:val="0"/>
              <w:snapToGrid w:val="0"/>
              <w:jc w:val="center"/>
              <w:rPr>
                <w:rFonts w:eastAsia="標楷體"/>
                <w:b/>
                <w:kern w:val="0"/>
              </w:rPr>
            </w:pPr>
            <w:r w:rsidRPr="00131B9D">
              <w:rPr>
                <w:rFonts w:eastAsia="標楷體"/>
                <w:b/>
                <w:kern w:val="0"/>
              </w:rPr>
              <w:t>LME</w:t>
            </w:r>
            <w:r w:rsidRPr="00131B9D">
              <w:rPr>
                <w:rFonts w:eastAsia="標楷體"/>
                <w:b/>
                <w:kern w:val="0"/>
              </w:rPr>
              <w:t>統計</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99219E" w:rsidRPr="00131B9D" w:rsidRDefault="0099219E" w:rsidP="00B22890">
            <w:pPr>
              <w:widowControl/>
              <w:adjustRightInd w:val="0"/>
              <w:snapToGrid w:val="0"/>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99219E" w:rsidRPr="00131B9D" w:rsidRDefault="0099219E" w:rsidP="00B22890">
            <w:pPr>
              <w:widowControl/>
              <w:adjustRightInd w:val="0"/>
              <w:snapToGrid w:val="0"/>
              <w:jc w:val="center"/>
              <w:rPr>
                <w:rFonts w:eastAsia="標楷體"/>
                <w:b/>
                <w:kern w:val="0"/>
              </w:rPr>
            </w:pPr>
            <w:r w:rsidRPr="00131B9D">
              <w:rPr>
                <w:rFonts w:eastAsia="標楷體"/>
                <w:b/>
                <w:kern w:val="0"/>
              </w:rPr>
              <w:t>變動量</w:t>
            </w:r>
          </w:p>
        </w:tc>
      </w:tr>
      <w:tr w:rsidR="0099219E" w:rsidRPr="00131B9D" w:rsidTr="00B22890">
        <w:trPr>
          <w:trHeight w:val="330"/>
          <w:jc w:val="center"/>
        </w:trPr>
        <w:tc>
          <w:tcPr>
            <w:tcW w:w="5458" w:type="dxa"/>
            <w:gridSpan w:val="3"/>
            <w:shd w:val="clear" w:color="auto" w:fill="D9D9D9" w:themeFill="background1" w:themeFillShade="D9"/>
            <w:noWrap/>
            <w:vAlign w:val="center"/>
          </w:tcPr>
          <w:p w:rsidR="0099219E" w:rsidRPr="00131B9D" w:rsidRDefault="0099219E" w:rsidP="00B22890">
            <w:pPr>
              <w:adjustRightInd w:val="0"/>
              <w:snapToGrid w:val="0"/>
              <w:jc w:val="center"/>
              <w:rPr>
                <w:color w:val="000000"/>
              </w:rPr>
            </w:pPr>
            <w:r w:rsidRPr="00131B9D">
              <w:rPr>
                <w:rFonts w:eastAsia="標楷體"/>
                <w:kern w:val="0"/>
                <w:sz w:val="23"/>
                <w:szCs w:val="23"/>
              </w:rPr>
              <w:t>2014</w:t>
            </w:r>
            <w:r w:rsidRPr="00131B9D">
              <w:rPr>
                <w:rFonts w:eastAsia="標楷體"/>
                <w:kern w:val="0"/>
                <w:sz w:val="23"/>
                <w:szCs w:val="23"/>
              </w:rPr>
              <w:t>年</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9</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356,040 </w:t>
            </w:r>
          </w:p>
        </w:tc>
        <w:tc>
          <w:tcPr>
            <w:tcW w:w="1418"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8.17%</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10</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383,442 </w:t>
            </w:r>
          </w:p>
        </w:tc>
        <w:tc>
          <w:tcPr>
            <w:tcW w:w="1418"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7.70%</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11</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404,496 </w:t>
            </w:r>
          </w:p>
        </w:tc>
        <w:tc>
          <w:tcPr>
            <w:tcW w:w="1418"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5.49%</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12</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413,148 </w:t>
            </w:r>
          </w:p>
        </w:tc>
        <w:tc>
          <w:tcPr>
            <w:tcW w:w="1418"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2.14%</w:t>
            </w:r>
          </w:p>
        </w:tc>
      </w:tr>
      <w:tr w:rsidR="0099219E" w:rsidRPr="00131B9D" w:rsidTr="00B22890">
        <w:trPr>
          <w:trHeight w:val="330"/>
          <w:jc w:val="center"/>
        </w:trPr>
        <w:tc>
          <w:tcPr>
            <w:tcW w:w="5458" w:type="dxa"/>
            <w:gridSpan w:val="3"/>
            <w:tcBorders>
              <w:bottom w:val="single" w:sz="4" w:space="0" w:color="auto"/>
            </w:tcBorders>
            <w:shd w:val="clear" w:color="auto" w:fill="D9D9D9" w:themeFill="background1" w:themeFillShade="D9"/>
            <w:noWrap/>
            <w:vAlign w:val="center"/>
          </w:tcPr>
          <w:p w:rsidR="0099219E" w:rsidRPr="00131B9D" w:rsidRDefault="0099219E" w:rsidP="00B22890">
            <w:pPr>
              <w:adjustRightInd w:val="0"/>
              <w:snapToGrid w:val="0"/>
              <w:jc w:val="center"/>
              <w:rPr>
                <w:color w:val="000000"/>
              </w:rPr>
            </w:pPr>
            <w:r w:rsidRPr="00131B9D">
              <w:rPr>
                <w:rFonts w:eastAsia="標楷體"/>
                <w:kern w:val="0"/>
                <w:sz w:val="23"/>
                <w:szCs w:val="23"/>
              </w:rPr>
              <w:t>2015</w:t>
            </w:r>
            <w:r w:rsidRPr="00131B9D">
              <w:rPr>
                <w:rFonts w:eastAsia="標楷體"/>
                <w:kern w:val="0"/>
                <w:sz w:val="23"/>
                <w:szCs w:val="23"/>
              </w:rPr>
              <w:t>年</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1</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rPr>
                <w:color w:val="000000"/>
              </w:rPr>
              <w:t xml:space="preserve">426,240 </w:t>
            </w:r>
          </w:p>
        </w:tc>
        <w:tc>
          <w:tcPr>
            <w:tcW w:w="1418"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3.17%</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Del="006C65F6" w:rsidRDefault="0099219E" w:rsidP="00B22890">
            <w:pPr>
              <w:widowControl/>
              <w:adjustRightInd w:val="0"/>
              <w:snapToGrid w:val="0"/>
              <w:jc w:val="center"/>
              <w:rPr>
                <w:rFonts w:eastAsia="標楷體"/>
                <w:kern w:val="0"/>
              </w:rPr>
            </w:pPr>
            <w:r w:rsidRPr="00131B9D">
              <w:rPr>
                <w:rFonts w:eastAsia="標楷體"/>
                <w:kern w:val="0"/>
              </w:rPr>
              <w:t>2</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Del="006C65F6" w:rsidRDefault="0099219E" w:rsidP="00B22890">
            <w:pPr>
              <w:adjustRightInd w:val="0"/>
              <w:snapToGrid w:val="0"/>
              <w:jc w:val="center"/>
              <w:rPr>
                <w:color w:val="000000"/>
              </w:rPr>
            </w:pPr>
            <w:r w:rsidRPr="00131B9D">
              <w:rPr>
                <w:color w:val="000000"/>
              </w:rPr>
              <w:t xml:space="preserve">428,676 </w:t>
            </w:r>
          </w:p>
        </w:tc>
        <w:tc>
          <w:tcPr>
            <w:tcW w:w="1418" w:type="dxa"/>
            <w:tcBorders>
              <w:left w:val="single" w:sz="4" w:space="0" w:color="auto"/>
              <w:bottom w:val="single" w:sz="4" w:space="0" w:color="auto"/>
            </w:tcBorders>
            <w:shd w:val="clear" w:color="auto" w:fill="auto"/>
            <w:noWrap/>
            <w:vAlign w:val="center"/>
          </w:tcPr>
          <w:p w:rsidR="0099219E" w:rsidRPr="00131B9D" w:rsidDel="006C65F6" w:rsidRDefault="0099219E" w:rsidP="00B22890">
            <w:pPr>
              <w:adjustRightInd w:val="0"/>
              <w:snapToGrid w:val="0"/>
              <w:jc w:val="center"/>
              <w:rPr>
                <w:color w:val="000000"/>
              </w:rPr>
            </w:pPr>
            <w:r w:rsidRPr="00131B9D">
              <w:rPr>
                <w:color w:val="000000"/>
              </w:rPr>
              <w:t>0.57%</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Del="006C65F6" w:rsidRDefault="0099219E" w:rsidP="00B22890">
            <w:pPr>
              <w:widowControl/>
              <w:adjustRightInd w:val="0"/>
              <w:snapToGrid w:val="0"/>
              <w:jc w:val="center"/>
              <w:rPr>
                <w:rFonts w:eastAsia="標楷體"/>
                <w:kern w:val="0"/>
              </w:rPr>
            </w:pPr>
            <w:r w:rsidRPr="00131B9D">
              <w:rPr>
                <w:rFonts w:eastAsia="標楷體"/>
                <w:kern w:val="0"/>
              </w:rPr>
              <w:t>3</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Del="006C65F6" w:rsidRDefault="0099219E" w:rsidP="00B22890">
            <w:pPr>
              <w:adjustRightInd w:val="0"/>
              <w:snapToGrid w:val="0"/>
              <w:jc w:val="center"/>
              <w:rPr>
                <w:rFonts w:eastAsia="標楷體"/>
                <w:kern w:val="0"/>
              </w:rPr>
            </w:pPr>
            <w:r w:rsidRPr="00131B9D">
              <w:t>433,806</w:t>
            </w:r>
          </w:p>
        </w:tc>
        <w:tc>
          <w:tcPr>
            <w:tcW w:w="1418" w:type="dxa"/>
            <w:tcBorders>
              <w:left w:val="single" w:sz="4" w:space="0" w:color="auto"/>
              <w:bottom w:val="single" w:sz="4" w:space="0" w:color="auto"/>
            </w:tcBorders>
            <w:shd w:val="clear" w:color="auto" w:fill="auto"/>
            <w:noWrap/>
            <w:vAlign w:val="center"/>
          </w:tcPr>
          <w:p w:rsidR="0099219E" w:rsidRPr="00131B9D" w:rsidDel="006C65F6" w:rsidRDefault="0099219E" w:rsidP="00B22890">
            <w:pPr>
              <w:adjustRightInd w:val="0"/>
              <w:snapToGrid w:val="0"/>
              <w:jc w:val="center"/>
              <w:rPr>
                <w:rFonts w:eastAsia="標楷體"/>
                <w:kern w:val="0"/>
              </w:rPr>
            </w:pPr>
            <w:r w:rsidRPr="00131B9D">
              <w:rPr>
                <w:color w:val="000000"/>
              </w:rPr>
              <w:t>1.20%</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Del="006C65F6" w:rsidRDefault="0099219E" w:rsidP="00B22890">
            <w:pPr>
              <w:widowControl/>
              <w:adjustRightInd w:val="0"/>
              <w:snapToGrid w:val="0"/>
              <w:jc w:val="center"/>
              <w:rPr>
                <w:rFonts w:eastAsia="標楷體"/>
                <w:kern w:val="0"/>
              </w:rPr>
            </w:pPr>
            <w:r w:rsidRPr="00131B9D">
              <w:rPr>
                <w:rFonts w:eastAsia="標楷體"/>
                <w:kern w:val="0"/>
              </w:rPr>
              <w:t>4</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Del="006C65F6" w:rsidRDefault="0099219E" w:rsidP="00B22890">
            <w:pPr>
              <w:adjustRightInd w:val="0"/>
              <w:snapToGrid w:val="0"/>
              <w:jc w:val="center"/>
              <w:rPr>
                <w:rFonts w:eastAsia="標楷體"/>
                <w:kern w:val="0"/>
              </w:rPr>
            </w:pPr>
            <w:r w:rsidRPr="00131B9D">
              <w:t>444,756</w:t>
            </w:r>
          </w:p>
        </w:tc>
        <w:tc>
          <w:tcPr>
            <w:tcW w:w="1418" w:type="dxa"/>
            <w:tcBorders>
              <w:left w:val="single" w:sz="4" w:space="0" w:color="auto"/>
              <w:bottom w:val="single" w:sz="4" w:space="0" w:color="auto"/>
            </w:tcBorders>
            <w:shd w:val="clear" w:color="auto" w:fill="auto"/>
            <w:noWrap/>
            <w:vAlign w:val="center"/>
          </w:tcPr>
          <w:p w:rsidR="0099219E" w:rsidRPr="00131B9D" w:rsidDel="006C65F6" w:rsidRDefault="0099219E" w:rsidP="00B22890">
            <w:pPr>
              <w:adjustRightInd w:val="0"/>
              <w:snapToGrid w:val="0"/>
              <w:jc w:val="center"/>
              <w:rPr>
                <w:rFonts w:eastAsia="標楷體"/>
                <w:kern w:val="0"/>
              </w:rPr>
            </w:pPr>
            <w:r w:rsidRPr="00131B9D">
              <w:rPr>
                <w:color w:val="000000"/>
              </w:rPr>
              <w:t>2.52%</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5</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t>464,364</w:t>
            </w:r>
          </w:p>
        </w:tc>
        <w:tc>
          <w:tcPr>
            <w:tcW w:w="1418"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4.41%</w:t>
            </w:r>
          </w:p>
        </w:tc>
      </w:tr>
      <w:tr w:rsidR="0099219E" w:rsidRPr="00131B9D" w:rsidTr="00B22890">
        <w:trPr>
          <w:trHeight w:val="330"/>
          <w:jc w:val="center"/>
        </w:trPr>
        <w:tc>
          <w:tcPr>
            <w:tcW w:w="2198" w:type="dxa"/>
            <w:tcBorders>
              <w:bottom w:val="single" w:sz="4" w:space="0" w:color="auto"/>
              <w:right w:val="single" w:sz="4" w:space="0" w:color="auto"/>
            </w:tcBorders>
            <w:shd w:val="clear" w:color="auto" w:fill="auto"/>
            <w:noWrap/>
            <w:vAlign w:val="center"/>
          </w:tcPr>
          <w:p w:rsidR="0099219E" w:rsidRPr="00131B9D" w:rsidRDefault="0099219E" w:rsidP="00B22890">
            <w:pPr>
              <w:widowControl/>
              <w:adjustRightInd w:val="0"/>
              <w:snapToGrid w:val="0"/>
              <w:jc w:val="center"/>
              <w:rPr>
                <w:rFonts w:eastAsia="標楷體"/>
                <w:kern w:val="0"/>
              </w:rPr>
            </w:pPr>
            <w:r w:rsidRPr="00131B9D">
              <w:rPr>
                <w:rFonts w:eastAsia="標楷體"/>
                <w:kern w:val="0"/>
              </w:rPr>
              <w:t>6</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99219E" w:rsidRPr="00131B9D" w:rsidRDefault="0099219E" w:rsidP="00B22890">
            <w:pPr>
              <w:adjustRightInd w:val="0"/>
              <w:snapToGrid w:val="0"/>
              <w:jc w:val="center"/>
            </w:pPr>
            <w:r w:rsidRPr="00131B9D">
              <w:t>456,438</w:t>
            </w:r>
          </w:p>
        </w:tc>
        <w:tc>
          <w:tcPr>
            <w:tcW w:w="1418" w:type="dxa"/>
            <w:tcBorders>
              <w:left w:val="single" w:sz="4" w:space="0" w:color="auto"/>
              <w:bottom w:val="single" w:sz="4" w:space="0" w:color="auto"/>
            </w:tcBorders>
            <w:shd w:val="clear" w:color="auto" w:fill="auto"/>
            <w:noWrap/>
            <w:vAlign w:val="center"/>
          </w:tcPr>
          <w:p w:rsidR="0099219E" w:rsidRPr="00131B9D" w:rsidRDefault="0099219E" w:rsidP="00B22890">
            <w:pPr>
              <w:adjustRightInd w:val="0"/>
              <w:snapToGrid w:val="0"/>
              <w:jc w:val="center"/>
              <w:rPr>
                <w:color w:val="000000"/>
              </w:rPr>
            </w:pPr>
            <w:r w:rsidRPr="00131B9D">
              <w:rPr>
                <w:color w:val="000000"/>
              </w:rPr>
              <w:t>-1.71%</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7</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315,798 </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3.58%</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8</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329,136 </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4.22%</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9</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356,040 </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8.17%</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10</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383,442 </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7.70%</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11</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404,496 </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5.49%</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12</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413,148 </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2.14%</w:t>
            </w:r>
          </w:p>
        </w:tc>
      </w:tr>
      <w:tr w:rsidR="003B29E8" w:rsidRPr="00131B9D" w:rsidTr="00CD56C1">
        <w:trPr>
          <w:trHeight w:val="330"/>
          <w:jc w:val="center"/>
        </w:trPr>
        <w:tc>
          <w:tcPr>
            <w:tcW w:w="5458" w:type="dxa"/>
            <w:gridSpan w:val="3"/>
            <w:tcBorders>
              <w:bottom w:val="single" w:sz="4" w:space="0" w:color="auto"/>
            </w:tcBorders>
            <w:shd w:val="clear" w:color="auto" w:fill="D9D9D9" w:themeFill="background1" w:themeFillShade="D9"/>
            <w:noWrap/>
            <w:vAlign w:val="center"/>
          </w:tcPr>
          <w:p w:rsidR="003B29E8" w:rsidRPr="00131B9D" w:rsidRDefault="003B29E8" w:rsidP="00CD56C1">
            <w:pPr>
              <w:adjustRightInd w:val="0"/>
              <w:snapToGrid w:val="0"/>
              <w:jc w:val="center"/>
              <w:rPr>
                <w:color w:val="000000"/>
              </w:rPr>
            </w:pPr>
            <w:r w:rsidRPr="00131B9D">
              <w:rPr>
                <w:rFonts w:eastAsia="標楷體"/>
                <w:kern w:val="0"/>
                <w:sz w:val="23"/>
                <w:szCs w:val="23"/>
              </w:rPr>
              <w:t>2015</w:t>
            </w:r>
            <w:r w:rsidRPr="00131B9D">
              <w:rPr>
                <w:rFonts w:eastAsia="標楷體"/>
                <w:kern w:val="0"/>
                <w:sz w:val="23"/>
                <w:szCs w:val="23"/>
              </w:rPr>
              <w:t>年</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rPr>
                <w:color w:val="000000"/>
              </w:rPr>
              <w:t xml:space="preserve">426,240 </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3.17%</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adjustRightInd w:val="0"/>
              <w:snapToGrid w:val="0"/>
              <w:jc w:val="center"/>
              <w:rPr>
                <w:rFonts w:eastAsia="標楷體"/>
                <w:kern w:val="0"/>
              </w:rPr>
            </w:pPr>
            <w:r w:rsidRPr="00131B9D">
              <w:rPr>
                <w:rFonts w:eastAsia="標楷體"/>
                <w:kern w:val="0"/>
              </w:rPr>
              <w:t>2</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Del="006C65F6" w:rsidRDefault="003B29E8" w:rsidP="00CD56C1">
            <w:pPr>
              <w:adjustRightInd w:val="0"/>
              <w:snapToGrid w:val="0"/>
              <w:jc w:val="center"/>
              <w:rPr>
                <w:color w:val="000000"/>
              </w:rPr>
            </w:pPr>
            <w:r w:rsidRPr="00131B9D">
              <w:rPr>
                <w:color w:val="000000"/>
              </w:rPr>
              <w:t xml:space="preserve">428,676 </w:t>
            </w:r>
          </w:p>
        </w:tc>
        <w:tc>
          <w:tcPr>
            <w:tcW w:w="1418"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adjustRightInd w:val="0"/>
              <w:snapToGrid w:val="0"/>
              <w:jc w:val="center"/>
              <w:rPr>
                <w:color w:val="000000"/>
              </w:rPr>
            </w:pPr>
            <w:r w:rsidRPr="00131B9D">
              <w:rPr>
                <w:color w:val="000000"/>
              </w:rPr>
              <w:t>0.57%</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adjustRightInd w:val="0"/>
              <w:snapToGrid w:val="0"/>
              <w:jc w:val="center"/>
              <w:rPr>
                <w:rFonts w:eastAsia="標楷體"/>
                <w:kern w:val="0"/>
              </w:rPr>
            </w:pPr>
            <w:r w:rsidRPr="00131B9D">
              <w:rPr>
                <w:rFonts w:eastAsia="標楷體"/>
                <w:kern w:val="0"/>
              </w:rPr>
              <w:t>3</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Del="006C65F6" w:rsidRDefault="003B29E8" w:rsidP="00CD56C1">
            <w:pPr>
              <w:adjustRightInd w:val="0"/>
              <w:snapToGrid w:val="0"/>
              <w:jc w:val="center"/>
              <w:rPr>
                <w:rFonts w:eastAsia="標楷體"/>
                <w:kern w:val="0"/>
              </w:rPr>
            </w:pPr>
            <w:r w:rsidRPr="00131B9D">
              <w:t>433,806</w:t>
            </w:r>
          </w:p>
        </w:tc>
        <w:tc>
          <w:tcPr>
            <w:tcW w:w="1418"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adjustRightInd w:val="0"/>
              <w:snapToGrid w:val="0"/>
              <w:jc w:val="center"/>
              <w:rPr>
                <w:rFonts w:eastAsia="標楷體"/>
                <w:kern w:val="0"/>
              </w:rPr>
            </w:pPr>
            <w:r w:rsidRPr="00131B9D">
              <w:rPr>
                <w:color w:val="000000"/>
              </w:rPr>
              <w:t>1.20%</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adjustRightInd w:val="0"/>
              <w:snapToGrid w:val="0"/>
              <w:jc w:val="center"/>
              <w:rPr>
                <w:rFonts w:eastAsia="標楷體"/>
                <w:kern w:val="0"/>
              </w:rPr>
            </w:pPr>
            <w:r w:rsidRPr="00131B9D">
              <w:rPr>
                <w:rFonts w:eastAsia="標楷體"/>
                <w:kern w:val="0"/>
              </w:rPr>
              <w:t>4</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Del="006C65F6" w:rsidRDefault="003B29E8" w:rsidP="00CD56C1">
            <w:pPr>
              <w:adjustRightInd w:val="0"/>
              <w:snapToGrid w:val="0"/>
              <w:jc w:val="center"/>
              <w:rPr>
                <w:rFonts w:eastAsia="標楷體"/>
                <w:kern w:val="0"/>
              </w:rPr>
            </w:pPr>
            <w:r w:rsidRPr="00131B9D">
              <w:t>444,756</w:t>
            </w:r>
          </w:p>
        </w:tc>
        <w:tc>
          <w:tcPr>
            <w:tcW w:w="1418"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adjustRightInd w:val="0"/>
              <w:snapToGrid w:val="0"/>
              <w:jc w:val="center"/>
              <w:rPr>
                <w:rFonts w:eastAsia="標楷體"/>
                <w:kern w:val="0"/>
              </w:rPr>
            </w:pPr>
            <w:r w:rsidRPr="00131B9D">
              <w:rPr>
                <w:color w:val="000000"/>
              </w:rPr>
              <w:t>2.52%</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5</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464,364</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4.41%</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6</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456,438</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-1.71%</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7</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460,098</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0.80%</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8</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pPr>
            <w:r w:rsidRPr="00131B9D">
              <w:t>455,166</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color w:val="000000"/>
              </w:rPr>
            </w:pPr>
            <w:r w:rsidRPr="00131B9D">
              <w:rPr>
                <w:color w:val="000000"/>
              </w:rPr>
              <w:t>-1.07%</w:t>
            </w:r>
          </w:p>
        </w:tc>
      </w:tr>
      <w:tr w:rsidR="003B29E8" w:rsidRPr="00131B9D" w:rsidTr="00CD56C1">
        <w:trPr>
          <w:trHeight w:val="330"/>
          <w:jc w:val="center"/>
        </w:trPr>
        <w:tc>
          <w:tcPr>
            <w:tcW w:w="2198" w:type="dxa"/>
            <w:tcBorders>
              <w:bottom w:val="sing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9</w:t>
            </w:r>
            <w:r w:rsidRPr="00131B9D">
              <w:rPr>
                <w:rFonts w:eastAsia="標楷體"/>
                <w:kern w:val="0"/>
              </w:rPr>
              <w:t>月</w:t>
            </w:r>
          </w:p>
        </w:tc>
        <w:tc>
          <w:tcPr>
            <w:tcW w:w="1842"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rPr>
                <w:rFonts w:eastAsia="標楷體"/>
                <w:kern w:val="0"/>
              </w:rPr>
            </w:pPr>
            <w:r w:rsidRPr="00131B9D">
              <w:t>452,070</w:t>
            </w:r>
          </w:p>
        </w:tc>
        <w:tc>
          <w:tcPr>
            <w:tcW w:w="1418" w:type="dxa"/>
            <w:tcBorders>
              <w:left w:val="single" w:sz="4" w:space="0" w:color="auto"/>
              <w:bottom w:val="single" w:sz="4" w:space="0" w:color="auto"/>
            </w:tcBorders>
            <w:shd w:val="clear" w:color="auto" w:fill="auto"/>
            <w:noWrap/>
            <w:vAlign w:val="center"/>
          </w:tcPr>
          <w:p w:rsidR="003B29E8" w:rsidRPr="00131B9D" w:rsidRDefault="003B29E8" w:rsidP="00CD56C1">
            <w:pPr>
              <w:adjustRightInd w:val="0"/>
              <w:snapToGrid w:val="0"/>
              <w:jc w:val="center"/>
              <w:rPr>
                <w:rFonts w:eastAsia="標楷體"/>
                <w:kern w:val="0"/>
              </w:rPr>
            </w:pPr>
            <w:r w:rsidRPr="00131B9D">
              <w:rPr>
                <w:color w:val="000000"/>
              </w:rPr>
              <w:t>-0.68%</w:t>
            </w:r>
          </w:p>
        </w:tc>
      </w:tr>
      <w:tr w:rsidR="003B29E8" w:rsidRPr="00131B9D" w:rsidTr="00CD56C1">
        <w:trPr>
          <w:trHeight w:val="330"/>
          <w:jc w:val="center"/>
        </w:trPr>
        <w:tc>
          <w:tcPr>
            <w:tcW w:w="2198" w:type="dxa"/>
            <w:tcBorders>
              <w:top w:val="single" w:sz="4" w:space="0" w:color="auto"/>
              <w:bottom w:val="double" w:sz="4" w:space="0" w:color="auto"/>
              <w:right w:val="single" w:sz="4" w:space="0" w:color="auto"/>
            </w:tcBorders>
            <w:shd w:val="clear" w:color="auto" w:fill="auto"/>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10</w:t>
            </w:r>
            <w:r w:rsidRPr="00131B9D">
              <w:rPr>
                <w:rFonts w:eastAsia="標楷體"/>
                <w:kern w:val="0"/>
              </w:rPr>
              <w:t>月</w:t>
            </w:r>
          </w:p>
        </w:tc>
        <w:tc>
          <w:tcPr>
            <w:tcW w:w="1842" w:type="dxa"/>
            <w:tcBorders>
              <w:top w:val="single" w:sz="4" w:space="0" w:color="auto"/>
              <w:left w:val="single" w:sz="4" w:space="0" w:color="auto"/>
              <w:bottom w:val="double" w:sz="4" w:space="0" w:color="auto"/>
              <w:right w:val="single" w:sz="4" w:space="0" w:color="auto"/>
            </w:tcBorders>
            <w:shd w:val="clear" w:color="auto" w:fill="auto"/>
            <w:noWrap/>
            <w:vAlign w:val="center"/>
          </w:tcPr>
          <w:p w:rsidR="003B29E8" w:rsidRPr="00131B9D" w:rsidRDefault="003B29E8" w:rsidP="00CD56C1">
            <w:pPr>
              <w:adjustRightInd w:val="0"/>
              <w:snapToGrid w:val="0"/>
              <w:jc w:val="center"/>
              <w:rPr>
                <w:rFonts w:eastAsia="標楷體"/>
                <w:kern w:val="0"/>
              </w:rPr>
            </w:pPr>
            <w:r w:rsidRPr="00131B9D">
              <w:rPr>
                <w:rFonts w:eastAsia="標楷體"/>
                <w:kern w:val="0"/>
              </w:rPr>
              <w:t>426,030</w:t>
            </w:r>
          </w:p>
        </w:tc>
        <w:tc>
          <w:tcPr>
            <w:tcW w:w="1418" w:type="dxa"/>
            <w:tcBorders>
              <w:top w:val="single" w:sz="4" w:space="0" w:color="auto"/>
              <w:left w:val="single" w:sz="4" w:space="0" w:color="auto"/>
              <w:bottom w:val="double" w:sz="4" w:space="0" w:color="auto"/>
            </w:tcBorders>
            <w:shd w:val="clear" w:color="auto" w:fill="auto"/>
            <w:noWrap/>
            <w:vAlign w:val="center"/>
          </w:tcPr>
          <w:p w:rsidR="003B29E8" w:rsidRPr="00131B9D" w:rsidRDefault="003B29E8" w:rsidP="00CD56C1">
            <w:pPr>
              <w:adjustRightInd w:val="0"/>
              <w:snapToGrid w:val="0"/>
              <w:jc w:val="center"/>
              <w:rPr>
                <w:rFonts w:eastAsia="標楷體"/>
                <w:kern w:val="0"/>
              </w:rPr>
            </w:pPr>
            <w:r w:rsidRPr="00131B9D">
              <w:rPr>
                <w:rFonts w:eastAsia="標楷體"/>
                <w:kern w:val="0"/>
              </w:rPr>
              <w:t>-5.76%</w:t>
            </w:r>
          </w:p>
        </w:tc>
      </w:tr>
      <w:tr w:rsidR="003B29E8" w:rsidRPr="00131B9D" w:rsidTr="00CD56C1">
        <w:trPr>
          <w:trHeight w:val="612"/>
          <w:jc w:val="center"/>
        </w:trPr>
        <w:tc>
          <w:tcPr>
            <w:tcW w:w="2198" w:type="dxa"/>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3B29E8" w:rsidRPr="00131B9D" w:rsidRDefault="003B29E8" w:rsidP="00CD56C1">
            <w:pPr>
              <w:widowControl/>
              <w:adjustRightInd w:val="0"/>
              <w:snapToGrid w:val="0"/>
              <w:jc w:val="center"/>
              <w:rPr>
                <w:rFonts w:eastAsia="標楷體"/>
                <w:b/>
                <w:kern w:val="0"/>
              </w:rPr>
            </w:pPr>
            <w:r w:rsidRPr="00131B9D">
              <w:rPr>
                <w:rFonts w:eastAsia="標楷體"/>
                <w:b/>
                <w:kern w:val="0"/>
              </w:rPr>
              <w:t>世界金屬統計（</w:t>
            </w:r>
            <w:r w:rsidRPr="00131B9D">
              <w:rPr>
                <w:rFonts w:eastAsia="標楷體"/>
                <w:b/>
                <w:kern w:val="0"/>
              </w:rPr>
              <w:t>WBMS</w:t>
            </w:r>
            <w:r w:rsidRPr="00131B9D">
              <w:rPr>
                <w:rFonts w:eastAsia="標楷體"/>
                <w:b/>
                <w:kern w:val="0"/>
              </w:rPr>
              <w:t>）</w:t>
            </w:r>
          </w:p>
        </w:tc>
        <w:tc>
          <w:tcPr>
            <w:tcW w:w="3260" w:type="dxa"/>
            <w:gridSpan w:val="2"/>
            <w:tcBorders>
              <w:top w:val="doub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3B29E8" w:rsidRPr="00131B9D" w:rsidRDefault="003B29E8" w:rsidP="00CD56C1">
            <w:pPr>
              <w:widowControl/>
              <w:adjustRightInd w:val="0"/>
              <w:snapToGrid w:val="0"/>
              <w:jc w:val="center"/>
              <w:rPr>
                <w:rFonts w:eastAsia="標楷體"/>
                <w:b/>
                <w:kern w:val="0"/>
              </w:rPr>
            </w:pPr>
            <w:r w:rsidRPr="00131B9D">
              <w:rPr>
                <w:rFonts w:eastAsia="標楷體"/>
                <w:b/>
                <w:kern w:val="0"/>
              </w:rPr>
              <w:t>過剩量</w:t>
            </w:r>
            <w:r w:rsidRPr="00131B9D">
              <w:rPr>
                <w:rFonts w:eastAsia="標楷體"/>
                <w:b/>
                <w:kern w:val="0"/>
              </w:rPr>
              <w:t>(</w:t>
            </w:r>
            <w:r w:rsidRPr="00131B9D">
              <w:rPr>
                <w:rFonts w:eastAsia="標楷體"/>
                <w:b/>
                <w:kern w:val="0"/>
              </w:rPr>
              <w:t>公噸</w:t>
            </w:r>
            <w:r w:rsidRPr="00131B9D">
              <w:rPr>
                <w:rFonts w:eastAsia="標楷體"/>
                <w:b/>
                <w:kern w:val="0"/>
              </w:rPr>
              <w:t>)</w:t>
            </w:r>
          </w:p>
        </w:tc>
      </w:tr>
      <w:tr w:rsidR="003B29E8" w:rsidRPr="00131B9D" w:rsidTr="00CD56C1">
        <w:trPr>
          <w:trHeight w:val="330"/>
          <w:jc w:val="center"/>
        </w:trPr>
        <w:tc>
          <w:tcPr>
            <w:tcW w:w="2198" w:type="dxa"/>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2013</w:t>
            </w:r>
            <w:r w:rsidRPr="00131B9D">
              <w:rPr>
                <w:rFonts w:eastAsia="標楷體"/>
                <w:kern w:val="0"/>
              </w:rPr>
              <w:t>年</w:t>
            </w:r>
            <w:r w:rsidRPr="00131B9D">
              <w:rPr>
                <w:rFonts w:eastAsia="標楷體"/>
                <w:kern w:val="0"/>
              </w:rPr>
              <w:t>1-12</w:t>
            </w:r>
            <w:r w:rsidRPr="00131B9D">
              <w:rPr>
                <w:rFonts w:eastAsia="標楷體"/>
                <w:kern w:val="0"/>
              </w:rPr>
              <w:t>月</w:t>
            </w:r>
          </w:p>
        </w:tc>
        <w:tc>
          <w:tcPr>
            <w:tcW w:w="3260" w:type="dxa"/>
            <w:gridSpan w:val="2"/>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adjustRightInd w:val="0"/>
              <w:snapToGrid w:val="0"/>
              <w:jc w:val="center"/>
              <w:rPr>
                <w:color w:val="000000"/>
                <w:sz w:val="23"/>
                <w:szCs w:val="23"/>
              </w:rPr>
            </w:pPr>
            <w:r w:rsidRPr="00131B9D">
              <w:rPr>
                <w:rFonts w:eastAsia="標楷體"/>
                <w:kern w:val="0"/>
                <w:sz w:val="23"/>
                <w:szCs w:val="23"/>
              </w:rPr>
              <w:t>186,700</w:t>
            </w:r>
          </w:p>
        </w:tc>
      </w:tr>
      <w:tr w:rsidR="003B29E8" w:rsidRPr="00131B9D" w:rsidTr="00CD56C1">
        <w:trPr>
          <w:trHeight w:val="330"/>
          <w:jc w:val="center"/>
        </w:trPr>
        <w:tc>
          <w:tcPr>
            <w:tcW w:w="2198" w:type="dxa"/>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2014</w:t>
            </w:r>
            <w:r w:rsidRPr="00131B9D">
              <w:rPr>
                <w:rFonts w:eastAsia="標楷體"/>
                <w:kern w:val="0"/>
              </w:rPr>
              <w:t>年</w:t>
            </w:r>
            <w:r w:rsidRPr="00131B9D">
              <w:rPr>
                <w:rFonts w:eastAsia="標楷體"/>
                <w:kern w:val="0"/>
              </w:rPr>
              <w:t>1-12</w:t>
            </w:r>
            <w:r w:rsidRPr="00131B9D">
              <w:rPr>
                <w:rFonts w:eastAsia="標楷體"/>
                <w:kern w:val="0"/>
              </w:rPr>
              <w:t>月</w:t>
            </w:r>
          </w:p>
        </w:tc>
        <w:tc>
          <w:tcPr>
            <w:tcW w:w="3260" w:type="dxa"/>
            <w:gridSpan w:val="2"/>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widowControl/>
              <w:adjustRightInd w:val="0"/>
              <w:snapToGrid w:val="0"/>
              <w:jc w:val="center"/>
              <w:rPr>
                <w:color w:val="000000"/>
              </w:rPr>
            </w:pPr>
            <w:r w:rsidRPr="00131B9D">
              <w:rPr>
                <w:rFonts w:eastAsia="標楷體"/>
                <w:kern w:val="0"/>
              </w:rPr>
              <w:t>197,000</w:t>
            </w:r>
          </w:p>
        </w:tc>
      </w:tr>
      <w:tr w:rsidR="003B29E8" w:rsidRPr="00131B9D" w:rsidTr="00CD56C1">
        <w:trPr>
          <w:trHeight w:val="330"/>
          <w:jc w:val="center"/>
        </w:trPr>
        <w:tc>
          <w:tcPr>
            <w:tcW w:w="2198" w:type="dxa"/>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2015</w:t>
            </w:r>
            <w:r w:rsidRPr="00131B9D">
              <w:rPr>
                <w:rFonts w:eastAsia="標楷體"/>
                <w:kern w:val="0"/>
              </w:rPr>
              <w:t>年</w:t>
            </w:r>
            <w:r w:rsidRPr="00131B9D">
              <w:rPr>
                <w:rFonts w:eastAsia="標楷體"/>
                <w:kern w:val="0"/>
              </w:rPr>
              <w:t>1-8</w:t>
            </w:r>
            <w:r w:rsidRPr="00131B9D">
              <w:rPr>
                <w:rFonts w:eastAsia="標楷體"/>
                <w:kern w:val="0"/>
              </w:rPr>
              <w:t>月</w:t>
            </w:r>
          </w:p>
        </w:tc>
        <w:tc>
          <w:tcPr>
            <w:tcW w:w="3260" w:type="dxa"/>
            <w:gridSpan w:val="2"/>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widowControl/>
              <w:adjustRightInd w:val="0"/>
              <w:snapToGrid w:val="0"/>
              <w:jc w:val="center"/>
              <w:rPr>
                <w:rFonts w:eastAsia="標楷體"/>
                <w:kern w:val="0"/>
              </w:rPr>
            </w:pPr>
            <w:r w:rsidRPr="00131B9D">
              <w:rPr>
                <w:rFonts w:eastAsia="標楷體"/>
                <w:kern w:val="0"/>
              </w:rPr>
              <w:t>-18,000</w:t>
            </w:r>
          </w:p>
        </w:tc>
      </w:tr>
    </w:tbl>
    <w:p w:rsidR="00F279F7" w:rsidRPr="00131B9D" w:rsidRDefault="00F279F7" w:rsidP="00F279F7">
      <w:pPr>
        <w:spacing w:line="240" w:lineRule="exact"/>
        <w:ind w:firstLineChars="900" w:firstLine="1800"/>
        <w:rPr>
          <w:rFonts w:eastAsia="標楷體"/>
          <w:kern w:val="0"/>
          <w:sz w:val="20"/>
          <w:szCs w:val="20"/>
        </w:rPr>
      </w:pPr>
      <w:r w:rsidRPr="00131B9D">
        <w:rPr>
          <w:rFonts w:eastAsia="標楷體"/>
          <w:sz w:val="20"/>
          <w:szCs w:val="20"/>
        </w:rPr>
        <w:t>資料來源：</w:t>
      </w:r>
      <w:r w:rsidRPr="00131B9D">
        <w:rPr>
          <w:rFonts w:eastAsia="標楷體"/>
          <w:kern w:val="0"/>
          <w:sz w:val="20"/>
          <w:szCs w:val="20"/>
        </w:rPr>
        <w:t>LME</w:t>
      </w:r>
      <w:r w:rsidRPr="00131B9D">
        <w:rPr>
          <w:rFonts w:eastAsia="標楷體"/>
          <w:kern w:val="0"/>
          <w:sz w:val="20"/>
          <w:szCs w:val="20"/>
        </w:rPr>
        <w:t>統計、世界金屬統計（</w:t>
      </w:r>
      <w:r w:rsidRPr="00131B9D">
        <w:rPr>
          <w:rFonts w:eastAsia="標楷體"/>
          <w:kern w:val="0"/>
          <w:sz w:val="20"/>
          <w:szCs w:val="20"/>
        </w:rPr>
        <w:t>WBMS</w:t>
      </w:r>
      <w:r w:rsidRPr="00131B9D">
        <w:rPr>
          <w:rFonts w:eastAsia="標楷體"/>
          <w:kern w:val="0"/>
          <w:sz w:val="20"/>
          <w:szCs w:val="20"/>
        </w:rPr>
        <w:t>）。</w:t>
      </w:r>
    </w:p>
    <w:p w:rsidR="003B29E8" w:rsidRPr="00131B9D" w:rsidRDefault="003B29E8" w:rsidP="003B29E8"/>
    <w:p w:rsidR="00F279F7" w:rsidRPr="00131B9D" w:rsidRDefault="00F279F7" w:rsidP="00F279F7">
      <w:pPr>
        <w:pStyle w:val="-"/>
        <w:spacing w:before="72" w:after="72"/>
        <w:ind w:firstLineChars="0" w:firstLine="0"/>
        <w:rPr>
          <w:b/>
        </w:rPr>
      </w:pPr>
      <w:r w:rsidRPr="00131B9D">
        <w:rPr>
          <w:b/>
        </w:rPr>
        <w:t>3.</w:t>
      </w:r>
      <w:r w:rsidRPr="00131B9D">
        <w:rPr>
          <w:b/>
        </w:rPr>
        <w:t xml:space="preserve">　</w:t>
      </w:r>
      <w:r w:rsidRPr="00131B9D">
        <w:rPr>
          <w:b/>
        </w:rPr>
        <w:t>2016</w:t>
      </w:r>
      <w:r w:rsidRPr="00131B9D">
        <w:rPr>
          <w:b/>
        </w:rPr>
        <w:t>年展望</w:t>
      </w:r>
    </w:p>
    <w:p w:rsidR="00F279F7" w:rsidRPr="00131B9D" w:rsidRDefault="00127C79" w:rsidP="00F279F7">
      <w:pPr>
        <w:pStyle w:val="-"/>
        <w:spacing w:before="72" w:after="72"/>
        <w:ind w:firstLine="560"/>
        <w:rPr>
          <w:szCs w:val="24"/>
        </w:rPr>
      </w:pPr>
      <w:r w:rsidRPr="00131B9D">
        <w:rPr>
          <w:szCs w:val="24"/>
        </w:rPr>
        <w:t>鎳為</w:t>
      </w:r>
      <w:r w:rsidRPr="00131B9D">
        <w:rPr>
          <w:szCs w:val="24"/>
        </w:rPr>
        <w:t>2015</w:t>
      </w:r>
      <w:r w:rsidRPr="00131B9D">
        <w:rPr>
          <w:szCs w:val="24"/>
        </w:rPr>
        <w:t>年跌價最多的金屬，從</w:t>
      </w:r>
      <w:r w:rsidRPr="00131B9D">
        <w:rPr>
          <w:szCs w:val="24"/>
        </w:rPr>
        <w:t>2015</w:t>
      </w:r>
      <w:r w:rsidRPr="00131B9D">
        <w:rPr>
          <w:szCs w:val="24"/>
        </w:rPr>
        <w:t>年初至</w:t>
      </w:r>
      <w:r w:rsidRPr="00131B9D">
        <w:rPr>
          <w:szCs w:val="24"/>
        </w:rPr>
        <w:t>11</w:t>
      </w:r>
      <w:r w:rsidRPr="00131B9D">
        <w:rPr>
          <w:szCs w:val="24"/>
        </w:rPr>
        <w:t>月</w:t>
      </w:r>
      <w:r w:rsidRPr="00131B9D">
        <w:rPr>
          <w:szCs w:val="24"/>
        </w:rPr>
        <w:t>20</w:t>
      </w:r>
      <w:r w:rsidRPr="00131B9D">
        <w:rPr>
          <w:szCs w:val="24"/>
        </w:rPr>
        <w:t>日止，累</w:t>
      </w:r>
      <w:r w:rsidRPr="00131B9D">
        <w:rPr>
          <w:szCs w:val="24"/>
        </w:rPr>
        <w:lastRenderedPageBreak/>
        <w:t>計跌幅達</w:t>
      </w:r>
      <w:r w:rsidRPr="00131B9D">
        <w:rPr>
          <w:szCs w:val="24"/>
        </w:rPr>
        <w:t>41%</w:t>
      </w:r>
      <w:r w:rsidRPr="00131B9D">
        <w:rPr>
          <w:szCs w:val="24"/>
        </w:rPr>
        <w:t>，鎳的國際價格受中國大陸需求增長乏力以及庫存過剩的影響，處於</w:t>
      </w:r>
      <w:r w:rsidRPr="00131B9D">
        <w:rPr>
          <w:szCs w:val="24"/>
        </w:rPr>
        <w:t>7</w:t>
      </w:r>
      <w:r w:rsidRPr="00131B9D">
        <w:rPr>
          <w:szCs w:val="24"/>
        </w:rPr>
        <w:t>年來的最低位。</w:t>
      </w:r>
      <w:r w:rsidRPr="00131B9D">
        <w:rPr>
          <w:szCs w:val="24"/>
        </w:rPr>
        <w:t>2015</w:t>
      </w:r>
      <w:r w:rsidRPr="00131B9D">
        <w:rPr>
          <w:szCs w:val="24"/>
        </w:rPr>
        <w:t>年鎳市不振主要有三大原因：第一，不銹鋼市場，尤其是中國大陸市場低迷，第二，</w:t>
      </w:r>
      <w:r w:rsidRPr="00131B9D">
        <w:rPr>
          <w:szCs w:val="24"/>
        </w:rPr>
        <w:t>LME</w:t>
      </w:r>
      <w:r w:rsidRPr="00131B9D">
        <w:rPr>
          <w:szCs w:val="24"/>
        </w:rPr>
        <w:t>及上海期交所庫存持續增加，第三，中國大陸鎳生鐵產量每月穩定維持在</w:t>
      </w:r>
      <w:r w:rsidRPr="00131B9D">
        <w:rPr>
          <w:szCs w:val="24"/>
        </w:rPr>
        <w:t>3.0-3.5</w:t>
      </w:r>
      <w:r w:rsidRPr="00131B9D">
        <w:rPr>
          <w:szCs w:val="24"/>
        </w:rPr>
        <w:t>萬噸而非逐步下滑。而因上述影響的效應正在消退，新的關注點轉向了中國大陸經濟不振和普遍大宗商品價格下滑，這將導致不銹鋼行業減產和預估產量下修。不銹鋼產量遭下修，影響至鎳產業鏈，這將減少對全球鎳市短缺幅度的預估，基於上述原因，</w:t>
      </w:r>
      <w:r w:rsidRPr="00131B9D">
        <w:rPr>
          <w:szCs w:val="24"/>
        </w:rPr>
        <w:t>Wood Mackenzie</w:t>
      </w:r>
      <w:r w:rsidRPr="00131B9D">
        <w:rPr>
          <w:szCs w:val="24"/>
        </w:rPr>
        <w:t>將</w:t>
      </w:r>
      <w:r w:rsidRPr="00131B9D">
        <w:rPr>
          <w:szCs w:val="24"/>
        </w:rPr>
        <w:t>2016</w:t>
      </w:r>
      <w:r w:rsidRPr="00131B9D">
        <w:rPr>
          <w:szCs w:val="24"/>
        </w:rPr>
        <w:t>年鎳價預估下修至</w:t>
      </w:r>
      <w:r w:rsidRPr="00131B9D">
        <w:rPr>
          <w:szCs w:val="24"/>
        </w:rPr>
        <w:t>12,500</w:t>
      </w:r>
      <w:r w:rsidRPr="00131B9D">
        <w:rPr>
          <w:szCs w:val="24"/>
        </w:rPr>
        <w:t>美元</w:t>
      </w:r>
      <w:r w:rsidRPr="00131B9D">
        <w:rPr>
          <w:szCs w:val="24"/>
        </w:rPr>
        <w:t>/</w:t>
      </w:r>
      <w:r w:rsidRPr="00131B9D">
        <w:rPr>
          <w:szCs w:val="24"/>
        </w:rPr>
        <w:t>噸</w:t>
      </w:r>
      <w:r w:rsidRPr="00131B9D">
        <w:rPr>
          <w:szCs w:val="24"/>
        </w:rPr>
        <w:t xml:space="preserve"> (5.70</w:t>
      </w:r>
      <w:r w:rsidRPr="00131B9D">
        <w:rPr>
          <w:szCs w:val="24"/>
        </w:rPr>
        <w:t>美元</w:t>
      </w:r>
      <w:r w:rsidRPr="00131B9D">
        <w:rPr>
          <w:szCs w:val="24"/>
        </w:rPr>
        <w:t>/</w:t>
      </w:r>
      <w:r w:rsidRPr="00131B9D">
        <w:rPr>
          <w:szCs w:val="24"/>
        </w:rPr>
        <w:t>磅</w:t>
      </w:r>
      <w:r w:rsidRPr="00131B9D">
        <w:rPr>
          <w:szCs w:val="24"/>
        </w:rPr>
        <w:t>)</w:t>
      </w:r>
      <w:r w:rsidRPr="00131B9D">
        <w:rPr>
          <w:szCs w:val="24"/>
        </w:rPr>
        <w:t>。當前全球</w:t>
      </w:r>
      <w:r w:rsidRPr="00131B9D">
        <w:rPr>
          <w:szCs w:val="24"/>
        </w:rPr>
        <w:t>50%</w:t>
      </w:r>
      <w:r w:rsidRPr="00131B9D">
        <w:rPr>
          <w:szCs w:val="24"/>
        </w:rPr>
        <w:t>以上的鎳企虧損，導致企業減產和關停，如果達到一定程度，鎳價可能提前回升。</w:t>
      </w:r>
    </w:p>
    <w:p w:rsidR="00F279F7" w:rsidRPr="00131B9D" w:rsidRDefault="00F279F7" w:rsidP="00F279F7">
      <w:bookmarkStart w:id="146" w:name="_Toc322706939"/>
      <w:bookmarkStart w:id="147" w:name="_Toc373423056"/>
      <w:bookmarkStart w:id="148" w:name="_Toc373682439"/>
    </w:p>
    <w:p w:rsidR="00F279F7" w:rsidRPr="00131B9D" w:rsidRDefault="00F279F7" w:rsidP="00F279F7">
      <w:pPr>
        <w:pStyle w:val="3"/>
        <w:rPr>
          <w:rFonts w:ascii="Times New Roman" w:hAnsi="Times New Roman"/>
        </w:rPr>
      </w:pPr>
      <w:bookmarkStart w:id="149" w:name="_Toc322706940"/>
      <w:bookmarkEnd w:id="146"/>
      <w:bookmarkEnd w:id="147"/>
      <w:bookmarkEnd w:id="148"/>
      <w:r w:rsidRPr="00131B9D">
        <w:rPr>
          <w:rFonts w:ascii="Times New Roman" w:hAnsi="Times New Roman"/>
        </w:rPr>
        <w:t>（四）鋅</w:t>
      </w:r>
      <w:bookmarkEnd w:id="149"/>
    </w:p>
    <w:p w:rsidR="00F279F7" w:rsidRPr="00131B9D" w:rsidRDefault="00F279F7" w:rsidP="00F279F7">
      <w:pPr>
        <w:pStyle w:val="-"/>
        <w:spacing w:before="72" w:after="72"/>
        <w:ind w:firstLineChars="0" w:firstLine="0"/>
        <w:rPr>
          <w:b/>
        </w:rPr>
      </w:pPr>
      <w:r w:rsidRPr="00131B9D">
        <w:rPr>
          <w:b/>
        </w:rPr>
        <w:t>1.</w:t>
      </w:r>
      <w:r w:rsidRPr="00131B9D">
        <w:rPr>
          <w:b/>
        </w:rPr>
        <w:t xml:space="preserve">　價格走勢</w:t>
      </w:r>
    </w:p>
    <w:p w:rsidR="00F279F7" w:rsidRPr="00131B9D" w:rsidRDefault="00127C79" w:rsidP="00F279F7">
      <w:pPr>
        <w:pStyle w:val="-"/>
        <w:spacing w:before="72" w:after="72"/>
        <w:ind w:firstLine="560"/>
      </w:pPr>
      <w:bookmarkStart w:id="150" w:name="OLE_LINK130"/>
      <w:bookmarkStart w:id="151" w:name="OLE_LINK131"/>
      <w:r w:rsidRPr="00131B9D">
        <w:t>2015</w:t>
      </w:r>
      <w:r w:rsidRPr="00131B9D">
        <w:t>年第</w:t>
      </w:r>
      <w:r w:rsidRPr="00131B9D">
        <w:t>1</w:t>
      </w:r>
      <w:r w:rsidRPr="00131B9D">
        <w:t>季國際鋅價整體走勢下跌，隨後又上漲，</w:t>
      </w:r>
      <w:r w:rsidRPr="00131B9D">
        <w:t>5</w:t>
      </w:r>
      <w:r w:rsidRPr="00131B9D">
        <w:t>月開始回跌持續到第</w:t>
      </w:r>
      <w:r w:rsidRPr="00131B9D">
        <w:t>2</w:t>
      </w:r>
      <w:r w:rsidRPr="00131B9D">
        <w:t>季末。倫敦交易所（</w:t>
      </w:r>
      <w:r w:rsidRPr="00131B9D">
        <w:t>LME</w:t>
      </w:r>
      <w:r w:rsidRPr="00131B9D">
        <w:t>）鋅價</w:t>
      </w:r>
      <w:r w:rsidRPr="00131B9D">
        <w:t>3</w:t>
      </w:r>
      <w:r w:rsidRPr="00131B9D">
        <w:t>月均價為</w:t>
      </w:r>
      <w:r w:rsidRPr="00131B9D">
        <w:t>2,030</w:t>
      </w:r>
      <w:r w:rsidRPr="00131B9D">
        <w:t>美元</w:t>
      </w:r>
      <w:r w:rsidRPr="00131B9D">
        <w:t>/</w:t>
      </w:r>
      <w:r w:rsidRPr="00131B9D">
        <w:t>噸，較</w:t>
      </w:r>
      <w:r w:rsidRPr="00131B9D">
        <w:t>1</w:t>
      </w:r>
      <w:r w:rsidRPr="00131B9D">
        <w:t>月均價</w:t>
      </w:r>
      <w:r w:rsidRPr="00131B9D">
        <w:t>2,119</w:t>
      </w:r>
      <w:r w:rsidRPr="00131B9D">
        <w:t>美元</w:t>
      </w:r>
      <w:r w:rsidRPr="00131B9D">
        <w:t>/</w:t>
      </w:r>
      <w:r w:rsidRPr="00131B9D">
        <w:t>噸下跌</w:t>
      </w:r>
      <w:r w:rsidRPr="00131B9D">
        <w:t>4.2%</w:t>
      </w:r>
      <w:r w:rsidRPr="00131B9D">
        <w:t>；第</w:t>
      </w:r>
      <w:r w:rsidRPr="00131B9D">
        <w:t>1</w:t>
      </w:r>
      <w:r w:rsidRPr="00131B9D">
        <w:t>季均價</w:t>
      </w:r>
      <w:r w:rsidRPr="00131B9D">
        <w:t>2,082</w:t>
      </w:r>
      <w:r w:rsidRPr="00131B9D">
        <w:t>美元</w:t>
      </w:r>
      <w:r w:rsidRPr="00131B9D">
        <w:t>/</w:t>
      </w:r>
      <w:r w:rsidRPr="00131B9D">
        <w:t>噸，較前一季下跌</w:t>
      </w:r>
      <w:r w:rsidRPr="00131B9D">
        <w:t>6.9%</w:t>
      </w:r>
      <w:r w:rsidRPr="00131B9D">
        <w:t>；</w:t>
      </w:r>
      <w:bookmarkEnd w:id="150"/>
      <w:bookmarkEnd w:id="151"/>
      <w:r w:rsidRPr="00131B9D">
        <w:t>第</w:t>
      </w:r>
      <w:r w:rsidRPr="00131B9D">
        <w:t>2</w:t>
      </w:r>
      <w:r w:rsidRPr="00131B9D">
        <w:t>季鋅價呈現震盪走勢，鋅價在</w:t>
      </w:r>
      <w:r w:rsidRPr="00131B9D">
        <w:t>4</w:t>
      </w:r>
      <w:r w:rsidRPr="00131B9D">
        <w:t>月均價為</w:t>
      </w:r>
      <w:r w:rsidRPr="00131B9D">
        <w:t>2,202</w:t>
      </w:r>
      <w:r w:rsidRPr="00131B9D">
        <w:t>美元</w:t>
      </w:r>
      <w:r w:rsidRPr="00131B9D">
        <w:t>/</w:t>
      </w:r>
      <w:r w:rsidRPr="00131B9D">
        <w:t>噸，</w:t>
      </w:r>
      <w:r w:rsidRPr="00131B9D">
        <w:t>5</w:t>
      </w:r>
      <w:r w:rsidRPr="00131B9D">
        <w:t>月均價上漲至</w:t>
      </w:r>
      <w:r w:rsidRPr="00131B9D">
        <w:t>2,278</w:t>
      </w:r>
      <w:r w:rsidRPr="00131B9D">
        <w:t>美元</w:t>
      </w:r>
      <w:r w:rsidRPr="00131B9D">
        <w:t>/</w:t>
      </w:r>
      <w:r w:rsidRPr="00131B9D">
        <w:t>噸，</w:t>
      </w:r>
      <w:r w:rsidRPr="00131B9D">
        <w:t>6</w:t>
      </w:r>
      <w:r w:rsidRPr="00131B9D">
        <w:t>月均價再跌至</w:t>
      </w:r>
      <w:r w:rsidRPr="00131B9D">
        <w:t>2,079</w:t>
      </w:r>
      <w:r w:rsidRPr="00131B9D">
        <w:t>美元</w:t>
      </w:r>
      <w:r w:rsidRPr="00131B9D">
        <w:t>/</w:t>
      </w:r>
      <w:r w:rsidRPr="00131B9D">
        <w:t>噸；第</w:t>
      </w:r>
      <w:r w:rsidRPr="00131B9D">
        <w:t>2</w:t>
      </w:r>
      <w:r w:rsidRPr="00131B9D">
        <w:t>季均價</w:t>
      </w:r>
      <w:r w:rsidRPr="00131B9D">
        <w:t>2,187</w:t>
      </w:r>
      <w:r w:rsidRPr="00131B9D">
        <w:t>美元</w:t>
      </w:r>
      <w:r w:rsidRPr="00131B9D">
        <w:t>/</w:t>
      </w:r>
      <w:r w:rsidRPr="00131B9D">
        <w:t>噸，較第</w:t>
      </w:r>
      <w:r w:rsidRPr="00131B9D">
        <w:t>1</w:t>
      </w:r>
      <w:r w:rsidRPr="00131B9D">
        <w:t>季上漲</w:t>
      </w:r>
      <w:r w:rsidRPr="00131B9D">
        <w:t>5%</w:t>
      </w:r>
      <w:r w:rsidRPr="00131B9D">
        <w:t>；第</w:t>
      </w:r>
      <w:r w:rsidRPr="00131B9D">
        <w:t>3</w:t>
      </w:r>
      <w:r w:rsidRPr="00131B9D">
        <w:t>季鋅價走勢逐漸下跌，</w:t>
      </w:r>
      <w:r w:rsidRPr="00131B9D">
        <w:t xml:space="preserve"> 7</w:t>
      </w:r>
      <w:r w:rsidRPr="00131B9D">
        <w:t>月均價為</w:t>
      </w:r>
      <w:r w:rsidRPr="00131B9D">
        <w:t>2,001.67</w:t>
      </w:r>
      <w:r w:rsidRPr="00131B9D">
        <w:t>美元</w:t>
      </w:r>
      <w:r w:rsidRPr="00131B9D">
        <w:t>/</w:t>
      </w:r>
      <w:r w:rsidRPr="00131B9D">
        <w:t>公噸，</w:t>
      </w:r>
      <w:r w:rsidRPr="00131B9D">
        <w:t>8</w:t>
      </w:r>
      <w:r w:rsidRPr="00131B9D">
        <w:t>月均價下跌至</w:t>
      </w:r>
      <w:r w:rsidRPr="00131B9D">
        <w:t>1,815.57</w:t>
      </w:r>
      <w:r w:rsidRPr="00131B9D">
        <w:t>美元</w:t>
      </w:r>
      <w:r w:rsidRPr="00131B9D">
        <w:t>/</w:t>
      </w:r>
      <w:r w:rsidRPr="00131B9D">
        <w:t>公噸，</w:t>
      </w:r>
      <w:r w:rsidRPr="00131B9D">
        <w:t>9</w:t>
      </w:r>
      <w:r w:rsidRPr="00131B9D">
        <w:t>月均價再跌至</w:t>
      </w:r>
      <w:r w:rsidRPr="00131B9D">
        <w:t>1,719.68</w:t>
      </w:r>
      <w:r w:rsidRPr="00131B9D">
        <w:t>美元</w:t>
      </w:r>
      <w:r w:rsidRPr="00131B9D">
        <w:t>/</w:t>
      </w:r>
      <w:r w:rsidRPr="00131B9D">
        <w:t>公噸，第</w:t>
      </w:r>
      <w:r w:rsidRPr="00131B9D">
        <w:t>3</w:t>
      </w:r>
      <w:r w:rsidRPr="00131B9D">
        <w:t>季均價</w:t>
      </w:r>
      <w:r w:rsidRPr="00131B9D">
        <w:t>1,847.01</w:t>
      </w:r>
      <w:r w:rsidRPr="00131B9D">
        <w:t>美元</w:t>
      </w:r>
      <w:r w:rsidRPr="00131B9D">
        <w:t>/</w:t>
      </w:r>
      <w:r w:rsidRPr="00131B9D">
        <w:t>公噸，較第</w:t>
      </w:r>
      <w:r w:rsidRPr="00131B9D">
        <w:t>2</w:t>
      </w:r>
      <w:r w:rsidRPr="00131B9D">
        <w:t>季有高達</w:t>
      </w:r>
      <w:r w:rsidRPr="00131B9D">
        <w:t>15.55%</w:t>
      </w:r>
      <w:r w:rsidRPr="00131B9D">
        <w:t>的跌幅。而鋅價</w:t>
      </w:r>
      <w:r w:rsidRPr="00131B9D">
        <w:t>10</w:t>
      </w:r>
      <w:r w:rsidRPr="00131B9D">
        <w:t>月份均價略微回升至</w:t>
      </w:r>
      <w:r w:rsidRPr="00131B9D">
        <w:t>1,729.27</w:t>
      </w:r>
      <w:r w:rsidRPr="00131B9D">
        <w:t>美元</w:t>
      </w:r>
      <w:r w:rsidRPr="00131B9D">
        <w:t>/</w:t>
      </w:r>
      <w:r w:rsidRPr="00131B9D">
        <w:t>公噸，但</w:t>
      </w:r>
      <w:r w:rsidRPr="00131B9D">
        <w:t>11</w:t>
      </w:r>
      <w:r w:rsidRPr="00131B9D">
        <w:t>月再度下滑（如圖</w:t>
      </w:r>
      <w:r w:rsidRPr="00131B9D">
        <w:t>3-10</w:t>
      </w:r>
      <w:r w:rsidRPr="00131B9D">
        <w:t>）。</w:t>
      </w:r>
    </w:p>
    <w:p w:rsidR="00F279F7" w:rsidRPr="00131B9D" w:rsidRDefault="00F279F7" w:rsidP="00F279F7">
      <w:pPr>
        <w:spacing w:beforeLines="100" w:before="360"/>
        <w:jc w:val="center"/>
        <w:rPr>
          <w:rFonts w:eastAsia="標楷體"/>
        </w:rPr>
      </w:pPr>
      <w:r w:rsidRPr="00131B9D">
        <w:rPr>
          <w:noProof/>
        </w:rPr>
        <w:lastRenderedPageBreak/>
        <w:drawing>
          <wp:inline distT="0" distB="0" distL="0" distR="0" wp14:anchorId="09ADF8B1" wp14:editId="722A670E">
            <wp:extent cx="5276850" cy="2968831"/>
            <wp:effectExtent l="0" t="0" r="0" b="3175"/>
            <wp:docPr id="64" name="圖表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3B29E8" w:rsidRPr="00131B9D" w:rsidRDefault="00F279F7" w:rsidP="00F279F7">
      <w:pPr>
        <w:pStyle w:val="afff5"/>
        <w:spacing w:line="0" w:lineRule="atLeast"/>
        <w:jc w:val="center"/>
        <w:rPr>
          <w:rFonts w:eastAsia="標楷體"/>
          <w:b/>
          <w:bCs/>
          <w:kern w:val="52"/>
          <w:sz w:val="28"/>
          <w:szCs w:val="28"/>
        </w:rPr>
      </w:pPr>
      <w:bookmarkStart w:id="152" w:name="_Toc398882644"/>
      <w:bookmarkStart w:id="153" w:name="_Toc438223344"/>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10</w:t>
      </w:r>
      <w:r w:rsidRPr="00131B9D">
        <w:rPr>
          <w:rFonts w:eastAsia="標楷體"/>
          <w:b/>
          <w:bCs/>
          <w:kern w:val="52"/>
          <w:sz w:val="28"/>
          <w:szCs w:val="28"/>
        </w:rPr>
        <w:fldChar w:fldCharType="end"/>
      </w:r>
      <w:r w:rsidRPr="00131B9D">
        <w:rPr>
          <w:rFonts w:eastAsia="標楷體"/>
          <w:b/>
          <w:bCs/>
          <w:kern w:val="52"/>
          <w:sz w:val="28"/>
          <w:szCs w:val="28"/>
        </w:rPr>
        <w:t xml:space="preserve">　鋅近一年價格走勢圖</w:t>
      </w:r>
      <w:bookmarkEnd w:id="152"/>
      <w:bookmarkEnd w:id="153"/>
    </w:p>
    <w:p w:rsidR="0099219E" w:rsidRPr="00131B9D" w:rsidRDefault="0099219E" w:rsidP="0099219E"/>
    <w:p w:rsidR="00F279F7" w:rsidRPr="00131B9D" w:rsidRDefault="00F279F7" w:rsidP="00F279F7">
      <w:pPr>
        <w:pStyle w:val="-"/>
        <w:spacing w:before="72" w:after="72"/>
        <w:ind w:firstLineChars="0" w:firstLine="0"/>
        <w:rPr>
          <w:b/>
        </w:rPr>
      </w:pPr>
      <w:r w:rsidRPr="00131B9D">
        <w:rPr>
          <w:b/>
        </w:rPr>
        <w:t>2.</w:t>
      </w:r>
      <w:r w:rsidRPr="00131B9D">
        <w:rPr>
          <w:b/>
        </w:rPr>
        <w:t xml:space="preserve">　供需情勢</w:t>
      </w:r>
    </w:p>
    <w:p w:rsidR="00F279F7" w:rsidRPr="00131B9D" w:rsidRDefault="00F279F7" w:rsidP="00F279F7">
      <w:pPr>
        <w:pStyle w:val="-"/>
        <w:spacing w:before="72" w:after="72"/>
        <w:ind w:leftChars="50" w:left="120" w:firstLine="560"/>
        <w:rPr>
          <w:color w:val="000000"/>
          <w:szCs w:val="24"/>
        </w:rPr>
      </w:pPr>
      <w:bookmarkStart w:id="154" w:name="OLE_LINK73"/>
      <w:bookmarkStart w:id="155" w:name="OLE_LINK74"/>
      <w:r w:rsidRPr="00131B9D">
        <w:rPr>
          <w:color w:val="000000"/>
          <w:szCs w:val="24"/>
        </w:rPr>
        <w:t>全球產量最大國家為中國大陸，</w:t>
      </w:r>
      <w:r w:rsidRPr="00131B9D">
        <w:rPr>
          <w:color w:val="000000"/>
          <w:szCs w:val="24"/>
        </w:rPr>
        <w:t>2014</w:t>
      </w:r>
      <w:r w:rsidRPr="00131B9D">
        <w:rPr>
          <w:color w:val="000000"/>
          <w:szCs w:val="24"/>
        </w:rPr>
        <w:t>年產量達</w:t>
      </w:r>
      <w:r w:rsidRPr="00131B9D">
        <w:rPr>
          <w:color w:val="000000"/>
          <w:szCs w:val="24"/>
        </w:rPr>
        <w:t>500</w:t>
      </w:r>
      <w:r w:rsidRPr="00131B9D">
        <w:rPr>
          <w:color w:val="000000"/>
          <w:szCs w:val="24"/>
        </w:rPr>
        <w:t>萬公噸，其次為澳洲的</w:t>
      </w:r>
      <w:r w:rsidRPr="00131B9D">
        <w:rPr>
          <w:color w:val="000000"/>
          <w:szCs w:val="24"/>
        </w:rPr>
        <w:t>150</w:t>
      </w:r>
      <w:r w:rsidRPr="00131B9D">
        <w:rPr>
          <w:color w:val="000000"/>
          <w:szCs w:val="24"/>
        </w:rPr>
        <w:t>萬公噸，再來為秘魯的</w:t>
      </w:r>
      <w:r w:rsidRPr="00131B9D">
        <w:rPr>
          <w:color w:val="000000"/>
          <w:szCs w:val="24"/>
        </w:rPr>
        <w:t>130</w:t>
      </w:r>
      <w:r w:rsidRPr="00131B9D">
        <w:rPr>
          <w:color w:val="000000"/>
          <w:szCs w:val="24"/>
        </w:rPr>
        <w:t>萬公噸、美國的</w:t>
      </w:r>
      <w:r w:rsidRPr="00131B9D">
        <w:rPr>
          <w:color w:val="000000"/>
          <w:szCs w:val="24"/>
        </w:rPr>
        <w:t>82</w:t>
      </w:r>
      <w:r w:rsidRPr="00131B9D">
        <w:rPr>
          <w:color w:val="000000"/>
          <w:szCs w:val="24"/>
        </w:rPr>
        <w:t>萬公噸、印度的</w:t>
      </w:r>
      <w:r w:rsidRPr="00131B9D">
        <w:rPr>
          <w:color w:val="000000"/>
          <w:szCs w:val="24"/>
        </w:rPr>
        <w:t>70</w:t>
      </w:r>
      <w:r w:rsidRPr="00131B9D">
        <w:rPr>
          <w:color w:val="000000"/>
          <w:szCs w:val="24"/>
        </w:rPr>
        <w:t>萬公噸、墨西哥的</w:t>
      </w:r>
      <w:r w:rsidRPr="00131B9D">
        <w:rPr>
          <w:color w:val="000000"/>
          <w:szCs w:val="24"/>
        </w:rPr>
        <w:t>70</w:t>
      </w:r>
      <w:r w:rsidRPr="00131B9D">
        <w:rPr>
          <w:color w:val="000000"/>
          <w:szCs w:val="24"/>
        </w:rPr>
        <w:t>萬公噸等。</w:t>
      </w:r>
    </w:p>
    <w:p w:rsidR="00F279F7" w:rsidRPr="00131B9D" w:rsidRDefault="00F279F7" w:rsidP="00F279F7">
      <w:pPr>
        <w:pStyle w:val="-"/>
        <w:spacing w:before="72" w:after="72"/>
        <w:ind w:leftChars="50" w:left="120" w:firstLine="560"/>
        <w:rPr>
          <w:color w:val="000000"/>
          <w:szCs w:val="24"/>
        </w:rPr>
      </w:pPr>
      <w:bookmarkStart w:id="156" w:name="OLE_LINK116"/>
      <w:bookmarkStart w:id="157" w:name="OLE_LINK117"/>
      <w:bookmarkEnd w:id="154"/>
      <w:bookmarkEnd w:id="155"/>
      <w:r w:rsidRPr="00131B9D">
        <w:rPr>
          <w:color w:val="000000"/>
          <w:szCs w:val="24"/>
        </w:rPr>
        <w:t>世界金屬統計局（</w:t>
      </w:r>
      <w:r w:rsidRPr="00131B9D">
        <w:rPr>
          <w:color w:val="000000"/>
          <w:szCs w:val="24"/>
        </w:rPr>
        <w:t>WBMS</w:t>
      </w:r>
      <w:r w:rsidRPr="00131B9D">
        <w:rPr>
          <w:color w:val="000000"/>
          <w:szCs w:val="24"/>
        </w:rPr>
        <w:t>）</w:t>
      </w:r>
      <w:r w:rsidRPr="00131B9D">
        <w:rPr>
          <w:color w:val="000000"/>
          <w:szCs w:val="24"/>
        </w:rPr>
        <w:t>10</w:t>
      </w:r>
      <w:r w:rsidRPr="00131B9D">
        <w:rPr>
          <w:color w:val="000000"/>
          <w:szCs w:val="24"/>
        </w:rPr>
        <w:t>月</w:t>
      </w:r>
      <w:r w:rsidRPr="00131B9D">
        <w:rPr>
          <w:color w:val="000000"/>
          <w:szCs w:val="24"/>
        </w:rPr>
        <w:t>21</w:t>
      </w:r>
      <w:r w:rsidRPr="00131B9D">
        <w:rPr>
          <w:color w:val="000000"/>
          <w:szCs w:val="24"/>
        </w:rPr>
        <w:t>日公佈的月度報告顯示，</w:t>
      </w:r>
      <w:r w:rsidRPr="00131B9D">
        <w:rPr>
          <w:color w:val="000000"/>
          <w:szCs w:val="24"/>
        </w:rPr>
        <w:t>1-8</w:t>
      </w:r>
      <w:r w:rsidRPr="00131B9D">
        <w:rPr>
          <w:color w:val="000000"/>
          <w:szCs w:val="24"/>
        </w:rPr>
        <w:t>月，全球鋅市供給過剩</w:t>
      </w:r>
      <w:r w:rsidRPr="00131B9D">
        <w:rPr>
          <w:color w:val="000000"/>
          <w:szCs w:val="24"/>
        </w:rPr>
        <w:t>12.3</w:t>
      </w:r>
      <w:r w:rsidRPr="00131B9D">
        <w:rPr>
          <w:color w:val="000000"/>
          <w:szCs w:val="24"/>
        </w:rPr>
        <w:t>萬噸，相比去年全年為短缺</w:t>
      </w:r>
      <w:r w:rsidRPr="00131B9D">
        <w:rPr>
          <w:color w:val="000000"/>
          <w:szCs w:val="24"/>
        </w:rPr>
        <w:t>20.9</w:t>
      </w:r>
      <w:r w:rsidRPr="00131B9D">
        <w:rPr>
          <w:color w:val="000000"/>
          <w:szCs w:val="24"/>
        </w:rPr>
        <w:t>萬噸。截至</w:t>
      </w:r>
      <w:r w:rsidRPr="00131B9D">
        <w:rPr>
          <w:color w:val="000000"/>
          <w:szCs w:val="24"/>
        </w:rPr>
        <w:t>8</w:t>
      </w:r>
      <w:r w:rsidRPr="00131B9D">
        <w:rPr>
          <w:color w:val="000000"/>
          <w:szCs w:val="24"/>
        </w:rPr>
        <w:t>月底，全球鋅庫存較去年底減少</w:t>
      </w:r>
      <w:r w:rsidRPr="00131B9D">
        <w:rPr>
          <w:color w:val="000000"/>
          <w:szCs w:val="24"/>
        </w:rPr>
        <w:t>5.8</w:t>
      </w:r>
      <w:r w:rsidRPr="00131B9D">
        <w:rPr>
          <w:color w:val="000000"/>
          <w:szCs w:val="24"/>
        </w:rPr>
        <w:t>萬噸，</w:t>
      </w:r>
      <w:r w:rsidRPr="00131B9D">
        <w:rPr>
          <w:color w:val="000000"/>
          <w:szCs w:val="24"/>
        </w:rPr>
        <w:t>LME</w:t>
      </w:r>
      <w:r w:rsidRPr="00131B9D">
        <w:rPr>
          <w:color w:val="000000"/>
          <w:szCs w:val="24"/>
        </w:rPr>
        <w:t>鋅庫存較去年底減少</w:t>
      </w:r>
      <w:r w:rsidRPr="00131B9D">
        <w:rPr>
          <w:color w:val="000000"/>
          <w:szCs w:val="24"/>
        </w:rPr>
        <w:t>16.6</w:t>
      </w:r>
      <w:r w:rsidRPr="00131B9D">
        <w:rPr>
          <w:color w:val="000000"/>
          <w:szCs w:val="24"/>
        </w:rPr>
        <w:t>萬噸，佔全球庫存的</w:t>
      </w:r>
      <w:r w:rsidRPr="00131B9D">
        <w:rPr>
          <w:color w:val="000000"/>
          <w:szCs w:val="24"/>
        </w:rPr>
        <w:t>46%</w:t>
      </w:r>
      <w:r w:rsidRPr="00131B9D">
        <w:rPr>
          <w:color w:val="000000"/>
          <w:szCs w:val="24"/>
        </w:rPr>
        <w:t>。中國大陸精煉鋅產量年增</w:t>
      </w:r>
      <w:r w:rsidRPr="00131B9D">
        <w:rPr>
          <w:color w:val="000000"/>
          <w:szCs w:val="24"/>
        </w:rPr>
        <w:t>11.2%</w:t>
      </w:r>
      <w:r w:rsidRPr="00131B9D">
        <w:rPr>
          <w:color w:val="000000"/>
          <w:szCs w:val="24"/>
        </w:rPr>
        <w:t>，全球精煉鋅產量年增</w:t>
      </w:r>
      <w:r w:rsidRPr="00131B9D">
        <w:rPr>
          <w:color w:val="000000"/>
          <w:szCs w:val="24"/>
        </w:rPr>
        <w:t>6%</w:t>
      </w:r>
      <w:r w:rsidRPr="00131B9D">
        <w:t>（如表</w:t>
      </w:r>
      <w:r w:rsidRPr="00131B9D">
        <w:t>3-9</w:t>
      </w:r>
      <w:r w:rsidRPr="00131B9D">
        <w:t>）</w:t>
      </w:r>
      <w:r w:rsidRPr="00131B9D">
        <w:rPr>
          <w:color w:val="000000"/>
          <w:szCs w:val="24"/>
        </w:rPr>
        <w:t>。國際鉛鋅研究組織（</w:t>
      </w:r>
      <w:r w:rsidRPr="00131B9D">
        <w:rPr>
          <w:color w:val="000000"/>
          <w:szCs w:val="24"/>
        </w:rPr>
        <w:t>ILZSG</w:t>
      </w:r>
      <w:r w:rsidRPr="00131B9D">
        <w:rPr>
          <w:color w:val="000000"/>
          <w:szCs w:val="24"/>
        </w:rPr>
        <w:t>）</w:t>
      </w:r>
      <w:r w:rsidRPr="00131B9D">
        <w:rPr>
          <w:color w:val="000000"/>
          <w:szCs w:val="24"/>
        </w:rPr>
        <w:t>10</w:t>
      </w:r>
      <w:r w:rsidRPr="00131B9D">
        <w:rPr>
          <w:color w:val="000000"/>
          <w:szCs w:val="24"/>
        </w:rPr>
        <w:t>月底報告表示，</w:t>
      </w:r>
      <w:r w:rsidRPr="00131B9D">
        <w:rPr>
          <w:color w:val="000000"/>
          <w:szCs w:val="24"/>
        </w:rPr>
        <w:t>2015</w:t>
      </w:r>
      <w:r w:rsidRPr="00131B9D">
        <w:rPr>
          <w:color w:val="000000"/>
          <w:szCs w:val="24"/>
        </w:rPr>
        <w:t>年全球鋅礦產量預估年增</w:t>
      </w:r>
      <w:r w:rsidRPr="00131B9D">
        <w:rPr>
          <w:color w:val="000000"/>
          <w:szCs w:val="24"/>
        </w:rPr>
        <w:t>0.3%</w:t>
      </w:r>
      <w:r w:rsidRPr="00131B9D">
        <w:rPr>
          <w:color w:val="000000"/>
          <w:szCs w:val="24"/>
        </w:rPr>
        <w:t>至</w:t>
      </w:r>
      <w:r w:rsidRPr="00131B9D">
        <w:rPr>
          <w:color w:val="000000"/>
          <w:szCs w:val="24"/>
        </w:rPr>
        <w:t>1,355</w:t>
      </w:r>
      <w:r w:rsidRPr="00131B9D">
        <w:rPr>
          <w:color w:val="000000"/>
          <w:szCs w:val="24"/>
        </w:rPr>
        <w:t>萬噸，</w:t>
      </w:r>
      <w:r w:rsidRPr="00131B9D">
        <w:rPr>
          <w:color w:val="000000"/>
          <w:szCs w:val="24"/>
        </w:rPr>
        <w:t>2016</w:t>
      </w:r>
      <w:r w:rsidRPr="00131B9D">
        <w:rPr>
          <w:color w:val="000000"/>
          <w:szCs w:val="24"/>
        </w:rPr>
        <w:t>年可望年增</w:t>
      </w:r>
      <w:r w:rsidRPr="00131B9D">
        <w:rPr>
          <w:color w:val="000000"/>
          <w:szCs w:val="24"/>
        </w:rPr>
        <w:t>1.8%</w:t>
      </w:r>
      <w:r w:rsidRPr="00131B9D">
        <w:rPr>
          <w:color w:val="000000"/>
          <w:szCs w:val="24"/>
        </w:rPr>
        <w:t>至</w:t>
      </w:r>
      <w:r w:rsidRPr="00131B9D">
        <w:rPr>
          <w:color w:val="000000"/>
          <w:szCs w:val="24"/>
        </w:rPr>
        <w:t>1,380</w:t>
      </w:r>
      <w:r w:rsidRPr="00131B9D">
        <w:rPr>
          <w:color w:val="000000"/>
          <w:szCs w:val="24"/>
        </w:rPr>
        <w:t>萬噸，主要受到中國大陸產量增長的影響，中國大陸以外的產量則預估將年減</w:t>
      </w:r>
      <w:r w:rsidRPr="00131B9D">
        <w:rPr>
          <w:color w:val="000000"/>
          <w:szCs w:val="24"/>
        </w:rPr>
        <w:t>1.8%</w:t>
      </w:r>
      <w:r w:rsidRPr="00131B9D">
        <w:rPr>
          <w:color w:val="000000"/>
          <w:szCs w:val="24"/>
        </w:rPr>
        <w:t>。</w:t>
      </w:r>
      <w:r w:rsidRPr="00131B9D">
        <w:rPr>
          <w:color w:val="000000"/>
          <w:szCs w:val="24"/>
        </w:rPr>
        <w:t>2015</w:t>
      </w:r>
      <w:r w:rsidRPr="00131B9D">
        <w:rPr>
          <w:color w:val="000000"/>
          <w:szCs w:val="24"/>
        </w:rPr>
        <w:t>年全球精煉鋅產量預估年增</w:t>
      </w:r>
      <w:r w:rsidRPr="00131B9D">
        <w:rPr>
          <w:color w:val="000000"/>
          <w:szCs w:val="24"/>
        </w:rPr>
        <w:t>3.7%</w:t>
      </w:r>
      <w:r w:rsidRPr="00131B9D">
        <w:rPr>
          <w:color w:val="000000"/>
          <w:szCs w:val="24"/>
        </w:rPr>
        <w:t>至</w:t>
      </w:r>
      <w:r w:rsidRPr="00131B9D">
        <w:rPr>
          <w:color w:val="000000"/>
          <w:szCs w:val="24"/>
        </w:rPr>
        <w:t>1,399</w:t>
      </w:r>
      <w:r w:rsidRPr="00131B9D">
        <w:rPr>
          <w:color w:val="000000"/>
          <w:szCs w:val="24"/>
        </w:rPr>
        <w:t>萬噸，產量增長主要來自加拿大、中國大陸、印度與韓國；</w:t>
      </w:r>
      <w:r w:rsidRPr="00131B9D">
        <w:rPr>
          <w:color w:val="000000"/>
          <w:szCs w:val="24"/>
        </w:rPr>
        <w:t>2016</w:t>
      </w:r>
      <w:r w:rsidRPr="00131B9D">
        <w:rPr>
          <w:color w:val="000000"/>
          <w:szCs w:val="24"/>
        </w:rPr>
        <w:t>年產量預估將年增</w:t>
      </w:r>
      <w:r w:rsidRPr="00131B9D">
        <w:rPr>
          <w:color w:val="000000"/>
          <w:szCs w:val="24"/>
        </w:rPr>
        <w:t>1.6%</w:t>
      </w:r>
      <w:r w:rsidRPr="00131B9D">
        <w:rPr>
          <w:color w:val="000000"/>
          <w:szCs w:val="24"/>
        </w:rPr>
        <w:t>至</w:t>
      </w:r>
      <w:r w:rsidRPr="00131B9D">
        <w:rPr>
          <w:color w:val="000000"/>
          <w:szCs w:val="24"/>
        </w:rPr>
        <w:t>1,421</w:t>
      </w:r>
      <w:r w:rsidRPr="00131B9D">
        <w:rPr>
          <w:color w:val="000000"/>
          <w:szCs w:val="24"/>
        </w:rPr>
        <w:t>萬噸，產量增長主要來自韓國、墨西哥與納米比亞。</w:t>
      </w:r>
      <w:r w:rsidRPr="00131B9D">
        <w:rPr>
          <w:color w:val="000000"/>
          <w:szCs w:val="24"/>
        </w:rPr>
        <w:t>2015</w:t>
      </w:r>
      <w:r w:rsidRPr="00131B9D">
        <w:rPr>
          <w:color w:val="000000"/>
          <w:szCs w:val="24"/>
        </w:rPr>
        <w:t>年鋅市預估將過剩</w:t>
      </w:r>
      <w:r w:rsidRPr="00131B9D">
        <w:rPr>
          <w:color w:val="000000"/>
          <w:szCs w:val="24"/>
        </w:rPr>
        <w:t>88,000</w:t>
      </w:r>
      <w:r w:rsidRPr="00131B9D">
        <w:rPr>
          <w:color w:val="000000"/>
          <w:szCs w:val="24"/>
        </w:rPr>
        <w:t>公噸，</w:t>
      </w:r>
      <w:r w:rsidRPr="00131B9D">
        <w:rPr>
          <w:color w:val="000000"/>
          <w:szCs w:val="24"/>
        </w:rPr>
        <w:t>2016</w:t>
      </w:r>
      <w:r w:rsidRPr="00131B9D">
        <w:rPr>
          <w:color w:val="000000"/>
          <w:szCs w:val="24"/>
        </w:rPr>
        <w:t>年則預估將短缺</w:t>
      </w:r>
      <w:r w:rsidRPr="00131B9D">
        <w:rPr>
          <w:color w:val="000000"/>
          <w:szCs w:val="24"/>
        </w:rPr>
        <w:t>152,000</w:t>
      </w:r>
      <w:r w:rsidRPr="00131B9D">
        <w:rPr>
          <w:color w:val="000000"/>
          <w:szCs w:val="24"/>
        </w:rPr>
        <w:t>公噸。</w:t>
      </w:r>
    </w:p>
    <w:bookmarkEnd w:id="156"/>
    <w:bookmarkEnd w:id="157"/>
    <w:p w:rsidR="00F279F7" w:rsidRPr="00131B9D" w:rsidRDefault="00F279F7" w:rsidP="00F279F7">
      <w:pPr>
        <w:pStyle w:val="-"/>
        <w:spacing w:before="72" w:after="72"/>
        <w:ind w:leftChars="50" w:left="120" w:firstLine="560"/>
        <w:rPr>
          <w:color w:val="000000"/>
          <w:szCs w:val="24"/>
        </w:rPr>
      </w:pPr>
      <w:r w:rsidRPr="00131B9D">
        <w:rPr>
          <w:color w:val="000000"/>
          <w:szCs w:val="24"/>
        </w:rPr>
        <w:lastRenderedPageBreak/>
        <w:t>在消費面部分，</w:t>
      </w:r>
      <w:r w:rsidRPr="00131B9D">
        <w:rPr>
          <w:color w:val="000000"/>
          <w:szCs w:val="24"/>
        </w:rPr>
        <w:t>WBMS 10</w:t>
      </w:r>
      <w:r w:rsidRPr="00131B9D">
        <w:rPr>
          <w:color w:val="000000"/>
          <w:szCs w:val="24"/>
        </w:rPr>
        <w:t>月</w:t>
      </w:r>
      <w:r w:rsidRPr="00131B9D">
        <w:rPr>
          <w:color w:val="000000"/>
          <w:szCs w:val="24"/>
        </w:rPr>
        <w:t>21</w:t>
      </w:r>
      <w:r w:rsidRPr="00131B9D">
        <w:rPr>
          <w:color w:val="000000"/>
          <w:szCs w:val="24"/>
        </w:rPr>
        <w:t>日公佈的報告顯示，</w:t>
      </w:r>
      <w:r w:rsidRPr="00131B9D">
        <w:rPr>
          <w:color w:val="000000"/>
          <w:szCs w:val="24"/>
        </w:rPr>
        <w:t>1-8</w:t>
      </w:r>
      <w:r w:rsidRPr="00131B9D">
        <w:rPr>
          <w:color w:val="000000"/>
          <w:szCs w:val="24"/>
        </w:rPr>
        <w:t>月全球精煉鋅需求較去年同期增加</w:t>
      </w:r>
      <w:r w:rsidRPr="00131B9D">
        <w:rPr>
          <w:color w:val="000000"/>
          <w:szCs w:val="24"/>
        </w:rPr>
        <w:t>1.3%</w:t>
      </w:r>
      <w:r w:rsidRPr="00131B9D">
        <w:rPr>
          <w:color w:val="000000"/>
          <w:szCs w:val="24"/>
        </w:rPr>
        <w:t>；中國大陸精煉鋅需求較去年同期增加</w:t>
      </w:r>
      <w:r w:rsidRPr="00131B9D">
        <w:rPr>
          <w:color w:val="000000"/>
          <w:szCs w:val="24"/>
        </w:rPr>
        <w:t>0.5%</w:t>
      </w:r>
      <w:r w:rsidRPr="00131B9D">
        <w:rPr>
          <w:color w:val="000000"/>
          <w:szCs w:val="24"/>
        </w:rPr>
        <w:t>；日本需求較去年同期減少</w:t>
      </w:r>
      <w:r w:rsidRPr="00131B9D">
        <w:rPr>
          <w:color w:val="000000"/>
          <w:szCs w:val="24"/>
        </w:rPr>
        <w:t>2.3%</w:t>
      </w:r>
      <w:r w:rsidRPr="00131B9D">
        <w:rPr>
          <w:color w:val="000000"/>
          <w:szCs w:val="24"/>
        </w:rPr>
        <w:t>。而依</w:t>
      </w:r>
      <w:r w:rsidRPr="00131B9D">
        <w:rPr>
          <w:color w:val="000000"/>
          <w:szCs w:val="24"/>
        </w:rPr>
        <w:t>ILZSG</w:t>
      </w:r>
      <w:r w:rsidRPr="00131B9D">
        <w:rPr>
          <w:color w:val="000000"/>
          <w:szCs w:val="24"/>
        </w:rPr>
        <w:t>於</w:t>
      </w:r>
      <w:r w:rsidRPr="00131B9D">
        <w:rPr>
          <w:color w:val="000000"/>
          <w:szCs w:val="24"/>
        </w:rPr>
        <w:t>10</w:t>
      </w:r>
      <w:r w:rsidRPr="00131B9D">
        <w:rPr>
          <w:color w:val="000000"/>
          <w:szCs w:val="24"/>
        </w:rPr>
        <w:t>月</w:t>
      </w:r>
      <w:r w:rsidRPr="00131B9D">
        <w:rPr>
          <w:color w:val="000000"/>
          <w:szCs w:val="24"/>
        </w:rPr>
        <w:t>28</w:t>
      </w:r>
      <w:r w:rsidRPr="00131B9D">
        <w:rPr>
          <w:color w:val="000000"/>
          <w:szCs w:val="24"/>
        </w:rPr>
        <w:t>日公佈的報告顯示，</w:t>
      </w:r>
      <w:r w:rsidRPr="00131B9D">
        <w:rPr>
          <w:color w:val="000000"/>
          <w:szCs w:val="24"/>
        </w:rPr>
        <w:t>2015</w:t>
      </w:r>
      <w:r w:rsidRPr="00131B9D">
        <w:rPr>
          <w:color w:val="000000"/>
          <w:szCs w:val="24"/>
        </w:rPr>
        <w:t>年全球精煉鋅消費量將較去年增加</w:t>
      </w:r>
      <w:r w:rsidRPr="00131B9D">
        <w:rPr>
          <w:color w:val="000000"/>
          <w:szCs w:val="24"/>
        </w:rPr>
        <w:t>1.1%</w:t>
      </w:r>
      <w:r w:rsidRPr="00131B9D">
        <w:rPr>
          <w:color w:val="000000"/>
          <w:szCs w:val="24"/>
        </w:rPr>
        <w:t>至</w:t>
      </w:r>
      <w:r w:rsidRPr="00131B9D">
        <w:rPr>
          <w:color w:val="000000"/>
          <w:szCs w:val="24"/>
        </w:rPr>
        <w:t>1,390</w:t>
      </w:r>
      <w:r w:rsidRPr="00131B9D">
        <w:rPr>
          <w:color w:val="000000"/>
          <w:szCs w:val="24"/>
        </w:rPr>
        <w:t>萬噸，</w:t>
      </w:r>
      <w:r w:rsidRPr="00131B9D">
        <w:rPr>
          <w:color w:val="000000"/>
          <w:szCs w:val="24"/>
        </w:rPr>
        <w:t>2016</w:t>
      </w:r>
      <w:r w:rsidRPr="00131B9D">
        <w:rPr>
          <w:color w:val="000000"/>
          <w:szCs w:val="24"/>
        </w:rPr>
        <w:t>年預估較今年增加</w:t>
      </w:r>
      <w:r w:rsidRPr="00131B9D">
        <w:rPr>
          <w:color w:val="000000"/>
          <w:szCs w:val="24"/>
        </w:rPr>
        <w:t>3.3%</w:t>
      </w:r>
      <w:r w:rsidRPr="00131B9D">
        <w:rPr>
          <w:color w:val="000000"/>
          <w:szCs w:val="24"/>
        </w:rPr>
        <w:t>至</w:t>
      </w:r>
      <w:r w:rsidRPr="00131B9D">
        <w:rPr>
          <w:color w:val="000000"/>
          <w:szCs w:val="24"/>
        </w:rPr>
        <w:t>1,437</w:t>
      </w:r>
      <w:r w:rsidRPr="00131B9D">
        <w:rPr>
          <w:color w:val="000000"/>
          <w:szCs w:val="24"/>
        </w:rPr>
        <w:t>萬噸。因預期鍍鋅鋼板產量增長，</w:t>
      </w:r>
      <w:r w:rsidRPr="00131B9D">
        <w:rPr>
          <w:color w:val="000000"/>
          <w:szCs w:val="24"/>
        </w:rPr>
        <w:t>2015</w:t>
      </w:r>
      <w:r w:rsidRPr="00131B9D">
        <w:rPr>
          <w:color w:val="000000"/>
          <w:szCs w:val="24"/>
        </w:rPr>
        <w:t>年和</w:t>
      </w:r>
      <w:r w:rsidRPr="00131B9D">
        <w:rPr>
          <w:color w:val="000000"/>
          <w:szCs w:val="24"/>
        </w:rPr>
        <w:t>2016</w:t>
      </w:r>
      <w:r w:rsidRPr="00131B9D">
        <w:rPr>
          <w:color w:val="000000"/>
          <w:szCs w:val="24"/>
        </w:rPr>
        <w:t>年鋅消費量成長率分別為</w:t>
      </w:r>
      <w:r w:rsidRPr="00131B9D">
        <w:rPr>
          <w:color w:val="000000"/>
          <w:szCs w:val="24"/>
        </w:rPr>
        <w:t>1.4%</w:t>
      </w:r>
      <w:r w:rsidRPr="00131B9D">
        <w:rPr>
          <w:color w:val="000000"/>
          <w:szCs w:val="24"/>
        </w:rPr>
        <w:t>、</w:t>
      </w:r>
      <w:r w:rsidRPr="00131B9D">
        <w:rPr>
          <w:color w:val="000000"/>
          <w:szCs w:val="24"/>
        </w:rPr>
        <w:t>4.9%</w:t>
      </w:r>
      <w:r w:rsidRPr="00131B9D">
        <w:rPr>
          <w:color w:val="000000"/>
          <w:szCs w:val="24"/>
        </w:rPr>
        <w:t>。</w:t>
      </w:r>
      <w:r w:rsidRPr="00131B9D">
        <w:rPr>
          <w:color w:val="000000"/>
          <w:szCs w:val="24"/>
        </w:rPr>
        <w:t>2015</w:t>
      </w:r>
      <w:r w:rsidRPr="00131B9D">
        <w:rPr>
          <w:color w:val="000000"/>
          <w:szCs w:val="24"/>
        </w:rPr>
        <w:t>年歐洲與美國的鋅消費量預估將分別較去年增加</w:t>
      </w:r>
      <w:r w:rsidRPr="00131B9D">
        <w:rPr>
          <w:color w:val="000000"/>
          <w:szCs w:val="24"/>
        </w:rPr>
        <w:t>1.4%</w:t>
      </w:r>
      <w:r w:rsidRPr="00131B9D">
        <w:rPr>
          <w:color w:val="000000"/>
          <w:szCs w:val="24"/>
        </w:rPr>
        <w:t>與</w:t>
      </w:r>
      <w:r w:rsidRPr="00131B9D">
        <w:rPr>
          <w:color w:val="000000"/>
          <w:szCs w:val="24"/>
        </w:rPr>
        <w:t>1.9%</w:t>
      </w:r>
      <w:r w:rsidRPr="00131B9D">
        <w:rPr>
          <w:color w:val="000000"/>
          <w:szCs w:val="24"/>
        </w:rPr>
        <w:t>，</w:t>
      </w:r>
      <w:r w:rsidRPr="00131B9D">
        <w:rPr>
          <w:color w:val="000000"/>
          <w:szCs w:val="24"/>
        </w:rPr>
        <w:t>2016</w:t>
      </w:r>
      <w:r w:rsidRPr="00131B9D">
        <w:rPr>
          <w:color w:val="000000"/>
          <w:szCs w:val="24"/>
        </w:rPr>
        <w:t>年則預估分別較今年增加</w:t>
      </w:r>
      <w:r w:rsidRPr="00131B9D">
        <w:rPr>
          <w:color w:val="000000"/>
          <w:szCs w:val="24"/>
        </w:rPr>
        <w:t>0.7%</w:t>
      </w:r>
      <w:r w:rsidRPr="00131B9D">
        <w:rPr>
          <w:color w:val="000000"/>
          <w:szCs w:val="24"/>
        </w:rPr>
        <w:t>與</w:t>
      </w:r>
      <w:r w:rsidRPr="00131B9D">
        <w:rPr>
          <w:color w:val="000000"/>
          <w:szCs w:val="24"/>
        </w:rPr>
        <w:t>1.7%</w:t>
      </w:r>
      <w:r w:rsidRPr="00131B9D">
        <w:t>（如表</w:t>
      </w:r>
      <w:r w:rsidRPr="00131B9D">
        <w:t>3-9</w:t>
      </w:r>
      <w:r w:rsidRPr="00131B9D">
        <w:t>）</w:t>
      </w:r>
      <w:r w:rsidRPr="00131B9D">
        <w:rPr>
          <w:color w:val="000000"/>
          <w:szCs w:val="24"/>
        </w:rPr>
        <w:t>。</w:t>
      </w:r>
    </w:p>
    <w:p w:rsidR="00F279F7" w:rsidRPr="00131B9D" w:rsidRDefault="00F279F7" w:rsidP="00F279F7">
      <w:pPr>
        <w:pStyle w:val="-"/>
        <w:spacing w:before="72" w:after="72"/>
        <w:ind w:leftChars="50" w:left="120" w:firstLine="560"/>
        <w:rPr>
          <w:color w:val="000000"/>
          <w:szCs w:val="24"/>
        </w:rPr>
      </w:pPr>
      <w:r w:rsidRPr="00131B9D">
        <w:rPr>
          <w:color w:val="000000"/>
          <w:szCs w:val="24"/>
        </w:rPr>
        <w:t>日本最大鋅生產商三井金屬礦業公司在</w:t>
      </w:r>
      <w:r w:rsidRPr="00131B9D">
        <w:rPr>
          <w:color w:val="000000"/>
          <w:szCs w:val="24"/>
        </w:rPr>
        <w:t>2015</w:t>
      </w:r>
      <w:r w:rsidRPr="00131B9D">
        <w:rPr>
          <w:color w:val="000000"/>
          <w:szCs w:val="24"/>
        </w:rPr>
        <w:t>年</w:t>
      </w:r>
      <w:r w:rsidRPr="00131B9D">
        <w:rPr>
          <w:color w:val="000000"/>
          <w:szCs w:val="24"/>
        </w:rPr>
        <w:t>2</w:t>
      </w:r>
      <w:r w:rsidRPr="00131B9D">
        <w:rPr>
          <w:color w:val="000000"/>
          <w:szCs w:val="24"/>
        </w:rPr>
        <w:t>月底時，因為擔憂中國大陸出口增加可能造成區域性供給過剩，自</w:t>
      </w:r>
      <w:r w:rsidRPr="00131B9D">
        <w:rPr>
          <w:color w:val="000000"/>
          <w:szCs w:val="24"/>
        </w:rPr>
        <w:t>2009</w:t>
      </w:r>
      <w:r w:rsidRPr="00131B9D">
        <w:rPr>
          <w:color w:val="000000"/>
          <w:szCs w:val="24"/>
        </w:rPr>
        <w:t>年以來首次下調對海外買家的年度溢價報價。而中國大陸鋅產量於</w:t>
      </w:r>
      <w:r w:rsidRPr="00131B9D">
        <w:rPr>
          <w:color w:val="000000"/>
          <w:szCs w:val="24"/>
        </w:rPr>
        <w:t>2015</w:t>
      </w:r>
      <w:r w:rsidRPr="00131B9D">
        <w:rPr>
          <w:color w:val="000000"/>
          <w:szCs w:val="24"/>
        </w:rPr>
        <w:t>年</w:t>
      </w:r>
      <w:r w:rsidRPr="00131B9D">
        <w:rPr>
          <w:color w:val="000000"/>
          <w:szCs w:val="24"/>
        </w:rPr>
        <w:t>3</w:t>
      </w:r>
      <w:r w:rsidRPr="00131B9D">
        <w:rPr>
          <w:color w:val="000000"/>
          <w:szCs w:val="24"/>
        </w:rPr>
        <w:t>月時創新高，受其影響，</w:t>
      </w:r>
      <w:r w:rsidRPr="00131B9D">
        <w:rPr>
          <w:color w:val="000000"/>
          <w:szCs w:val="24"/>
        </w:rPr>
        <w:t>3</w:t>
      </w:r>
      <w:r w:rsidRPr="00131B9D">
        <w:rPr>
          <w:color w:val="000000"/>
          <w:szCs w:val="24"/>
        </w:rPr>
        <w:t>月鋅價較去年</w:t>
      </w:r>
      <w:r w:rsidRPr="00131B9D">
        <w:rPr>
          <w:color w:val="000000"/>
          <w:szCs w:val="24"/>
        </w:rPr>
        <w:t>7</w:t>
      </w:r>
      <w:r w:rsidRPr="00131B9D">
        <w:rPr>
          <w:color w:val="000000"/>
          <w:szCs w:val="24"/>
        </w:rPr>
        <w:t>月所創下的</w:t>
      </w:r>
      <w:r w:rsidRPr="00131B9D">
        <w:rPr>
          <w:color w:val="000000"/>
          <w:szCs w:val="24"/>
        </w:rPr>
        <w:t>3</w:t>
      </w:r>
      <w:r w:rsidRPr="00131B9D">
        <w:rPr>
          <w:color w:val="000000"/>
          <w:szCs w:val="24"/>
        </w:rPr>
        <w:t>年新高累計下跌</w:t>
      </w:r>
      <w:r w:rsidRPr="00131B9D">
        <w:rPr>
          <w:color w:val="000000"/>
          <w:szCs w:val="24"/>
        </w:rPr>
        <w:t>16%</w:t>
      </w:r>
      <w:r w:rsidRPr="00131B9D">
        <w:rPr>
          <w:color w:val="000000"/>
          <w:szCs w:val="24"/>
        </w:rPr>
        <w:t>，並且達到第</w:t>
      </w:r>
      <w:r w:rsidRPr="00131B9D">
        <w:rPr>
          <w:color w:val="000000"/>
          <w:szCs w:val="24"/>
        </w:rPr>
        <w:t>1</w:t>
      </w:r>
      <w:r w:rsidRPr="00131B9D">
        <w:rPr>
          <w:color w:val="000000"/>
          <w:szCs w:val="24"/>
        </w:rPr>
        <w:t>季鋅價的最低點。</w:t>
      </w:r>
      <w:r w:rsidRPr="00131B9D">
        <w:rPr>
          <w:color w:val="000000"/>
          <w:szCs w:val="24"/>
        </w:rPr>
        <w:t>4</w:t>
      </w:r>
      <w:r w:rsidRPr="00131B9D">
        <w:rPr>
          <w:color w:val="000000"/>
          <w:szCs w:val="24"/>
        </w:rPr>
        <w:t>月過後鋅庫存進一步下降，以及油價逐漸走高，加上中國大陸加速推動鋅礦整合，使市場供給出現吃緊的狀況，導致鋅價上漲，並於</w:t>
      </w:r>
      <w:r w:rsidRPr="00131B9D">
        <w:rPr>
          <w:color w:val="000000"/>
          <w:szCs w:val="24"/>
        </w:rPr>
        <w:t>5</w:t>
      </w:r>
      <w:r w:rsidRPr="00131B9D">
        <w:rPr>
          <w:color w:val="000000"/>
          <w:szCs w:val="24"/>
        </w:rPr>
        <w:t>月</w:t>
      </w:r>
      <w:r w:rsidRPr="00131B9D">
        <w:rPr>
          <w:color w:val="000000"/>
          <w:szCs w:val="24"/>
        </w:rPr>
        <w:t>5</w:t>
      </w:r>
      <w:r w:rsidRPr="00131B9D">
        <w:rPr>
          <w:color w:val="000000"/>
          <w:szCs w:val="24"/>
        </w:rPr>
        <w:t>日觸及今年度價格的最高點，自</w:t>
      </w:r>
      <w:r w:rsidRPr="00131B9D">
        <w:rPr>
          <w:color w:val="000000"/>
          <w:szCs w:val="24"/>
        </w:rPr>
        <w:t>7</w:t>
      </w:r>
      <w:r w:rsidRPr="00131B9D">
        <w:rPr>
          <w:color w:val="000000"/>
          <w:szCs w:val="24"/>
        </w:rPr>
        <w:t>月中旬過後，短期供應充裕，下游需求仍難以消化，倫敦交易所鋅價格從第</w:t>
      </w:r>
      <w:r w:rsidRPr="00131B9D">
        <w:rPr>
          <w:color w:val="000000"/>
          <w:szCs w:val="24"/>
        </w:rPr>
        <w:t>3</w:t>
      </w:r>
      <w:r w:rsidRPr="00131B9D">
        <w:rPr>
          <w:color w:val="000000"/>
          <w:szCs w:val="24"/>
        </w:rPr>
        <w:t>季的高點開始下跌。</w:t>
      </w:r>
      <w:r w:rsidRPr="00131B9D">
        <w:rPr>
          <w:color w:val="000000"/>
          <w:szCs w:val="24"/>
        </w:rPr>
        <w:t>8</w:t>
      </w:r>
      <w:r w:rsidRPr="00131B9D">
        <w:rPr>
          <w:color w:val="000000"/>
          <w:szCs w:val="24"/>
        </w:rPr>
        <w:t>月為傳統淡季，需求仍弱，價格依然下滑，時至美國聯邦準備理事會（</w:t>
      </w:r>
      <w:r w:rsidRPr="00131B9D">
        <w:rPr>
          <w:color w:val="000000"/>
          <w:szCs w:val="24"/>
        </w:rPr>
        <w:t>Fed</w:t>
      </w:r>
      <w:r w:rsidRPr="00131B9D">
        <w:rPr>
          <w:color w:val="000000"/>
          <w:szCs w:val="24"/>
        </w:rPr>
        <w:t>）會議前夕，</w:t>
      </w:r>
      <w:r w:rsidRPr="00131B9D">
        <w:rPr>
          <w:color w:val="000000"/>
          <w:szCs w:val="24"/>
        </w:rPr>
        <w:t>LME</w:t>
      </w:r>
      <w:r w:rsidRPr="00131B9D">
        <w:rPr>
          <w:color w:val="000000"/>
          <w:szCs w:val="24"/>
        </w:rPr>
        <w:t>鋅庫存明顯提高，更加顯示供給豐沛，持續壓低價格。然美聯儲決議</w:t>
      </w:r>
      <w:r w:rsidRPr="00131B9D">
        <w:rPr>
          <w:color w:val="000000"/>
          <w:szCs w:val="24"/>
        </w:rPr>
        <w:t>9</w:t>
      </w:r>
      <w:r w:rsidRPr="00131B9D">
        <w:rPr>
          <w:color w:val="000000"/>
          <w:szCs w:val="24"/>
        </w:rPr>
        <w:t>月不加息，使美元指數下跌，對鋅市形成一定的提振，但消費偏弱將制約鋅價格的反彈空間。經歷短暫反彈之後，</w:t>
      </w:r>
      <w:r w:rsidRPr="00131B9D">
        <w:rPr>
          <w:color w:val="000000"/>
          <w:szCs w:val="24"/>
        </w:rPr>
        <w:t xml:space="preserve"> 9</w:t>
      </w:r>
      <w:r w:rsidRPr="00131B9D">
        <w:rPr>
          <w:color w:val="000000"/>
          <w:szCs w:val="24"/>
        </w:rPr>
        <w:t>月中旬由於嘉能可等大型持貨商削減負債，使隱性庫存轉為顯性庫存，導致鋅價急速下跌，隨後受惠於中國大陸股市上漲、美元下跌以及歐洲最大經濟體德國經濟數據良好，使價格再度回升。</w:t>
      </w:r>
      <w:r w:rsidRPr="00131B9D">
        <w:rPr>
          <w:color w:val="000000"/>
          <w:szCs w:val="24"/>
        </w:rPr>
        <w:t>11</w:t>
      </w:r>
      <w:r w:rsidRPr="00131B9D">
        <w:rPr>
          <w:color w:val="000000"/>
          <w:szCs w:val="24"/>
        </w:rPr>
        <w:t>月</w:t>
      </w:r>
      <w:r w:rsidRPr="00131B9D">
        <w:rPr>
          <w:color w:val="000000"/>
          <w:szCs w:val="24"/>
        </w:rPr>
        <w:t>11</w:t>
      </w:r>
      <w:r w:rsidRPr="00131B9D">
        <w:rPr>
          <w:color w:val="000000"/>
          <w:szCs w:val="24"/>
        </w:rPr>
        <w:t>日，因中國大陸通膨低於預期，加深市場對成長趨緩疑慮，而近期市場對美聯儲年底加息的預期逐步升溫，對金屬市場而言為利空，超越</w:t>
      </w:r>
      <w:r w:rsidRPr="00131B9D">
        <w:rPr>
          <w:color w:val="000000"/>
          <w:szCs w:val="24"/>
        </w:rPr>
        <w:t>10</w:t>
      </w:r>
      <w:r w:rsidRPr="00131B9D">
        <w:rPr>
          <w:color w:val="000000"/>
          <w:szCs w:val="24"/>
        </w:rPr>
        <w:t>月份礦商嘉能可（</w:t>
      </w:r>
      <w:r w:rsidRPr="00131B9D">
        <w:rPr>
          <w:color w:val="000000"/>
          <w:szCs w:val="24"/>
        </w:rPr>
        <w:t>GLENCORE</w:t>
      </w:r>
      <w:r w:rsidRPr="00131B9D">
        <w:rPr>
          <w:color w:val="000000"/>
          <w:szCs w:val="24"/>
        </w:rPr>
        <w:t>）承諾削減產量</w:t>
      </w:r>
      <w:r w:rsidRPr="00131B9D">
        <w:rPr>
          <w:color w:val="000000"/>
          <w:szCs w:val="24"/>
        </w:rPr>
        <w:t>50</w:t>
      </w:r>
      <w:r w:rsidRPr="00131B9D">
        <w:rPr>
          <w:color w:val="000000"/>
          <w:szCs w:val="24"/>
        </w:rPr>
        <w:t>萬公噸，相當於全球供應量</w:t>
      </w:r>
      <w:r w:rsidRPr="00131B9D">
        <w:rPr>
          <w:color w:val="000000"/>
          <w:szCs w:val="24"/>
        </w:rPr>
        <w:t>3.5%</w:t>
      </w:r>
      <w:r w:rsidRPr="00131B9D">
        <w:rPr>
          <w:color w:val="000000"/>
          <w:szCs w:val="24"/>
        </w:rPr>
        <w:t>的利多消息，鋅價下滑至</w:t>
      </w:r>
      <w:r w:rsidRPr="00131B9D">
        <w:rPr>
          <w:color w:val="000000"/>
          <w:szCs w:val="24"/>
        </w:rPr>
        <w:t>2009</w:t>
      </w:r>
      <w:r w:rsidRPr="00131B9D">
        <w:rPr>
          <w:color w:val="000000"/>
          <w:szCs w:val="24"/>
        </w:rPr>
        <w:t>年以來最低</w:t>
      </w:r>
      <w:r w:rsidRPr="00131B9D">
        <w:rPr>
          <w:color w:val="000000"/>
          <w:szCs w:val="24"/>
        </w:rPr>
        <w:lastRenderedPageBreak/>
        <w:t>點。</w:t>
      </w:r>
      <w:r w:rsidR="00BC42BF" w:rsidRPr="00131B9D">
        <w:rPr>
          <w:szCs w:val="24"/>
        </w:rPr>
        <w:t>11</w:t>
      </w:r>
      <w:r w:rsidR="00BC42BF" w:rsidRPr="00131B9D">
        <w:rPr>
          <w:szCs w:val="24"/>
        </w:rPr>
        <w:t>月</w:t>
      </w:r>
      <w:r w:rsidR="00BC42BF" w:rsidRPr="00131B9D">
        <w:rPr>
          <w:szCs w:val="24"/>
        </w:rPr>
        <w:t>20</w:t>
      </w:r>
      <w:r w:rsidR="00BC42BF" w:rsidRPr="00131B9D">
        <w:rPr>
          <w:szCs w:val="24"/>
        </w:rPr>
        <w:t>日，中金嶺南、馳宏鋅鍺、株冶集團等</w:t>
      </w:r>
      <w:r w:rsidR="00BC42BF" w:rsidRPr="00131B9D">
        <w:rPr>
          <w:szCs w:val="24"/>
        </w:rPr>
        <w:t>10</w:t>
      </w:r>
      <w:r w:rsidR="00BC42BF" w:rsidRPr="00131B9D">
        <w:rPr>
          <w:szCs w:val="24"/>
        </w:rPr>
        <w:t>中國大陸多家大型鋅生產商宣佈將在</w:t>
      </w:r>
      <w:r w:rsidR="00BC42BF" w:rsidRPr="00131B9D">
        <w:rPr>
          <w:szCs w:val="24"/>
        </w:rPr>
        <w:t>2016</w:t>
      </w:r>
      <w:r w:rsidR="00BC42BF" w:rsidRPr="00131B9D">
        <w:rPr>
          <w:szCs w:val="24"/>
        </w:rPr>
        <w:t>年減少精煉鋅</w:t>
      </w:r>
      <w:r w:rsidR="00BC42BF" w:rsidRPr="00131B9D">
        <w:rPr>
          <w:szCs w:val="24"/>
        </w:rPr>
        <w:t>50</w:t>
      </w:r>
      <w:r w:rsidR="00BC42BF" w:rsidRPr="00131B9D">
        <w:rPr>
          <w:szCs w:val="24"/>
        </w:rPr>
        <w:t>萬噸產量，預計將佔到目前中國大陸產量的</w:t>
      </w:r>
      <w:r w:rsidR="00BC42BF" w:rsidRPr="00131B9D">
        <w:rPr>
          <w:szCs w:val="24"/>
        </w:rPr>
        <w:t>10%</w:t>
      </w:r>
      <w:r w:rsidR="00BC42BF" w:rsidRPr="00131B9D">
        <w:rPr>
          <w:szCs w:val="24"/>
        </w:rPr>
        <w:t>左右。</w:t>
      </w:r>
    </w:p>
    <w:p w:rsidR="00F279F7" w:rsidRPr="00131B9D" w:rsidRDefault="00F279F7" w:rsidP="003B29E8"/>
    <w:p w:rsidR="00F279F7" w:rsidRPr="00131B9D" w:rsidRDefault="00F279F7" w:rsidP="00F279F7">
      <w:pPr>
        <w:pStyle w:val="aff1"/>
        <w:spacing w:line="0" w:lineRule="atLeast"/>
        <w:rPr>
          <w:bCs/>
          <w:kern w:val="52"/>
          <w:szCs w:val="28"/>
        </w:rPr>
      </w:pPr>
      <w:bookmarkStart w:id="158" w:name="_Toc439162998"/>
      <w:r w:rsidRPr="00131B9D">
        <w:rPr>
          <w:bCs/>
          <w:kern w:val="52"/>
          <w:szCs w:val="28"/>
        </w:rPr>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9</w:t>
      </w:r>
      <w:r w:rsidRPr="00131B9D">
        <w:rPr>
          <w:b w:val="0"/>
          <w:bCs/>
          <w:kern w:val="52"/>
          <w:szCs w:val="28"/>
        </w:rPr>
        <w:fldChar w:fldCharType="end"/>
      </w:r>
      <w:r w:rsidRPr="00131B9D">
        <w:rPr>
          <w:bCs/>
          <w:kern w:val="52"/>
          <w:szCs w:val="28"/>
        </w:rPr>
        <w:t xml:space="preserve">　全球鋅市供需概況</w:t>
      </w:r>
      <w:bookmarkEnd w:id="158"/>
    </w:p>
    <w:tbl>
      <w:tblPr>
        <w:tblW w:w="5982"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310"/>
        <w:gridCol w:w="1976"/>
        <w:gridCol w:w="1696"/>
      </w:tblGrid>
      <w:tr w:rsidR="00F279F7" w:rsidRPr="00131B9D" w:rsidTr="00F279F7">
        <w:trPr>
          <w:trHeight w:val="330"/>
          <w:jc w:val="center"/>
        </w:trPr>
        <w:tc>
          <w:tcPr>
            <w:tcW w:w="2310"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LME</w:t>
            </w:r>
            <w:r w:rsidRPr="00131B9D">
              <w:rPr>
                <w:rFonts w:eastAsia="標楷體"/>
                <w:b/>
                <w:kern w:val="0"/>
              </w:rPr>
              <w:t>統計</w:t>
            </w:r>
          </w:p>
        </w:tc>
        <w:tc>
          <w:tcPr>
            <w:tcW w:w="1976"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696"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變動量</w:t>
            </w:r>
          </w:p>
        </w:tc>
      </w:tr>
      <w:tr w:rsidR="00F279F7" w:rsidRPr="00131B9D" w:rsidTr="00F279F7">
        <w:trPr>
          <w:trHeight w:val="330"/>
          <w:jc w:val="center"/>
        </w:trPr>
        <w:tc>
          <w:tcPr>
            <w:tcW w:w="5982" w:type="dxa"/>
            <w:gridSpan w:val="3"/>
            <w:shd w:val="clear" w:color="auto" w:fill="D9D9D9"/>
            <w:noWrap/>
            <w:vAlign w:val="center"/>
          </w:tcPr>
          <w:p w:rsidR="00F279F7" w:rsidRPr="00131B9D" w:rsidRDefault="00F279F7" w:rsidP="00F279F7">
            <w:pPr>
              <w:jc w:val="center"/>
              <w:rPr>
                <w:color w:val="000000"/>
              </w:rPr>
            </w:pPr>
            <w:r w:rsidRPr="00131B9D">
              <w:rPr>
                <w:rFonts w:eastAsia="標楷體"/>
                <w:kern w:val="0"/>
                <w:sz w:val="23"/>
                <w:szCs w:val="23"/>
              </w:rPr>
              <w:t>2014</w:t>
            </w:r>
            <w:r w:rsidRPr="00131B9D">
              <w:rPr>
                <w:rFonts w:eastAsia="標楷體"/>
                <w:kern w:val="0"/>
                <w:sz w:val="23"/>
                <w:szCs w:val="23"/>
              </w:rPr>
              <w:t>年</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w:t>
            </w:r>
            <w:r w:rsidRPr="00131B9D">
              <w:rPr>
                <w:rFonts w:eastAsia="標楷體"/>
                <w:kern w:val="0"/>
              </w:rPr>
              <w:t>月</w:t>
            </w:r>
          </w:p>
        </w:tc>
        <w:tc>
          <w:tcPr>
            <w:tcW w:w="1976"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854,450 </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-8.47%</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2</w:t>
            </w:r>
            <w:r w:rsidRPr="00131B9D">
              <w:rPr>
                <w:rFonts w:eastAsia="標楷體"/>
                <w:kern w:val="0"/>
              </w:rPr>
              <w:t>月</w:t>
            </w:r>
          </w:p>
        </w:tc>
        <w:tc>
          <w:tcPr>
            <w:tcW w:w="1976"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761,725 </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-10.85%</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3</w:t>
            </w:r>
            <w:r w:rsidRPr="00131B9D">
              <w:rPr>
                <w:rFonts w:eastAsia="標楷體"/>
                <w:kern w:val="0"/>
              </w:rPr>
              <w:t>月</w:t>
            </w:r>
          </w:p>
        </w:tc>
        <w:tc>
          <w:tcPr>
            <w:tcW w:w="1976"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779,600 </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2.35%</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4</w:t>
            </w:r>
            <w:r w:rsidRPr="00131B9D">
              <w:rPr>
                <w:rFonts w:eastAsia="標楷體"/>
                <w:kern w:val="0"/>
              </w:rPr>
              <w:t>月</w:t>
            </w:r>
          </w:p>
        </w:tc>
        <w:tc>
          <w:tcPr>
            <w:tcW w:w="1976"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777,000 </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-0.33%</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5</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711,900 </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-8.38%</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6</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668,475 </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-6.10%</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7</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655,750 </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-1.90%</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8</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734,350 </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11.99%</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9</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751,400 </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2.32%</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10</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700,975 </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-6.71%</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11</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673,000 </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-3.99%</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12</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691,600 </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2.76%</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1</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3B29E8" w:rsidRPr="00131B9D" w:rsidRDefault="003B29E8" w:rsidP="00CD56C1">
            <w:pPr>
              <w:jc w:val="center"/>
            </w:pPr>
            <w:r w:rsidRPr="00131B9D">
              <w:rPr>
                <w:color w:val="000000"/>
              </w:rPr>
              <w:t xml:space="preserve">630,750 </w:t>
            </w:r>
          </w:p>
        </w:tc>
        <w:tc>
          <w:tcPr>
            <w:tcW w:w="1696" w:type="dxa"/>
            <w:tcBorders>
              <w:left w:val="single" w:sz="4" w:space="0" w:color="auto"/>
              <w:bottom w:val="single" w:sz="4" w:space="0" w:color="auto"/>
            </w:tcBorders>
            <w:shd w:val="clear" w:color="auto" w:fill="auto"/>
            <w:noWrap/>
            <w:vAlign w:val="center"/>
          </w:tcPr>
          <w:p w:rsidR="003B29E8" w:rsidRPr="00131B9D" w:rsidRDefault="003B29E8" w:rsidP="00CD56C1">
            <w:pPr>
              <w:jc w:val="center"/>
              <w:rPr>
                <w:color w:val="000000"/>
              </w:rPr>
            </w:pPr>
            <w:r w:rsidRPr="00131B9D">
              <w:rPr>
                <w:color w:val="000000"/>
              </w:rPr>
              <w:t>-8.80%</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spacing w:line="240" w:lineRule="exact"/>
              <w:jc w:val="center"/>
              <w:rPr>
                <w:rFonts w:eastAsia="標楷體"/>
                <w:kern w:val="0"/>
              </w:rPr>
            </w:pPr>
            <w:r w:rsidRPr="00131B9D">
              <w:rPr>
                <w:rFonts w:eastAsia="標楷體"/>
                <w:kern w:val="0"/>
              </w:rPr>
              <w:t>2</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vAlign w:val="center"/>
          </w:tcPr>
          <w:p w:rsidR="003B29E8" w:rsidRPr="00131B9D" w:rsidDel="006C65F6" w:rsidRDefault="003B29E8" w:rsidP="00CD56C1">
            <w:pPr>
              <w:jc w:val="center"/>
              <w:rPr>
                <w:color w:val="000000"/>
              </w:rPr>
            </w:pPr>
            <w:r w:rsidRPr="00131B9D">
              <w:rPr>
                <w:color w:val="000000"/>
              </w:rPr>
              <w:t xml:space="preserve">567,350 </w:t>
            </w:r>
          </w:p>
        </w:tc>
        <w:tc>
          <w:tcPr>
            <w:tcW w:w="1696"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jc w:val="center"/>
              <w:rPr>
                <w:color w:val="000000"/>
              </w:rPr>
            </w:pPr>
            <w:r w:rsidRPr="00131B9D">
              <w:rPr>
                <w:color w:val="000000"/>
              </w:rPr>
              <w:t>-10.05%</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spacing w:line="240" w:lineRule="exact"/>
              <w:jc w:val="center"/>
              <w:rPr>
                <w:rFonts w:eastAsia="標楷體"/>
                <w:kern w:val="0"/>
              </w:rPr>
            </w:pPr>
            <w:r w:rsidRPr="00131B9D">
              <w:rPr>
                <w:rFonts w:eastAsia="標楷體"/>
                <w:kern w:val="0"/>
              </w:rPr>
              <w:t>3</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tcPr>
          <w:p w:rsidR="003B29E8" w:rsidRPr="00131B9D" w:rsidDel="006C65F6" w:rsidRDefault="003B29E8" w:rsidP="00CD56C1">
            <w:pPr>
              <w:jc w:val="center"/>
              <w:rPr>
                <w:color w:val="000000"/>
              </w:rPr>
            </w:pPr>
            <w:r w:rsidRPr="00131B9D">
              <w:t>513,125</w:t>
            </w:r>
          </w:p>
        </w:tc>
        <w:tc>
          <w:tcPr>
            <w:tcW w:w="1696"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jc w:val="center"/>
              <w:rPr>
                <w:color w:val="000000"/>
              </w:rPr>
            </w:pPr>
            <w:r w:rsidRPr="00131B9D">
              <w:rPr>
                <w:color w:val="000000"/>
              </w:rPr>
              <w:t>-9.56%</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Del="006C65F6" w:rsidRDefault="003B29E8" w:rsidP="00CD56C1">
            <w:pPr>
              <w:widowControl/>
              <w:spacing w:line="240" w:lineRule="exact"/>
              <w:jc w:val="center"/>
              <w:rPr>
                <w:rFonts w:eastAsia="標楷體"/>
                <w:kern w:val="0"/>
              </w:rPr>
            </w:pPr>
            <w:r w:rsidRPr="00131B9D">
              <w:rPr>
                <w:rFonts w:eastAsia="標楷體"/>
                <w:kern w:val="0"/>
              </w:rPr>
              <w:t>4</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tcPr>
          <w:p w:rsidR="003B29E8" w:rsidRPr="00131B9D" w:rsidDel="006C65F6" w:rsidRDefault="003B29E8" w:rsidP="00CD56C1">
            <w:pPr>
              <w:jc w:val="center"/>
              <w:rPr>
                <w:color w:val="000000"/>
              </w:rPr>
            </w:pPr>
            <w:r w:rsidRPr="00131B9D">
              <w:t>470,975</w:t>
            </w:r>
          </w:p>
        </w:tc>
        <w:tc>
          <w:tcPr>
            <w:tcW w:w="1696" w:type="dxa"/>
            <w:tcBorders>
              <w:left w:val="single" w:sz="4" w:space="0" w:color="auto"/>
              <w:bottom w:val="single" w:sz="4" w:space="0" w:color="auto"/>
            </w:tcBorders>
            <w:shd w:val="clear" w:color="auto" w:fill="auto"/>
            <w:noWrap/>
            <w:vAlign w:val="center"/>
          </w:tcPr>
          <w:p w:rsidR="003B29E8" w:rsidRPr="00131B9D" w:rsidDel="006C65F6" w:rsidRDefault="003B29E8" w:rsidP="00CD56C1">
            <w:pPr>
              <w:jc w:val="center"/>
              <w:rPr>
                <w:color w:val="000000"/>
              </w:rPr>
            </w:pPr>
            <w:r w:rsidRPr="00131B9D">
              <w:rPr>
                <w:color w:val="000000"/>
              </w:rPr>
              <w:t>-8.21%</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5</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tcPr>
          <w:p w:rsidR="003B29E8" w:rsidRPr="00131B9D" w:rsidRDefault="003B29E8" w:rsidP="00CD56C1">
            <w:pPr>
              <w:jc w:val="center"/>
            </w:pPr>
            <w:r w:rsidRPr="00131B9D">
              <w:t>454,575</w:t>
            </w:r>
          </w:p>
        </w:tc>
        <w:tc>
          <w:tcPr>
            <w:tcW w:w="1696" w:type="dxa"/>
            <w:tcBorders>
              <w:left w:val="single" w:sz="4" w:space="0" w:color="auto"/>
              <w:bottom w:val="single" w:sz="4" w:space="0" w:color="auto"/>
            </w:tcBorders>
            <w:shd w:val="clear" w:color="auto" w:fill="auto"/>
            <w:noWrap/>
            <w:vAlign w:val="center"/>
          </w:tcPr>
          <w:p w:rsidR="003B29E8" w:rsidRPr="00131B9D" w:rsidRDefault="003B29E8" w:rsidP="00CD56C1">
            <w:pPr>
              <w:jc w:val="center"/>
              <w:rPr>
                <w:color w:val="000000"/>
              </w:rPr>
            </w:pPr>
            <w:r w:rsidRPr="00131B9D">
              <w:rPr>
                <w:color w:val="000000"/>
              </w:rPr>
              <w:t>-3.48%</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6</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tcPr>
          <w:p w:rsidR="003B29E8" w:rsidRPr="00131B9D" w:rsidRDefault="003B29E8" w:rsidP="00CD56C1">
            <w:pPr>
              <w:jc w:val="center"/>
            </w:pPr>
            <w:r w:rsidRPr="00131B9D">
              <w:t>464,400</w:t>
            </w:r>
          </w:p>
        </w:tc>
        <w:tc>
          <w:tcPr>
            <w:tcW w:w="1696" w:type="dxa"/>
            <w:tcBorders>
              <w:left w:val="single" w:sz="4" w:space="0" w:color="auto"/>
              <w:bottom w:val="single" w:sz="4" w:space="0" w:color="auto"/>
            </w:tcBorders>
            <w:shd w:val="clear" w:color="auto" w:fill="auto"/>
            <w:noWrap/>
            <w:vAlign w:val="center"/>
          </w:tcPr>
          <w:p w:rsidR="003B29E8" w:rsidRPr="00131B9D" w:rsidRDefault="003B29E8" w:rsidP="00CD56C1">
            <w:pPr>
              <w:jc w:val="center"/>
              <w:rPr>
                <w:color w:val="000000"/>
              </w:rPr>
            </w:pPr>
            <w:r w:rsidRPr="00131B9D">
              <w:rPr>
                <w:color w:val="000000"/>
              </w:rPr>
              <w:t>2.16%</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7</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tcPr>
          <w:p w:rsidR="003B29E8" w:rsidRPr="00131B9D" w:rsidRDefault="003B29E8" w:rsidP="00CD56C1">
            <w:pPr>
              <w:jc w:val="center"/>
            </w:pPr>
            <w:r w:rsidRPr="00131B9D">
              <w:t>434,800</w:t>
            </w:r>
          </w:p>
        </w:tc>
        <w:tc>
          <w:tcPr>
            <w:tcW w:w="1696" w:type="dxa"/>
            <w:tcBorders>
              <w:left w:val="single" w:sz="4" w:space="0" w:color="auto"/>
              <w:bottom w:val="single" w:sz="4" w:space="0" w:color="auto"/>
            </w:tcBorders>
            <w:shd w:val="clear" w:color="auto" w:fill="auto"/>
            <w:noWrap/>
            <w:vAlign w:val="center"/>
          </w:tcPr>
          <w:p w:rsidR="003B29E8" w:rsidRPr="00131B9D" w:rsidRDefault="003B29E8" w:rsidP="00CD56C1">
            <w:pPr>
              <w:jc w:val="center"/>
              <w:rPr>
                <w:color w:val="000000"/>
              </w:rPr>
            </w:pPr>
            <w:r w:rsidRPr="00131B9D">
              <w:rPr>
                <w:color w:val="000000"/>
              </w:rPr>
              <w:t>-6.37%</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8</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tcPr>
          <w:p w:rsidR="003B29E8" w:rsidRPr="00131B9D" w:rsidRDefault="003B29E8" w:rsidP="00CD56C1">
            <w:pPr>
              <w:jc w:val="center"/>
            </w:pPr>
            <w:r w:rsidRPr="00131B9D">
              <w:t>522,875</w:t>
            </w:r>
          </w:p>
        </w:tc>
        <w:tc>
          <w:tcPr>
            <w:tcW w:w="1696" w:type="dxa"/>
            <w:tcBorders>
              <w:left w:val="single" w:sz="4" w:space="0" w:color="auto"/>
              <w:bottom w:val="single" w:sz="4" w:space="0" w:color="auto"/>
            </w:tcBorders>
            <w:shd w:val="clear" w:color="auto" w:fill="auto"/>
            <w:noWrap/>
            <w:vAlign w:val="center"/>
          </w:tcPr>
          <w:p w:rsidR="003B29E8" w:rsidRPr="00131B9D" w:rsidRDefault="003B29E8" w:rsidP="00CD56C1">
            <w:pPr>
              <w:jc w:val="center"/>
              <w:rPr>
                <w:color w:val="000000"/>
              </w:rPr>
            </w:pPr>
            <w:r w:rsidRPr="00131B9D">
              <w:rPr>
                <w:color w:val="000000"/>
              </w:rPr>
              <w:t>20.26%</w:t>
            </w:r>
          </w:p>
        </w:tc>
      </w:tr>
      <w:tr w:rsidR="003B29E8" w:rsidRPr="00131B9D" w:rsidTr="00CD56C1">
        <w:trPr>
          <w:trHeight w:val="330"/>
          <w:jc w:val="center"/>
        </w:trPr>
        <w:tc>
          <w:tcPr>
            <w:tcW w:w="2310" w:type="dxa"/>
            <w:tcBorders>
              <w:bottom w:val="single" w:sz="4" w:space="0" w:color="auto"/>
              <w:right w:val="single" w:sz="4" w:space="0" w:color="auto"/>
            </w:tcBorders>
            <w:shd w:val="clear" w:color="auto" w:fill="auto"/>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9</w:t>
            </w:r>
            <w:r w:rsidRPr="00131B9D">
              <w:rPr>
                <w:rFonts w:eastAsia="標楷體"/>
                <w:kern w:val="0"/>
              </w:rPr>
              <w:t>月</w:t>
            </w:r>
          </w:p>
        </w:tc>
        <w:tc>
          <w:tcPr>
            <w:tcW w:w="1976" w:type="dxa"/>
            <w:tcBorders>
              <w:left w:val="single" w:sz="4" w:space="0" w:color="auto"/>
              <w:bottom w:val="single" w:sz="4" w:space="0" w:color="auto"/>
              <w:right w:val="single" w:sz="4" w:space="0" w:color="auto"/>
            </w:tcBorders>
            <w:shd w:val="clear" w:color="auto" w:fill="auto"/>
            <w:noWrap/>
          </w:tcPr>
          <w:p w:rsidR="003B29E8" w:rsidRPr="00131B9D" w:rsidRDefault="003B29E8" w:rsidP="00CD56C1">
            <w:pPr>
              <w:jc w:val="center"/>
            </w:pPr>
            <w:r w:rsidRPr="00131B9D">
              <w:t>588,800</w:t>
            </w:r>
          </w:p>
        </w:tc>
        <w:tc>
          <w:tcPr>
            <w:tcW w:w="1696" w:type="dxa"/>
            <w:tcBorders>
              <w:left w:val="single" w:sz="4" w:space="0" w:color="auto"/>
              <w:bottom w:val="single" w:sz="4" w:space="0" w:color="auto"/>
            </w:tcBorders>
            <w:shd w:val="clear" w:color="auto" w:fill="auto"/>
            <w:noWrap/>
            <w:vAlign w:val="center"/>
          </w:tcPr>
          <w:p w:rsidR="003B29E8" w:rsidRPr="00131B9D" w:rsidRDefault="003B29E8" w:rsidP="00CD56C1">
            <w:pPr>
              <w:jc w:val="center"/>
              <w:rPr>
                <w:color w:val="000000"/>
              </w:rPr>
            </w:pPr>
            <w:r w:rsidRPr="00131B9D">
              <w:rPr>
                <w:color w:val="000000"/>
              </w:rPr>
              <w:t>12.61%</w:t>
            </w:r>
          </w:p>
        </w:tc>
      </w:tr>
      <w:tr w:rsidR="003B29E8" w:rsidRPr="00131B9D" w:rsidTr="00CD56C1">
        <w:trPr>
          <w:trHeight w:val="330"/>
          <w:jc w:val="center"/>
        </w:trPr>
        <w:tc>
          <w:tcPr>
            <w:tcW w:w="2310" w:type="dxa"/>
            <w:tcBorders>
              <w:top w:val="single" w:sz="4" w:space="0" w:color="auto"/>
              <w:bottom w:val="double" w:sz="4" w:space="0" w:color="auto"/>
              <w:right w:val="single" w:sz="4" w:space="0" w:color="auto"/>
            </w:tcBorders>
            <w:shd w:val="clear" w:color="auto" w:fill="auto"/>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10</w:t>
            </w:r>
            <w:r w:rsidRPr="00131B9D">
              <w:rPr>
                <w:rFonts w:eastAsia="標楷體"/>
                <w:kern w:val="0"/>
              </w:rPr>
              <w:t>月</w:t>
            </w:r>
          </w:p>
        </w:tc>
        <w:tc>
          <w:tcPr>
            <w:tcW w:w="1976" w:type="dxa"/>
            <w:tcBorders>
              <w:top w:val="single" w:sz="4" w:space="0" w:color="auto"/>
              <w:left w:val="single" w:sz="4" w:space="0" w:color="auto"/>
              <w:bottom w:val="double" w:sz="4" w:space="0" w:color="auto"/>
              <w:right w:val="single" w:sz="4" w:space="0" w:color="auto"/>
            </w:tcBorders>
            <w:shd w:val="clear" w:color="auto" w:fill="auto"/>
            <w:noWrap/>
          </w:tcPr>
          <w:p w:rsidR="003B29E8" w:rsidRPr="00131B9D" w:rsidRDefault="003B29E8" w:rsidP="00CD56C1">
            <w:pPr>
              <w:jc w:val="center"/>
            </w:pPr>
            <w:r w:rsidRPr="00131B9D">
              <w:t>571,450</w:t>
            </w:r>
          </w:p>
        </w:tc>
        <w:tc>
          <w:tcPr>
            <w:tcW w:w="1696" w:type="dxa"/>
            <w:tcBorders>
              <w:top w:val="single" w:sz="4" w:space="0" w:color="auto"/>
              <w:left w:val="single" w:sz="4" w:space="0" w:color="auto"/>
              <w:bottom w:val="double" w:sz="4" w:space="0" w:color="auto"/>
            </w:tcBorders>
            <w:shd w:val="clear" w:color="auto" w:fill="auto"/>
            <w:noWrap/>
            <w:vAlign w:val="center"/>
          </w:tcPr>
          <w:p w:rsidR="003B29E8" w:rsidRPr="00131B9D" w:rsidRDefault="003B29E8" w:rsidP="00CD56C1">
            <w:pPr>
              <w:jc w:val="center"/>
              <w:rPr>
                <w:color w:val="000000"/>
              </w:rPr>
            </w:pPr>
            <w:r w:rsidRPr="00131B9D">
              <w:rPr>
                <w:color w:val="000000"/>
              </w:rPr>
              <w:t>-2.95%</w:t>
            </w:r>
          </w:p>
        </w:tc>
      </w:tr>
      <w:tr w:rsidR="003B29E8" w:rsidRPr="00131B9D" w:rsidTr="00CD56C1">
        <w:trPr>
          <w:trHeight w:val="691"/>
          <w:jc w:val="center"/>
        </w:trPr>
        <w:tc>
          <w:tcPr>
            <w:tcW w:w="2310" w:type="dxa"/>
            <w:tcBorders>
              <w:top w:val="double" w:sz="4" w:space="0" w:color="auto"/>
              <w:left w:val="single" w:sz="4" w:space="0" w:color="auto"/>
              <w:bottom w:val="single" w:sz="4" w:space="0" w:color="auto"/>
              <w:right w:val="single" w:sz="4" w:space="0" w:color="auto"/>
            </w:tcBorders>
            <w:shd w:val="clear" w:color="auto" w:fill="D9D9D9"/>
            <w:noWrap/>
            <w:vAlign w:val="center"/>
          </w:tcPr>
          <w:p w:rsidR="003B29E8" w:rsidRPr="00131B9D" w:rsidRDefault="003B29E8" w:rsidP="00CD56C1">
            <w:pPr>
              <w:widowControl/>
              <w:spacing w:line="240" w:lineRule="exact"/>
              <w:jc w:val="center"/>
              <w:rPr>
                <w:rFonts w:eastAsia="標楷體"/>
                <w:b/>
                <w:kern w:val="0"/>
              </w:rPr>
            </w:pPr>
            <w:r w:rsidRPr="00131B9D">
              <w:rPr>
                <w:rFonts w:eastAsia="標楷體"/>
                <w:b/>
                <w:kern w:val="0"/>
              </w:rPr>
              <w:t>世界金屬統計（</w:t>
            </w:r>
            <w:r w:rsidRPr="00131B9D">
              <w:rPr>
                <w:rFonts w:eastAsia="標楷體"/>
                <w:b/>
                <w:kern w:val="0"/>
              </w:rPr>
              <w:t>WBMS</w:t>
            </w:r>
            <w:r w:rsidRPr="00131B9D">
              <w:rPr>
                <w:rFonts w:eastAsia="標楷體"/>
                <w:b/>
                <w:kern w:val="0"/>
              </w:rPr>
              <w:t>）</w:t>
            </w:r>
          </w:p>
        </w:tc>
        <w:tc>
          <w:tcPr>
            <w:tcW w:w="3672" w:type="dxa"/>
            <w:gridSpan w:val="2"/>
            <w:tcBorders>
              <w:top w:val="double" w:sz="4" w:space="0" w:color="auto"/>
              <w:left w:val="single" w:sz="4" w:space="0" w:color="auto"/>
              <w:bottom w:val="single" w:sz="4" w:space="0" w:color="auto"/>
              <w:right w:val="single" w:sz="4" w:space="0" w:color="auto"/>
            </w:tcBorders>
            <w:shd w:val="clear" w:color="auto" w:fill="D9D9D9"/>
            <w:noWrap/>
            <w:vAlign w:val="center"/>
          </w:tcPr>
          <w:p w:rsidR="003B29E8" w:rsidRPr="00131B9D" w:rsidRDefault="003B29E8" w:rsidP="00CD56C1">
            <w:pPr>
              <w:widowControl/>
              <w:spacing w:line="240" w:lineRule="exact"/>
              <w:jc w:val="center"/>
              <w:rPr>
                <w:rFonts w:eastAsia="標楷體"/>
                <w:b/>
                <w:kern w:val="0"/>
              </w:rPr>
            </w:pPr>
            <w:r w:rsidRPr="00131B9D">
              <w:rPr>
                <w:rFonts w:eastAsia="標楷體"/>
                <w:b/>
                <w:kern w:val="0"/>
              </w:rPr>
              <w:t>過剩量</w:t>
            </w:r>
            <w:r w:rsidRPr="00131B9D">
              <w:rPr>
                <w:rFonts w:eastAsia="標楷體"/>
                <w:b/>
                <w:kern w:val="0"/>
              </w:rPr>
              <w:t>(</w:t>
            </w:r>
            <w:r w:rsidRPr="00131B9D">
              <w:rPr>
                <w:rFonts w:eastAsia="標楷體"/>
                <w:b/>
                <w:kern w:val="0"/>
              </w:rPr>
              <w:t>公噸</w:t>
            </w:r>
            <w:r w:rsidRPr="00131B9D">
              <w:rPr>
                <w:rFonts w:eastAsia="標楷體"/>
                <w:b/>
                <w:kern w:val="0"/>
              </w:rPr>
              <w:t>)</w:t>
            </w:r>
          </w:p>
        </w:tc>
      </w:tr>
      <w:tr w:rsidR="003B29E8" w:rsidRPr="00131B9D" w:rsidTr="00CD56C1">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2013</w:t>
            </w:r>
            <w:r w:rsidRPr="00131B9D">
              <w:rPr>
                <w:rFonts w:eastAsia="標楷體"/>
                <w:kern w:val="0"/>
              </w:rPr>
              <w:t>年</w:t>
            </w:r>
            <w:r w:rsidRPr="00131B9D">
              <w:rPr>
                <w:rFonts w:eastAsia="標楷體"/>
                <w:kern w:val="0"/>
              </w:rPr>
              <w:t>1-12</w:t>
            </w:r>
            <w:r w:rsidRPr="00131B9D">
              <w:rPr>
                <w:rFonts w:eastAsia="標楷體"/>
                <w:kern w:val="0"/>
              </w:rPr>
              <w:t>月</w:t>
            </w:r>
          </w:p>
        </w:tc>
        <w:tc>
          <w:tcPr>
            <w:tcW w:w="3672" w:type="dxa"/>
            <w:gridSpan w:val="2"/>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jc w:val="center"/>
              <w:rPr>
                <w:color w:val="000000"/>
                <w:sz w:val="23"/>
                <w:szCs w:val="23"/>
              </w:rPr>
            </w:pPr>
            <w:r w:rsidRPr="00131B9D">
              <w:rPr>
                <w:color w:val="000000"/>
              </w:rPr>
              <w:t>95,000</w:t>
            </w:r>
          </w:p>
        </w:tc>
      </w:tr>
      <w:tr w:rsidR="003B29E8" w:rsidRPr="00131B9D" w:rsidTr="00CD56C1">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2014</w:t>
            </w:r>
            <w:r w:rsidRPr="00131B9D">
              <w:rPr>
                <w:rFonts w:eastAsia="標楷體"/>
                <w:kern w:val="0"/>
              </w:rPr>
              <w:t>年</w:t>
            </w:r>
            <w:r w:rsidRPr="00131B9D">
              <w:rPr>
                <w:rFonts w:eastAsia="標楷體"/>
                <w:kern w:val="0"/>
              </w:rPr>
              <w:t>1-12</w:t>
            </w:r>
            <w:r w:rsidRPr="00131B9D">
              <w:rPr>
                <w:rFonts w:eastAsia="標楷體"/>
                <w:kern w:val="0"/>
              </w:rPr>
              <w:t>月</w:t>
            </w:r>
          </w:p>
        </w:tc>
        <w:tc>
          <w:tcPr>
            <w:tcW w:w="3672" w:type="dxa"/>
            <w:gridSpan w:val="2"/>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jc w:val="center"/>
              <w:rPr>
                <w:color w:val="000000"/>
              </w:rPr>
            </w:pPr>
            <w:r w:rsidRPr="00131B9D">
              <w:rPr>
                <w:color w:val="000000"/>
              </w:rPr>
              <w:t>-262,000</w:t>
            </w:r>
          </w:p>
        </w:tc>
      </w:tr>
      <w:tr w:rsidR="003B29E8" w:rsidRPr="00131B9D" w:rsidTr="00CD56C1">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widowControl/>
              <w:spacing w:line="240" w:lineRule="exact"/>
              <w:jc w:val="center"/>
              <w:rPr>
                <w:rFonts w:eastAsia="標楷體"/>
                <w:kern w:val="0"/>
              </w:rPr>
            </w:pPr>
            <w:r w:rsidRPr="00131B9D">
              <w:rPr>
                <w:rFonts w:eastAsia="標楷體"/>
                <w:kern w:val="0"/>
              </w:rPr>
              <w:t>2015</w:t>
            </w:r>
            <w:r w:rsidRPr="00131B9D">
              <w:rPr>
                <w:rFonts w:eastAsia="標楷體"/>
                <w:kern w:val="0"/>
              </w:rPr>
              <w:t>年</w:t>
            </w:r>
            <w:r w:rsidRPr="00131B9D">
              <w:rPr>
                <w:rFonts w:eastAsia="標楷體"/>
                <w:kern w:val="0"/>
              </w:rPr>
              <w:t>1-8</w:t>
            </w:r>
            <w:r w:rsidRPr="00131B9D">
              <w:rPr>
                <w:rFonts w:eastAsia="標楷體"/>
                <w:kern w:val="0"/>
              </w:rPr>
              <w:t>月</w:t>
            </w:r>
          </w:p>
        </w:tc>
        <w:tc>
          <w:tcPr>
            <w:tcW w:w="3672" w:type="dxa"/>
            <w:gridSpan w:val="2"/>
            <w:tcBorders>
              <w:top w:val="single" w:sz="4" w:space="0" w:color="auto"/>
              <w:left w:val="single" w:sz="4" w:space="0" w:color="auto"/>
              <w:bottom w:val="single" w:sz="4" w:space="0" w:color="auto"/>
              <w:right w:val="single" w:sz="4" w:space="0" w:color="auto"/>
            </w:tcBorders>
            <w:noWrap/>
            <w:vAlign w:val="center"/>
          </w:tcPr>
          <w:p w:rsidR="003B29E8" w:rsidRPr="00131B9D" w:rsidRDefault="003B29E8" w:rsidP="00CD56C1">
            <w:pPr>
              <w:jc w:val="center"/>
              <w:rPr>
                <w:color w:val="000000"/>
              </w:rPr>
            </w:pPr>
            <w:r w:rsidRPr="00131B9D">
              <w:rPr>
                <w:color w:val="000000"/>
              </w:rPr>
              <w:t>123,000</w:t>
            </w:r>
          </w:p>
        </w:tc>
      </w:tr>
    </w:tbl>
    <w:p w:rsidR="00F279F7" w:rsidRPr="00131B9D" w:rsidRDefault="00F279F7" w:rsidP="00F279F7">
      <w:pPr>
        <w:spacing w:line="240" w:lineRule="exact"/>
        <w:ind w:firstLineChars="900" w:firstLine="1800"/>
        <w:rPr>
          <w:rFonts w:eastAsia="標楷體"/>
          <w:kern w:val="0"/>
          <w:sz w:val="20"/>
          <w:szCs w:val="20"/>
        </w:rPr>
      </w:pPr>
      <w:r w:rsidRPr="00131B9D">
        <w:rPr>
          <w:rFonts w:eastAsia="標楷體"/>
          <w:sz w:val="20"/>
          <w:szCs w:val="20"/>
        </w:rPr>
        <w:t>資料來源：</w:t>
      </w:r>
      <w:r w:rsidRPr="00131B9D">
        <w:rPr>
          <w:rFonts w:eastAsia="標楷體"/>
          <w:kern w:val="0"/>
          <w:sz w:val="20"/>
          <w:szCs w:val="20"/>
        </w:rPr>
        <w:t>LME</w:t>
      </w:r>
      <w:r w:rsidRPr="00131B9D">
        <w:rPr>
          <w:rFonts w:eastAsia="標楷體"/>
          <w:kern w:val="0"/>
          <w:sz w:val="20"/>
          <w:szCs w:val="20"/>
        </w:rPr>
        <w:t>統計、世界金屬統計（</w:t>
      </w:r>
      <w:r w:rsidRPr="00131B9D">
        <w:rPr>
          <w:rFonts w:eastAsia="標楷體"/>
          <w:kern w:val="0"/>
          <w:sz w:val="20"/>
          <w:szCs w:val="20"/>
        </w:rPr>
        <w:t>WBMS</w:t>
      </w:r>
      <w:r w:rsidRPr="00131B9D">
        <w:rPr>
          <w:rFonts w:eastAsia="標楷體"/>
          <w:kern w:val="0"/>
          <w:sz w:val="20"/>
          <w:szCs w:val="20"/>
        </w:rPr>
        <w:t>）。</w:t>
      </w:r>
    </w:p>
    <w:p w:rsidR="001652B5" w:rsidRPr="00131B9D" w:rsidRDefault="001652B5" w:rsidP="001652B5">
      <w:pPr>
        <w:sectPr w:rsidR="001652B5"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
        <w:spacing w:before="72" w:after="72"/>
        <w:ind w:firstLineChars="0" w:firstLine="0"/>
        <w:rPr>
          <w:b/>
        </w:rPr>
      </w:pPr>
      <w:r w:rsidRPr="00131B9D">
        <w:rPr>
          <w:b/>
        </w:rPr>
        <w:lastRenderedPageBreak/>
        <w:t>3.</w:t>
      </w:r>
      <w:r w:rsidRPr="00131B9D">
        <w:rPr>
          <w:b/>
        </w:rPr>
        <w:t xml:space="preserve">　</w:t>
      </w:r>
      <w:r w:rsidRPr="00131B9D">
        <w:rPr>
          <w:b/>
        </w:rPr>
        <w:t>2016</w:t>
      </w:r>
      <w:r w:rsidRPr="00131B9D">
        <w:rPr>
          <w:b/>
        </w:rPr>
        <w:t>年展望</w:t>
      </w:r>
    </w:p>
    <w:p w:rsidR="00F279F7" w:rsidRPr="00131B9D" w:rsidRDefault="00F279F7" w:rsidP="00F279F7">
      <w:pPr>
        <w:pStyle w:val="-"/>
        <w:spacing w:before="72" w:after="72"/>
        <w:ind w:leftChars="50" w:left="120" w:firstLine="560"/>
        <w:rPr>
          <w:color w:val="000000"/>
          <w:szCs w:val="24"/>
        </w:rPr>
      </w:pPr>
      <w:r w:rsidRPr="00131B9D">
        <w:rPr>
          <w:color w:val="000000"/>
          <w:szCs w:val="24"/>
        </w:rPr>
        <w:t>澳洲大型鋅礦</w:t>
      </w:r>
      <w:r w:rsidRPr="00131B9D">
        <w:rPr>
          <w:color w:val="000000"/>
          <w:szCs w:val="24"/>
        </w:rPr>
        <w:t>Century</w:t>
      </w:r>
      <w:r w:rsidRPr="00131B9D">
        <w:rPr>
          <w:color w:val="000000"/>
          <w:szCs w:val="24"/>
        </w:rPr>
        <w:t>礦場的採礦活動在</w:t>
      </w:r>
      <w:r w:rsidRPr="00131B9D">
        <w:rPr>
          <w:color w:val="000000"/>
          <w:szCs w:val="24"/>
        </w:rPr>
        <w:t>6</w:t>
      </w:r>
      <w:r w:rsidRPr="00131B9D">
        <w:rPr>
          <w:color w:val="000000"/>
          <w:szCs w:val="24"/>
        </w:rPr>
        <w:t>月底結束，但礦場尚在加工儲備的礦石，因此將繼續營運到第</w:t>
      </w:r>
      <w:r w:rsidRPr="00131B9D">
        <w:rPr>
          <w:color w:val="000000"/>
          <w:szCs w:val="24"/>
        </w:rPr>
        <w:t>3</w:t>
      </w:r>
      <w:r w:rsidRPr="00131B9D">
        <w:rPr>
          <w:color w:val="000000"/>
          <w:szCs w:val="24"/>
        </w:rPr>
        <w:t>季，而其營運商</w:t>
      </w:r>
      <w:r w:rsidRPr="00131B9D">
        <w:rPr>
          <w:color w:val="000000"/>
          <w:szCs w:val="24"/>
        </w:rPr>
        <w:t>MMG 4</w:t>
      </w:r>
      <w:r w:rsidRPr="00131B9D">
        <w:rPr>
          <w:color w:val="000000"/>
          <w:szCs w:val="24"/>
        </w:rPr>
        <w:t>月宣佈，將在臨近的</w:t>
      </w:r>
      <w:r w:rsidRPr="00131B9D">
        <w:rPr>
          <w:color w:val="000000"/>
          <w:szCs w:val="24"/>
        </w:rPr>
        <w:t>Dugald River</w:t>
      </w:r>
      <w:r w:rsidRPr="00131B9D">
        <w:rPr>
          <w:color w:val="000000"/>
          <w:szCs w:val="24"/>
        </w:rPr>
        <w:t>礦廠測試性開採另外</w:t>
      </w:r>
      <w:r w:rsidRPr="00131B9D">
        <w:rPr>
          <w:color w:val="000000"/>
          <w:szCs w:val="24"/>
        </w:rPr>
        <w:t>45</w:t>
      </w:r>
      <w:r w:rsidRPr="00131B9D">
        <w:rPr>
          <w:color w:val="000000"/>
          <w:szCs w:val="24"/>
        </w:rPr>
        <w:t>萬噸礦石，此專案的礦石等級為含鋅</w:t>
      </w:r>
      <w:r w:rsidRPr="00131B9D">
        <w:rPr>
          <w:color w:val="000000"/>
          <w:szCs w:val="24"/>
        </w:rPr>
        <w:t>13.3%</w:t>
      </w:r>
      <w:r w:rsidRPr="00131B9D">
        <w:rPr>
          <w:color w:val="000000"/>
          <w:szCs w:val="24"/>
        </w:rPr>
        <w:t>，亦即可再生產近</w:t>
      </w:r>
      <w:r w:rsidRPr="00131B9D">
        <w:rPr>
          <w:color w:val="000000"/>
          <w:szCs w:val="24"/>
        </w:rPr>
        <w:t>6</w:t>
      </w:r>
      <w:r w:rsidRPr="00131B9D">
        <w:rPr>
          <w:color w:val="000000"/>
          <w:szCs w:val="24"/>
        </w:rPr>
        <w:t>萬噸的鋅精礦。這些礦石需要</w:t>
      </w:r>
      <w:r w:rsidRPr="00131B9D">
        <w:rPr>
          <w:color w:val="000000"/>
          <w:szCs w:val="24"/>
        </w:rPr>
        <w:t>4</w:t>
      </w:r>
      <w:r w:rsidRPr="00131B9D">
        <w:rPr>
          <w:color w:val="000000"/>
          <w:szCs w:val="24"/>
        </w:rPr>
        <w:t>到</w:t>
      </w:r>
      <w:r w:rsidRPr="00131B9D">
        <w:rPr>
          <w:color w:val="000000"/>
          <w:szCs w:val="24"/>
        </w:rPr>
        <w:t>6</w:t>
      </w:r>
      <w:r w:rsidRPr="00131B9D">
        <w:rPr>
          <w:color w:val="000000"/>
          <w:szCs w:val="24"/>
        </w:rPr>
        <w:t>週加工時間，因此到</w:t>
      </w:r>
      <w:r w:rsidRPr="00131B9D">
        <w:rPr>
          <w:color w:val="000000"/>
          <w:szCs w:val="24"/>
        </w:rPr>
        <w:t>2015</w:t>
      </w:r>
      <w:r w:rsidRPr="00131B9D">
        <w:rPr>
          <w:color w:val="000000"/>
          <w:szCs w:val="24"/>
        </w:rPr>
        <w:t>年第</w:t>
      </w:r>
      <w:r w:rsidRPr="00131B9D">
        <w:rPr>
          <w:color w:val="000000"/>
          <w:szCs w:val="24"/>
        </w:rPr>
        <w:t>4</w:t>
      </w:r>
      <w:r w:rsidRPr="00131B9D">
        <w:rPr>
          <w:color w:val="000000"/>
          <w:szCs w:val="24"/>
        </w:rPr>
        <w:t>季</w:t>
      </w:r>
      <w:r w:rsidRPr="00131B9D">
        <w:rPr>
          <w:color w:val="000000"/>
          <w:szCs w:val="24"/>
        </w:rPr>
        <w:t>Century</w:t>
      </w:r>
      <w:r w:rsidRPr="00131B9D">
        <w:rPr>
          <w:color w:val="000000"/>
          <w:szCs w:val="24"/>
        </w:rPr>
        <w:t>礦可能仍在生產鋅精礦。此外，</w:t>
      </w:r>
      <w:r w:rsidRPr="00131B9D">
        <w:rPr>
          <w:color w:val="000000"/>
          <w:szCs w:val="24"/>
        </w:rPr>
        <w:t>Resources</w:t>
      </w:r>
      <w:r w:rsidRPr="00131B9D">
        <w:rPr>
          <w:color w:val="000000"/>
          <w:szCs w:val="24"/>
        </w:rPr>
        <w:t>（</w:t>
      </w:r>
      <w:r w:rsidRPr="00131B9D">
        <w:rPr>
          <w:color w:val="000000"/>
          <w:szCs w:val="24"/>
        </w:rPr>
        <w:t>VED.L</w:t>
      </w:r>
      <w:r w:rsidRPr="00131B9D">
        <w:rPr>
          <w:color w:val="000000"/>
          <w:szCs w:val="24"/>
        </w:rPr>
        <w:t>）公司在納米比亞的</w:t>
      </w:r>
      <w:r w:rsidRPr="00131B9D">
        <w:rPr>
          <w:color w:val="000000"/>
          <w:szCs w:val="24"/>
        </w:rPr>
        <w:t>Skorpion</w:t>
      </w:r>
      <w:r w:rsidRPr="00131B9D">
        <w:rPr>
          <w:color w:val="000000"/>
          <w:szCs w:val="24"/>
        </w:rPr>
        <w:t>礦場原本預計</w:t>
      </w:r>
      <w:r w:rsidRPr="00131B9D">
        <w:rPr>
          <w:color w:val="000000"/>
          <w:szCs w:val="24"/>
        </w:rPr>
        <w:t>2016</w:t>
      </w:r>
      <w:r w:rsidRPr="00131B9D">
        <w:rPr>
          <w:color w:val="000000"/>
          <w:szCs w:val="24"/>
        </w:rPr>
        <w:t>年關閉，但一項新的採礦計畫將令這個期限推遲</w:t>
      </w:r>
      <w:r w:rsidRPr="00131B9D">
        <w:rPr>
          <w:color w:val="000000"/>
          <w:szCs w:val="24"/>
        </w:rPr>
        <w:t>2</w:t>
      </w:r>
      <w:r w:rsidRPr="00131B9D">
        <w:rPr>
          <w:color w:val="000000"/>
          <w:szCs w:val="24"/>
        </w:rPr>
        <w:t>、</w:t>
      </w:r>
      <w:r w:rsidRPr="00131B9D">
        <w:rPr>
          <w:color w:val="000000"/>
          <w:szCs w:val="24"/>
        </w:rPr>
        <w:t>3</w:t>
      </w:r>
      <w:r w:rsidRPr="00131B9D">
        <w:rPr>
          <w:color w:val="000000"/>
          <w:szCs w:val="24"/>
        </w:rPr>
        <w:t>年，至</w:t>
      </w:r>
      <w:r w:rsidRPr="00131B9D">
        <w:rPr>
          <w:color w:val="000000"/>
          <w:szCs w:val="24"/>
        </w:rPr>
        <w:t>2019</w:t>
      </w:r>
      <w:r w:rsidRPr="00131B9D">
        <w:rPr>
          <w:color w:val="000000"/>
          <w:szCs w:val="24"/>
        </w:rPr>
        <w:t>年度（</w:t>
      </w:r>
      <w:r w:rsidRPr="00131B9D">
        <w:rPr>
          <w:color w:val="000000"/>
          <w:szCs w:val="24"/>
        </w:rPr>
        <w:t>2018</w:t>
      </w:r>
      <w:r w:rsidRPr="00131B9D">
        <w:rPr>
          <w:color w:val="000000"/>
          <w:szCs w:val="24"/>
        </w:rPr>
        <w:t>年</w:t>
      </w:r>
      <w:r w:rsidRPr="00131B9D">
        <w:rPr>
          <w:color w:val="000000"/>
          <w:szCs w:val="24"/>
        </w:rPr>
        <w:t>4</w:t>
      </w:r>
      <w:r w:rsidRPr="00131B9D">
        <w:rPr>
          <w:color w:val="000000"/>
          <w:szCs w:val="24"/>
        </w:rPr>
        <w:t>月至</w:t>
      </w:r>
      <w:r w:rsidRPr="00131B9D">
        <w:rPr>
          <w:color w:val="000000"/>
          <w:szCs w:val="24"/>
        </w:rPr>
        <w:t>2019</w:t>
      </w:r>
      <w:r w:rsidRPr="00131B9D">
        <w:rPr>
          <w:color w:val="000000"/>
          <w:szCs w:val="24"/>
        </w:rPr>
        <w:t>年</w:t>
      </w:r>
      <w:r w:rsidRPr="00131B9D">
        <w:rPr>
          <w:color w:val="000000"/>
          <w:szCs w:val="24"/>
        </w:rPr>
        <w:t>3</w:t>
      </w:r>
      <w:r w:rsidRPr="00131B9D">
        <w:rPr>
          <w:color w:val="000000"/>
          <w:szCs w:val="24"/>
        </w:rPr>
        <w:t>月）。另外，加工作業也將使用庫存的礦石，持續至</w:t>
      </w:r>
      <w:r w:rsidRPr="00131B9D">
        <w:rPr>
          <w:color w:val="000000"/>
          <w:szCs w:val="24"/>
        </w:rPr>
        <w:t>2020</w:t>
      </w:r>
      <w:r w:rsidRPr="00131B9D">
        <w:rPr>
          <w:color w:val="000000"/>
          <w:szCs w:val="24"/>
        </w:rPr>
        <w:t>年度。</w:t>
      </w:r>
    </w:p>
    <w:p w:rsidR="00F279F7" w:rsidRPr="00131B9D" w:rsidRDefault="00127C79" w:rsidP="00F279F7">
      <w:pPr>
        <w:pStyle w:val="-"/>
        <w:spacing w:before="72" w:after="72"/>
        <w:ind w:leftChars="50" w:left="120" w:firstLine="560"/>
        <w:rPr>
          <w:color w:val="000000"/>
          <w:szCs w:val="24"/>
        </w:rPr>
      </w:pPr>
      <w:r w:rsidRPr="00131B9D">
        <w:rPr>
          <w:color w:val="000000"/>
          <w:szCs w:val="24"/>
        </w:rPr>
        <w:t>隨著全球大型礦山的關閉以及嘉能可第四季度的減産計劃，未來鋅精礦供應有收緊的趨勢。但由於之前鋅精礦大量過剩，鋅精礦市場去化庫存將持續。雖中長期來看，礦山減産對鋅價會有影響，但短期對鋅價提振作用有限。總體上來說，美聯儲年底加息機率上升助漲美元，抑制鋅價，加上礦山減産短期內對鋅價提振有限，冶煉利潤亦尚存空間，令市場供應壓力不減，而消費端偏弱的局面仍將持續，因此，預計鋅價仍會處於較低的價格。</w:t>
      </w:r>
    </w:p>
    <w:p w:rsidR="00F279F7" w:rsidRPr="00131B9D" w:rsidRDefault="00F279F7" w:rsidP="00F279F7">
      <w:bookmarkStart w:id="159" w:name="_Toc322706941"/>
      <w:bookmarkStart w:id="160" w:name="_Toc373423057"/>
      <w:bookmarkStart w:id="161" w:name="_Toc373682440"/>
    </w:p>
    <w:p w:rsidR="00F279F7" w:rsidRPr="00131B9D" w:rsidRDefault="00F279F7" w:rsidP="00F279F7">
      <w:pPr>
        <w:pStyle w:val="3"/>
        <w:rPr>
          <w:rFonts w:ascii="Times New Roman" w:hAnsi="Times New Roman"/>
        </w:rPr>
      </w:pPr>
      <w:bookmarkStart w:id="162" w:name="_Toc322706942"/>
      <w:bookmarkEnd w:id="159"/>
      <w:bookmarkEnd w:id="160"/>
      <w:bookmarkEnd w:id="161"/>
      <w:r w:rsidRPr="00131B9D">
        <w:rPr>
          <w:rFonts w:ascii="Times New Roman" w:hAnsi="Times New Roman"/>
        </w:rPr>
        <w:t>（五）鉛</w:t>
      </w:r>
      <w:bookmarkEnd w:id="162"/>
    </w:p>
    <w:p w:rsidR="00F279F7" w:rsidRPr="00131B9D" w:rsidRDefault="00F279F7" w:rsidP="00F279F7">
      <w:pPr>
        <w:pStyle w:val="-"/>
        <w:spacing w:before="72" w:after="72"/>
        <w:ind w:firstLineChars="0" w:firstLine="0"/>
        <w:rPr>
          <w:b/>
        </w:rPr>
      </w:pPr>
      <w:r w:rsidRPr="00131B9D">
        <w:rPr>
          <w:b/>
        </w:rPr>
        <w:t>1.</w:t>
      </w:r>
      <w:r w:rsidRPr="00131B9D">
        <w:rPr>
          <w:b/>
        </w:rPr>
        <w:t xml:space="preserve">　價格走勢</w:t>
      </w:r>
    </w:p>
    <w:p w:rsidR="00F279F7" w:rsidRPr="00131B9D" w:rsidRDefault="00127C79" w:rsidP="00F279F7">
      <w:pPr>
        <w:pStyle w:val="-"/>
        <w:spacing w:before="72" w:after="72"/>
        <w:ind w:leftChars="50" w:left="120" w:firstLine="560"/>
      </w:pPr>
      <w:bookmarkStart w:id="163" w:name="OLE_LINK140"/>
      <w:bookmarkStart w:id="164" w:name="OLE_LINK141"/>
      <w:r w:rsidRPr="00131B9D">
        <w:t>2015</w:t>
      </w:r>
      <w:r w:rsidRPr="00131B9D">
        <w:t>年國際鉛價在第</w:t>
      </w:r>
      <w:r w:rsidRPr="00131B9D">
        <w:t>1</w:t>
      </w:r>
      <w:r w:rsidRPr="00131B9D">
        <w:t>季緩步走跌，</w:t>
      </w:r>
      <w:r w:rsidRPr="00131B9D">
        <w:t>4</w:t>
      </w:r>
      <w:r w:rsidRPr="00131B9D">
        <w:t>月有強烈漲勢，</w:t>
      </w:r>
      <w:r w:rsidRPr="00131B9D">
        <w:t>5</w:t>
      </w:r>
      <w:r w:rsidRPr="00131B9D">
        <w:t>月過後則持續下跌情勢。第</w:t>
      </w:r>
      <w:r w:rsidRPr="00131B9D">
        <w:t>1</w:t>
      </w:r>
      <w:r w:rsidRPr="00131B9D">
        <w:t>季鉛倫敦交易所（</w:t>
      </w:r>
      <w:r w:rsidRPr="00131B9D">
        <w:t>LME</w:t>
      </w:r>
      <w:r w:rsidRPr="00131B9D">
        <w:t>）鉛價</w:t>
      </w:r>
      <w:r w:rsidRPr="00131B9D">
        <w:t>3</w:t>
      </w:r>
      <w:r w:rsidRPr="00131B9D">
        <w:t>月均價為</w:t>
      </w:r>
      <w:r w:rsidRPr="00131B9D">
        <w:t>1,792</w:t>
      </w:r>
      <w:r w:rsidRPr="00131B9D">
        <w:t>美元</w:t>
      </w:r>
      <w:r w:rsidRPr="00131B9D">
        <w:t>/</w:t>
      </w:r>
      <w:r w:rsidRPr="00131B9D">
        <w:t>噸，較</w:t>
      </w:r>
      <w:r w:rsidRPr="00131B9D">
        <w:t>1</w:t>
      </w:r>
      <w:r w:rsidRPr="00131B9D">
        <w:t>月均價</w:t>
      </w:r>
      <w:r w:rsidRPr="00131B9D">
        <w:t>1,844</w:t>
      </w:r>
      <w:r w:rsidRPr="00131B9D">
        <w:t>美元</w:t>
      </w:r>
      <w:r w:rsidRPr="00131B9D">
        <w:t>/</w:t>
      </w:r>
      <w:r w:rsidRPr="00131B9D">
        <w:t>噸，下跌</w:t>
      </w:r>
      <w:r w:rsidRPr="00131B9D">
        <w:t>2.82%</w:t>
      </w:r>
      <w:r w:rsidRPr="00131B9D">
        <w:t>；</w:t>
      </w:r>
      <w:bookmarkEnd w:id="163"/>
      <w:bookmarkEnd w:id="164"/>
      <w:r w:rsidRPr="00131B9D">
        <w:t>第</w:t>
      </w:r>
      <w:r w:rsidRPr="00131B9D">
        <w:t>2</w:t>
      </w:r>
      <w:r w:rsidRPr="00131B9D">
        <w:t>季鉛價</w:t>
      </w:r>
      <w:r w:rsidRPr="00131B9D">
        <w:t>4</w:t>
      </w:r>
      <w:r w:rsidRPr="00131B9D">
        <w:t>月均價暴漲至</w:t>
      </w:r>
      <w:r w:rsidRPr="00131B9D">
        <w:t>1,994</w:t>
      </w:r>
      <w:r w:rsidRPr="00131B9D">
        <w:t>美元</w:t>
      </w:r>
      <w:r w:rsidRPr="00131B9D">
        <w:t>/</w:t>
      </w:r>
      <w:r w:rsidRPr="00131B9D">
        <w:t>噸，</w:t>
      </w:r>
      <w:r w:rsidRPr="00131B9D">
        <w:t>5</w:t>
      </w:r>
      <w:r w:rsidRPr="00131B9D">
        <w:t>月均價再略升至</w:t>
      </w:r>
      <w:r w:rsidRPr="00131B9D">
        <w:t>1,995</w:t>
      </w:r>
      <w:r w:rsidRPr="00131B9D">
        <w:t>美元</w:t>
      </w:r>
      <w:r w:rsidRPr="00131B9D">
        <w:t>/</w:t>
      </w:r>
      <w:r w:rsidRPr="00131B9D">
        <w:t>噸，</w:t>
      </w:r>
      <w:r w:rsidRPr="00131B9D">
        <w:t>6</w:t>
      </w:r>
      <w:r w:rsidRPr="00131B9D">
        <w:t>月均價下跌至</w:t>
      </w:r>
      <w:r w:rsidRPr="00131B9D">
        <w:t>1,826</w:t>
      </w:r>
      <w:r w:rsidRPr="00131B9D">
        <w:t>美元</w:t>
      </w:r>
      <w:r w:rsidRPr="00131B9D">
        <w:t>/</w:t>
      </w:r>
      <w:r w:rsidRPr="00131B9D">
        <w:t>噸；因受</w:t>
      </w:r>
      <w:r w:rsidRPr="00131B9D">
        <w:t>4</w:t>
      </w:r>
      <w:r w:rsidRPr="00131B9D">
        <w:t>月鉛價大漲影響，第</w:t>
      </w:r>
      <w:r w:rsidRPr="00131B9D">
        <w:t>2</w:t>
      </w:r>
      <w:r w:rsidRPr="00131B9D">
        <w:t>季均價</w:t>
      </w:r>
      <w:r w:rsidRPr="00131B9D">
        <w:t>1,939</w:t>
      </w:r>
      <w:r w:rsidRPr="00131B9D">
        <w:t>美元</w:t>
      </w:r>
      <w:r w:rsidRPr="00131B9D">
        <w:t>/</w:t>
      </w:r>
      <w:r w:rsidRPr="00131B9D">
        <w:t>噸，較第</w:t>
      </w:r>
      <w:r w:rsidRPr="00131B9D">
        <w:t>1</w:t>
      </w:r>
      <w:r w:rsidRPr="00131B9D">
        <w:t>季上漲</w:t>
      </w:r>
      <w:r w:rsidRPr="00131B9D">
        <w:t>7%</w:t>
      </w:r>
      <w:r w:rsidRPr="00131B9D">
        <w:t>；第</w:t>
      </w:r>
      <w:r w:rsidRPr="00131B9D">
        <w:t>3</w:t>
      </w:r>
      <w:r w:rsidRPr="00131B9D">
        <w:t>季鉛價呈現逐月下跌的趨勢，鉛價在</w:t>
      </w:r>
      <w:r w:rsidRPr="00131B9D">
        <w:t>7</w:t>
      </w:r>
      <w:r w:rsidRPr="00131B9D">
        <w:t>月均價為</w:t>
      </w:r>
      <w:r w:rsidRPr="00131B9D">
        <w:t>1,764.36</w:t>
      </w:r>
      <w:r w:rsidRPr="00131B9D">
        <w:t>美元</w:t>
      </w:r>
      <w:r w:rsidRPr="00131B9D">
        <w:t>/</w:t>
      </w:r>
      <w:r w:rsidRPr="00131B9D">
        <w:t>公噸，</w:t>
      </w:r>
      <w:r w:rsidRPr="00131B9D">
        <w:t>8</w:t>
      </w:r>
      <w:r w:rsidRPr="00131B9D">
        <w:t>月均價為</w:t>
      </w:r>
      <w:r w:rsidRPr="00131B9D">
        <w:t>1,708.10</w:t>
      </w:r>
      <w:r w:rsidRPr="00131B9D">
        <w:t>美元</w:t>
      </w:r>
      <w:r w:rsidRPr="00131B9D">
        <w:t>/</w:t>
      </w:r>
      <w:r w:rsidRPr="00131B9D">
        <w:t>公噸，</w:t>
      </w:r>
      <w:r w:rsidRPr="00131B9D">
        <w:t>9</w:t>
      </w:r>
      <w:r w:rsidRPr="00131B9D">
        <w:t>月均價再下跌至</w:t>
      </w:r>
      <w:r w:rsidRPr="00131B9D">
        <w:t>1,680.88</w:t>
      </w:r>
      <w:r w:rsidRPr="00131B9D">
        <w:t>美元</w:t>
      </w:r>
      <w:r w:rsidRPr="00131B9D">
        <w:t>/</w:t>
      </w:r>
      <w:r w:rsidRPr="00131B9D">
        <w:t>公噸；第</w:t>
      </w:r>
      <w:r w:rsidRPr="00131B9D">
        <w:t>3</w:t>
      </w:r>
      <w:r w:rsidRPr="00131B9D">
        <w:t>季均價</w:t>
      </w:r>
      <w:r w:rsidRPr="00131B9D">
        <w:t>1,718.18</w:t>
      </w:r>
      <w:r w:rsidRPr="00131B9D">
        <w:t>美</w:t>
      </w:r>
      <w:r w:rsidRPr="00131B9D">
        <w:lastRenderedPageBreak/>
        <w:t>元</w:t>
      </w:r>
      <w:r w:rsidRPr="00131B9D">
        <w:t>/</w:t>
      </w:r>
      <w:r w:rsidRPr="00131B9D">
        <w:t>公噸，較第</w:t>
      </w:r>
      <w:r w:rsidRPr="00131B9D">
        <w:t>2</w:t>
      </w:r>
      <w:r w:rsidRPr="00131B9D">
        <w:t>季跌幅高達</w:t>
      </w:r>
      <w:r w:rsidRPr="00131B9D">
        <w:t>11.39%</w:t>
      </w:r>
      <w:r w:rsidRPr="00131B9D">
        <w:t>；鉛價</w:t>
      </w:r>
      <w:r w:rsidRPr="00131B9D">
        <w:t>10</w:t>
      </w:r>
      <w:r w:rsidRPr="00131B9D">
        <w:t>月份均價為</w:t>
      </w:r>
      <w:r w:rsidRPr="00131B9D">
        <w:t>1,722.48</w:t>
      </w:r>
      <w:r w:rsidRPr="00131B9D">
        <w:t>美元</w:t>
      </w:r>
      <w:r w:rsidRPr="00131B9D">
        <w:t>/</w:t>
      </w:r>
      <w:r w:rsidRPr="00131B9D">
        <w:t>公噸，</w:t>
      </w:r>
      <w:r w:rsidRPr="00131B9D">
        <w:t>11</w:t>
      </w:r>
      <w:r w:rsidRPr="00131B9D">
        <w:t>月則再走跌（如圖</w:t>
      </w:r>
      <w:r w:rsidRPr="00131B9D">
        <w:t>3-11</w:t>
      </w:r>
      <w:r w:rsidRPr="00131B9D">
        <w:t>）。</w:t>
      </w:r>
    </w:p>
    <w:p w:rsidR="00F279F7" w:rsidRPr="00131B9D" w:rsidRDefault="00F279F7" w:rsidP="00F279F7">
      <w:r w:rsidRPr="00131B9D">
        <w:rPr>
          <w:noProof/>
        </w:rPr>
        <w:drawing>
          <wp:inline distT="0" distB="0" distL="0" distR="0" wp14:anchorId="5FC06C3C" wp14:editId="74052637">
            <wp:extent cx="5274310" cy="2826327"/>
            <wp:effectExtent l="0" t="0" r="2540" b="12700"/>
            <wp:docPr id="67" name="圖表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F279F7" w:rsidRPr="00131B9D" w:rsidRDefault="00F279F7" w:rsidP="00F279F7">
      <w:pPr>
        <w:spacing w:line="240" w:lineRule="exact"/>
        <w:ind w:firstLineChars="100" w:firstLine="200"/>
        <w:jc w:val="both"/>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3B29E8" w:rsidRPr="00131B9D" w:rsidRDefault="00F279F7" w:rsidP="00F279F7">
      <w:pPr>
        <w:pStyle w:val="afff5"/>
        <w:spacing w:line="0" w:lineRule="atLeast"/>
        <w:jc w:val="center"/>
        <w:rPr>
          <w:rFonts w:eastAsia="標楷體"/>
          <w:b/>
          <w:bCs/>
          <w:kern w:val="52"/>
          <w:sz w:val="28"/>
          <w:szCs w:val="28"/>
        </w:rPr>
      </w:pPr>
      <w:bookmarkStart w:id="165" w:name="_Toc398882645"/>
      <w:bookmarkStart w:id="166" w:name="_Toc438223345"/>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11</w:t>
      </w:r>
      <w:r w:rsidRPr="00131B9D">
        <w:rPr>
          <w:rFonts w:eastAsia="標楷體"/>
          <w:b/>
          <w:bCs/>
          <w:kern w:val="52"/>
          <w:sz w:val="28"/>
          <w:szCs w:val="28"/>
        </w:rPr>
        <w:fldChar w:fldCharType="end"/>
      </w:r>
      <w:r w:rsidRPr="00131B9D">
        <w:rPr>
          <w:rFonts w:eastAsia="標楷體"/>
          <w:b/>
          <w:bCs/>
          <w:kern w:val="52"/>
          <w:sz w:val="28"/>
          <w:szCs w:val="28"/>
        </w:rPr>
        <w:t xml:space="preserve">　鉛近一年價格走勢圖</w:t>
      </w:r>
      <w:bookmarkEnd w:id="165"/>
      <w:bookmarkEnd w:id="166"/>
    </w:p>
    <w:p w:rsidR="001652B5" w:rsidRPr="00131B9D" w:rsidRDefault="001652B5" w:rsidP="001652B5"/>
    <w:p w:rsidR="00F279F7" w:rsidRPr="00131B9D" w:rsidRDefault="00F279F7" w:rsidP="00F279F7">
      <w:pPr>
        <w:pStyle w:val="-"/>
        <w:spacing w:before="72" w:after="72"/>
        <w:ind w:firstLineChars="0" w:firstLine="0"/>
        <w:rPr>
          <w:b/>
        </w:rPr>
      </w:pPr>
      <w:r w:rsidRPr="00131B9D">
        <w:rPr>
          <w:b/>
        </w:rPr>
        <w:t>2.</w:t>
      </w:r>
      <w:r w:rsidRPr="00131B9D">
        <w:rPr>
          <w:b/>
        </w:rPr>
        <w:t xml:space="preserve">　供需情勢</w:t>
      </w:r>
    </w:p>
    <w:p w:rsidR="00F279F7" w:rsidRPr="00131B9D" w:rsidRDefault="00F279F7" w:rsidP="00F279F7">
      <w:pPr>
        <w:pStyle w:val="-"/>
        <w:spacing w:before="72" w:after="72"/>
        <w:ind w:leftChars="50" w:left="120" w:firstLine="560"/>
        <w:rPr>
          <w:color w:val="000000"/>
        </w:rPr>
      </w:pPr>
      <w:bookmarkStart w:id="167" w:name="OLE_LINK77"/>
      <w:bookmarkStart w:id="168" w:name="OLE_LINK78"/>
      <w:r w:rsidRPr="00131B9D">
        <w:rPr>
          <w:color w:val="000000"/>
        </w:rPr>
        <w:t>中國大陸是全球最大的鉛生產國，其產量已經占到全球的</w:t>
      </w:r>
      <w:r w:rsidRPr="00131B9D">
        <w:rPr>
          <w:color w:val="000000"/>
        </w:rPr>
        <w:t>43.7%</w:t>
      </w:r>
      <w:r w:rsidRPr="00131B9D">
        <w:rPr>
          <w:color w:val="000000"/>
        </w:rPr>
        <w:t>，</w:t>
      </w:r>
      <w:r w:rsidRPr="00131B9D">
        <w:rPr>
          <w:color w:val="000000"/>
        </w:rPr>
        <w:t>5</w:t>
      </w:r>
      <w:r w:rsidRPr="00131B9D">
        <w:rPr>
          <w:color w:val="000000"/>
        </w:rPr>
        <w:t>大鉛生產國</w:t>
      </w:r>
      <w:r w:rsidRPr="00131B9D">
        <w:rPr>
          <w:color w:val="000000"/>
        </w:rPr>
        <w:t>—</w:t>
      </w:r>
      <w:r w:rsidRPr="00131B9D">
        <w:rPr>
          <w:color w:val="000000"/>
        </w:rPr>
        <w:t>中國大陸、澳洲、美國、秘魯和墨西哥產量幾乎占到全球總產量的</w:t>
      </w:r>
      <w:r w:rsidRPr="00131B9D">
        <w:rPr>
          <w:color w:val="000000"/>
        </w:rPr>
        <w:t>77.8%</w:t>
      </w:r>
      <w:r w:rsidRPr="00131B9D">
        <w:rPr>
          <w:color w:val="000000"/>
        </w:rPr>
        <w:t>，而</w:t>
      </w:r>
      <w:r w:rsidRPr="00131B9D">
        <w:rPr>
          <w:color w:val="000000"/>
        </w:rPr>
        <w:t>10</w:t>
      </w:r>
      <w:r w:rsidRPr="00131B9D">
        <w:rPr>
          <w:color w:val="000000"/>
        </w:rPr>
        <w:t>大生產國產量更是占到</w:t>
      </w:r>
      <w:r w:rsidRPr="00131B9D">
        <w:rPr>
          <w:color w:val="000000"/>
        </w:rPr>
        <w:t>88.3%</w:t>
      </w:r>
      <w:r w:rsidRPr="00131B9D">
        <w:rPr>
          <w:color w:val="000000"/>
        </w:rPr>
        <w:t>。</w:t>
      </w:r>
    </w:p>
    <w:bookmarkEnd w:id="167"/>
    <w:bookmarkEnd w:id="168"/>
    <w:p w:rsidR="00F279F7" w:rsidRPr="00131B9D" w:rsidRDefault="00F279F7" w:rsidP="00F279F7">
      <w:pPr>
        <w:pStyle w:val="-"/>
        <w:spacing w:before="72" w:after="72"/>
        <w:ind w:leftChars="50" w:left="120" w:firstLine="560"/>
        <w:rPr>
          <w:color w:val="000000"/>
        </w:rPr>
      </w:pPr>
      <w:r w:rsidRPr="00131B9D">
        <w:rPr>
          <w:color w:val="000000"/>
        </w:rPr>
        <w:t>國際鉛鋅研究組織（</w:t>
      </w:r>
      <w:r w:rsidRPr="00131B9D">
        <w:rPr>
          <w:color w:val="000000"/>
        </w:rPr>
        <w:t>ILZSG</w:t>
      </w:r>
      <w:r w:rsidRPr="00131B9D">
        <w:rPr>
          <w:color w:val="000000"/>
        </w:rPr>
        <w:t>）</w:t>
      </w:r>
      <w:r w:rsidRPr="00131B9D">
        <w:rPr>
          <w:color w:val="000000"/>
        </w:rPr>
        <w:t>10</w:t>
      </w:r>
      <w:r w:rsidRPr="00131B9D">
        <w:rPr>
          <w:color w:val="000000"/>
        </w:rPr>
        <w:t>月</w:t>
      </w:r>
      <w:r w:rsidRPr="00131B9D">
        <w:rPr>
          <w:color w:val="000000"/>
        </w:rPr>
        <w:t>28</w:t>
      </w:r>
      <w:r w:rsidRPr="00131B9D">
        <w:rPr>
          <w:color w:val="000000"/>
        </w:rPr>
        <w:t>日公佈的月報數據顯示，</w:t>
      </w:r>
      <w:r w:rsidRPr="00131B9D">
        <w:rPr>
          <w:color w:val="000000"/>
        </w:rPr>
        <w:t>2015</w:t>
      </w:r>
      <w:r w:rsidRPr="00131B9D">
        <w:rPr>
          <w:color w:val="000000"/>
        </w:rPr>
        <w:t>年</w:t>
      </w:r>
      <w:r w:rsidRPr="00131B9D">
        <w:rPr>
          <w:color w:val="000000"/>
        </w:rPr>
        <w:t>1-8</w:t>
      </w:r>
      <w:r w:rsidRPr="00131B9D">
        <w:rPr>
          <w:color w:val="000000"/>
        </w:rPr>
        <w:t>月全球精煉鉛供給過剩</w:t>
      </w:r>
      <w:r w:rsidRPr="00131B9D">
        <w:rPr>
          <w:color w:val="000000"/>
        </w:rPr>
        <w:t>14,000</w:t>
      </w:r>
      <w:r w:rsidRPr="00131B9D">
        <w:rPr>
          <w:color w:val="000000"/>
        </w:rPr>
        <w:t>公噸，去年同期為過剩</w:t>
      </w:r>
      <w:r w:rsidRPr="00131B9D">
        <w:rPr>
          <w:color w:val="000000"/>
        </w:rPr>
        <w:t>20,000</w:t>
      </w:r>
      <w:r w:rsidRPr="00131B9D">
        <w:rPr>
          <w:color w:val="000000"/>
        </w:rPr>
        <w:t>公噸。</w:t>
      </w:r>
      <w:r w:rsidRPr="00131B9D">
        <w:rPr>
          <w:color w:val="000000"/>
        </w:rPr>
        <w:t>1-8</w:t>
      </w:r>
      <w:r w:rsidRPr="00131B9D">
        <w:rPr>
          <w:color w:val="000000"/>
        </w:rPr>
        <w:t>月，精煉鉛產量較去年同期減少</w:t>
      </w:r>
      <w:r w:rsidRPr="00131B9D">
        <w:rPr>
          <w:color w:val="000000"/>
        </w:rPr>
        <w:t>6.1%</w:t>
      </w:r>
      <w:r w:rsidRPr="00131B9D">
        <w:rPr>
          <w:color w:val="000000"/>
        </w:rPr>
        <w:t>至</w:t>
      </w:r>
      <w:r w:rsidRPr="00131B9D">
        <w:rPr>
          <w:color w:val="000000"/>
        </w:rPr>
        <w:t>666.3</w:t>
      </w:r>
      <w:r w:rsidRPr="00131B9D">
        <w:rPr>
          <w:color w:val="000000"/>
        </w:rPr>
        <w:t>萬噸，鉛礦產量較去年同期減少</w:t>
      </w:r>
      <w:r w:rsidRPr="00131B9D">
        <w:rPr>
          <w:color w:val="000000"/>
        </w:rPr>
        <w:t>3.6%</w:t>
      </w:r>
      <w:r w:rsidRPr="00131B9D">
        <w:rPr>
          <w:color w:val="000000"/>
        </w:rPr>
        <w:t>至</w:t>
      </w:r>
      <w:r w:rsidRPr="00131B9D">
        <w:rPr>
          <w:color w:val="000000"/>
        </w:rPr>
        <w:t>307.1</w:t>
      </w:r>
      <w:r w:rsidRPr="00131B9D">
        <w:rPr>
          <w:color w:val="000000"/>
        </w:rPr>
        <w:t>萬噸。</w:t>
      </w:r>
      <w:r w:rsidRPr="00131B9D">
        <w:rPr>
          <w:color w:val="000000"/>
        </w:rPr>
        <w:t>2015</w:t>
      </w:r>
      <w:r w:rsidRPr="00131B9D">
        <w:rPr>
          <w:color w:val="000000"/>
        </w:rPr>
        <w:t>年全球精煉鉛產量預估年增</w:t>
      </w:r>
      <w:r w:rsidRPr="00131B9D">
        <w:rPr>
          <w:color w:val="000000"/>
        </w:rPr>
        <w:t>1%</w:t>
      </w:r>
      <w:r w:rsidRPr="00131B9D">
        <w:rPr>
          <w:color w:val="000000"/>
        </w:rPr>
        <w:t>至</w:t>
      </w:r>
      <w:r w:rsidRPr="00131B9D">
        <w:rPr>
          <w:color w:val="000000"/>
        </w:rPr>
        <w:t>1,083</w:t>
      </w:r>
      <w:r w:rsidRPr="00131B9D">
        <w:rPr>
          <w:color w:val="000000"/>
        </w:rPr>
        <w:t>萬噸，</w:t>
      </w:r>
      <w:r w:rsidRPr="00131B9D">
        <w:rPr>
          <w:color w:val="000000"/>
        </w:rPr>
        <w:t>2016</w:t>
      </w:r>
      <w:r w:rsidRPr="00131B9D">
        <w:rPr>
          <w:color w:val="000000"/>
        </w:rPr>
        <w:t>年產量預估將年增</w:t>
      </w:r>
      <w:r w:rsidRPr="00131B9D">
        <w:rPr>
          <w:color w:val="000000"/>
        </w:rPr>
        <w:t>3.5%</w:t>
      </w:r>
      <w:r w:rsidRPr="00131B9D">
        <w:rPr>
          <w:color w:val="000000"/>
        </w:rPr>
        <w:t>至</w:t>
      </w:r>
      <w:r w:rsidRPr="00131B9D">
        <w:rPr>
          <w:color w:val="000000"/>
        </w:rPr>
        <w:t>1,120</w:t>
      </w:r>
      <w:r w:rsidRPr="00131B9D">
        <w:rPr>
          <w:color w:val="000000"/>
        </w:rPr>
        <w:t>萬噸。</w:t>
      </w:r>
      <w:r w:rsidRPr="00131B9D">
        <w:rPr>
          <w:color w:val="000000"/>
        </w:rPr>
        <w:t>2015</w:t>
      </w:r>
      <w:r w:rsidRPr="00131B9D">
        <w:rPr>
          <w:color w:val="000000"/>
        </w:rPr>
        <w:t>年鉛市基本上將呈現供需平衡，</w:t>
      </w:r>
      <w:r w:rsidRPr="00131B9D">
        <w:rPr>
          <w:color w:val="000000"/>
        </w:rPr>
        <w:t>2016</w:t>
      </w:r>
      <w:r w:rsidRPr="00131B9D">
        <w:rPr>
          <w:color w:val="000000"/>
        </w:rPr>
        <w:t>年則預估將過剩</w:t>
      </w:r>
      <w:r w:rsidRPr="00131B9D">
        <w:rPr>
          <w:color w:val="000000"/>
        </w:rPr>
        <w:t>97,000</w:t>
      </w:r>
      <w:r w:rsidRPr="00131B9D">
        <w:rPr>
          <w:color w:val="000000"/>
        </w:rPr>
        <w:t>公噸。不過，</w:t>
      </w:r>
      <w:r w:rsidRPr="00131B9D">
        <w:rPr>
          <w:color w:val="000000"/>
        </w:rPr>
        <w:t>ILZSG</w:t>
      </w:r>
      <w:r w:rsidRPr="00131B9D">
        <w:rPr>
          <w:color w:val="000000"/>
        </w:rPr>
        <w:t>指出，嘉能可（</w:t>
      </w:r>
      <w:r w:rsidRPr="00131B9D">
        <w:rPr>
          <w:color w:val="000000"/>
        </w:rPr>
        <w:t>Glencore Plc</w:t>
      </w:r>
      <w:r w:rsidRPr="00131B9D">
        <w:rPr>
          <w:color w:val="000000"/>
        </w:rPr>
        <w:t>）</w:t>
      </w:r>
      <w:r w:rsidRPr="00131B9D">
        <w:rPr>
          <w:color w:val="000000"/>
        </w:rPr>
        <w:t>10</w:t>
      </w:r>
      <w:r w:rsidRPr="00131B9D">
        <w:rPr>
          <w:color w:val="000000"/>
        </w:rPr>
        <w:t>月宣佈將減產</w:t>
      </w:r>
      <w:r w:rsidRPr="00131B9D">
        <w:rPr>
          <w:color w:val="000000"/>
        </w:rPr>
        <w:t>10</w:t>
      </w:r>
      <w:r w:rsidRPr="00131B9D">
        <w:rPr>
          <w:color w:val="000000"/>
        </w:rPr>
        <w:t>萬噸鉛精礦以及</w:t>
      </w:r>
      <w:r w:rsidRPr="00131B9D">
        <w:rPr>
          <w:color w:val="000000"/>
        </w:rPr>
        <w:t>50</w:t>
      </w:r>
      <w:r w:rsidRPr="00131B9D">
        <w:rPr>
          <w:color w:val="000000"/>
        </w:rPr>
        <w:t>萬噸鋅精礦的影響尚未評估在內。</w:t>
      </w:r>
      <w:r w:rsidRPr="00131B9D">
        <w:t>（如表</w:t>
      </w:r>
      <w:r w:rsidRPr="00131B9D">
        <w:t>3-10</w:t>
      </w:r>
      <w:r w:rsidRPr="00131B9D">
        <w:t>）</w:t>
      </w:r>
      <w:r w:rsidRPr="00131B9D">
        <w:rPr>
          <w:color w:val="000000"/>
        </w:rPr>
        <w:t>。</w:t>
      </w:r>
    </w:p>
    <w:p w:rsidR="00F279F7" w:rsidRPr="00131B9D" w:rsidRDefault="00F279F7" w:rsidP="00F279F7">
      <w:pPr>
        <w:pStyle w:val="-"/>
        <w:spacing w:before="72" w:after="72"/>
        <w:ind w:leftChars="50" w:left="120" w:firstLine="560"/>
        <w:rPr>
          <w:color w:val="000000"/>
        </w:rPr>
      </w:pPr>
      <w:r w:rsidRPr="00131B9D">
        <w:rPr>
          <w:color w:val="000000"/>
        </w:rPr>
        <w:t>在消費方面，</w:t>
      </w:r>
      <w:r w:rsidRPr="00131B9D">
        <w:rPr>
          <w:color w:val="000000"/>
        </w:rPr>
        <w:t xml:space="preserve"> ILZSG </w:t>
      </w:r>
      <w:r w:rsidRPr="00131B9D">
        <w:rPr>
          <w:color w:val="000000"/>
        </w:rPr>
        <w:t>月報數據表示，</w:t>
      </w:r>
      <w:r w:rsidRPr="00131B9D">
        <w:rPr>
          <w:color w:val="000000"/>
        </w:rPr>
        <w:t>1-8</w:t>
      </w:r>
      <w:r w:rsidRPr="00131B9D">
        <w:rPr>
          <w:color w:val="000000"/>
        </w:rPr>
        <w:t>月，全球精煉鉛消費</w:t>
      </w:r>
      <w:r w:rsidRPr="00131B9D">
        <w:rPr>
          <w:color w:val="000000"/>
        </w:rPr>
        <w:lastRenderedPageBreak/>
        <w:t>量較去年同期減少</w:t>
      </w:r>
      <w:r w:rsidRPr="00131B9D">
        <w:rPr>
          <w:color w:val="000000"/>
        </w:rPr>
        <w:t>6.2%</w:t>
      </w:r>
      <w:r w:rsidRPr="00131B9D">
        <w:rPr>
          <w:color w:val="000000"/>
        </w:rPr>
        <w:t>至</w:t>
      </w:r>
      <w:r w:rsidRPr="00131B9D">
        <w:rPr>
          <w:color w:val="000000"/>
        </w:rPr>
        <w:t>667.7</w:t>
      </w:r>
      <w:r w:rsidRPr="00131B9D">
        <w:rPr>
          <w:color w:val="000000"/>
        </w:rPr>
        <w:t>萬噸，並預估</w:t>
      </w:r>
      <w:r w:rsidRPr="00131B9D">
        <w:rPr>
          <w:color w:val="000000"/>
        </w:rPr>
        <w:t>2015</w:t>
      </w:r>
      <w:r w:rsidRPr="00131B9D">
        <w:rPr>
          <w:color w:val="000000"/>
        </w:rPr>
        <w:t>年全球精煉鉛消費量將較去年增加</w:t>
      </w:r>
      <w:r w:rsidRPr="00131B9D">
        <w:rPr>
          <w:color w:val="000000"/>
        </w:rPr>
        <w:t>0.7%</w:t>
      </w:r>
      <w:r w:rsidRPr="00131B9D">
        <w:rPr>
          <w:color w:val="000000"/>
        </w:rPr>
        <w:t>至</w:t>
      </w:r>
      <w:r w:rsidRPr="00131B9D">
        <w:rPr>
          <w:color w:val="000000"/>
        </w:rPr>
        <w:t>1,082</w:t>
      </w:r>
      <w:r w:rsidRPr="00131B9D">
        <w:rPr>
          <w:color w:val="000000"/>
        </w:rPr>
        <w:t>萬噸，</w:t>
      </w:r>
      <w:r w:rsidRPr="00131B9D">
        <w:rPr>
          <w:color w:val="000000"/>
        </w:rPr>
        <w:t>2016</w:t>
      </w:r>
      <w:r w:rsidRPr="00131B9D">
        <w:rPr>
          <w:color w:val="000000"/>
        </w:rPr>
        <w:t>年預估年增</w:t>
      </w:r>
      <w:r w:rsidRPr="00131B9D">
        <w:rPr>
          <w:color w:val="000000"/>
        </w:rPr>
        <w:t>2.6%</w:t>
      </w:r>
      <w:r w:rsidRPr="00131B9D">
        <w:rPr>
          <w:color w:val="000000"/>
        </w:rPr>
        <w:t>至</w:t>
      </w:r>
      <w:r w:rsidRPr="00131B9D">
        <w:rPr>
          <w:color w:val="000000"/>
        </w:rPr>
        <w:t>1,111</w:t>
      </w:r>
      <w:r w:rsidRPr="00131B9D">
        <w:rPr>
          <w:color w:val="000000"/>
        </w:rPr>
        <w:t>萬噸。其次，因佔</w:t>
      </w:r>
      <w:r w:rsidRPr="00131B9D">
        <w:rPr>
          <w:color w:val="000000"/>
        </w:rPr>
        <w:t>30%</w:t>
      </w:r>
      <w:r w:rsidRPr="00131B9D">
        <w:rPr>
          <w:color w:val="000000"/>
        </w:rPr>
        <w:t>鉛消費比重的電動自行車生產與銷售放緩的影響，</w:t>
      </w:r>
      <w:r w:rsidRPr="00131B9D">
        <w:rPr>
          <w:color w:val="000000"/>
        </w:rPr>
        <w:t>2015</w:t>
      </w:r>
      <w:r w:rsidRPr="00131B9D">
        <w:rPr>
          <w:color w:val="000000"/>
        </w:rPr>
        <w:t>年中國大陸鉛消費量預估將年減</w:t>
      </w:r>
      <w:r w:rsidRPr="00131B9D">
        <w:rPr>
          <w:color w:val="000000"/>
        </w:rPr>
        <w:t>0.6%</w:t>
      </w:r>
      <w:r w:rsidRPr="00131B9D">
        <w:rPr>
          <w:color w:val="000000"/>
        </w:rPr>
        <w:t>，但</w:t>
      </w:r>
      <w:r w:rsidRPr="00131B9D">
        <w:rPr>
          <w:color w:val="000000"/>
        </w:rPr>
        <w:t>2016</w:t>
      </w:r>
      <w:r w:rsidRPr="00131B9D">
        <w:rPr>
          <w:color w:val="000000"/>
        </w:rPr>
        <w:t>年在汽車以及工業電池的帶動下，中國大陸鉛消費量預估將年增</w:t>
      </w:r>
      <w:r w:rsidRPr="00131B9D">
        <w:rPr>
          <w:color w:val="000000"/>
        </w:rPr>
        <w:t>2.6%</w:t>
      </w:r>
      <w:r w:rsidRPr="00131B9D">
        <w:rPr>
          <w:color w:val="000000"/>
        </w:rPr>
        <w:t>。</w:t>
      </w:r>
      <w:r w:rsidRPr="00131B9D">
        <w:rPr>
          <w:color w:val="000000"/>
        </w:rPr>
        <w:t>2015</w:t>
      </w:r>
      <w:r w:rsidRPr="00131B9D">
        <w:rPr>
          <w:color w:val="000000"/>
        </w:rPr>
        <w:t>年歐洲與美國的鉛消費量預估將分別年減</w:t>
      </w:r>
      <w:r w:rsidRPr="00131B9D">
        <w:rPr>
          <w:color w:val="000000"/>
        </w:rPr>
        <w:t>0.8%</w:t>
      </w:r>
      <w:r w:rsidRPr="00131B9D">
        <w:rPr>
          <w:color w:val="000000"/>
        </w:rPr>
        <w:t>與</w:t>
      </w:r>
      <w:r w:rsidRPr="00131B9D">
        <w:rPr>
          <w:color w:val="000000"/>
        </w:rPr>
        <w:t>3.6%</w:t>
      </w:r>
      <w:r w:rsidRPr="00131B9D">
        <w:rPr>
          <w:color w:val="000000"/>
        </w:rPr>
        <w:t>，</w:t>
      </w:r>
      <w:r w:rsidRPr="00131B9D">
        <w:rPr>
          <w:color w:val="000000"/>
        </w:rPr>
        <w:t>2016</w:t>
      </w:r>
      <w:r w:rsidRPr="00131B9D">
        <w:rPr>
          <w:color w:val="000000"/>
        </w:rPr>
        <w:t>年則預估分別年增</w:t>
      </w:r>
      <w:r w:rsidRPr="00131B9D">
        <w:rPr>
          <w:color w:val="000000"/>
        </w:rPr>
        <w:t>3.1%</w:t>
      </w:r>
      <w:r w:rsidRPr="00131B9D">
        <w:rPr>
          <w:color w:val="000000"/>
        </w:rPr>
        <w:t>與</w:t>
      </w:r>
      <w:r w:rsidRPr="00131B9D">
        <w:rPr>
          <w:color w:val="000000"/>
        </w:rPr>
        <w:t>1.9%</w:t>
      </w:r>
      <w:r w:rsidRPr="00131B9D">
        <w:rPr>
          <w:color w:val="000000"/>
        </w:rPr>
        <w:t>。</w:t>
      </w:r>
      <w:r w:rsidRPr="00131B9D">
        <w:rPr>
          <w:color w:val="000000"/>
        </w:rPr>
        <w:t>2015</w:t>
      </w:r>
      <w:r w:rsidRPr="00131B9D">
        <w:rPr>
          <w:color w:val="000000"/>
        </w:rPr>
        <w:t>年全球鉛礦產量預估年減</w:t>
      </w:r>
      <w:r w:rsidRPr="00131B9D">
        <w:rPr>
          <w:color w:val="000000"/>
        </w:rPr>
        <w:t>2.5%</w:t>
      </w:r>
      <w:r w:rsidRPr="00131B9D">
        <w:rPr>
          <w:color w:val="000000"/>
        </w:rPr>
        <w:t>至</w:t>
      </w:r>
      <w:r w:rsidRPr="00131B9D">
        <w:rPr>
          <w:color w:val="000000"/>
        </w:rPr>
        <w:t>480</w:t>
      </w:r>
      <w:r w:rsidRPr="00131B9D">
        <w:rPr>
          <w:color w:val="000000"/>
        </w:rPr>
        <w:t>萬噸，主要因為澳洲產量減少的影響；但</w:t>
      </w:r>
      <w:r w:rsidRPr="00131B9D">
        <w:rPr>
          <w:color w:val="000000"/>
        </w:rPr>
        <w:t>2016</w:t>
      </w:r>
      <w:r w:rsidRPr="00131B9D">
        <w:rPr>
          <w:color w:val="000000"/>
        </w:rPr>
        <w:t>年可望年增</w:t>
      </w:r>
      <w:r w:rsidRPr="00131B9D">
        <w:rPr>
          <w:color w:val="000000"/>
        </w:rPr>
        <w:t>1.2%</w:t>
      </w:r>
      <w:r w:rsidRPr="00131B9D">
        <w:rPr>
          <w:color w:val="000000"/>
        </w:rPr>
        <w:t>至</w:t>
      </w:r>
      <w:r w:rsidRPr="00131B9D">
        <w:rPr>
          <w:color w:val="000000"/>
        </w:rPr>
        <w:t>486</w:t>
      </w:r>
      <w:r w:rsidRPr="00131B9D">
        <w:rPr>
          <w:color w:val="000000"/>
        </w:rPr>
        <w:t>萬噸，主要受到中國大陸、墨西哥以及俄羅斯產量增長的影響。</w:t>
      </w:r>
    </w:p>
    <w:p w:rsidR="00F279F7" w:rsidRPr="00131B9D" w:rsidRDefault="00F279F7" w:rsidP="00F279F7">
      <w:pPr>
        <w:pStyle w:val="-"/>
        <w:spacing w:before="72" w:after="72"/>
        <w:ind w:leftChars="50" w:left="120" w:firstLine="560"/>
        <w:rPr>
          <w:color w:val="000000"/>
        </w:rPr>
      </w:pPr>
      <w:r w:rsidRPr="00131B9D">
        <w:rPr>
          <w:color w:val="000000"/>
        </w:rPr>
        <w:t>中國大陸是全球最大精煉鉛生產國及消費國，國內需求放緩可能促使冶煉商擴大出口，由於汽車及電動自行車領域的鉛酸電池需求減弱，中國大陸</w:t>
      </w:r>
      <w:r w:rsidRPr="00131B9D">
        <w:rPr>
          <w:color w:val="000000"/>
        </w:rPr>
        <w:t>2</w:t>
      </w:r>
      <w:r w:rsidRPr="00131B9D">
        <w:rPr>
          <w:color w:val="000000"/>
        </w:rPr>
        <w:t>精煉鉛消費成長速度預計將放緩。根據官方資料，中國大陸</w:t>
      </w:r>
      <w:r w:rsidRPr="00131B9D">
        <w:rPr>
          <w:color w:val="000000"/>
        </w:rPr>
        <w:t>5</w:t>
      </w:r>
      <w:r w:rsidRPr="00131B9D">
        <w:rPr>
          <w:color w:val="000000"/>
        </w:rPr>
        <w:t>月汽車產量較</w:t>
      </w:r>
      <w:r w:rsidRPr="00131B9D">
        <w:rPr>
          <w:color w:val="000000"/>
        </w:rPr>
        <w:t>2014</w:t>
      </w:r>
      <w:r w:rsidRPr="00131B9D">
        <w:rPr>
          <w:color w:val="000000"/>
        </w:rPr>
        <w:t>年同期減少</w:t>
      </w:r>
      <w:r w:rsidRPr="00131B9D">
        <w:rPr>
          <w:color w:val="000000"/>
        </w:rPr>
        <w:t>1.6%</w:t>
      </w:r>
      <w:r w:rsidRPr="00131B9D">
        <w:rPr>
          <w:color w:val="000000"/>
        </w:rPr>
        <w:t>，為連續第</w:t>
      </w:r>
      <w:r w:rsidRPr="00131B9D">
        <w:rPr>
          <w:color w:val="000000"/>
        </w:rPr>
        <w:t>2</w:t>
      </w:r>
      <w:r w:rsidRPr="00131B9D">
        <w:rPr>
          <w:color w:val="000000"/>
        </w:rPr>
        <w:t>個月下滑，相較去年同期，</w:t>
      </w:r>
      <w:r w:rsidRPr="00131B9D">
        <w:rPr>
          <w:color w:val="000000"/>
        </w:rPr>
        <w:t>2014</w:t>
      </w:r>
      <w:r w:rsidRPr="00131B9D">
        <w:rPr>
          <w:color w:val="000000"/>
        </w:rPr>
        <w:t>年</w:t>
      </w:r>
      <w:r w:rsidRPr="00131B9D">
        <w:rPr>
          <w:color w:val="000000"/>
        </w:rPr>
        <w:t>5</w:t>
      </w:r>
      <w:r w:rsidRPr="00131B9D">
        <w:rPr>
          <w:color w:val="000000"/>
        </w:rPr>
        <w:t>月時汽車產量上升</w:t>
      </w:r>
      <w:r w:rsidRPr="00131B9D">
        <w:rPr>
          <w:color w:val="000000"/>
        </w:rPr>
        <w:t>12%</w:t>
      </w:r>
      <w:r w:rsidRPr="00131B9D">
        <w:rPr>
          <w:color w:val="000000"/>
        </w:rPr>
        <w:t>。</w:t>
      </w:r>
    </w:p>
    <w:p w:rsidR="003B29E8" w:rsidRPr="00131B9D" w:rsidRDefault="003B29E8" w:rsidP="003B29E8"/>
    <w:p w:rsidR="00F279F7" w:rsidRPr="00131B9D" w:rsidRDefault="00F279F7" w:rsidP="00F279F7">
      <w:pPr>
        <w:pStyle w:val="aff1"/>
        <w:spacing w:line="0" w:lineRule="atLeast"/>
        <w:rPr>
          <w:szCs w:val="28"/>
        </w:rPr>
      </w:pPr>
      <w:bookmarkStart w:id="169" w:name="_Toc439162999"/>
      <w:r w:rsidRPr="00131B9D">
        <w:rPr>
          <w:szCs w:val="28"/>
        </w:rPr>
        <w:t>表</w:t>
      </w:r>
      <w:r w:rsidRPr="00131B9D">
        <w:rPr>
          <w:szCs w:val="28"/>
        </w:rPr>
        <w:t xml:space="preserve">3- </w:t>
      </w:r>
      <w:r w:rsidRPr="00131B9D">
        <w:rPr>
          <w:b w:val="0"/>
          <w:szCs w:val="28"/>
        </w:rPr>
        <w:fldChar w:fldCharType="begin"/>
      </w:r>
      <w:r w:rsidRPr="00131B9D">
        <w:rPr>
          <w:szCs w:val="28"/>
        </w:rPr>
        <w:instrText xml:space="preserve"> SEQ </w:instrText>
      </w:r>
      <w:r w:rsidRPr="00131B9D">
        <w:rPr>
          <w:szCs w:val="28"/>
        </w:rPr>
        <w:instrText>表</w:instrText>
      </w:r>
      <w:r w:rsidRPr="00131B9D">
        <w:rPr>
          <w:szCs w:val="28"/>
        </w:rPr>
        <w:instrText xml:space="preserve">3- \* ARABIC </w:instrText>
      </w:r>
      <w:r w:rsidRPr="00131B9D">
        <w:rPr>
          <w:b w:val="0"/>
          <w:szCs w:val="28"/>
        </w:rPr>
        <w:fldChar w:fldCharType="separate"/>
      </w:r>
      <w:r w:rsidR="001641D3">
        <w:rPr>
          <w:noProof/>
          <w:szCs w:val="28"/>
        </w:rPr>
        <w:t>10</w:t>
      </w:r>
      <w:r w:rsidRPr="00131B9D">
        <w:rPr>
          <w:b w:val="0"/>
          <w:szCs w:val="28"/>
        </w:rPr>
        <w:fldChar w:fldCharType="end"/>
      </w:r>
      <w:r w:rsidRPr="00131B9D">
        <w:rPr>
          <w:szCs w:val="28"/>
        </w:rPr>
        <w:t xml:space="preserve">　全球鉛市供需概況</w:t>
      </w:r>
      <w:bookmarkEnd w:id="169"/>
    </w:p>
    <w:tbl>
      <w:tblPr>
        <w:tblW w:w="5485"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310"/>
        <w:gridCol w:w="1656"/>
        <w:gridCol w:w="1519"/>
      </w:tblGrid>
      <w:tr w:rsidR="00F279F7" w:rsidRPr="00131B9D" w:rsidTr="00F279F7">
        <w:trPr>
          <w:trHeight w:val="330"/>
          <w:tblHeader/>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LME</w:t>
            </w:r>
            <w:r w:rsidRPr="00131B9D">
              <w:rPr>
                <w:rFonts w:eastAsia="標楷體"/>
                <w:b/>
                <w:kern w:val="0"/>
              </w:rPr>
              <w:t>統計</w:t>
            </w:r>
          </w:p>
        </w:tc>
        <w:tc>
          <w:tcPr>
            <w:tcW w:w="1656" w:type="dxa"/>
            <w:tcBorders>
              <w:top w:val="single" w:sz="4" w:space="0" w:color="auto"/>
              <w:left w:val="single" w:sz="4" w:space="0" w:color="auto"/>
              <w:bottom w:val="single" w:sz="4" w:space="0" w:color="auto"/>
              <w:right w:val="single" w:sz="4" w:space="0" w:color="auto"/>
            </w:tcBorders>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519" w:type="dxa"/>
            <w:tcBorders>
              <w:top w:val="single" w:sz="4" w:space="0" w:color="auto"/>
              <w:left w:val="single" w:sz="4" w:space="0" w:color="auto"/>
              <w:bottom w:val="single" w:sz="4" w:space="0" w:color="auto"/>
              <w:right w:val="single" w:sz="4" w:space="0" w:color="auto"/>
            </w:tcBorders>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變動量</w:t>
            </w:r>
          </w:p>
        </w:tc>
      </w:tr>
      <w:tr w:rsidR="00F279F7" w:rsidRPr="00131B9D" w:rsidTr="00F279F7">
        <w:trPr>
          <w:trHeight w:val="330"/>
          <w:jc w:val="center"/>
        </w:trPr>
        <w:tc>
          <w:tcPr>
            <w:tcW w:w="5485" w:type="dxa"/>
            <w:gridSpan w:val="3"/>
            <w:shd w:val="clear" w:color="auto" w:fill="auto"/>
            <w:noWrap/>
            <w:vAlign w:val="center"/>
          </w:tcPr>
          <w:p w:rsidR="00F279F7" w:rsidRPr="00131B9D" w:rsidRDefault="00F279F7" w:rsidP="00F279F7">
            <w:pPr>
              <w:jc w:val="center"/>
              <w:rPr>
                <w:color w:val="000000"/>
              </w:rPr>
            </w:pPr>
            <w:r w:rsidRPr="00131B9D">
              <w:rPr>
                <w:rFonts w:eastAsia="標楷體"/>
                <w:kern w:val="0"/>
                <w:sz w:val="23"/>
                <w:szCs w:val="23"/>
              </w:rPr>
              <w:t>2014</w:t>
            </w:r>
            <w:r w:rsidRPr="00131B9D">
              <w:rPr>
                <w:rFonts w:eastAsia="標楷體"/>
                <w:kern w:val="0"/>
                <w:sz w:val="23"/>
                <w:szCs w:val="23"/>
              </w:rPr>
              <w:t>年</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w:t>
            </w:r>
            <w:r w:rsidRPr="00131B9D">
              <w:rPr>
                <w:rFonts w:eastAsia="標楷體"/>
                <w:kern w:val="0"/>
              </w:rPr>
              <w:t>月</w:t>
            </w:r>
          </w:p>
        </w:tc>
        <w:tc>
          <w:tcPr>
            <w:tcW w:w="1656"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208,475 </w:t>
            </w:r>
          </w:p>
        </w:tc>
        <w:tc>
          <w:tcPr>
            <w:tcW w:w="1519"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-2.79%</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2</w:t>
            </w:r>
            <w:r w:rsidRPr="00131B9D">
              <w:rPr>
                <w:rFonts w:eastAsia="標楷體"/>
                <w:kern w:val="0"/>
              </w:rPr>
              <w:t>月</w:t>
            </w:r>
          </w:p>
        </w:tc>
        <w:tc>
          <w:tcPr>
            <w:tcW w:w="1656"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202,225 </w:t>
            </w:r>
          </w:p>
        </w:tc>
        <w:tc>
          <w:tcPr>
            <w:tcW w:w="1519"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-3.00%</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3</w:t>
            </w:r>
            <w:r w:rsidRPr="00131B9D">
              <w:rPr>
                <w:rFonts w:eastAsia="標楷體"/>
                <w:kern w:val="0"/>
              </w:rPr>
              <w:t>月</w:t>
            </w:r>
          </w:p>
        </w:tc>
        <w:tc>
          <w:tcPr>
            <w:tcW w:w="1656"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200,325 </w:t>
            </w:r>
          </w:p>
        </w:tc>
        <w:tc>
          <w:tcPr>
            <w:tcW w:w="1519"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-0.94%</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4</w:t>
            </w:r>
            <w:r w:rsidRPr="00131B9D">
              <w:rPr>
                <w:rFonts w:eastAsia="標楷體"/>
                <w:kern w:val="0"/>
              </w:rPr>
              <w:t>月</w:t>
            </w:r>
          </w:p>
        </w:tc>
        <w:tc>
          <w:tcPr>
            <w:tcW w:w="1656"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193,625 </w:t>
            </w:r>
          </w:p>
        </w:tc>
        <w:tc>
          <w:tcPr>
            <w:tcW w:w="1519"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-3.34%</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5</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190,475 </w:t>
            </w:r>
          </w:p>
        </w:tc>
        <w:tc>
          <w:tcPr>
            <w:tcW w:w="1519"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-1.63%</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6</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 xml:space="preserve">193,800 </w:t>
            </w:r>
          </w:p>
        </w:tc>
        <w:tc>
          <w:tcPr>
            <w:tcW w:w="1519"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1.75%</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7</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215,550 </w:t>
            </w:r>
          </w:p>
        </w:tc>
        <w:tc>
          <w:tcPr>
            <w:tcW w:w="1519"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11.22%</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8</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220,550 </w:t>
            </w:r>
          </w:p>
        </w:tc>
        <w:tc>
          <w:tcPr>
            <w:tcW w:w="1519"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2.32%</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9</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225,275 </w:t>
            </w:r>
          </w:p>
        </w:tc>
        <w:tc>
          <w:tcPr>
            <w:tcW w:w="1519"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2.14%</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10</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226,525 </w:t>
            </w:r>
          </w:p>
        </w:tc>
        <w:tc>
          <w:tcPr>
            <w:tcW w:w="1519"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0.55%</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11</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217,775 </w:t>
            </w:r>
          </w:p>
        </w:tc>
        <w:tc>
          <w:tcPr>
            <w:tcW w:w="1519"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-3.86%</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12</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 xml:space="preserve">221,975 </w:t>
            </w:r>
          </w:p>
        </w:tc>
        <w:tc>
          <w:tcPr>
            <w:tcW w:w="1519"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1.93%</w:t>
            </w:r>
          </w:p>
        </w:tc>
      </w:tr>
    </w:tbl>
    <w:p w:rsidR="001652B5" w:rsidRPr="00131B9D" w:rsidRDefault="001652B5" w:rsidP="001652B5">
      <w:pPr>
        <w:sectPr w:rsidR="001652B5" w:rsidRPr="00131B9D" w:rsidSect="00097B8D">
          <w:pgSz w:w="11906" w:h="16838"/>
          <w:pgMar w:top="1440" w:right="1800" w:bottom="1440" w:left="1800" w:header="851" w:footer="992" w:gutter="0"/>
          <w:cols w:space="425"/>
          <w:docGrid w:type="lines" w:linePitch="360"/>
        </w:sectPr>
      </w:pPr>
    </w:p>
    <w:p w:rsidR="003B29E8" w:rsidRPr="00131B9D" w:rsidRDefault="001652B5" w:rsidP="001652B5">
      <w:pPr>
        <w:spacing w:line="0" w:lineRule="atLeast"/>
        <w:jc w:val="center"/>
        <w:rPr>
          <w:rFonts w:eastAsia="標楷體"/>
          <w:b/>
          <w:sz w:val="28"/>
          <w:szCs w:val="28"/>
        </w:rPr>
      </w:pPr>
      <w:r w:rsidRPr="00131B9D">
        <w:rPr>
          <w:rFonts w:eastAsia="標楷體"/>
          <w:b/>
          <w:sz w:val="28"/>
          <w:szCs w:val="28"/>
        </w:rPr>
        <w:lastRenderedPageBreak/>
        <w:t>表</w:t>
      </w:r>
      <w:r w:rsidRPr="00131B9D">
        <w:rPr>
          <w:rFonts w:eastAsia="標楷體"/>
          <w:b/>
          <w:sz w:val="28"/>
          <w:szCs w:val="28"/>
        </w:rPr>
        <w:t>3-10</w:t>
      </w:r>
      <w:r w:rsidRPr="00131B9D">
        <w:rPr>
          <w:rFonts w:eastAsia="標楷體"/>
          <w:b/>
          <w:sz w:val="28"/>
          <w:szCs w:val="28"/>
        </w:rPr>
        <w:t xml:space="preserve">　全球鉛市供需概況</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5485"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310"/>
        <w:gridCol w:w="1656"/>
        <w:gridCol w:w="1519"/>
      </w:tblGrid>
      <w:tr w:rsidR="001652B5" w:rsidRPr="00131B9D" w:rsidTr="00B22890">
        <w:trPr>
          <w:trHeight w:val="330"/>
          <w:tblHeader/>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widowControl/>
              <w:spacing w:line="240" w:lineRule="exact"/>
              <w:jc w:val="center"/>
              <w:rPr>
                <w:rFonts w:eastAsia="標楷體"/>
                <w:b/>
                <w:kern w:val="0"/>
              </w:rPr>
            </w:pPr>
            <w:r w:rsidRPr="00131B9D">
              <w:rPr>
                <w:rFonts w:eastAsia="標楷體"/>
                <w:b/>
                <w:kern w:val="0"/>
              </w:rPr>
              <w:t>LME</w:t>
            </w:r>
            <w:r w:rsidRPr="00131B9D">
              <w:rPr>
                <w:rFonts w:eastAsia="標楷體"/>
                <w:b/>
                <w:kern w:val="0"/>
              </w:rPr>
              <w:t>統計</w:t>
            </w:r>
          </w:p>
        </w:tc>
        <w:tc>
          <w:tcPr>
            <w:tcW w:w="1656" w:type="dxa"/>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widowControl/>
              <w:spacing w:line="240" w:lineRule="exact"/>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519" w:type="dxa"/>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widowControl/>
              <w:spacing w:line="240" w:lineRule="exact"/>
              <w:jc w:val="center"/>
              <w:rPr>
                <w:rFonts w:eastAsia="標楷體"/>
                <w:b/>
                <w:kern w:val="0"/>
              </w:rPr>
            </w:pPr>
            <w:r w:rsidRPr="00131B9D">
              <w:rPr>
                <w:rFonts w:eastAsia="標楷體"/>
                <w:b/>
                <w:kern w:val="0"/>
              </w:rPr>
              <w:t>變動量</w:t>
            </w:r>
          </w:p>
        </w:tc>
      </w:tr>
      <w:tr w:rsidR="001652B5" w:rsidRPr="00131B9D" w:rsidTr="00B22890">
        <w:trPr>
          <w:trHeight w:val="330"/>
          <w:jc w:val="center"/>
        </w:trPr>
        <w:tc>
          <w:tcPr>
            <w:tcW w:w="5485" w:type="dxa"/>
            <w:gridSpan w:val="3"/>
            <w:tcBorders>
              <w:bottom w:val="single" w:sz="4" w:space="0" w:color="auto"/>
            </w:tcBorders>
            <w:shd w:val="clear" w:color="auto" w:fill="auto"/>
            <w:noWrap/>
            <w:vAlign w:val="center"/>
          </w:tcPr>
          <w:p w:rsidR="001652B5" w:rsidRPr="00131B9D" w:rsidRDefault="001652B5" w:rsidP="00B22890">
            <w:pPr>
              <w:jc w:val="center"/>
              <w:rPr>
                <w:color w:val="000000"/>
              </w:rPr>
            </w:pPr>
            <w:r w:rsidRPr="00131B9D">
              <w:rPr>
                <w:rFonts w:eastAsia="標楷體"/>
                <w:kern w:val="0"/>
                <w:sz w:val="23"/>
                <w:szCs w:val="23"/>
              </w:rPr>
              <w:t>2015</w:t>
            </w:r>
            <w:r w:rsidRPr="00131B9D">
              <w:rPr>
                <w:rFonts w:eastAsia="標楷體"/>
                <w:kern w:val="0"/>
                <w:sz w:val="23"/>
                <w:szCs w:val="23"/>
              </w:rPr>
              <w:t>年</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1</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1652B5" w:rsidRPr="00131B9D" w:rsidRDefault="001652B5" w:rsidP="00B22890">
            <w:pPr>
              <w:jc w:val="center"/>
            </w:pPr>
            <w:r w:rsidRPr="00131B9D">
              <w:rPr>
                <w:color w:val="000000"/>
              </w:rPr>
              <w:t xml:space="preserve">215,000 </w:t>
            </w:r>
          </w:p>
        </w:tc>
        <w:tc>
          <w:tcPr>
            <w:tcW w:w="1519" w:type="dxa"/>
            <w:tcBorders>
              <w:left w:val="single" w:sz="4" w:space="0" w:color="auto"/>
              <w:bottom w:val="single" w:sz="4" w:space="0" w:color="auto"/>
            </w:tcBorders>
            <w:shd w:val="clear" w:color="auto" w:fill="auto"/>
            <w:noWrap/>
            <w:vAlign w:val="center"/>
          </w:tcPr>
          <w:p w:rsidR="001652B5" w:rsidRPr="00131B9D" w:rsidRDefault="001652B5" w:rsidP="00B22890">
            <w:pPr>
              <w:jc w:val="center"/>
              <w:rPr>
                <w:color w:val="000000"/>
              </w:rPr>
            </w:pPr>
            <w:r w:rsidRPr="00131B9D">
              <w:rPr>
                <w:color w:val="000000"/>
              </w:rPr>
              <w:t>-3.14%</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Del="006C65F6" w:rsidRDefault="001652B5" w:rsidP="00B22890">
            <w:pPr>
              <w:widowControl/>
              <w:spacing w:line="240" w:lineRule="exact"/>
              <w:jc w:val="center"/>
              <w:rPr>
                <w:rFonts w:eastAsia="標楷體"/>
                <w:kern w:val="0"/>
              </w:rPr>
            </w:pPr>
            <w:r w:rsidRPr="00131B9D">
              <w:rPr>
                <w:rFonts w:eastAsia="標楷體"/>
                <w:kern w:val="0"/>
              </w:rPr>
              <w:t>2</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vAlign w:val="center"/>
          </w:tcPr>
          <w:p w:rsidR="001652B5" w:rsidRPr="00131B9D" w:rsidDel="006C65F6" w:rsidRDefault="001652B5" w:rsidP="00B22890">
            <w:pPr>
              <w:jc w:val="center"/>
              <w:rPr>
                <w:color w:val="000000"/>
              </w:rPr>
            </w:pPr>
            <w:r w:rsidRPr="00131B9D">
              <w:rPr>
                <w:color w:val="000000"/>
              </w:rPr>
              <w:t xml:space="preserve">214,750 </w:t>
            </w:r>
          </w:p>
        </w:tc>
        <w:tc>
          <w:tcPr>
            <w:tcW w:w="1519" w:type="dxa"/>
            <w:tcBorders>
              <w:left w:val="single" w:sz="4" w:space="0" w:color="auto"/>
              <w:bottom w:val="single" w:sz="4" w:space="0" w:color="auto"/>
            </w:tcBorders>
            <w:shd w:val="clear" w:color="auto" w:fill="auto"/>
            <w:noWrap/>
            <w:vAlign w:val="center"/>
          </w:tcPr>
          <w:p w:rsidR="001652B5" w:rsidRPr="00131B9D" w:rsidDel="006C65F6" w:rsidRDefault="001652B5" w:rsidP="00B22890">
            <w:pPr>
              <w:jc w:val="center"/>
              <w:rPr>
                <w:color w:val="000000"/>
              </w:rPr>
            </w:pPr>
            <w:r w:rsidRPr="00131B9D">
              <w:rPr>
                <w:color w:val="000000"/>
              </w:rPr>
              <w:t>-0.12%</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Del="006C65F6" w:rsidRDefault="001652B5" w:rsidP="00B22890">
            <w:pPr>
              <w:widowControl/>
              <w:spacing w:line="240" w:lineRule="exact"/>
              <w:jc w:val="center"/>
              <w:rPr>
                <w:rFonts w:eastAsia="標楷體"/>
                <w:kern w:val="0"/>
              </w:rPr>
            </w:pPr>
            <w:r w:rsidRPr="00131B9D">
              <w:rPr>
                <w:rFonts w:eastAsia="標楷體"/>
                <w:kern w:val="0"/>
              </w:rPr>
              <w:t>3</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tcPr>
          <w:p w:rsidR="001652B5" w:rsidRPr="00131B9D" w:rsidDel="006C65F6" w:rsidRDefault="001652B5" w:rsidP="00B22890">
            <w:pPr>
              <w:jc w:val="center"/>
              <w:rPr>
                <w:color w:val="000000"/>
              </w:rPr>
            </w:pPr>
            <w:r w:rsidRPr="00131B9D">
              <w:t>234,125</w:t>
            </w:r>
          </w:p>
        </w:tc>
        <w:tc>
          <w:tcPr>
            <w:tcW w:w="1519" w:type="dxa"/>
            <w:tcBorders>
              <w:left w:val="single" w:sz="4" w:space="0" w:color="auto"/>
              <w:bottom w:val="single" w:sz="4" w:space="0" w:color="auto"/>
            </w:tcBorders>
            <w:shd w:val="clear" w:color="auto" w:fill="auto"/>
            <w:noWrap/>
            <w:vAlign w:val="center"/>
          </w:tcPr>
          <w:p w:rsidR="001652B5" w:rsidRPr="00131B9D" w:rsidDel="006C65F6" w:rsidRDefault="001652B5" w:rsidP="00B22890">
            <w:pPr>
              <w:jc w:val="center"/>
              <w:rPr>
                <w:color w:val="000000"/>
              </w:rPr>
            </w:pPr>
            <w:r w:rsidRPr="00131B9D">
              <w:rPr>
                <w:color w:val="000000"/>
              </w:rPr>
              <w:t>9.02%</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Del="006C65F6" w:rsidRDefault="001652B5" w:rsidP="00B22890">
            <w:pPr>
              <w:widowControl/>
              <w:spacing w:line="240" w:lineRule="exact"/>
              <w:jc w:val="center"/>
              <w:rPr>
                <w:rFonts w:eastAsia="標楷體"/>
                <w:kern w:val="0"/>
              </w:rPr>
            </w:pPr>
            <w:r w:rsidRPr="00131B9D">
              <w:rPr>
                <w:rFonts w:eastAsia="標楷體"/>
                <w:kern w:val="0"/>
              </w:rPr>
              <w:t>4</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tcPr>
          <w:p w:rsidR="001652B5" w:rsidRPr="00131B9D" w:rsidDel="006C65F6" w:rsidRDefault="001652B5" w:rsidP="00B22890">
            <w:pPr>
              <w:jc w:val="center"/>
              <w:rPr>
                <w:color w:val="000000"/>
              </w:rPr>
            </w:pPr>
            <w:r w:rsidRPr="00131B9D">
              <w:t>174,775</w:t>
            </w:r>
          </w:p>
        </w:tc>
        <w:tc>
          <w:tcPr>
            <w:tcW w:w="1519" w:type="dxa"/>
            <w:tcBorders>
              <w:left w:val="single" w:sz="4" w:space="0" w:color="auto"/>
              <w:bottom w:val="single" w:sz="4" w:space="0" w:color="auto"/>
            </w:tcBorders>
            <w:shd w:val="clear" w:color="auto" w:fill="auto"/>
            <w:noWrap/>
            <w:vAlign w:val="center"/>
          </w:tcPr>
          <w:p w:rsidR="001652B5" w:rsidRPr="00131B9D" w:rsidDel="006C65F6" w:rsidRDefault="001652B5" w:rsidP="00B22890">
            <w:pPr>
              <w:jc w:val="center"/>
              <w:rPr>
                <w:color w:val="000000"/>
              </w:rPr>
            </w:pPr>
            <w:r w:rsidRPr="00131B9D">
              <w:rPr>
                <w:color w:val="000000"/>
              </w:rPr>
              <w:t>-25.35%</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5</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tcPr>
          <w:p w:rsidR="001652B5" w:rsidRPr="00131B9D" w:rsidRDefault="001652B5" w:rsidP="00B22890">
            <w:pPr>
              <w:jc w:val="center"/>
            </w:pPr>
            <w:r w:rsidRPr="00131B9D">
              <w:t>158,700</w:t>
            </w:r>
          </w:p>
        </w:tc>
        <w:tc>
          <w:tcPr>
            <w:tcW w:w="1519" w:type="dxa"/>
            <w:tcBorders>
              <w:left w:val="single" w:sz="4" w:space="0" w:color="auto"/>
              <w:bottom w:val="single" w:sz="4" w:space="0" w:color="auto"/>
            </w:tcBorders>
            <w:shd w:val="clear" w:color="auto" w:fill="auto"/>
            <w:noWrap/>
            <w:vAlign w:val="center"/>
          </w:tcPr>
          <w:p w:rsidR="001652B5" w:rsidRPr="00131B9D" w:rsidRDefault="001652B5" w:rsidP="00B22890">
            <w:pPr>
              <w:jc w:val="center"/>
              <w:rPr>
                <w:color w:val="000000"/>
              </w:rPr>
            </w:pPr>
            <w:r w:rsidRPr="00131B9D">
              <w:rPr>
                <w:color w:val="000000"/>
              </w:rPr>
              <w:t>-9.20%</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6</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tcPr>
          <w:p w:rsidR="001652B5" w:rsidRPr="00131B9D" w:rsidRDefault="001652B5" w:rsidP="00B22890">
            <w:pPr>
              <w:jc w:val="center"/>
            </w:pPr>
            <w:r w:rsidRPr="00131B9D">
              <w:t>175,025</w:t>
            </w:r>
          </w:p>
        </w:tc>
        <w:tc>
          <w:tcPr>
            <w:tcW w:w="1519" w:type="dxa"/>
            <w:tcBorders>
              <w:left w:val="single" w:sz="4" w:space="0" w:color="auto"/>
              <w:bottom w:val="single" w:sz="4" w:space="0" w:color="auto"/>
            </w:tcBorders>
            <w:shd w:val="clear" w:color="auto" w:fill="auto"/>
            <w:noWrap/>
            <w:vAlign w:val="center"/>
          </w:tcPr>
          <w:p w:rsidR="001652B5" w:rsidRPr="00131B9D" w:rsidRDefault="001652B5" w:rsidP="00B22890">
            <w:pPr>
              <w:jc w:val="center"/>
              <w:rPr>
                <w:color w:val="000000"/>
              </w:rPr>
            </w:pPr>
            <w:r w:rsidRPr="00131B9D">
              <w:rPr>
                <w:color w:val="000000"/>
              </w:rPr>
              <w:t>10.29%</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7</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tcPr>
          <w:p w:rsidR="001652B5" w:rsidRPr="00131B9D" w:rsidRDefault="001652B5" w:rsidP="00B22890">
            <w:pPr>
              <w:jc w:val="center"/>
            </w:pPr>
            <w:r w:rsidRPr="00131B9D">
              <w:t>218,575</w:t>
            </w:r>
          </w:p>
        </w:tc>
        <w:tc>
          <w:tcPr>
            <w:tcW w:w="1519" w:type="dxa"/>
            <w:tcBorders>
              <w:left w:val="single" w:sz="4" w:space="0" w:color="auto"/>
              <w:bottom w:val="single" w:sz="4" w:space="0" w:color="auto"/>
            </w:tcBorders>
            <w:shd w:val="clear" w:color="auto" w:fill="auto"/>
            <w:noWrap/>
            <w:vAlign w:val="center"/>
          </w:tcPr>
          <w:p w:rsidR="001652B5" w:rsidRPr="00131B9D" w:rsidRDefault="001652B5" w:rsidP="00B22890">
            <w:pPr>
              <w:jc w:val="center"/>
              <w:rPr>
                <w:color w:val="000000"/>
              </w:rPr>
            </w:pPr>
            <w:r w:rsidRPr="00131B9D">
              <w:rPr>
                <w:color w:val="000000"/>
              </w:rPr>
              <w:t>24.88%</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8</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tcPr>
          <w:p w:rsidR="001652B5" w:rsidRPr="00131B9D" w:rsidRDefault="001652B5" w:rsidP="00B22890">
            <w:pPr>
              <w:jc w:val="center"/>
            </w:pPr>
            <w:r w:rsidRPr="00131B9D">
              <w:t>187,400</w:t>
            </w:r>
          </w:p>
        </w:tc>
        <w:tc>
          <w:tcPr>
            <w:tcW w:w="1519" w:type="dxa"/>
            <w:tcBorders>
              <w:left w:val="single" w:sz="4" w:space="0" w:color="auto"/>
              <w:bottom w:val="single" w:sz="4" w:space="0" w:color="auto"/>
            </w:tcBorders>
            <w:shd w:val="clear" w:color="auto" w:fill="auto"/>
            <w:noWrap/>
            <w:vAlign w:val="center"/>
          </w:tcPr>
          <w:p w:rsidR="001652B5" w:rsidRPr="00131B9D" w:rsidRDefault="001652B5" w:rsidP="00B22890">
            <w:pPr>
              <w:jc w:val="center"/>
              <w:rPr>
                <w:color w:val="000000"/>
              </w:rPr>
            </w:pPr>
            <w:r w:rsidRPr="00131B9D">
              <w:rPr>
                <w:color w:val="000000"/>
              </w:rPr>
              <w:t>-14.26%</w:t>
            </w:r>
          </w:p>
        </w:tc>
      </w:tr>
      <w:tr w:rsidR="001652B5"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9</w:t>
            </w:r>
            <w:r w:rsidRPr="00131B9D">
              <w:rPr>
                <w:rFonts w:eastAsia="標楷體"/>
                <w:kern w:val="0"/>
              </w:rPr>
              <w:t>月</w:t>
            </w:r>
          </w:p>
        </w:tc>
        <w:tc>
          <w:tcPr>
            <w:tcW w:w="1656" w:type="dxa"/>
            <w:tcBorders>
              <w:left w:val="single" w:sz="4" w:space="0" w:color="auto"/>
              <w:bottom w:val="single" w:sz="4" w:space="0" w:color="auto"/>
              <w:right w:val="single" w:sz="4" w:space="0" w:color="auto"/>
            </w:tcBorders>
            <w:shd w:val="clear" w:color="auto" w:fill="auto"/>
            <w:noWrap/>
          </w:tcPr>
          <w:p w:rsidR="001652B5" w:rsidRPr="00131B9D" w:rsidRDefault="001652B5" w:rsidP="00B22890">
            <w:pPr>
              <w:jc w:val="center"/>
            </w:pPr>
            <w:r w:rsidRPr="00131B9D">
              <w:t>163,350</w:t>
            </w:r>
          </w:p>
        </w:tc>
        <w:tc>
          <w:tcPr>
            <w:tcW w:w="1519" w:type="dxa"/>
            <w:tcBorders>
              <w:left w:val="single" w:sz="4" w:space="0" w:color="auto"/>
              <w:bottom w:val="single" w:sz="4" w:space="0" w:color="auto"/>
            </w:tcBorders>
            <w:shd w:val="clear" w:color="auto" w:fill="auto"/>
            <w:noWrap/>
            <w:vAlign w:val="center"/>
          </w:tcPr>
          <w:p w:rsidR="001652B5" w:rsidRPr="00131B9D" w:rsidRDefault="001652B5" w:rsidP="00B22890">
            <w:pPr>
              <w:jc w:val="center"/>
              <w:rPr>
                <w:color w:val="000000"/>
              </w:rPr>
            </w:pPr>
            <w:r w:rsidRPr="00131B9D">
              <w:rPr>
                <w:color w:val="000000"/>
              </w:rPr>
              <w:t>-12.83%</w:t>
            </w:r>
          </w:p>
        </w:tc>
      </w:tr>
      <w:tr w:rsidR="001652B5" w:rsidRPr="00131B9D" w:rsidTr="00B22890">
        <w:trPr>
          <w:trHeight w:val="330"/>
          <w:jc w:val="center"/>
        </w:trPr>
        <w:tc>
          <w:tcPr>
            <w:tcW w:w="2310" w:type="dxa"/>
            <w:tcBorders>
              <w:top w:val="single" w:sz="4" w:space="0" w:color="auto"/>
              <w:bottom w:val="double" w:sz="4" w:space="0" w:color="auto"/>
              <w:right w:val="single" w:sz="4" w:space="0" w:color="auto"/>
            </w:tcBorders>
            <w:shd w:val="clear" w:color="auto" w:fill="auto"/>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10</w:t>
            </w:r>
            <w:r w:rsidRPr="00131B9D">
              <w:rPr>
                <w:rFonts w:eastAsia="標楷體"/>
                <w:kern w:val="0"/>
              </w:rPr>
              <w:t>月</w:t>
            </w:r>
          </w:p>
        </w:tc>
        <w:tc>
          <w:tcPr>
            <w:tcW w:w="1656" w:type="dxa"/>
            <w:tcBorders>
              <w:top w:val="single" w:sz="4" w:space="0" w:color="auto"/>
              <w:left w:val="single" w:sz="4" w:space="0" w:color="auto"/>
              <w:bottom w:val="double" w:sz="4" w:space="0" w:color="auto"/>
              <w:right w:val="single" w:sz="4" w:space="0" w:color="auto"/>
            </w:tcBorders>
            <w:shd w:val="clear" w:color="auto" w:fill="auto"/>
            <w:noWrap/>
          </w:tcPr>
          <w:p w:rsidR="001652B5" w:rsidRPr="00131B9D" w:rsidRDefault="001652B5" w:rsidP="00B22890">
            <w:pPr>
              <w:jc w:val="center"/>
            </w:pPr>
            <w:r w:rsidRPr="00131B9D">
              <w:t>147,550</w:t>
            </w:r>
          </w:p>
        </w:tc>
        <w:tc>
          <w:tcPr>
            <w:tcW w:w="1519" w:type="dxa"/>
            <w:tcBorders>
              <w:top w:val="single" w:sz="4" w:space="0" w:color="auto"/>
              <w:left w:val="single" w:sz="4" w:space="0" w:color="auto"/>
              <w:bottom w:val="double" w:sz="4" w:space="0" w:color="auto"/>
            </w:tcBorders>
            <w:shd w:val="clear" w:color="auto" w:fill="auto"/>
            <w:noWrap/>
            <w:vAlign w:val="center"/>
          </w:tcPr>
          <w:p w:rsidR="001652B5" w:rsidRPr="00131B9D" w:rsidRDefault="001652B5" w:rsidP="00B22890">
            <w:pPr>
              <w:jc w:val="center"/>
              <w:rPr>
                <w:color w:val="000000"/>
              </w:rPr>
            </w:pPr>
            <w:r w:rsidRPr="00131B9D">
              <w:rPr>
                <w:color w:val="000000"/>
              </w:rPr>
              <w:t>-9.67%</w:t>
            </w:r>
          </w:p>
        </w:tc>
      </w:tr>
      <w:tr w:rsidR="001652B5" w:rsidRPr="00131B9D" w:rsidTr="00B22890">
        <w:trPr>
          <w:trHeight w:val="554"/>
          <w:jc w:val="center"/>
        </w:trPr>
        <w:tc>
          <w:tcPr>
            <w:tcW w:w="2310" w:type="dxa"/>
            <w:tcBorders>
              <w:top w:val="double" w:sz="4" w:space="0" w:color="auto"/>
              <w:left w:val="single" w:sz="4" w:space="0" w:color="auto"/>
              <w:bottom w:val="single" w:sz="4" w:space="0" w:color="auto"/>
              <w:right w:val="single" w:sz="4" w:space="0" w:color="auto"/>
            </w:tcBorders>
            <w:noWrap/>
            <w:vAlign w:val="center"/>
          </w:tcPr>
          <w:p w:rsidR="001652B5" w:rsidRPr="00131B9D" w:rsidRDefault="001652B5" w:rsidP="00B22890">
            <w:pPr>
              <w:widowControl/>
              <w:spacing w:line="240" w:lineRule="exact"/>
              <w:jc w:val="center"/>
              <w:rPr>
                <w:rFonts w:eastAsia="標楷體"/>
                <w:b/>
                <w:kern w:val="0"/>
              </w:rPr>
            </w:pPr>
            <w:r w:rsidRPr="00131B9D">
              <w:rPr>
                <w:rFonts w:eastAsia="標楷體"/>
                <w:b/>
                <w:kern w:val="0"/>
              </w:rPr>
              <w:t>世界金屬統計（</w:t>
            </w:r>
            <w:r w:rsidRPr="00131B9D">
              <w:rPr>
                <w:rFonts w:eastAsia="標楷體"/>
                <w:b/>
                <w:kern w:val="0"/>
              </w:rPr>
              <w:t>WBMS</w:t>
            </w:r>
            <w:r w:rsidRPr="00131B9D">
              <w:rPr>
                <w:rFonts w:eastAsia="標楷體"/>
                <w:b/>
                <w:kern w:val="0"/>
              </w:rPr>
              <w:t>）</w:t>
            </w:r>
          </w:p>
        </w:tc>
        <w:tc>
          <w:tcPr>
            <w:tcW w:w="3175" w:type="dxa"/>
            <w:gridSpan w:val="2"/>
            <w:tcBorders>
              <w:top w:val="double" w:sz="4" w:space="0" w:color="auto"/>
              <w:left w:val="single" w:sz="4" w:space="0" w:color="auto"/>
              <w:bottom w:val="single" w:sz="4" w:space="0" w:color="auto"/>
              <w:right w:val="single" w:sz="4" w:space="0" w:color="auto"/>
            </w:tcBorders>
            <w:noWrap/>
            <w:vAlign w:val="center"/>
          </w:tcPr>
          <w:p w:rsidR="001652B5" w:rsidRPr="00131B9D" w:rsidRDefault="001652B5" w:rsidP="00B22890">
            <w:pPr>
              <w:widowControl/>
              <w:spacing w:line="240" w:lineRule="exact"/>
              <w:jc w:val="center"/>
              <w:rPr>
                <w:rFonts w:eastAsia="標楷體"/>
                <w:b/>
                <w:kern w:val="0"/>
              </w:rPr>
            </w:pPr>
            <w:r w:rsidRPr="00131B9D">
              <w:rPr>
                <w:rFonts w:eastAsia="標楷體"/>
                <w:b/>
                <w:kern w:val="0"/>
              </w:rPr>
              <w:t>過剩量</w:t>
            </w:r>
            <w:r w:rsidRPr="00131B9D">
              <w:rPr>
                <w:rFonts w:eastAsia="標楷體"/>
                <w:b/>
                <w:kern w:val="0"/>
              </w:rPr>
              <w:t>(</w:t>
            </w:r>
            <w:r w:rsidRPr="00131B9D">
              <w:rPr>
                <w:rFonts w:eastAsia="標楷體"/>
                <w:b/>
                <w:kern w:val="0"/>
              </w:rPr>
              <w:t>公噸</w:t>
            </w:r>
            <w:r w:rsidRPr="00131B9D">
              <w:rPr>
                <w:rFonts w:eastAsia="標楷體"/>
                <w:b/>
                <w:kern w:val="0"/>
              </w:rPr>
              <w:t>)</w:t>
            </w:r>
          </w:p>
        </w:tc>
      </w:tr>
      <w:tr w:rsidR="001652B5" w:rsidRPr="00131B9D" w:rsidTr="00B22890">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2013</w:t>
            </w:r>
            <w:r w:rsidRPr="00131B9D">
              <w:rPr>
                <w:rFonts w:eastAsia="標楷體"/>
                <w:kern w:val="0"/>
              </w:rPr>
              <w:t>年</w:t>
            </w:r>
            <w:r w:rsidRPr="00131B9D">
              <w:rPr>
                <w:rFonts w:eastAsia="標楷體"/>
                <w:kern w:val="0"/>
              </w:rPr>
              <w:t>1-12</w:t>
            </w:r>
            <w:r w:rsidRPr="00131B9D">
              <w:rPr>
                <w:rFonts w:eastAsia="標楷體"/>
                <w:kern w:val="0"/>
              </w:rPr>
              <w:t>月</w:t>
            </w:r>
          </w:p>
        </w:tc>
        <w:tc>
          <w:tcPr>
            <w:tcW w:w="3175" w:type="dxa"/>
            <w:gridSpan w:val="2"/>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jc w:val="center"/>
              <w:rPr>
                <w:color w:val="000000"/>
                <w:sz w:val="23"/>
                <w:szCs w:val="23"/>
              </w:rPr>
            </w:pPr>
            <w:r w:rsidRPr="00131B9D">
              <w:t>-86,000</w:t>
            </w:r>
          </w:p>
        </w:tc>
      </w:tr>
      <w:tr w:rsidR="001652B5" w:rsidRPr="00131B9D" w:rsidTr="00B22890">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2014</w:t>
            </w:r>
            <w:r w:rsidRPr="00131B9D">
              <w:rPr>
                <w:rFonts w:eastAsia="標楷體"/>
                <w:kern w:val="0"/>
              </w:rPr>
              <w:t>年</w:t>
            </w:r>
            <w:r w:rsidRPr="00131B9D">
              <w:rPr>
                <w:rFonts w:eastAsia="標楷體"/>
                <w:kern w:val="0"/>
              </w:rPr>
              <w:t>1-12</w:t>
            </w:r>
            <w:r w:rsidRPr="00131B9D">
              <w:rPr>
                <w:rFonts w:eastAsia="標楷體"/>
                <w:kern w:val="0"/>
              </w:rPr>
              <w:t>月</w:t>
            </w:r>
          </w:p>
        </w:tc>
        <w:tc>
          <w:tcPr>
            <w:tcW w:w="3175" w:type="dxa"/>
            <w:gridSpan w:val="2"/>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jc w:val="center"/>
              <w:rPr>
                <w:color w:val="000000"/>
              </w:rPr>
            </w:pPr>
            <w:r w:rsidRPr="00131B9D">
              <w:t>30,500</w:t>
            </w:r>
          </w:p>
        </w:tc>
      </w:tr>
      <w:tr w:rsidR="001652B5" w:rsidRPr="00131B9D" w:rsidTr="00B22890">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widowControl/>
              <w:spacing w:line="240" w:lineRule="exact"/>
              <w:jc w:val="center"/>
              <w:rPr>
                <w:rFonts w:eastAsia="標楷體"/>
                <w:kern w:val="0"/>
              </w:rPr>
            </w:pPr>
            <w:r w:rsidRPr="00131B9D">
              <w:rPr>
                <w:rFonts w:eastAsia="標楷體"/>
                <w:kern w:val="0"/>
              </w:rPr>
              <w:t>2015</w:t>
            </w:r>
            <w:r w:rsidRPr="00131B9D">
              <w:rPr>
                <w:rFonts w:eastAsia="標楷體"/>
                <w:kern w:val="0"/>
              </w:rPr>
              <w:t>年</w:t>
            </w:r>
            <w:r w:rsidRPr="00131B9D">
              <w:rPr>
                <w:rFonts w:eastAsia="標楷體"/>
                <w:kern w:val="0"/>
              </w:rPr>
              <w:t>1-8</w:t>
            </w:r>
            <w:r w:rsidRPr="00131B9D">
              <w:rPr>
                <w:rFonts w:eastAsia="標楷體"/>
                <w:kern w:val="0"/>
              </w:rPr>
              <w:t>月</w:t>
            </w:r>
          </w:p>
        </w:tc>
        <w:tc>
          <w:tcPr>
            <w:tcW w:w="3175" w:type="dxa"/>
            <w:gridSpan w:val="2"/>
            <w:tcBorders>
              <w:top w:val="single" w:sz="4" w:space="0" w:color="auto"/>
              <w:left w:val="single" w:sz="4" w:space="0" w:color="auto"/>
              <w:bottom w:val="single" w:sz="4" w:space="0" w:color="auto"/>
              <w:right w:val="single" w:sz="4" w:space="0" w:color="auto"/>
            </w:tcBorders>
            <w:noWrap/>
            <w:vAlign w:val="center"/>
          </w:tcPr>
          <w:p w:rsidR="001652B5" w:rsidRPr="00131B9D" w:rsidRDefault="001652B5" w:rsidP="00B22890">
            <w:pPr>
              <w:jc w:val="center"/>
            </w:pPr>
            <w:r w:rsidRPr="00131B9D">
              <w:t>52,000</w:t>
            </w:r>
          </w:p>
        </w:tc>
      </w:tr>
    </w:tbl>
    <w:p w:rsidR="001652B5" w:rsidRPr="00131B9D" w:rsidRDefault="001652B5" w:rsidP="001652B5"/>
    <w:p w:rsidR="00F279F7" w:rsidRPr="00131B9D" w:rsidRDefault="00F279F7" w:rsidP="00F279F7">
      <w:pPr>
        <w:pStyle w:val="-"/>
        <w:spacing w:before="72" w:after="72"/>
        <w:ind w:firstLineChars="0" w:firstLine="0"/>
        <w:rPr>
          <w:b/>
        </w:rPr>
      </w:pPr>
      <w:r w:rsidRPr="00131B9D">
        <w:rPr>
          <w:b/>
        </w:rPr>
        <w:t>3.</w:t>
      </w:r>
      <w:r w:rsidRPr="00131B9D">
        <w:rPr>
          <w:b/>
        </w:rPr>
        <w:t xml:space="preserve">　</w:t>
      </w:r>
      <w:r w:rsidRPr="00131B9D">
        <w:rPr>
          <w:b/>
        </w:rPr>
        <w:t>2016</w:t>
      </w:r>
      <w:r w:rsidRPr="00131B9D">
        <w:rPr>
          <w:b/>
        </w:rPr>
        <w:t>年展望</w:t>
      </w:r>
    </w:p>
    <w:p w:rsidR="00F279F7" w:rsidRPr="00131B9D" w:rsidRDefault="00F279F7" w:rsidP="00F279F7">
      <w:pPr>
        <w:pStyle w:val="-"/>
        <w:spacing w:before="72" w:after="72"/>
        <w:ind w:leftChars="50" w:left="120" w:firstLine="560"/>
        <w:rPr>
          <w:color w:val="000000"/>
        </w:rPr>
      </w:pPr>
      <w:bookmarkStart w:id="170" w:name="_Toc384853754"/>
      <w:bookmarkStart w:id="171" w:name="_Toc384887727"/>
      <w:r w:rsidRPr="00131B9D">
        <w:rPr>
          <w:color w:val="000000"/>
        </w:rPr>
        <w:t>路透調查顯示，全球今年鉛市場供給過剩規模可能超出預期，因消費量最大的國家中國大陸需求減少，中國大陸經濟增長放緩意味著電動自行車和汽車對鉛的需求降低。經濟放緩及擔憂中國大陸的經濟，打壓了今年工業金屬的價格。鉛是鋅生產過程中的副產品，雖然愛爾蘭利希恩鋅礦（</w:t>
      </w:r>
      <w:r w:rsidRPr="00131B9D">
        <w:rPr>
          <w:color w:val="000000"/>
        </w:rPr>
        <w:t>Lisheen</w:t>
      </w:r>
      <w:r w:rsidRPr="00131B9D">
        <w:rPr>
          <w:color w:val="000000"/>
        </w:rPr>
        <w:t>）及澳洲世紀鋅礦（</w:t>
      </w:r>
      <w:r w:rsidRPr="00131B9D">
        <w:rPr>
          <w:color w:val="000000"/>
        </w:rPr>
        <w:t>Century</w:t>
      </w:r>
      <w:r w:rsidRPr="00131B9D">
        <w:rPr>
          <w:color w:val="000000"/>
        </w:rPr>
        <w:t>）等大型鋅礦場在今年底至明年會完全關閉，且</w:t>
      </w:r>
      <w:r w:rsidRPr="00131B9D">
        <w:rPr>
          <w:color w:val="000000"/>
        </w:rPr>
        <w:t>10</w:t>
      </w:r>
      <w:r w:rsidRPr="00131B9D">
        <w:rPr>
          <w:color w:val="000000"/>
        </w:rPr>
        <w:t>月初嘉能可宣布每年削減鉛產量</w:t>
      </w:r>
      <w:r w:rsidRPr="00131B9D">
        <w:rPr>
          <w:color w:val="000000"/>
        </w:rPr>
        <w:t>10</w:t>
      </w:r>
      <w:r w:rsidRPr="00131B9D">
        <w:rPr>
          <w:color w:val="000000"/>
        </w:rPr>
        <w:t>萬噸，直至價格持續走高，但產量減少的影響不會這麼快地顯現，需要一段調整期。整體看來，鉛市</w:t>
      </w:r>
      <w:bookmarkStart w:id="172" w:name="OLE_LINK33"/>
      <w:bookmarkStart w:id="173" w:name="OLE_LINK34"/>
      <w:r w:rsidRPr="00131B9D">
        <w:rPr>
          <w:color w:val="000000"/>
        </w:rPr>
        <w:t>產量</w:t>
      </w:r>
      <w:bookmarkEnd w:id="172"/>
      <w:bookmarkEnd w:id="173"/>
      <w:r w:rsidRPr="00131B9D">
        <w:rPr>
          <w:color w:val="000000"/>
        </w:rPr>
        <w:t>依舊充足且需求放緩的情況之下，預期</w:t>
      </w:r>
      <w:r w:rsidRPr="00131B9D">
        <w:rPr>
          <w:color w:val="000000"/>
        </w:rPr>
        <w:t>2016</w:t>
      </w:r>
      <w:r w:rsidRPr="00131B9D">
        <w:rPr>
          <w:color w:val="000000"/>
        </w:rPr>
        <w:t>年鉛價下跌的可能性較高，高盛下調</w:t>
      </w:r>
      <w:r w:rsidRPr="00131B9D">
        <w:rPr>
          <w:color w:val="000000"/>
        </w:rPr>
        <w:t>2016</w:t>
      </w:r>
      <w:r w:rsidRPr="00131B9D">
        <w:rPr>
          <w:color w:val="000000"/>
        </w:rPr>
        <w:t>年鉛金屬價格至</w:t>
      </w:r>
      <w:r w:rsidRPr="00131B9D">
        <w:rPr>
          <w:color w:val="000000"/>
        </w:rPr>
        <w:t>1,650</w:t>
      </w:r>
      <w:r w:rsidRPr="00131B9D">
        <w:rPr>
          <w:color w:val="000000"/>
        </w:rPr>
        <w:t>美元</w:t>
      </w:r>
      <w:r w:rsidRPr="00131B9D">
        <w:rPr>
          <w:color w:val="000000"/>
        </w:rPr>
        <w:t>/</w:t>
      </w:r>
      <w:r w:rsidRPr="00131B9D">
        <w:rPr>
          <w:color w:val="000000"/>
        </w:rPr>
        <w:t>噸。</w:t>
      </w:r>
    </w:p>
    <w:p w:rsidR="001652B5" w:rsidRPr="00131B9D" w:rsidRDefault="001652B5" w:rsidP="003B29E8">
      <w:pPr>
        <w:sectPr w:rsidR="001652B5"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3"/>
        <w:rPr>
          <w:rFonts w:ascii="Times New Roman" w:hAnsi="Times New Roman"/>
        </w:rPr>
      </w:pPr>
      <w:bookmarkStart w:id="174" w:name="_Toc322706944"/>
      <w:bookmarkEnd w:id="170"/>
      <w:bookmarkEnd w:id="171"/>
      <w:r w:rsidRPr="00131B9D">
        <w:rPr>
          <w:rFonts w:ascii="Times New Roman" w:hAnsi="Times New Roman"/>
        </w:rPr>
        <w:lastRenderedPageBreak/>
        <w:t>（六）錫</w:t>
      </w:r>
      <w:bookmarkEnd w:id="174"/>
    </w:p>
    <w:p w:rsidR="00F279F7" w:rsidRPr="00131B9D" w:rsidRDefault="00F279F7" w:rsidP="00F279F7">
      <w:pPr>
        <w:pStyle w:val="-"/>
        <w:spacing w:before="72" w:after="72"/>
        <w:ind w:firstLineChars="0" w:firstLine="0"/>
        <w:rPr>
          <w:b/>
        </w:rPr>
      </w:pPr>
      <w:r w:rsidRPr="00131B9D">
        <w:rPr>
          <w:b/>
        </w:rPr>
        <w:t>1.</w:t>
      </w:r>
      <w:r w:rsidRPr="00131B9D">
        <w:rPr>
          <w:b/>
        </w:rPr>
        <w:t xml:space="preserve">　價格走勢</w:t>
      </w:r>
    </w:p>
    <w:p w:rsidR="00F279F7" w:rsidRPr="00131B9D" w:rsidRDefault="00127C79" w:rsidP="00F279F7">
      <w:pPr>
        <w:pStyle w:val="-"/>
        <w:spacing w:before="72" w:after="72"/>
        <w:ind w:leftChars="50" w:left="120" w:firstLineChars="150" w:firstLine="420"/>
      </w:pPr>
      <w:r w:rsidRPr="00131B9D">
        <w:t>2015</w:t>
      </w:r>
      <w:r w:rsidRPr="00131B9D">
        <w:t>年上半年錫價整體呈現下跌走勢，下半年錫價則在區間震盪。第</w:t>
      </w:r>
      <w:r w:rsidRPr="00131B9D">
        <w:t>1</w:t>
      </w:r>
      <w:r w:rsidRPr="00131B9D">
        <w:t>季錫價表現差，倫敦交易所（</w:t>
      </w:r>
      <w:r w:rsidRPr="00131B9D">
        <w:t>LME</w:t>
      </w:r>
      <w:r w:rsidRPr="00131B9D">
        <w:t>）錫價在</w:t>
      </w:r>
      <w:r w:rsidRPr="00131B9D">
        <w:t>1</w:t>
      </w:r>
      <w:r w:rsidRPr="00131B9D">
        <w:t>月均價為</w:t>
      </w:r>
      <w:r w:rsidRPr="00131B9D">
        <w:t>19,451</w:t>
      </w:r>
      <w:r w:rsidRPr="00131B9D">
        <w:t>美元</w:t>
      </w:r>
      <w:r w:rsidRPr="00131B9D">
        <w:t>/</w:t>
      </w:r>
      <w:r w:rsidRPr="00131B9D">
        <w:t>噸，</w:t>
      </w:r>
      <w:r w:rsidRPr="00131B9D">
        <w:t>2</w:t>
      </w:r>
      <w:r w:rsidRPr="00131B9D">
        <w:t>月均價下跌至</w:t>
      </w:r>
      <w:r w:rsidRPr="00131B9D">
        <w:t>18,241</w:t>
      </w:r>
      <w:r w:rsidRPr="00131B9D">
        <w:t>美元</w:t>
      </w:r>
      <w:r w:rsidRPr="00131B9D">
        <w:t>/</w:t>
      </w:r>
      <w:r w:rsidRPr="00131B9D">
        <w:t>噸，</w:t>
      </w:r>
      <w:r w:rsidRPr="00131B9D">
        <w:t>3</w:t>
      </w:r>
      <w:r w:rsidRPr="00131B9D">
        <w:t>月均價則下跌為</w:t>
      </w:r>
      <w:r w:rsidRPr="00131B9D">
        <w:t>17,440</w:t>
      </w:r>
      <w:r w:rsidRPr="00131B9D">
        <w:t>美元</w:t>
      </w:r>
      <w:r w:rsidRPr="00131B9D">
        <w:t>/</w:t>
      </w:r>
      <w:r w:rsidRPr="00131B9D">
        <w:t>噸；第</w:t>
      </w:r>
      <w:r w:rsidRPr="00131B9D">
        <w:t>1</w:t>
      </w:r>
      <w:r w:rsidRPr="00131B9D">
        <w:t>季均價</w:t>
      </w:r>
      <w:r w:rsidRPr="00131B9D">
        <w:t>18,382</w:t>
      </w:r>
      <w:r w:rsidRPr="00131B9D">
        <w:t>美元</w:t>
      </w:r>
      <w:r w:rsidRPr="00131B9D">
        <w:t>/</w:t>
      </w:r>
      <w:r w:rsidRPr="00131B9D">
        <w:t>噸，則較前一季下跌</w:t>
      </w:r>
      <w:r w:rsidRPr="00131B9D">
        <w:t>7.6%</w:t>
      </w:r>
      <w:r w:rsidRPr="00131B9D">
        <w:t>。第</w:t>
      </w:r>
      <w:r w:rsidRPr="00131B9D">
        <w:t>2</w:t>
      </w:r>
      <w:r w:rsidRPr="00131B9D">
        <w:t>季錫價亦持續走跌，錫價在</w:t>
      </w:r>
      <w:r w:rsidRPr="00131B9D">
        <w:t>4</w:t>
      </w:r>
      <w:r w:rsidRPr="00131B9D">
        <w:t>月均價為</w:t>
      </w:r>
      <w:r w:rsidRPr="00131B9D">
        <w:t>15,983</w:t>
      </w:r>
      <w:r w:rsidRPr="00131B9D">
        <w:t>美元</w:t>
      </w:r>
      <w:r w:rsidRPr="00131B9D">
        <w:t>/</w:t>
      </w:r>
      <w:r w:rsidRPr="00131B9D">
        <w:t>公噸，</w:t>
      </w:r>
      <w:r w:rsidRPr="00131B9D">
        <w:t>5</w:t>
      </w:r>
      <w:r w:rsidRPr="00131B9D">
        <w:t>月均價下跌至</w:t>
      </w:r>
      <w:r w:rsidRPr="00131B9D">
        <w:t>15,799</w:t>
      </w:r>
      <w:r w:rsidRPr="00131B9D">
        <w:t>美元</w:t>
      </w:r>
      <w:r w:rsidRPr="00131B9D">
        <w:t>/</w:t>
      </w:r>
      <w:r w:rsidRPr="00131B9D">
        <w:t>公噸，</w:t>
      </w:r>
      <w:r w:rsidRPr="00131B9D">
        <w:t>6</w:t>
      </w:r>
      <w:r w:rsidRPr="00131B9D">
        <w:t>月均價則下跌為</w:t>
      </w:r>
      <w:r w:rsidRPr="00131B9D">
        <w:t>15,065</w:t>
      </w:r>
      <w:r w:rsidRPr="00131B9D">
        <w:t>美元</w:t>
      </w:r>
      <w:r w:rsidRPr="00131B9D">
        <w:t>/</w:t>
      </w:r>
      <w:r w:rsidRPr="00131B9D">
        <w:t>公噸；第</w:t>
      </w:r>
      <w:r w:rsidRPr="00131B9D">
        <w:t>2</w:t>
      </w:r>
      <w:r w:rsidRPr="00131B9D">
        <w:t>季均價</w:t>
      </w:r>
      <w:r w:rsidRPr="00131B9D">
        <w:t>15,617</w:t>
      </w:r>
      <w:r w:rsidRPr="00131B9D">
        <w:t>美元</w:t>
      </w:r>
      <w:r w:rsidRPr="00131B9D">
        <w:t>/</w:t>
      </w:r>
      <w:r w:rsidRPr="00131B9D">
        <w:t>公噸，則較第</w:t>
      </w:r>
      <w:r w:rsidRPr="00131B9D">
        <w:t>1</w:t>
      </w:r>
      <w:r w:rsidRPr="00131B9D">
        <w:t>季下跌</w:t>
      </w:r>
      <w:r w:rsidRPr="00131B9D">
        <w:t>15%</w:t>
      </w:r>
      <w:r w:rsidRPr="00131B9D">
        <w:t>；第</w:t>
      </w:r>
      <w:r w:rsidRPr="00131B9D">
        <w:t>3</w:t>
      </w:r>
      <w:r w:rsidRPr="00131B9D">
        <w:t>季初錫價大幅反彈，隨後維持在區間震盪。錫價在</w:t>
      </w:r>
      <w:r w:rsidRPr="00131B9D">
        <w:t>7</w:t>
      </w:r>
      <w:r w:rsidRPr="00131B9D">
        <w:t>月均價為</w:t>
      </w:r>
      <w:r w:rsidRPr="00131B9D">
        <w:t>15,048</w:t>
      </w:r>
      <w:r w:rsidRPr="00131B9D">
        <w:t>美元</w:t>
      </w:r>
      <w:r w:rsidRPr="00131B9D">
        <w:t>/</w:t>
      </w:r>
      <w:r w:rsidRPr="00131B9D">
        <w:t>公噸，</w:t>
      </w:r>
      <w:r w:rsidRPr="00131B9D">
        <w:t>8</w:t>
      </w:r>
      <w:r w:rsidRPr="00131B9D">
        <w:t>月均價上漲至</w:t>
      </w:r>
      <w:r w:rsidRPr="00131B9D">
        <w:t>15,192</w:t>
      </w:r>
      <w:r w:rsidRPr="00131B9D">
        <w:t>美元</w:t>
      </w:r>
      <w:r w:rsidRPr="00131B9D">
        <w:t>/</w:t>
      </w:r>
      <w:r w:rsidRPr="00131B9D">
        <w:t>公噸，</w:t>
      </w:r>
      <w:r w:rsidRPr="00131B9D">
        <w:t>9</w:t>
      </w:r>
      <w:r w:rsidRPr="00131B9D">
        <w:t>月均價再漲為</w:t>
      </w:r>
      <w:r w:rsidRPr="00131B9D">
        <w:t>15,436</w:t>
      </w:r>
      <w:r w:rsidRPr="00131B9D">
        <w:t>美元</w:t>
      </w:r>
      <w:r w:rsidRPr="00131B9D">
        <w:t>/</w:t>
      </w:r>
      <w:r w:rsidRPr="00131B9D">
        <w:t>公噸，但第</w:t>
      </w:r>
      <w:r w:rsidRPr="00131B9D">
        <w:t>3</w:t>
      </w:r>
      <w:r w:rsidRPr="00131B9D">
        <w:t>季均價</w:t>
      </w:r>
      <w:r w:rsidRPr="00131B9D">
        <w:t>15,223</w:t>
      </w:r>
      <w:r w:rsidRPr="00131B9D">
        <w:t>美元</w:t>
      </w:r>
      <w:r w:rsidRPr="00131B9D">
        <w:t>/</w:t>
      </w:r>
      <w:r w:rsidRPr="00131B9D">
        <w:t>公噸，仍較第</w:t>
      </w:r>
      <w:r w:rsidRPr="00131B9D">
        <w:t>2</w:t>
      </w:r>
      <w:r w:rsidRPr="00131B9D">
        <w:t>季下跌</w:t>
      </w:r>
      <w:r w:rsidRPr="00131B9D">
        <w:t>2.52%</w:t>
      </w:r>
      <w:r w:rsidRPr="00131B9D">
        <w:t>。錫</w:t>
      </w:r>
      <w:r w:rsidRPr="00131B9D">
        <w:t>10</w:t>
      </w:r>
      <w:r w:rsidRPr="00131B9D">
        <w:t>月份均價為</w:t>
      </w:r>
      <w:r w:rsidRPr="00131B9D">
        <w:t>15,808</w:t>
      </w:r>
      <w:r w:rsidRPr="00131B9D">
        <w:t>美元</w:t>
      </w:r>
      <w:r w:rsidRPr="00131B9D">
        <w:t>/</w:t>
      </w:r>
      <w:r w:rsidRPr="00131B9D">
        <w:t>公噸，</w:t>
      </w:r>
      <w:r w:rsidRPr="00131B9D">
        <w:t>11</w:t>
      </w:r>
      <w:r w:rsidRPr="00131B9D">
        <w:t>月則再走軟（如圖</w:t>
      </w:r>
      <w:r w:rsidRPr="00131B9D">
        <w:t>3-12</w:t>
      </w:r>
      <w:r w:rsidRPr="00131B9D">
        <w:t>）。</w:t>
      </w:r>
    </w:p>
    <w:p w:rsidR="00F279F7" w:rsidRPr="00131B9D" w:rsidRDefault="00F279F7" w:rsidP="001652B5"/>
    <w:p w:rsidR="00F279F7" w:rsidRPr="00131B9D" w:rsidRDefault="00F279F7" w:rsidP="00F279F7">
      <w:pPr>
        <w:spacing w:beforeLines="50" w:before="180"/>
        <w:jc w:val="center"/>
        <w:rPr>
          <w:rFonts w:eastAsia="標楷體"/>
          <w:kern w:val="0"/>
        </w:rPr>
      </w:pPr>
      <w:r w:rsidRPr="00131B9D">
        <w:rPr>
          <w:noProof/>
        </w:rPr>
        <w:drawing>
          <wp:inline distT="0" distB="0" distL="0" distR="0" wp14:anchorId="049805D1" wp14:editId="5723E3E3">
            <wp:extent cx="5276850" cy="3533775"/>
            <wp:effectExtent l="0" t="0" r="19050" b="9525"/>
            <wp:docPr id="68" name="圖表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F279F7" w:rsidRPr="00131B9D" w:rsidRDefault="00F279F7" w:rsidP="00F279F7">
      <w:pPr>
        <w:spacing w:line="240" w:lineRule="exact"/>
        <w:jc w:val="both"/>
        <w:rPr>
          <w:rFonts w:eastAsia="標楷體"/>
          <w:sz w:val="20"/>
          <w:szCs w:val="20"/>
        </w:rPr>
      </w:pPr>
      <w:r w:rsidRPr="00131B9D">
        <w:rPr>
          <w:rFonts w:eastAsia="標楷體"/>
          <w:kern w:val="0"/>
        </w:rPr>
        <w:t xml:space="preserve">  </w:t>
      </w: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175" w:name="_Toc322706945"/>
      <w:bookmarkStart w:id="176" w:name="_Toc373423059"/>
      <w:bookmarkStart w:id="177" w:name="_Toc373682442"/>
      <w:bookmarkStart w:id="178" w:name="_Toc398882646"/>
      <w:bookmarkStart w:id="179" w:name="_Toc438223346"/>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12</w:t>
      </w:r>
      <w:r w:rsidRPr="00131B9D">
        <w:rPr>
          <w:rFonts w:eastAsia="標楷體"/>
          <w:b/>
          <w:bCs/>
          <w:kern w:val="52"/>
          <w:sz w:val="28"/>
          <w:szCs w:val="28"/>
        </w:rPr>
        <w:fldChar w:fldCharType="end"/>
      </w:r>
      <w:r w:rsidRPr="00131B9D">
        <w:rPr>
          <w:rFonts w:eastAsia="標楷體"/>
          <w:b/>
          <w:bCs/>
          <w:kern w:val="52"/>
          <w:sz w:val="28"/>
          <w:szCs w:val="28"/>
        </w:rPr>
        <w:t xml:space="preserve">　錫近一年價格走勢圖</w:t>
      </w:r>
      <w:bookmarkEnd w:id="175"/>
      <w:bookmarkEnd w:id="176"/>
      <w:bookmarkEnd w:id="177"/>
      <w:bookmarkEnd w:id="178"/>
      <w:bookmarkEnd w:id="179"/>
    </w:p>
    <w:p w:rsidR="007370CD" w:rsidRPr="00131B9D" w:rsidRDefault="007370CD" w:rsidP="00F279F7">
      <w:pPr>
        <w:sectPr w:rsidR="007370CD"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
        <w:spacing w:before="72" w:after="72"/>
        <w:ind w:firstLineChars="0" w:firstLine="0"/>
        <w:rPr>
          <w:b/>
        </w:rPr>
      </w:pPr>
      <w:r w:rsidRPr="00131B9D">
        <w:rPr>
          <w:b/>
        </w:rPr>
        <w:lastRenderedPageBreak/>
        <w:t>2.</w:t>
      </w:r>
      <w:r w:rsidRPr="00131B9D">
        <w:rPr>
          <w:b/>
        </w:rPr>
        <w:t xml:space="preserve">　供需情勢</w:t>
      </w:r>
    </w:p>
    <w:p w:rsidR="00F279F7" w:rsidRPr="00131B9D" w:rsidRDefault="00F279F7" w:rsidP="00F279F7">
      <w:pPr>
        <w:pStyle w:val="-"/>
        <w:spacing w:before="72" w:after="72"/>
        <w:ind w:firstLine="560"/>
        <w:rPr>
          <w:szCs w:val="24"/>
        </w:rPr>
      </w:pPr>
      <w:r w:rsidRPr="00131B9D">
        <w:rPr>
          <w:color w:val="000000"/>
          <w:szCs w:val="24"/>
        </w:rPr>
        <w:t>全球產量最大國家為中國大陸，</w:t>
      </w:r>
      <w:r w:rsidRPr="00131B9D">
        <w:rPr>
          <w:color w:val="000000"/>
          <w:szCs w:val="24"/>
        </w:rPr>
        <w:t>2014</w:t>
      </w:r>
      <w:r w:rsidRPr="00131B9D">
        <w:rPr>
          <w:color w:val="000000"/>
          <w:szCs w:val="24"/>
        </w:rPr>
        <w:t>年產量達</w:t>
      </w:r>
      <w:r w:rsidRPr="00131B9D">
        <w:rPr>
          <w:color w:val="000000"/>
          <w:szCs w:val="24"/>
        </w:rPr>
        <w:t>12.5</w:t>
      </w:r>
      <w:r w:rsidRPr="00131B9D">
        <w:rPr>
          <w:color w:val="000000"/>
          <w:szCs w:val="24"/>
        </w:rPr>
        <w:t>萬公噸，其次為印尼的</w:t>
      </w:r>
      <w:r w:rsidRPr="00131B9D">
        <w:rPr>
          <w:color w:val="000000"/>
          <w:szCs w:val="24"/>
        </w:rPr>
        <w:t>8.4</w:t>
      </w:r>
      <w:r w:rsidRPr="00131B9D">
        <w:rPr>
          <w:color w:val="000000"/>
          <w:szCs w:val="24"/>
        </w:rPr>
        <w:t>萬公噸，再來為秘魯的</w:t>
      </w:r>
      <w:r w:rsidRPr="00131B9D">
        <w:rPr>
          <w:color w:val="000000"/>
          <w:szCs w:val="24"/>
        </w:rPr>
        <w:t>2.37</w:t>
      </w:r>
      <w:r w:rsidRPr="00131B9D">
        <w:rPr>
          <w:color w:val="000000"/>
          <w:szCs w:val="24"/>
        </w:rPr>
        <w:t>萬公噸、玻利維亞的</w:t>
      </w:r>
      <w:r w:rsidRPr="00131B9D">
        <w:rPr>
          <w:color w:val="000000"/>
          <w:szCs w:val="24"/>
        </w:rPr>
        <w:t>1.8</w:t>
      </w:r>
      <w:r w:rsidRPr="00131B9D">
        <w:rPr>
          <w:color w:val="000000"/>
          <w:szCs w:val="24"/>
        </w:rPr>
        <w:t>萬公噸、巴西的</w:t>
      </w:r>
      <w:r w:rsidRPr="00131B9D">
        <w:rPr>
          <w:color w:val="000000"/>
          <w:szCs w:val="24"/>
        </w:rPr>
        <w:t>1.23</w:t>
      </w:r>
      <w:r w:rsidRPr="00131B9D">
        <w:rPr>
          <w:color w:val="000000"/>
          <w:szCs w:val="24"/>
        </w:rPr>
        <w:t>萬公噸、緬甸的</w:t>
      </w:r>
      <w:r w:rsidRPr="00131B9D">
        <w:rPr>
          <w:color w:val="000000"/>
          <w:szCs w:val="24"/>
        </w:rPr>
        <w:t>1.1</w:t>
      </w:r>
      <w:r w:rsidRPr="00131B9D">
        <w:rPr>
          <w:color w:val="000000"/>
          <w:szCs w:val="24"/>
        </w:rPr>
        <w:t>萬公噸及澳洲的</w:t>
      </w:r>
      <w:r w:rsidRPr="00131B9D">
        <w:rPr>
          <w:color w:val="000000"/>
          <w:szCs w:val="24"/>
        </w:rPr>
        <w:t>0.61</w:t>
      </w:r>
      <w:r w:rsidRPr="00131B9D">
        <w:rPr>
          <w:color w:val="000000"/>
          <w:szCs w:val="24"/>
        </w:rPr>
        <w:t>萬公噸等。</w:t>
      </w:r>
      <w:r w:rsidRPr="00131B9D">
        <w:rPr>
          <w:szCs w:val="24"/>
        </w:rPr>
        <w:t>世界金屬統計局（</w:t>
      </w:r>
      <w:r w:rsidRPr="00131B9D">
        <w:rPr>
          <w:szCs w:val="24"/>
        </w:rPr>
        <w:t>WBMS</w:t>
      </w:r>
      <w:r w:rsidRPr="00131B9D">
        <w:rPr>
          <w:szCs w:val="24"/>
        </w:rPr>
        <w:t>）</w:t>
      </w:r>
      <w:r w:rsidRPr="00131B9D">
        <w:rPr>
          <w:szCs w:val="24"/>
        </w:rPr>
        <w:t>10</w:t>
      </w:r>
      <w:r w:rsidRPr="00131B9D">
        <w:rPr>
          <w:szCs w:val="24"/>
        </w:rPr>
        <w:t>月</w:t>
      </w:r>
      <w:r w:rsidRPr="00131B9D">
        <w:rPr>
          <w:szCs w:val="24"/>
        </w:rPr>
        <w:t>21</w:t>
      </w:r>
      <w:r w:rsidRPr="00131B9D">
        <w:rPr>
          <w:szCs w:val="24"/>
        </w:rPr>
        <w:t>日發布之月報指出，</w:t>
      </w:r>
      <w:r w:rsidRPr="00131B9D">
        <w:rPr>
          <w:szCs w:val="24"/>
        </w:rPr>
        <w:t>2015</w:t>
      </w:r>
      <w:r w:rsidRPr="00131B9D">
        <w:rPr>
          <w:szCs w:val="24"/>
        </w:rPr>
        <w:t>年</w:t>
      </w:r>
      <w:r w:rsidRPr="00131B9D">
        <w:rPr>
          <w:szCs w:val="24"/>
        </w:rPr>
        <w:t>1-8</w:t>
      </w:r>
      <w:r w:rsidRPr="00131B9D">
        <w:rPr>
          <w:szCs w:val="24"/>
        </w:rPr>
        <w:t>月，全球錫市供給短缺</w:t>
      </w:r>
      <w:r w:rsidRPr="00131B9D">
        <w:rPr>
          <w:szCs w:val="24"/>
        </w:rPr>
        <w:t>9,600</w:t>
      </w:r>
      <w:r w:rsidRPr="00131B9D">
        <w:rPr>
          <w:szCs w:val="24"/>
        </w:rPr>
        <w:t>公噸，庫存則較去年底減少</w:t>
      </w:r>
      <w:r w:rsidRPr="00131B9D">
        <w:rPr>
          <w:szCs w:val="24"/>
        </w:rPr>
        <w:t>2,500</w:t>
      </w:r>
      <w:r w:rsidRPr="00131B9D">
        <w:rPr>
          <w:szCs w:val="24"/>
        </w:rPr>
        <w:t>公噸。全球精煉錫產量較去年同期減少</w:t>
      </w:r>
      <w:r w:rsidRPr="00131B9D">
        <w:rPr>
          <w:szCs w:val="24"/>
        </w:rPr>
        <w:t>14,400</w:t>
      </w:r>
      <w:r w:rsidRPr="00131B9D">
        <w:rPr>
          <w:szCs w:val="24"/>
        </w:rPr>
        <w:t>公噸，亞洲產量較去年同期的</w:t>
      </w:r>
      <w:r w:rsidRPr="00131B9D">
        <w:rPr>
          <w:szCs w:val="24"/>
        </w:rPr>
        <w:t>203,300</w:t>
      </w:r>
      <w:r w:rsidRPr="00131B9D">
        <w:rPr>
          <w:szCs w:val="24"/>
        </w:rPr>
        <w:t>公噸下滑至</w:t>
      </w:r>
      <w:r w:rsidRPr="00131B9D">
        <w:rPr>
          <w:szCs w:val="24"/>
        </w:rPr>
        <w:t>191,400</w:t>
      </w:r>
      <w:r w:rsidRPr="00131B9D">
        <w:rPr>
          <w:szCs w:val="24"/>
        </w:rPr>
        <w:t>公噸。在需求面而言，全球需求量較去年同期減少</w:t>
      </w:r>
      <w:r w:rsidRPr="00131B9D">
        <w:rPr>
          <w:szCs w:val="24"/>
        </w:rPr>
        <w:t>7.1%</w:t>
      </w:r>
      <w:r w:rsidRPr="00131B9D">
        <w:rPr>
          <w:szCs w:val="24"/>
        </w:rPr>
        <w:t>至</w:t>
      </w:r>
      <w:r w:rsidRPr="00131B9D">
        <w:rPr>
          <w:szCs w:val="24"/>
        </w:rPr>
        <w:t>241,000</w:t>
      </w:r>
      <w:r w:rsidRPr="00131B9D">
        <w:rPr>
          <w:szCs w:val="24"/>
        </w:rPr>
        <w:t>公噸，中國大陸需求量較去年同期減少</w:t>
      </w:r>
      <w:r w:rsidRPr="00131B9D">
        <w:rPr>
          <w:szCs w:val="24"/>
        </w:rPr>
        <w:t>7.8%</w:t>
      </w:r>
      <w:r w:rsidRPr="00131B9D">
        <w:rPr>
          <w:szCs w:val="24"/>
        </w:rPr>
        <w:t>，日本消費量則是較去年同期減少</w:t>
      </w:r>
      <w:r w:rsidRPr="00131B9D">
        <w:rPr>
          <w:szCs w:val="24"/>
        </w:rPr>
        <w:t>1,100</w:t>
      </w:r>
      <w:r w:rsidRPr="00131B9D">
        <w:rPr>
          <w:szCs w:val="24"/>
        </w:rPr>
        <w:t>公噸至</w:t>
      </w:r>
      <w:r w:rsidRPr="00131B9D">
        <w:rPr>
          <w:szCs w:val="24"/>
        </w:rPr>
        <w:t>17,700</w:t>
      </w:r>
      <w:r w:rsidRPr="00131B9D">
        <w:rPr>
          <w:szCs w:val="24"/>
        </w:rPr>
        <w:t>公噸。</w:t>
      </w:r>
      <w:r w:rsidRPr="00131B9D">
        <w:rPr>
          <w:szCs w:val="24"/>
        </w:rPr>
        <w:t>2015</w:t>
      </w:r>
      <w:r w:rsidRPr="00131B9D">
        <w:rPr>
          <w:szCs w:val="24"/>
        </w:rPr>
        <w:t>年</w:t>
      </w:r>
      <w:r w:rsidRPr="00131B9D">
        <w:rPr>
          <w:szCs w:val="24"/>
        </w:rPr>
        <w:t>8</w:t>
      </w:r>
      <w:r w:rsidRPr="00131B9D">
        <w:rPr>
          <w:szCs w:val="24"/>
        </w:rPr>
        <w:t>月，全球精煉錫產量為</w:t>
      </w:r>
      <w:r w:rsidRPr="00131B9D">
        <w:rPr>
          <w:szCs w:val="24"/>
        </w:rPr>
        <w:t>29,800</w:t>
      </w:r>
      <w:r w:rsidRPr="00131B9D">
        <w:rPr>
          <w:szCs w:val="24"/>
        </w:rPr>
        <w:t>公噸，需求量為</w:t>
      </w:r>
      <w:r w:rsidRPr="00131B9D">
        <w:rPr>
          <w:szCs w:val="24"/>
        </w:rPr>
        <w:t>29,700</w:t>
      </w:r>
      <w:r w:rsidRPr="00131B9D">
        <w:rPr>
          <w:szCs w:val="24"/>
        </w:rPr>
        <w:t>公噸</w:t>
      </w:r>
      <w:r w:rsidRPr="00131B9D">
        <w:t>（如表</w:t>
      </w:r>
      <w:r w:rsidRPr="00131B9D">
        <w:t>3-11</w:t>
      </w:r>
      <w:r w:rsidRPr="00131B9D">
        <w:t>）</w:t>
      </w:r>
      <w:r w:rsidRPr="00131B9D">
        <w:rPr>
          <w:szCs w:val="24"/>
        </w:rPr>
        <w:t>。</w:t>
      </w:r>
    </w:p>
    <w:p w:rsidR="00F279F7" w:rsidRPr="00131B9D" w:rsidRDefault="00F279F7" w:rsidP="00F279F7">
      <w:pPr>
        <w:pStyle w:val="-"/>
        <w:spacing w:before="72" w:after="72"/>
        <w:ind w:firstLine="560"/>
        <w:rPr>
          <w:szCs w:val="24"/>
        </w:rPr>
      </w:pPr>
      <w:r w:rsidRPr="00131B9D">
        <w:rPr>
          <w:szCs w:val="24"/>
        </w:rPr>
        <w:t>印尼錫精礦、精煉錫之產量全球佔比分別達</w:t>
      </w:r>
      <w:r w:rsidRPr="00131B9D">
        <w:rPr>
          <w:szCs w:val="24"/>
        </w:rPr>
        <w:t>33%</w:t>
      </w:r>
      <w:r w:rsidRPr="00131B9D">
        <w:rPr>
          <w:szCs w:val="24"/>
        </w:rPr>
        <w:t>、</w:t>
      </w:r>
      <w:r w:rsidRPr="00131B9D">
        <w:rPr>
          <w:szCs w:val="24"/>
        </w:rPr>
        <w:t>19%</w:t>
      </w:r>
      <w:r w:rsidRPr="00131B9D">
        <w:rPr>
          <w:szCs w:val="24"/>
        </w:rPr>
        <w:t>，為全球最大錫出口國，出口量佔全球錫貿易比重</w:t>
      </w:r>
      <w:r w:rsidRPr="00131B9D">
        <w:rPr>
          <w:szCs w:val="24"/>
        </w:rPr>
        <w:t>50%</w:t>
      </w:r>
      <w:r w:rsidRPr="00131B9D">
        <w:rPr>
          <w:szCs w:val="24"/>
        </w:rPr>
        <w:t>，對全球錫供需平衡有直接影響。印尼冶煉廠為提振錫價而限制銷售，</w:t>
      </w:r>
      <w:r w:rsidRPr="00131B9D">
        <w:rPr>
          <w:szCs w:val="24"/>
        </w:rPr>
        <w:t>3</w:t>
      </w:r>
      <w:r w:rsidRPr="00131B9D">
        <w:rPr>
          <w:szCs w:val="24"/>
        </w:rPr>
        <w:t>月份印尼國有錫業集團（</w:t>
      </w:r>
      <w:r w:rsidRPr="00131B9D">
        <w:rPr>
          <w:szCs w:val="24"/>
        </w:rPr>
        <w:t>PT Timah</w:t>
      </w:r>
      <w:r w:rsidRPr="00131B9D">
        <w:rPr>
          <w:szCs w:val="24"/>
        </w:rPr>
        <w:t>）與印尼錫出口商協會（</w:t>
      </w:r>
      <w:r w:rsidRPr="00131B9D">
        <w:rPr>
          <w:szCs w:val="24"/>
        </w:rPr>
        <w:t>AETI</w:t>
      </w:r>
      <w:r w:rsidRPr="00131B9D">
        <w:rPr>
          <w:szCs w:val="24"/>
        </w:rPr>
        <w:t>）已經宣佈將削減產量，以期能夠提振錫價。而主要錫產區邦加勿裡洞（</w:t>
      </w:r>
      <w:r w:rsidRPr="00131B9D">
        <w:rPr>
          <w:szCs w:val="24"/>
        </w:rPr>
        <w:t>Bangka-Belitung</w:t>
      </w:r>
      <w:r w:rsidRPr="00131B9D">
        <w:rPr>
          <w:szCs w:val="24"/>
        </w:rPr>
        <w:t>）已經有超過</w:t>
      </w:r>
      <w:r w:rsidRPr="00131B9D">
        <w:rPr>
          <w:szCs w:val="24"/>
        </w:rPr>
        <w:t>10</w:t>
      </w:r>
      <w:r w:rsidRPr="00131B9D">
        <w:rPr>
          <w:szCs w:val="24"/>
        </w:rPr>
        <w:t>家的冶煉廠由於低迷的錫價而關閉。邦加勿裡洞省省長</w:t>
      </w:r>
      <w:r w:rsidRPr="00131B9D">
        <w:rPr>
          <w:szCs w:val="24"/>
        </w:rPr>
        <w:t>Rustam Effendi</w:t>
      </w:r>
      <w:r w:rsidRPr="00131B9D">
        <w:rPr>
          <w:szCs w:val="24"/>
        </w:rPr>
        <w:t>稱，出口商將</w:t>
      </w:r>
      <w:r w:rsidRPr="00131B9D">
        <w:rPr>
          <w:szCs w:val="24"/>
        </w:rPr>
        <w:t>5</w:t>
      </w:r>
      <w:r w:rsidRPr="00131B9D">
        <w:rPr>
          <w:szCs w:val="24"/>
        </w:rPr>
        <w:t>月錫出口上限從</w:t>
      </w:r>
      <w:r w:rsidRPr="00131B9D">
        <w:rPr>
          <w:szCs w:val="24"/>
        </w:rPr>
        <w:t>4</w:t>
      </w:r>
      <w:r w:rsidRPr="00131B9D">
        <w:rPr>
          <w:szCs w:val="24"/>
        </w:rPr>
        <w:t>月的</w:t>
      </w:r>
      <w:r w:rsidRPr="00131B9D">
        <w:rPr>
          <w:szCs w:val="24"/>
        </w:rPr>
        <w:t>4,500</w:t>
      </w:r>
      <w:r w:rsidRPr="00131B9D">
        <w:rPr>
          <w:szCs w:val="24"/>
        </w:rPr>
        <w:t>公噸下調至</w:t>
      </w:r>
      <w:r w:rsidRPr="00131B9D">
        <w:rPr>
          <w:szCs w:val="24"/>
        </w:rPr>
        <w:t>4,000</w:t>
      </w:r>
      <w:r w:rsidRPr="00131B9D">
        <w:rPr>
          <w:szCs w:val="24"/>
        </w:rPr>
        <w:t>公噸，以期錫價升至每公噸</w:t>
      </w:r>
      <w:r w:rsidRPr="00131B9D">
        <w:rPr>
          <w:szCs w:val="24"/>
        </w:rPr>
        <w:t>20,000</w:t>
      </w:r>
      <w:r w:rsidRPr="00131B9D">
        <w:rPr>
          <w:szCs w:val="24"/>
        </w:rPr>
        <w:t>美元，但印尼貿易部</w:t>
      </w:r>
      <w:r w:rsidRPr="00131B9D">
        <w:rPr>
          <w:szCs w:val="24"/>
        </w:rPr>
        <w:t>6</w:t>
      </w:r>
      <w:r w:rsidRPr="00131B9D">
        <w:rPr>
          <w:szCs w:val="24"/>
        </w:rPr>
        <w:t>月</w:t>
      </w:r>
      <w:r w:rsidRPr="00131B9D">
        <w:rPr>
          <w:szCs w:val="24"/>
        </w:rPr>
        <w:t>16</w:t>
      </w:r>
      <w:r w:rsidRPr="00131B9D">
        <w:rPr>
          <w:szCs w:val="24"/>
        </w:rPr>
        <w:t>日數據顯示，</w:t>
      </w:r>
      <w:r w:rsidRPr="00131B9D">
        <w:rPr>
          <w:szCs w:val="24"/>
        </w:rPr>
        <w:t>5</w:t>
      </w:r>
      <w:r w:rsidRPr="00131B9D">
        <w:rPr>
          <w:szCs w:val="24"/>
        </w:rPr>
        <w:t>月份的精煉錫出口量月增</w:t>
      </w:r>
      <w:r w:rsidRPr="00131B9D">
        <w:rPr>
          <w:szCs w:val="24"/>
        </w:rPr>
        <w:t>23%</w:t>
      </w:r>
      <w:r w:rsidRPr="00131B9D">
        <w:rPr>
          <w:szCs w:val="24"/>
        </w:rPr>
        <w:t>至</w:t>
      </w:r>
      <w:r w:rsidRPr="00131B9D">
        <w:rPr>
          <w:szCs w:val="24"/>
        </w:rPr>
        <w:t>6,263</w:t>
      </w:r>
      <w:r w:rsidRPr="00131B9D">
        <w:rPr>
          <w:szCs w:val="24"/>
        </w:rPr>
        <w:t>公噸，高於印尼生產商希望將錫的月出口量限制在</w:t>
      </w:r>
      <w:r w:rsidRPr="00131B9D">
        <w:rPr>
          <w:szCs w:val="24"/>
        </w:rPr>
        <w:t>4,000</w:t>
      </w:r>
      <w:r w:rsidRPr="00131B9D">
        <w:rPr>
          <w:szCs w:val="24"/>
        </w:rPr>
        <w:t>公噸以下以提振錫價的目標。印尼</w:t>
      </w:r>
      <w:r w:rsidRPr="00131B9D">
        <w:rPr>
          <w:szCs w:val="24"/>
        </w:rPr>
        <w:t>8</w:t>
      </w:r>
      <w:r w:rsidRPr="00131B9D">
        <w:rPr>
          <w:szCs w:val="24"/>
        </w:rPr>
        <w:t>月</w:t>
      </w:r>
      <w:r w:rsidRPr="00131B9D">
        <w:rPr>
          <w:szCs w:val="24"/>
        </w:rPr>
        <w:t>1</w:t>
      </w:r>
      <w:r w:rsidRPr="00131B9D">
        <w:rPr>
          <w:szCs w:val="24"/>
        </w:rPr>
        <w:t>日起對錫出口實施更嚴格的規定，旨在遏止非法採礦。根據新規定，只能出口錫含量</w:t>
      </w:r>
      <w:r w:rsidRPr="00131B9D">
        <w:rPr>
          <w:szCs w:val="24"/>
        </w:rPr>
        <w:t>99.9%</w:t>
      </w:r>
      <w:r w:rsidRPr="00131B9D">
        <w:rPr>
          <w:szCs w:val="24"/>
        </w:rPr>
        <w:t>以上的錫錠、錫含量</w:t>
      </w:r>
      <w:r w:rsidRPr="00131B9D">
        <w:rPr>
          <w:szCs w:val="24"/>
        </w:rPr>
        <w:t>99.7%</w:t>
      </w:r>
      <w:r w:rsidRPr="00131B9D">
        <w:rPr>
          <w:szCs w:val="24"/>
        </w:rPr>
        <w:t>以下的焊錫和鍍錫鐵皮（馬口鐵），且出口商需提交政府認證合法礦場的生產證明才能出口。由於所有生產商必須重新向政府申請出口許可，且行政作業緩慢，印尼</w:t>
      </w:r>
      <w:r w:rsidRPr="00131B9D">
        <w:rPr>
          <w:szCs w:val="24"/>
        </w:rPr>
        <w:t>8</w:t>
      </w:r>
      <w:r w:rsidRPr="00131B9D">
        <w:rPr>
          <w:szCs w:val="24"/>
        </w:rPr>
        <w:t>月的精煉錫出口量降至零，</w:t>
      </w:r>
      <w:r w:rsidRPr="00131B9D">
        <w:rPr>
          <w:szCs w:val="24"/>
        </w:rPr>
        <w:t>9</w:t>
      </w:r>
      <w:r w:rsidRPr="00131B9D">
        <w:rPr>
          <w:szCs w:val="24"/>
        </w:rPr>
        <w:t>月份開始恢復正常出口之後，並沒有出現預期的出口量大增。據官方資料</w:t>
      </w:r>
      <w:r w:rsidRPr="00131B9D">
        <w:rPr>
          <w:szCs w:val="24"/>
        </w:rPr>
        <w:lastRenderedPageBreak/>
        <w:t>統計，</w:t>
      </w:r>
      <w:r w:rsidRPr="00131B9D">
        <w:rPr>
          <w:szCs w:val="24"/>
        </w:rPr>
        <w:t>9</w:t>
      </w:r>
      <w:r w:rsidRPr="00131B9D">
        <w:rPr>
          <w:szCs w:val="24"/>
        </w:rPr>
        <w:t>月份印尼出口時核查量為</w:t>
      </w:r>
      <w:r w:rsidRPr="00131B9D">
        <w:rPr>
          <w:szCs w:val="24"/>
        </w:rPr>
        <w:t>6,391.74</w:t>
      </w:r>
      <w:r w:rsidRPr="00131B9D">
        <w:rPr>
          <w:szCs w:val="24"/>
        </w:rPr>
        <w:t>噸，截至</w:t>
      </w:r>
      <w:r w:rsidRPr="00131B9D">
        <w:rPr>
          <w:szCs w:val="24"/>
        </w:rPr>
        <w:t>10</w:t>
      </w:r>
      <w:r w:rsidRPr="00131B9D">
        <w:rPr>
          <w:szCs w:val="24"/>
        </w:rPr>
        <w:t>月</w:t>
      </w:r>
      <w:r w:rsidRPr="00131B9D">
        <w:rPr>
          <w:szCs w:val="24"/>
        </w:rPr>
        <w:t>21</w:t>
      </w:r>
      <w:r w:rsidRPr="00131B9D">
        <w:rPr>
          <w:szCs w:val="24"/>
        </w:rPr>
        <w:t>日，</w:t>
      </w:r>
      <w:r w:rsidRPr="00131B9D">
        <w:rPr>
          <w:szCs w:val="24"/>
        </w:rPr>
        <w:t>10</w:t>
      </w:r>
      <w:r w:rsidRPr="00131B9D">
        <w:rPr>
          <w:szCs w:val="24"/>
        </w:rPr>
        <w:t>月份印尼商品與衍生品交易所</w:t>
      </w:r>
      <w:r w:rsidRPr="00131B9D">
        <w:rPr>
          <w:szCs w:val="24"/>
        </w:rPr>
        <w:t xml:space="preserve"> </w:t>
      </w:r>
      <w:r w:rsidRPr="00131B9D">
        <w:rPr>
          <w:szCs w:val="24"/>
        </w:rPr>
        <w:t>（</w:t>
      </w:r>
      <w:r w:rsidRPr="00131B9D">
        <w:rPr>
          <w:szCs w:val="24"/>
        </w:rPr>
        <w:t>ICDX</w:t>
      </w:r>
      <w:r w:rsidRPr="00131B9D">
        <w:rPr>
          <w:szCs w:val="24"/>
        </w:rPr>
        <w:t>）的成交量為</w:t>
      </w:r>
      <w:r w:rsidRPr="00131B9D">
        <w:rPr>
          <w:szCs w:val="24"/>
        </w:rPr>
        <w:t>4,450</w:t>
      </w:r>
      <w:r w:rsidRPr="00131B9D">
        <w:rPr>
          <w:szCs w:val="24"/>
        </w:rPr>
        <w:t>噸，很難超過前幾次出口高峰時接近</w:t>
      </w:r>
      <w:r w:rsidRPr="00131B9D">
        <w:rPr>
          <w:szCs w:val="24"/>
        </w:rPr>
        <w:t>1</w:t>
      </w:r>
      <w:r w:rsidRPr="00131B9D">
        <w:rPr>
          <w:szCs w:val="24"/>
        </w:rPr>
        <w:t>萬噸的月度出口量。</w:t>
      </w:r>
      <w:r w:rsidRPr="00131B9D">
        <w:rPr>
          <w:szCs w:val="24"/>
        </w:rPr>
        <w:t>11</w:t>
      </w:r>
      <w:r w:rsidRPr="00131B9D">
        <w:rPr>
          <w:szCs w:val="24"/>
        </w:rPr>
        <w:t>月</w:t>
      </w:r>
      <w:r w:rsidRPr="00131B9D">
        <w:rPr>
          <w:szCs w:val="24"/>
        </w:rPr>
        <w:t>1</w:t>
      </w:r>
      <w:r w:rsidRPr="00131B9D">
        <w:rPr>
          <w:szCs w:val="24"/>
        </w:rPr>
        <w:t>日起，印尼又要實施更嚴格的</w:t>
      </w:r>
      <w:r w:rsidRPr="00131B9D">
        <w:rPr>
          <w:szCs w:val="24"/>
        </w:rPr>
        <w:t>“</w:t>
      </w:r>
      <w:r w:rsidRPr="00131B9D">
        <w:rPr>
          <w:szCs w:val="24"/>
        </w:rPr>
        <w:t>清潔清白</w:t>
      </w:r>
      <w:r w:rsidRPr="00131B9D">
        <w:rPr>
          <w:szCs w:val="24"/>
        </w:rPr>
        <w:t>”</w:t>
      </w:r>
      <w:r w:rsidRPr="00131B9D">
        <w:rPr>
          <w:szCs w:val="24"/>
        </w:rPr>
        <w:t>礦產法規，冶煉廠需要重新報備合法礦產來源的資料，並申請新的出口許可證才可以進行出口貿易，因此，新法規可能會再次造成出口停擺。</w:t>
      </w:r>
    </w:p>
    <w:p w:rsidR="00F279F7" w:rsidRPr="00131B9D" w:rsidRDefault="00F279F7" w:rsidP="00F279F7">
      <w:pPr>
        <w:pStyle w:val="-"/>
        <w:spacing w:before="72" w:after="72"/>
        <w:ind w:firstLine="560"/>
        <w:rPr>
          <w:szCs w:val="24"/>
        </w:rPr>
      </w:pPr>
      <w:r w:rsidRPr="00131B9D">
        <w:rPr>
          <w:szCs w:val="24"/>
        </w:rPr>
        <w:t>而另一方面，因印尼的錫出口下滑間接提振了</w:t>
      </w:r>
      <w:bookmarkStart w:id="180" w:name="OLE_LINK37"/>
      <w:bookmarkStart w:id="181" w:name="OLE_LINK40"/>
      <w:r w:rsidRPr="00131B9D">
        <w:rPr>
          <w:szCs w:val="24"/>
        </w:rPr>
        <w:t>緬甸的錫出口</w:t>
      </w:r>
      <w:bookmarkEnd w:id="180"/>
      <w:bookmarkEnd w:id="181"/>
      <w:r w:rsidRPr="00131B9D">
        <w:rPr>
          <w:szCs w:val="24"/>
        </w:rPr>
        <w:t>，其今年以來的錫出貨量大幅增加，即便在傳統的雨季（一般約</w:t>
      </w:r>
      <w:r w:rsidRPr="00131B9D">
        <w:rPr>
          <w:szCs w:val="24"/>
        </w:rPr>
        <w:t>5</w:t>
      </w:r>
      <w:r w:rsidRPr="00131B9D">
        <w:rPr>
          <w:szCs w:val="24"/>
        </w:rPr>
        <w:t>月至</w:t>
      </w:r>
      <w:r w:rsidRPr="00131B9D">
        <w:rPr>
          <w:szCs w:val="24"/>
        </w:rPr>
        <w:t>10</w:t>
      </w:r>
      <w:r w:rsidRPr="00131B9D">
        <w:rPr>
          <w:szCs w:val="24"/>
        </w:rPr>
        <w:t>月），也未見減少。根據緬甸當地貿易商報告，出口增加很大程度上源於當地政府以及部分生產企業庫存的釋放。此外，近兩年投資增加，也使得當地產能和技術有了較大的提高，原來累積的低品位礦和原礦庫存得以處理。但是今年採礦量是下降的，緬甸主產地正面臨由露天開採轉向地下坑採的問題，深部勘探和找礦還未有突破，因此短期來看，產量增長無法持續。</w:t>
      </w:r>
    </w:p>
    <w:p w:rsidR="00F279F7" w:rsidRPr="00131B9D" w:rsidRDefault="00F279F7" w:rsidP="00F279F7"/>
    <w:p w:rsidR="00F279F7" w:rsidRPr="00131B9D" w:rsidRDefault="00F279F7" w:rsidP="00F279F7">
      <w:pPr>
        <w:pStyle w:val="aff1"/>
        <w:spacing w:line="0" w:lineRule="atLeast"/>
        <w:rPr>
          <w:b w:val="0"/>
          <w:szCs w:val="28"/>
        </w:rPr>
      </w:pPr>
      <w:bookmarkStart w:id="182" w:name="_Toc439163000"/>
      <w:r w:rsidRPr="00131B9D">
        <w:rPr>
          <w:szCs w:val="28"/>
        </w:rPr>
        <w:t>表</w:t>
      </w:r>
      <w:r w:rsidRPr="00131B9D">
        <w:rPr>
          <w:szCs w:val="28"/>
        </w:rPr>
        <w:t xml:space="preserve">3- </w:t>
      </w:r>
      <w:r w:rsidRPr="00131B9D">
        <w:rPr>
          <w:b w:val="0"/>
          <w:szCs w:val="28"/>
        </w:rPr>
        <w:fldChar w:fldCharType="begin"/>
      </w:r>
      <w:r w:rsidRPr="00131B9D">
        <w:rPr>
          <w:szCs w:val="28"/>
        </w:rPr>
        <w:instrText xml:space="preserve"> SEQ </w:instrText>
      </w:r>
      <w:r w:rsidRPr="00131B9D">
        <w:rPr>
          <w:szCs w:val="28"/>
        </w:rPr>
        <w:instrText>表</w:instrText>
      </w:r>
      <w:r w:rsidRPr="00131B9D">
        <w:rPr>
          <w:szCs w:val="28"/>
        </w:rPr>
        <w:instrText xml:space="preserve">3- \* ARABIC </w:instrText>
      </w:r>
      <w:r w:rsidRPr="00131B9D">
        <w:rPr>
          <w:b w:val="0"/>
          <w:szCs w:val="28"/>
        </w:rPr>
        <w:fldChar w:fldCharType="separate"/>
      </w:r>
      <w:r w:rsidR="001641D3">
        <w:rPr>
          <w:noProof/>
          <w:szCs w:val="28"/>
        </w:rPr>
        <w:t>11</w:t>
      </w:r>
      <w:r w:rsidRPr="00131B9D">
        <w:rPr>
          <w:b w:val="0"/>
          <w:szCs w:val="28"/>
        </w:rPr>
        <w:fldChar w:fldCharType="end"/>
      </w:r>
      <w:r w:rsidRPr="00131B9D">
        <w:rPr>
          <w:szCs w:val="28"/>
        </w:rPr>
        <w:t xml:space="preserve">　全球錫市供需概況</w:t>
      </w:r>
      <w:bookmarkEnd w:id="182"/>
    </w:p>
    <w:tbl>
      <w:tblPr>
        <w:tblW w:w="5546"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310"/>
        <w:gridCol w:w="1540"/>
        <w:gridCol w:w="1696"/>
      </w:tblGrid>
      <w:tr w:rsidR="00F279F7" w:rsidRPr="00131B9D" w:rsidTr="00F279F7">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LME</w:t>
            </w:r>
            <w:r w:rsidRPr="00131B9D">
              <w:rPr>
                <w:rFonts w:eastAsia="標楷體"/>
                <w:b/>
                <w:kern w:val="0"/>
              </w:rPr>
              <w:t>統計</w:t>
            </w:r>
          </w:p>
        </w:tc>
        <w:tc>
          <w:tcPr>
            <w:tcW w:w="1540" w:type="dxa"/>
            <w:tcBorders>
              <w:top w:val="single" w:sz="4" w:space="0" w:color="auto"/>
              <w:left w:val="single" w:sz="4" w:space="0" w:color="auto"/>
              <w:bottom w:val="single" w:sz="4" w:space="0" w:color="auto"/>
              <w:right w:val="single" w:sz="4" w:space="0" w:color="auto"/>
            </w:tcBorders>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696" w:type="dxa"/>
            <w:tcBorders>
              <w:top w:val="single" w:sz="4" w:space="0" w:color="auto"/>
              <w:left w:val="single" w:sz="4" w:space="0" w:color="auto"/>
              <w:bottom w:val="single" w:sz="4" w:space="0" w:color="auto"/>
              <w:right w:val="single" w:sz="4" w:space="0" w:color="auto"/>
            </w:tcBorders>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變動量</w:t>
            </w:r>
          </w:p>
        </w:tc>
      </w:tr>
      <w:tr w:rsidR="00F279F7" w:rsidRPr="00131B9D" w:rsidTr="00F279F7">
        <w:trPr>
          <w:trHeight w:val="330"/>
          <w:jc w:val="center"/>
        </w:trPr>
        <w:tc>
          <w:tcPr>
            <w:tcW w:w="5546" w:type="dxa"/>
            <w:gridSpan w:val="3"/>
            <w:shd w:val="clear" w:color="auto" w:fill="D9D9D9"/>
            <w:noWrap/>
            <w:vAlign w:val="center"/>
          </w:tcPr>
          <w:p w:rsidR="00F279F7" w:rsidRPr="00131B9D" w:rsidRDefault="00F279F7" w:rsidP="00F279F7">
            <w:pPr>
              <w:jc w:val="center"/>
              <w:rPr>
                <w:color w:val="000000"/>
              </w:rPr>
            </w:pPr>
            <w:r w:rsidRPr="00131B9D">
              <w:rPr>
                <w:rFonts w:eastAsia="標楷體"/>
                <w:kern w:val="0"/>
                <w:sz w:val="23"/>
                <w:szCs w:val="23"/>
              </w:rPr>
              <w:t>2014</w:t>
            </w:r>
            <w:r w:rsidRPr="00131B9D">
              <w:rPr>
                <w:rFonts w:eastAsia="標楷體"/>
                <w:kern w:val="0"/>
                <w:sz w:val="23"/>
                <w:szCs w:val="23"/>
              </w:rPr>
              <w:t>年</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w:t>
            </w:r>
            <w:r w:rsidRPr="00131B9D">
              <w:rPr>
                <w:rFonts w:eastAsia="標楷體"/>
                <w:kern w:val="0"/>
              </w:rPr>
              <w:t>月</w:t>
            </w:r>
          </w:p>
        </w:tc>
        <w:tc>
          <w:tcPr>
            <w:tcW w:w="1540"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8,885</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-8.26%</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2</w:t>
            </w:r>
            <w:r w:rsidRPr="00131B9D">
              <w:rPr>
                <w:rFonts w:eastAsia="標楷體"/>
                <w:kern w:val="0"/>
              </w:rPr>
              <w:t>月</w:t>
            </w:r>
          </w:p>
        </w:tc>
        <w:tc>
          <w:tcPr>
            <w:tcW w:w="1540"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8,065</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-9.23%</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3</w:t>
            </w:r>
            <w:r w:rsidRPr="00131B9D">
              <w:rPr>
                <w:rFonts w:eastAsia="標楷體"/>
                <w:kern w:val="0"/>
              </w:rPr>
              <w:t>月</w:t>
            </w:r>
          </w:p>
        </w:tc>
        <w:tc>
          <w:tcPr>
            <w:tcW w:w="1540"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9,555</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18.47%</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4</w:t>
            </w:r>
            <w:r w:rsidRPr="00131B9D">
              <w:rPr>
                <w:rFonts w:eastAsia="標楷體"/>
                <w:kern w:val="0"/>
              </w:rPr>
              <w:t>月</w:t>
            </w:r>
          </w:p>
        </w:tc>
        <w:tc>
          <w:tcPr>
            <w:tcW w:w="1540" w:type="dxa"/>
            <w:tcBorders>
              <w:left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9,355</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-2.09%</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5</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pPr>
            <w:r w:rsidRPr="00131B9D">
              <w:rPr>
                <w:color w:val="000000"/>
              </w:rPr>
              <w:t>10,865</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16.14%</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6</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11,385</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4.79%</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7</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11,780</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3.47%</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8</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12,295</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4.37%</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9</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8,595</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-30.09%</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10</w:t>
            </w:r>
            <w:r w:rsidRPr="00131B9D">
              <w:rPr>
                <w:rFonts w:eastAsia="標楷體"/>
                <w:kern w:val="0"/>
              </w:rPr>
              <w:t>月</w:t>
            </w:r>
          </w:p>
        </w:tc>
        <w:tc>
          <w:tcPr>
            <w:tcW w:w="1540"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9,235</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7.45%</w:t>
            </w:r>
          </w:p>
        </w:tc>
      </w:tr>
      <w:tr w:rsidR="00F279F7" w:rsidRPr="00131B9D" w:rsidTr="00F279F7">
        <w:trPr>
          <w:trHeight w:val="330"/>
          <w:jc w:val="center"/>
        </w:trPr>
        <w:tc>
          <w:tcPr>
            <w:tcW w:w="2310" w:type="dxa"/>
            <w:tcBorders>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11</w:t>
            </w:r>
            <w:r w:rsidRPr="00131B9D">
              <w:rPr>
                <w:rFonts w:eastAsia="標楷體"/>
                <w:kern w:val="0"/>
              </w:rPr>
              <w:t>月</w:t>
            </w:r>
          </w:p>
        </w:tc>
        <w:tc>
          <w:tcPr>
            <w:tcW w:w="1540" w:type="dxa"/>
            <w:tcBorders>
              <w:left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11,850</w:t>
            </w:r>
          </w:p>
        </w:tc>
        <w:tc>
          <w:tcPr>
            <w:tcW w:w="1696" w:type="dxa"/>
            <w:tcBorders>
              <w:lef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28.32%</w:t>
            </w:r>
          </w:p>
        </w:tc>
      </w:tr>
      <w:tr w:rsidR="00F279F7" w:rsidRPr="00131B9D" w:rsidTr="00F279F7">
        <w:trPr>
          <w:trHeight w:val="330"/>
          <w:jc w:val="center"/>
        </w:trPr>
        <w:tc>
          <w:tcPr>
            <w:tcW w:w="2310" w:type="dxa"/>
            <w:tcBorders>
              <w:bottom w:val="single" w:sz="4" w:space="0" w:color="auto"/>
              <w:right w:val="single" w:sz="4" w:space="0" w:color="auto"/>
            </w:tcBorders>
            <w:shd w:val="clear" w:color="auto" w:fill="auto"/>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12</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12,045</w:t>
            </w:r>
          </w:p>
        </w:tc>
        <w:tc>
          <w:tcPr>
            <w:tcW w:w="1696" w:type="dxa"/>
            <w:tcBorders>
              <w:left w:val="single" w:sz="4" w:space="0" w:color="auto"/>
              <w:bottom w:val="single" w:sz="4" w:space="0" w:color="auto"/>
            </w:tcBorders>
            <w:shd w:val="clear" w:color="auto" w:fill="auto"/>
            <w:noWrap/>
            <w:vAlign w:val="center"/>
          </w:tcPr>
          <w:p w:rsidR="00F279F7" w:rsidRPr="00131B9D" w:rsidRDefault="00F279F7" w:rsidP="00F279F7">
            <w:pPr>
              <w:jc w:val="center"/>
              <w:rPr>
                <w:color w:val="000000"/>
              </w:rPr>
            </w:pPr>
            <w:r w:rsidRPr="00131B9D">
              <w:rPr>
                <w:color w:val="000000"/>
              </w:rPr>
              <w:t>1.65%</w:t>
            </w:r>
          </w:p>
        </w:tc>
      </w:tr>
    </w:tbl>
    <w:p w:rsidR="007370CD" w:rsidRPr="00131B9D" w:rsidRDefault="007370CD" w:rsidP="007370CD">
      <w:pPr>
        <w:sectPr w:rsidR="007370CD" w:rsidRPr="00131B9D" w:rsidSect="00097B8D">
          <w:pgSz w:w="11906" w:h="16838"/>
          <w:pgMar w:top="1440" w:right="1800" w:bottom="1440" w:left="1800" w:header="851" w:footer="992" w:gutter="0"/>
          <w:cols w:space="425"/>
          <w:docGrid w:type="lines" w:linePitch="360"/>
        </w:sectPr>
      </w:pPr>
    </w:p>
    <w:p w:rsidR="007370CD" w:rsidRPr="00131B9D" w:rsidRDefault="007370CD" w:rsidP="007370CD">
      <w:pPr>
        <w:spacing w:line="0" w:lineRule="atLeast"/>
        <w:jc w:val="center"/>
        <w:rPr>
          <w:rFonts w:eastAsia="標楷體"/>
          <w:b/>
          <w:sz w:val="28"/>
          <w:szCs w:val="28"/>
        </w:rPr>
      </w:pPr>
      <w:r w:rsidRPr="00131B9D">
        <w:rPr>
          <w:rFonts w:eastAsia="標楷體"/>
          <w:b/>
          <w:sz w:val="28"/>
          <w:szCs w:val="28"/>
        </w:rPr>
        <w:lastRenderedPageBreak/>
        <w:t>表</w:t>
      </w:r>
      <w:r w:rsidRPr="00131B9D">
        <w:rPr>
          <w:rFonts w:eastAsia="標楷體"/>
          <w:b/>
          <w:sz w:val="28"/>
          <w:szCs w:val="28"/>
        </w:rPr>
        <w:t>3-11</w:t>
      </w:r>
      <w:r w:rsidRPr="00131B9D">
        <w:rPr>
          <w:rFonts w:eastAsia="標楷體"/>
          <w:b/>
          <w:sz w:val="28"/>
          <w:szCs w:val="28"/>
        </w:rPr>
        <w:t xml:space="preserve">　全球錫市供需概況</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5546" w:type="dxa"/>
        <w:jc w:val="center"/>
        <w:tblBorders>
          <w:top w:val="single" w:sz="4" w:space="0" w:color="auto"/>
          <w:left w:val="single" w:sz="4" w:space="0" w:color="auto"/>
          <w:bottom w:val="single" w:sz="4" w:space="0" w:color="auto"/>
          <w:right w:val="single" w:sz="4" w:space="0" w:color="auto"/>
          <w:insideH w:val="single" w:sz="4" w:space="0" w:color="auto"/>
        </w:tblBorders>
        <w:tblCellMar>
          <w:left w:w="28" w:type="dxa"/>
          <w:right w:w="28" w:type="dxa"/>
        </w:tblCellMar>
        <w:tblLook w:val="0000" w:firstRow="0" w:lastRow="0" w:firstColumn="0" w:lastColumn="0" w:noHBand="0" w:noVBand="0"/>
      </w:tblPr>
      <w:tblGrid>
        <w:gridCol w:w="2310"/>
        <w:gridCol w:w="1540"/>
        <w:gridCol w:w="1696"/>
      </w:tblGrid>
      <w:tr w:rsidR="007370CD" w:rsidRPr="00131B9D" w:rsidTr="00B22890">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b/>
                <w:kern w:val="0"/>
              </w:rPr>
            </w:pPr>
            <w:r w:rsidRPr="00131B9D">
              <w:rPr>
                <w:rFonts w:eastAsia="標楷體"/>
                <w:b/>
                <w:kern w:val="0"/>
              </w:rPr>
              <w:t>LME</w:t>
            </w:r>
            <w:r w:rsidRPr="00131B9D">
              <w:rPr>
                <w:rFonts w:eastAsia="標楷體"/>
                <w:b/>
                <w:kern w:val="0"/>
              </w:rPr>
              <w:t>統計</w:t>
            </w:r>
          </w:p>
        </w:tc>
        <w:tc>
          <w:tcPr>
            <w:tcW w:w="1540" w:type="dxa"/>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b/>
                <w:kern w:val="0"/>
              </w:rPr>
            </w:pPr>
            <w:r w:rsidRPr="00131B9D">
              <w:rPr>
                <w:rFonts w:eastAsia="標楷體"/>
                <w:b/>
                <w:kern w:val="0"/>
              </w:rPr>
              <w:t>庫存量</w:t>
            </w:r>
            <w:r w:rsidRPr="00131B9D">
              <w:rPr>
                <w:rFonts w:eastAsia="標楷體"/>
                <w:b/>
                <w:kern w:val="0"/>
              </w:rPr>
              <w:t>(</w:t>
            </w:r>
            <w:r w:rsidRPr="00131B9D">
              <w:rPr>
                <w:rFonts w:eastAsia="標楷體"/>
                <w:b/>
                <w:kern w:val="0"/>
              </w:rPr>
              <w:t>公噸</w:t>
            </w:r>
            <w:r w:rsidRPr="00131B9D">
              <w:rPr>
                <w:rFonts w:eastAsia="標楷體"/>
                <w:b/>
                <w:kern w:val="0"/>
              </w:rPr>
              <w:t>)</w:t>
            </w:r>
          </w:p>
        </w:tc>
        <w:tc>
          <w:tcPr>
            <w:tcW w:w="1696" w:type="dxa"/>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b/>
                <w:kern w:val="0"/>
              </w:rPr>
            </w:pPr>
            <w:r w:rsidRPr="00131B9D">
              <w:rPr>
                <w:rFonts w:eastAsia="標楷體"/>
                <w:b/>
                <w:kern w:val="0"/>
              </w:rPr>
              <w:t>變動量</w:t>
            </w:r>
          </w:p>
        </w:tc>
      </w:tr>
      <w:tr w:rsidR="007370CD" w:rsidRPr="00131B9D" w:rsidTr="00B22890">
        <w:trPr>
          <w:trHeight w:val="330"/>
          <w:jc w:val="center"/>
        </w:trPr>
        <w:tc>
          <w:tcPr>
            <w:tcW w:w="5546" w:type="dxa"/>
            <w:gridSpan w:val="3"/>
            <w:tcBorders>
              <w:bottom w:val="single" w:sz="4" w:space="0" w:color="auto"/>
            </w:tcBorders>
            <w:shd w:val="clear" w:color="auto" w:fill="D9D9D9"/>
            <w:noWrap/>
            <w:vAlign w:val="center"/>
          </w:tcPr>
          <w:p w:rsidR="007370CD" w:rsidRPr="00131B9D" w:rsidRDefault="007370CD" w:rsidP="00B22890">
            <w:pPr>
              <w:jc w:val="center"/>
              <w:rPr>
                <w:color w:val="000000"/>
              </w:rPr>
            </w:pPr>
            <w:r w:rsidRPr="00131B9D">
              <w:rPr>
                <w:rFonts w:eastAsia="標楷體"/>
                <w:kern w:val="0"/>
                <w:sz w:val="23"/>
                <w:szCs w:val="23"/>
              </w:rPr>
              <w:t>2015</w:t>
            </w:r>
            <w:r w:rsidRPr="00131B9D">
              <w:rPr>
                <w:rFonts w:eastAsia="標楷體"/>
                <w:kern w:val="0"/>
                <w:sz w:val="23"/>
                <w:szCs w:val="23"/>
              </w:rPr>
              <w:t>年</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1</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vAlign w:val="center"/>
          </w:tcPr>
          <w:p w:rsidR="007370CD" w:rsidRPr="00131B9D" w:rsidRDefault="007370CD" w:rsidP="00B22890">
            <w:pPr>
              <w:jc w:val="center"/>
              <w:rPr>
                <w:color w:val="000000"/>
              </w:rPr>
            </w:pPr>
            <w:r w:rsidRPr="00131B9D">
              <w:rPr>
                <w:color w:val="000000"/>
              </w:rPr>
              <w:t>11,810</w:t>
            </w:r>
          </w:p>
        </w:tc>
        <w:tc>
          <w:tcPr>
            <w:tcW w:w="1696" w:type="dxa"/>
            <w:tcBorders>
              <w:left w:val="single" w:sz="4" w:space="0" w:color="auto"/>
              <w:bottom w:val="single" w:sz="4" w:space="0" w:color="auto"/>
            </w:tcBorders>
            <w:shd w:val="clear" w:color="auto" w:fill="auto"/>
            <w:noWrap/>
            <w:vAlign w:val="center"/>
          </w:tcPr>
          <w:p w:rsidR="007370CD" w:rsidRPr="00131B9D" w:rsidRDefault="007370CD" w:rsidP="00B22890">
            <w:pPr>
              <w:jc w:val="center"/>
              <w:rPr>
                <w:color w:val="000000"/>
              </w:rPr>
            </w:pPr>
            <w:r w:rsidRPr="00131B9D">
              <w:rPr>
                <w:color w:val="000000"/>
              </w:rPr>
              <w:t>-1.95%</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Del="006C65F6" w:rsidRDefault="007370CD" w:rsidP="00B22890">
            <w:pPr>
              <w:widowControl/>
              <w:spacing w:line="240" w:lineRule="exact"/>
              <w:jc w:val="center"/>
              <w:rPr>
                <w:rFonts w:eastAsia="標楷體"/>
                <w:kern w:val="0"/>
              </w:rPr>
            </w:pPr>
            <w:r w:rsidRPr="00131B9D">
              <w:rPr>
                <w:rFonts w:eastAsia="標楷體"/>
                <w:kern w:val="0"/>
              </w:rPr>
              <w:t>2</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vAlign w:val="center"/>
          </w:tcPr>
          <w:p w:rsidR="007370CD" w:rsidRPr="00131B9D" w:rsidDel="006C65F6" w:rsidRDefault="007370CD" w:rsidP="00B22890">
            <w:pPr>
              <w:jc w:val="center"/>
              <w:rPr>
                <w:color w:val="000000"/>
              </w:rPr>
            </w:pPr>
            <w:r w:rsidRPr="00131B9D">
              <w:rPr>
                <w:color w:val="000000"/>
              </w:rPr>
              <w:t>10,880</w:t>
            </w:r>
          </w:p>
        </w:tc>
        <w:tc>
          <w:tcPr>
            <w:tcW w:w="1696" w:type="dxa"/>
            <w:tcBorders>
              <w:left w:val="single" w:sz="4" w:space="0" w:color="auto"/>
              <w:bottom w:val="single" w:sz="4" w:space="0" w:color="auto"/>
            </w:tcBorders>
            <w:shd w:val="clear" w:color="auto" w:fill="auto"/>
            <w:noWrap/>
            <w:vAlign w:val="center"/>
          </w:tcPr>
          <w:p w:rsidR="007370CD" w:rsidRPr="00131B9D" w:rsidDel="006C65F6" w:rsidRDefault="007370CD" w:rsidP="00B22890">
            <w:pPr>
              <w:jc w:val="center"/>
              <w:rPr>
                <w:color w:val="000000"/>
              </w:rPr>
            </w:pPr>
            <w:r w:rsidRPr="00131B9D">
              <w:rPr>
                <w:color w:val="000000"/>
              </w:rPr>
              <w:t>-7.87%</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Del="006C65F6" w:rsidRDefault="007370CD" w:rsidP="00B22890">
            <w:pPr>
              <w:widowControl/>
              <w:spacing w:line="240" w:lineRule="exact"/>
              <w:jc w:val="center"/>
              <w:rPr>
                <w:rFonts w:eastAsia="標楷體"/>
                <w:kern w:val="0"/>
              </w:rPr>
            </w:pPr>
            <w:r w:rsidRPr="00131B9D">
              <w:rPr>
                <w:rFonts w:eastAsia="標楷體"/>
                <w:kern w:val="0"/>
              </w:rPr>
              <w:t>3</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tcPr>
          <w:p w:rsidR="007370CD" w:rsidRPr="00131B9D" w:rsidDel="006C65F6" w:rsidRDefault="007370CD" w:rsidP="00B22890">
            <w:pPr>
              <w:jc w:val="center"/>
              <w:rPr>
                <w:color w:val="000000"/>
              </w:rPr>
            </w:pPr>
            <w:r w:rsidRPr="00131B9D">
              <w:t>9,930</w:t>
            </w:r>
          </w:p>
        </w:tc>
        <w:tc>
          <w:tcPr>
            <w:tcW w:w="1696" w:type="dxa"/>
            <w:tcBorders>
              <w:left w:val="single" w:sz="4" w:space="0" w:color="auto"/>
              <w:bottom w:val="single" w:sz="4" w:space="0" w:color="auto"/>
            </w:tcBorders>
            <w:shd w:val="clear" w:color="auto" w:fill="auto"/>
            <w:noWrap/>
            <w:vAlign w:val="center"/>
          </w:tcPr>
          <w:p w:rsidR="007370CD" w:rsidRPr="00131B9D" w:rsidDel="006C65F6" w:rsidRDefault="007370CD" w:rsidP="00B22890">
            <w:pPr>
              <w:jc w:val="center"/>
              <w:rPr>
                <w:color w:val="000000"/>
              </w:rPr>
            </w:pPr>
            <w:r w:rsidRPr="00131B9D">
              <w:rPr>
                <w:color w:val="000000"/>
              </w:rPr>
              <w:t>-8.73%</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Del="006C65F6" w:rsidRDefault="007370CD" w:rsidP="00B22890">
            <w:pPr>
              <w:widowControl/>
              <w:spacing w:line="240" w:lineRule="exact"/>
              <w:jc w:val="center"/>
              <w:rPr>
                <w:rFonts w:eastAsia="標楷體"/>
                <w:kern w:val="0"/>
              </w:rPr>
            </w:pPr>
            <w:r w:rsidRPr="00131B9D">
              <w:rPr>
                <w:rFonts w:eastAsia="標楷體"/>
                <w:kern w:val="0"/>
              </w:rPr>
              <w:t>4</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tcPr>
          <w:p w:rsidR="007370CD" w:rsidRPr="00131B9D" w:rsidDel="006C65F6" w:rsidRDefault="007370CD" w:rsidP="00B22890">
            <w:pPr>
              <w:jc w:val="center"/>
              <w:rPr>
                <w:color w:val="000000"/>
              </w:rPr>
            </w:pPr>
            <w:r w:rsidRPr="00131B9D">
              <w:t>9,165</w:t>
            </w:r>
          </w:p>
        </w:tc>
        <w:tc>
          <w:tcPr>
            <w:tcW w:w="1696" w:type="dxa"/>
            <w:tcBorders>
              <w:left w:val="single" w:sz="4" w:space="0" w:color="auto"/>
              <w:bottom w:val="single" w:sz="4" w:space="0" w:color="auto"/>
            </w:tcBorders>
            <w:shd w:val="clear" w:color="auto" w:fill="auto"/>
            <w:noWrap/>
            <w:vAlign w:val="center"/>
          </w:tcPr>
          <w:p w:rsidR="007370CD" w:rsidRPr="00131B9D" w:rsidDel="006C65F6" w:rsidRDefault="007370CD" w:rsidP="00B22890">
            <w:pPr>
              <w:jc w:val="center"/>
              <w:rPr>
                <w:color w:val="000000"/>
              </w:rPr>
            </w:pPr>
            <w:r w:rsidRPr="00131B9D">
              <w:rPr>
                <w:color w:val="000000"/>
              </w:rPr>
              <w:t>-7.70%</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5</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tcPr>
          <w:p w:rsidR="007370CD" w:rsidRPr="00131B9D" w:rsidRDefault="007370CD" w:rsidP="00B22890">
            <w:pPr>
              <w:jc w:val="center"/>
              <w:rPr>
                <w:color w:val="000000"/>
              </w:rPr>
            </w:pPr>
            <w:r w:rsidRPr="00131B9D">
              <w:t>7,570</w:t>
            </w:r>
          </w:p>
        </w:tc>
        <w:tc>
          <w:tcPr>
            <w:tcW w:w="1696" w:type="dxa"/>
            <w:tcBorders>
              <w:left w:val="single" w:sz="4" w:space="0" w:color="auto"/>
              <w:bottom w:val="single" w:sz="4" w:space="0" w:color="auto"/>
            </w:tcBorders>
            <w:shd w:val="clear" w:color="auto" w:fill="auto"/>
            <w:noWrap/>
            <w:vAlign w:val="center"/>
          </w:tcPr>
          <w:p w:rsidR="007370CD" w:rsidRPr="00131B9D" w:rsidRDefault="007370CD" w:rsidP="00B22890">
            <w:pPr>
              <w:jc w:val="center"/>
              <w:rPr>
                <w:color w:val="000000"/>
              </w:rPr>
            </w:pPr>
            <w:r w:rsidRPr="00131B9D">
              <w:rPr>
                <w:color w:val="000000"/>
              </w:rPr>
              <w:t>-17.40%</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6</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tcPr>
          <w:p w:rsidR="007370CD" w:rsidRPr="00131B9D" w:rsidRDefault="007370CD" w:rsidP="00B22890">
            <w:pPr>
              <w:jc w:val="center"/>
            </w:pPr>
            <w:r w:rsidRPr="00131B9D">
              <w:t>7,635</w:t>
            </w:r>
          </w:p>
        </w:tc>
        <w:tc>
          <w:tcPr>
            <w:tcW w:w="1696" w:type="dxa"/>
            <w:tcBorders>
              <w:left w:val="single" w:sz="4" w:space="0" w:color="auto"/>
              <w:bottom w:val="single" w:sz="4" w:space="0" w:color="auto"/>
            </w:tcBorders>
            <w:shd w:val="clear" w:color="auto" w:fill="auto"/>
            <w:noWrap/>
            <w:vAlign w:val="center"/>
          </w:tcPr>
          <w:p w:rsidR="007370CD" w:rsidRPr="00131B9D" w:rsidRDefault="007370CD" w:rsidP="00B22890">
            <w:pPr>
              <w:jc w:val="center"/>
              <w:rPr>
                <w:color w:val="000000"/>
              </w:rPr>
            </w:pPr>
            <w:r w:rsidRPr="00131B9D">
              <w:rPr>
                <w:color w:val="000000"/>
              </w:rPr>
              <w:t>0.86%</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7</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tcPr>
          <w:p w:rsidR="007370CD" w:rsidRPr="00131B9D" w:rsidRDefault="007370CD" w:rsidP="00B22890">
            <w:pPr>
              <w:jc w:val="center"/>
            </w:pPr>
            <w:r w:rsidRPr="00131B9D">
              <w:t>7,040</w:t>
            </w:r>
          </w:p>
        </w:tc>
        <w:tc>
          <w:tcPr>
            <w:tcW w:w="1696" w:type="dxa"/>
            <w:tcBorders>
              <w:left w:val="single" w:sz="4" w:space="0" w:color="auto"/>
              <w:bottom w:val="single" w:sz="4" w:space="0" w:color="auto"/>
            </w:tcBorders>
            <w:shd w:val="clear" w:color="auto" w:fill="auto"/>
            <w:noWrap/>
            <w:vAlign w:val="center"/>
          </w:tcPr>
          <w:p w:rsidR="007370CD" w:rsidRPr="00131B9D" w:rsidRDefault="007370CD" w:rsidP="00B22890">
            <w:pPr>
              <w:jc w:val="center"/>
              <w:rPr>
                <w:color w:val="000000"/>
              </w:rPr>
            </w:pPr>
            <w:r w:rsidRPr="00131B9D">
              <w:rPr>
                <w:color w:val="000000"/>
              </w:rPr>
              <w:t>-7.79%</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8</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tcPr>
          <w:p w:rsidR="007370CD" w:rsidRPr="00131B9D" w:rsidRDefault="007370CD" w:rsidP="00B22890">
            <w:pPr>
              <w:jc w:val="center"/>
            </w:pPr>
            <w:r w:rsidRPr="00131B9D">
              <w:t>6,980</w:t>
            </w:r>
          </w:p>
        </w:tc>
        <w:tc>
          <w:tcPr>
            <w:tcW w:w="1696" w:type="dxa"/>
            <w:tcBorders>
              <w:left w:val="single" w:sz="4" w:space="0" w:color="auto"/>
              <w:bottom w:val="single" w:sz="4" w:space="0" w:color="auto"/>
            </w:tcBorders>
            <w:shd w:val="clear" w:color="auto" w:fill="auto"/>
            <w:noWrap/>
            <w:vAlign w:val="center"/>
          </w:tcPr>
          <w:p w:rsidR="007370CD" w:rsidRPr="00131B9D" w:rsidRDefault="007370CD" w:rsidP="00B22890">
            <w:pPr>
              <w:jc w:val="center"/>
              <w:rPr>
                <w:color w:val="000000"/>
              </w:rPr>
            </w:pPr>
            <w:r w:rsidRPr="00131B9D">
              <w:rPr>
                <w:color w:val="000000"/>
              </w:rPr>
              <w:t>-0.85%</w:t>
            </w:r>
          </w:p>
        </w:tc>
      </w:tr>
      <w:tr w:rsidR="007370CD" w:rsidRPr="00131B9D" w:rsidTr="00B22890">
        <w:trPr>
          <w:trHeight w:val="330"/>
          <w:jc w:val="center"/>
        </w:trPr>
        <w:tc>
          <w:tcPr>
            <w:tcW w:w="2310" w:type="dxa"/>
            <w:tcBorders>
              <w:bottom w:val="single" w:sz="4" w:space="0" w:color="auto"/>
              <w:right w:val="single" w:sz="4" w:space="0" w:color="auto"/>
            </w:tcBorders>
            <w:shd w:val="clear" w:color="auto" w:fill="auto"/>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9</w:t>
            </w:r>
            <w:r w:rsidRPr="00131B9D">
              <w:rPr>
                <w:rFonts w:eastAsia="標楷體"/>
                <w:kern w:val="0"/>
              </w:rPr>
              <w:t>月</w:t>
            </w:r>
          </w:p>
        </w:tc>
        <w:tc>
          <w:tcPr>
            <w:tcW w:w="1540" w:type="dxa"/>
            <w:tcBorders>
              <w:left w:val="single" w:sz="4" w:space="0" w:color="auto"/>
              <w:bottom w:val="single" w:sz="4" w:space="0" w:color="auto"/>
              <w:right w:val="single" w:sz="4" w:space="0" w:color="auto"/>
            </w:tcBorders>
            <w:shd w:val="clear" w:color="auto" w:fill="auto"/>
            <w:noWrap/>
          </w:tcPr>
          <w:p w:rsidR="007370CD" w:rsidRPr="00131B9D" w:rsidRDefault="007370CD" w:rsidP="00B22890">
            <w:pPr>
              <w:jc w:val="center"/>
              <w:rPr>
                <w:color w:val="000000"/>
              </w:rPr>
            </w:pPr>
            <w:r w:rsidRPr="00131B9D">
              <w:t>4,825</w:t>
            </w:r>
          </w:p>
        </w:tc>
        <w:tc>
          <w:tcPr>
            <w:tcW w:w="1696" w:type="dxa"/>
            <w:tcBorders>
              <w:left w:val="single" w:sz="4" w:space="0" w:color="auto"/>
              <w:bottom w:val="single" w:sz="4" w:space="0" w:color="auto"/>
            </w:tcBorders>
            <w:shd w:val="clear" w:color="auto" w:fill="auto"/>
            <w:noWrap/>
            <w:vAlign w:val="center"/>
          </w:tcPr>
          <w:p w:rsidR="007370CD" w:rsidRPr="00131B9D" w:rsidRDefault="007370CD" w:rsidP="00B22890">
            <w:pPr>
              <w:jc w:val="center"/>
              <w:rPr>
                <w:color w:val="000000"/>
              </w:rPr>
            </w:pPr>
            <w:r w:rsidRPr="00131B9D">
              <w:rPr>
                <w:color w:val="000000"/>
              </w:rPr>
              <w:t>-30.87%</w:t>
            </w:r>
          </w:p>
        </w:tc>
      </w:tr>
      <w:tr w:rsidR="007370CD" w:rsidRPr="00131B9D" w:rsidTr="00B22890">
        <w:trPr>
          <w:trHeight w:val="330"/>
          <w:jc w:val="center"/>
        </w:trPr>
        <w:tc>
          <w:tcPr>
            <w:tcW w:w="2310" w:type="dxa"/>
            <w:tcBorders>
              <w:top w:val="single" w:sz="4" w:space="0" w:color="auto"/>
              <w:bottom w:val="double" w:sz="4" w:space="0" w:color="auto"/>
              <w:right w:val="single" w:sz="4" w:space="0" w:color="auto"/>
            </w:tcBorders>
            <w:shd w:val="clear" w:color="auto" w:fill="auto"/>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10</w:t>
            </w:r>
            <w:r w:rsidRPr="00131B9D">
              <w:rPr>
                <w:rFonts w:eastAsia="標楷體"/>
                <w:kern w:val="0"/>
              </w:rPr>
              <w:t>月</w:t>
            </w:r>
          </w:p>
        </w:tc>
        <w:tc>
          <w:tcPr>
            <w:tcW w:w="1540" w:type="dxa"/>
            <w:tcBorders>
              <w:top w:val="single" w:sz="4" w:space="0" w:color="auto"/>
              <w:left w:val="single" w:sz="4" w:space="0" w:color="auto"/>
              <w:bottom w:val="double" w:sz="4" w:space="0" w:color="auto"/>
              <w:right w:val="single" w:sz="4" w:space="0" w:color="auto"/>
            </w:tcBorders>
            <w:shd w:val="clear" w:color="auto" w:fill="auto"/>
            <w:noWrap/>
          </w:tcPr>
          <w:p w:rsidR="007370CD" w:rsidRPr="00131B9D" w:rsidRDefault="007370CD" w:rsidP="00B22890">
            <w:pPr>
              <w:jc w:val="center"/>
              <w:rPr>
                <w:color w:val="000000"/>
              </w:rPr>
            </w:pPr>
            <w:r w:rsidRPr="00131B9D">
              <w:rPr>
                <w:color w:val="000000"/>
              </w:rPr>
              <w:t>4,990</w:t>
            </w:r>
          </w:p>
        </w:tc>
        <w:tc>
          <w:tcPr>
            <w:tcW w:w="1696" w:type="dxa"/>
            <w:tcBorders>
              <w:top w:val="single" w:sz="4" w:space="0" w:color="auto"/>
              <w:left w:val="single" w:sz="4" w:space="0" w:color="auto"/>
              <w:bottom w:val="double" w:sz="4" w:space="0" w:color="auto"/>
            </w:tcBorders>
            <w:shd w:val="clear" w:color="auto" w:fill="auto"/>
            <w:noWrap/>
            <w:vAlign w:val="center"/>
          </w:tcPr>
          <w:p w:rsidR="007370CD" w:rsidRPr="00131B9D" w:rsidRDefault="007370CD" w:rsidP="00B22890">
            <w:pPr>
              <w:jc w:val="center"/>
              <w:rPr>
                <w:color w:val="000000"/>
              </w:rPr>
            </w:pPr>
            <w:r w:rsidRPr="00131B9D">
              <w:rPr>
                <w:color w:val="000000"/>
              </w:rPr>
              <w:t>3.42%</w:t>
            </w:r>
          </w:p>
        </w:tc>
      </w:tr>
      <w:tr w:rsidR="007370CD" w:rsidRPr="00131B9D" w:rsidTr="00B22890">
        <w:trPr>
          <w:trHeight w:val="330"/>
          <w:jc w:val="center"/>
        </w:trPr>
        <w:tc>
          <w:tcPr>
            <w:tcW w:w="2310" w:type="dxa"/>
            <w:tcBorders>
              <w:top w:val="doub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b/>
                <w:kern w:val="0"/>
              </w:rPr>
            </w:pPr>
            <w:r w:rsidRPr="00131B9D">
              <w:rPr>
                <w:rFonts w:eastAsia="標楷體"/>
                <w:b/>
                <w:kern w:val="0"/>
              </w:rPr>
              <w:t>世界金屬統計（</w:t>
            </w:r>
            <w:r w:rsidRPr="00131B9D">
              <w:rPr>
                <w:rFonts w:eastAsia="標楷體"/>
                <w:b/>
                <w:kern w:val="0"/>
              </w:rPr>
              <w:t>WBMS</w:t>
            </w:r>
            <w:r w:rsidRPr="00131B9D">
              <w:rPr>
                <w:rFonts w:eastAsia="標楷體"/>
                <w:b/>
                <w:kern w:val="0"/>
              </w:rPr>
              <w:t>）</w:t>
            </w:r>
          </w:p>
        </w:tc>
        <w:tc>
          <w:tcPr>
            <w:tcW w:w="3236" w:type="dxa"/>
            <w:gridSpan w:val="2"/>
            <w:tcBorders>
              <w:top w:val="doub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b/>
                <w:kern w:val="0"/>
              </w:rPr>
            </w:pPr>
            <w:r w:rsidRPr="00131B9D">
              <w:rPr>
                <w:rFonts w:eastAsia="標楷體"/>
                <w:b/>
                <w:kern w:val="0"/>
              </w:rPr>
              <w:t>過剩量</w:t>
            </w:r>
            <w:r w:rsidRPr="00131B9D">
              <w:rPr>
                <w:rFonts w:eastAsia="標楷體"/>
                <w:b/>
                <w:kern w:val="0"/>
              </w:rPr>
              <w:t>(</w:t>
            </w:r>
            <w:r w:rsidRPr="00131B9D">
              <w:rPr>
                <w:rFonts w:eastAsia="標楷體"/>
                <w:b/>
                <w:kern w:val="0"/>
              </w:rPr>
              <w:t>公噸</w:t>
            </w:r>
            <w:r w:rsidRPr="00131B9D">
              <w:rPr>
                <w:rFonts w:eastAsia="標楷體"/>
                <w:b/>
                <w:kern w:val="0"/>
              </w:rPr>
              <w:t>)</w:t>
            </w:r>
          </w:p>
        </w:tc>
      </w:tr>
      <w:tr w:rsidR="007370CD" w:rsidRPr="00131B9D" w:rsidTr="00B22890">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2013</w:t>
            </w:r>
            <w:r w:rsidRPr="00131B9D">
              <w:rPr>
                <w:rFonts w:eastAsia="標楷體"/>
                <w:kern w:val="0"/>
              </w:rPr>
              <w:t>年</w:t>
            </w:r>
            <w:r w:rsidRPr="00131B9D">
              <w:rPr>
                <w:rFonts w:eastAsia="標楷體"/>
                <w:kern w:val="0"/>
              </w:rPr>
              <w:t>1-12</w:t>
            </w:r>
            <w:r w:rsidRPr="00131B9D">
              <w:rPr>
                <w:rFonts w:eastAsia="標楷體"/>
                <w:kern w:val="0"/>
              </w:rPr>
              <w:t>月</w:t>
            </w:r>
          </w:p>
        </w:tc>
        <w:tc>
          <w:tcPr>
            <w:tcW w:w="3236" w:type="dxa"/>
            <w:gridSpan w:val="2"/>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jc w:val="center"/>
              <w:rPr>
                <w:color w:val="000000"/>
                <w:sz w:val="23"/>
                <w:szCs w:val="23"/>
              </w:rPr>
            </w:pPr>
            <w:r w:rsidRPr="00131B9D">
              <w:rPr>
                <w:rFonts w:eastAsia="標楷體"/>
                <w:kern w:val="0"/>
                <w:sz w:val="23"/>
                <w:szCs w:val="23"/>
              </w:rPr>
              <w:t>-10,300</w:t>
            </w:r>
          </w:p>
        </w:tc>
      </w:tr>
      <w:tr w:rsidR="007370CD" w:rsidRPr="00131B9D" w:rsidTr="00B22890">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2014</w:t>
            </w:r>
            <w:r w:rsidRPr="00131B9D">
              <w:rPr>
                <w:rFonts w:eastAsia="標楷體"/>
                <w:kern w:val="0"/>
              </w:rPr>
              <w:t>年</w:t>
            </w:r>
            <w:r w:rsidRPr="00131B9D">
              <w:rPr>
                <w:rFonts w:eastAsia="標楷體"/>
                <w:kern w:val="0"/>
              </w:rPr>
              <w:t>1-12</w:t>
            </w:r>
            <w:r w:rsidRPr="00131B9D">
              <w:rPr>
                <w:rFonts w:eastAsia="標楷體"/>
                <w:kern w:val="0"/>
              </w:rPr>
              <w:t>月</w:t>
            </w:r>
          </w:p>
        </w:tc>
        <w:tc>
          <w:tcPr>
            <w:tcW w:w="3236" w:type="dxa"/>
            <w:gridSpan w:val="2"/>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color w:val="000000"/>
              </w:rPr>
            </w:pPr>
            <w:r w:rsidRPr="00131B9D">
              <w:rPr>
                <w:rFonts w:eastAsia="標楷體"/>
                <w:kern w:val="0"/>
                <w:sz w:val="23"/>
                <w:szCs w:val="23"/>
              </w:rPr>
              <w:t>7,300</w:t>
            </w:r>
          </w:p>
        </w:tc>
      </w:tr>
      <w:tr w:rsidR="007370CD" w:rsidRPr="00131B9D" w:rsidTr="00B22890">
        <w:trPr>
          <w:trHeight w:val="330"/>
          <w:jc w:val="center"/>
        </w:trPr>
        <w:tc>
          <w:tcPr>
            <w:tcW w:w="2310" w:type="dxa"/>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kern w:val="0"/>
              </w:rPr>
            </w:pPr>
            <w:r w:rsidRPr="00131B9D">
              <w:rPr>
                <w:rFonts w:eastAsia="標楷體"/>
                <w:kern w:val="0"/>
              </w:rPr>
              <w:t>2015</w:t>
            </w:r>
            <w:r w:rsidRPr="00131B9D">
              <w:rPr>
                <w:rFonts w:eastAsia="標楷體"/>
                <w:kern w:val="0"/>
              </w:rPr>
              <w:t>年</w:t>
            </w:r>
            <w:r w:rsidRPr="00131B9D">
              <w:rPr>
                <w:rFonts w:eastAsia="標楷體"/>
                <w:kern w:val="0"/>
              </w:rPr>
              <w:t>1-8</w:t>
            </w:r>
            <w:r w:rsidRPr="00131B9D">
              <w:rPr>
                <w:rFonts w:eastAsia="標楷體"/>
                <w:kern w:val="0"/>
              </w:rPr>
              <w:t>月</w:t>
            </w:r>
          </w:p>
        </w:tc>
        <w:tc>
          <w:tcPr>
            <w:tcW w:w="3236" w:type="dxa"/>
            <w:gridSpan w:val="2"/>
            <w:tcBorders>
              <w:top w:val="single" w:sz="4" w:space="0" w:color="auto"/>
              <w:left w:val="single" w:sz="4" w:space="0" w:color="auto"/>
              <w:bottom w:val="single" w:sz="4" w:space="0" w:color="auto"/>
              <w:right w:val="single" w:sz="4" w:space="0" w:color="auto"/>
            </w:tcBorders>
            <w:noWrap/>
            <w:vAlign w:val="center"/>
          </w:tcPr>
          <w:p w:rsidR="007370CD" w:rsidRPr="00131B9D" w:rsidRDefault="007370CD" w:rsidP="00B22890">
            <w:pPr>
              <w:widowControl/>
              <w:spacing w:line="240" w:lineRule="exact"/>
              <w:jc w:val="center"/>
              <w:rPr>
                <w:rFonts w:eastAsia="標楷體"/>
                <w:kern w:val="0"/>
                <w:sz w:val="23"/>
                <w:szCs w:val="23"/>
              </w:rPr>
            </w:pPr>
            <w:r w:rsidRPr="00131B9D">
              <w:rPr>
                <w:rFonts w:eastAsia="標楷體"/>
                <w:kern w:val="0"/>
                <w:sz w:val="23"/>
                <w:szCs w:val="23"/>
              </w:rPr>
              <w:t>-9,600</w:t>
            </w:r>
          </w:p>
        </w:tc>
      </w:tr>
    </w:tbl>
    <w:p w:rsidR="007370CD" w:rsidRPr="00131B9D" w:rsidRDefault="00B22890" w:rsidP="00B22890">
      <w:pPr>
        <w:ind w:firstLineChars="638" w:firstLine="1276"/>
      </w:pPr>
      <w:r w:rsidRPr="00131B9D">
        <w:rPr>
          <w:rFonts w:eastAsia="標楷體"/>
          <w:sz w:val="20"/>
          <w:szCs w:val="20"/>
        </w:rPr>
        <w:t>資料來源：</w:t>
      </w:r>
      <w:r w:rsidRPr="00131B9D">
        <w:rPr>
          <w:rFonts w:eastAsia="標楷體"/>
          <w:kern w:val="0"/>
          <w:sz w:val="20"/>
          <w:szCs w:val="20"/>
        </w:rPr>
        <w:t>LME</w:t>
      </w:r>
      <w:r w:rsidRPr="00131B9D">
        <w:rPr>
          <w:rFonts w:eastAsia="標楷體"/>
          <w:kern w:val="0"/>
          <w:sz w:val="20"/>
          <w:szCs w:val="20"/>
        </w:rPr>
        <w:t>統計、世界金屬統計（</w:t>
      </w:r>
      <w:r w:rsidRPr="00131B9D">
        <w:rPr>
          <w:rFonts w:eastAsia="標楷體"/>
          <w:kern w:val="0"/>
          <w:sz w:val="20"/>
          <w:szCs w:val="20"/>
        </w:rPr>
        <w:t>WBMS</w:t>
      </w:r>
      <w:r w:rsidRPr="00131B9D">
        <w:rPr>
          <w:rFonts w:eastAsia="標楷體"/>
          <w:kern w:val="0"/>
          <w:sz w:val="20"/>
          <w:szCs w:val="20"/>
        </w:rPr>
        <w:t>）。</w:t>
      </w:r>
    </w:p>
    <w:p w:rsidR="007370CD" w:rsidRPr="00131B9D" w:rsidRDefault="007370CD" w:rsidP="00B22890"/>
    <w:p w:rsidR="00F279F7" w:rsidRPr="00131B9D" w:rsidRDefault="00F279F7" w:rsidP="00F279F7">
      <w:pPr>
        <w:pStyle w:val="-"/>
        <w:spacing w:before="72" w:after="72"/>
        <w:ind w:firstLineChars="0" w:firstLine="0"/>
        <w:rPr>
          <w:b/>
        </w:rPr>
      </w:pPr>
      <w:r w:rsidRPr="00131B9D">
        <w:rPr>
          <w:b/>
        </w:rPr>
        <w:t>3.</w:t>
      </w:r>
      <w:r w:rsidRPr="00131B9D">
        <w:rPr>
          <w:b/>
        </w:rPr>
        <w:t xml:space="preserve">　</w:t>
      </w:r>
      <w:r w:rsidRPr="00131B9D">
        <w:rPr>
          <w:b/>
        </w:rPr>
        <w:t>2016</w:t>
      </w:r>
      <w:r w:rsidRPr="00131B9D">
        <w:rPr>
          <w:b/>
        </w:rPr>
        <w:t>年展望</w:t>
      </w:r>
    </w:p>
    <w:p w:rsidR="00F279F7" w:rsidRPr="00131B9D" w:rsidRDefault="00127C79" w:rsidP="00F279F7">
      <w:pPr>
        <w:pStyle w:val="-"/>
        <w:spacing w:before="72" w:after="72"/>
        <w:ind w:firstLine="560"/>
      </w:pPr>
      <w:r w:rsidRPr="00131B9D">
        <w:t>國際錫業協會（</w:t>
      </w:r>
      <w:r w:rsidRPr="00131B9D">
        <w:t>ITRI</w:t>
      </w:r>
      <w:r w:rsidRPr="00131B9D">
        <w:t>）預估，印尼</w:t>
      </w:r>
      <w:r w:rsidRPr="00131B9D">
        <w:t>2015</w:t>
      </w:r>
      <w:r w:rsidRPr="00131B9D">
        <w:t>年錫產量將從去年的</w:t>
      </w:r>
      <w:r w:rsidRPr="00131B9D">
        <w:t>88,000</w:t>
      </w:r>
      <w:r w:rsidRPr="00131B9D">
        <w:t>噸降至</w:t>
      </w:r>
      <w:r w:rsidRPr="00131B9D">
        <w:t>78,000</w:t>
      </w:r>
      <w:r w:rsidRPr="00131B9D">
        <w:t>噸。印尼錫出口商協會（</w:t>
      </w:r>
      <w:r w:rsidRPr="00131B9D">
        <w:t>AETI</w:t>
      </w:r>
      <w:r w:rsidRPr="00131B9D">
        <w:t>）會長</w:t>
      </w:r>
      <w:r w:rsidRPr="00131B9D">
        <w:t>Jabin Sufianto</w:t>
      </w:r>
      <w:r w:rsidRPr="00131B9D">
        <w:t>表示，該國</w:t>
      </w:r>
      <w:r w:rsidRPr="00131B9D">
        <w:t>2016</w:t>
      </w:r>
      <w:r w:rsidRPr="00131B9D">
        <w:t>年錫出口量料介於</w:t>
      </w:r>
      <w:r w:rsidRPr="00131B9D">
        <w:t>50,000-60,000</w:t>
      </w:r>
      <w:r w:rsidRPr="00131B9D">
        <w:t>噸，今年估計低於</w:t>
      </w:r>
      <w:r w:rsidRPr="00131B9D">
        <w:t>6.5</w:t>
      </w:r>
      <w:r w:rsidRPr="00131B9D">
        <w:t>萬噸。</w:t>
      </w:r>
      <w:r w:rsidRPr="00131B9D">
        <w:t>Sufianto</w:t>
      </w:r>
      <w:r w:rsidRPr="00131B9D">
        <w:t>指出，新的出口規則要求錫出口商從</w:t>
      </w:r>
      <w:r w:rsidRPr="00131B9D">
        <w:t>11</w:t>
      </w:r>
      <w:r w:rsidRPr="00131B9D">
        <w:t>月</w:t>
      </w:r>
      <w:r w:rsidRPr="00131B9D">
        <w:t>1</w:t>
      </w:r>
      <w:r w:rsidRPr="00131B9D">
        <w:t>日起持有</w:t>
      </w:r>
      <w:r w:rsidRPr="00131B9D">
        <w:t>“</w:t>
      </w:r>
      <w:r w:rsidRPr="00131B9D">
        <w:t>乾淨且明確的</w:t>
      </w:r>
      <w:r w:rsidRPr="00131B9D">
        <w:t>”</w:t>
      </w:r>
      <w:r w:rsidRPr="00131B9D">
        <w:t>合法證明，可能阻礙錫出口。並預估</w:t>
      </w:r>
      <w:r w:rsidRPr="00131B9D">
        <w:t>2016</w:t>
      </w:r>
      <w:r w:rsidRPr="00131B9D">
        <w:t>年倫敦金屬交易所（</w:t>
      </w:r>
      <w:r w:rsidRPr="00131B9D">
        <w:t>LME</w:t>
      </w:r>
      <w:r w:rsidRPr="00131B9D">
        <w:t>）三個月期錫價格至少會達到每噸</w:t>
      </w:r>
      <w:r w:rsidRPr="00131B9D">
        <w:t>20,000</w:t>
      </w:r>
      <w:r w:rsidRPr="00131B9D">
        <w:t>美元，相比</w:t>
      </w:r>
      <w:r w:rsidRPr="00131B9D">
        <w:t>11</w:t>
      </w:r>
      <w:r w:rsidRPr="00131B9D">
        <w:t>月</w:t>
      </w:r>
      <w:r w:rsidRPr="00131B9D">
        <w:t>19</w:t>
      </w:r>
      <w:r w:rsidRPr="00131B9D">
        <w:t>日的收盤價格為每噸</w:t>
      </w:r>
      <w:r w:rsidRPr="00131B9D">
        <w:t>14,660</w:t>
      </w:r>
      <w:r w:rsidRPr="00131B9D">
        <w:t>美元，顯示</w:t>
      </w:r>
      <w:r w:rsidRPr="00131B9D">
        <w:t>2016</w:t>
      </w:r>
      <w:r w:rsidRPr="00131B9D">
        <w:t>錫價將可能出現上漲格局。</w:t>
      </w:r>
    </w:p>
    <w:p w:rsidR="00F279F7" w:rsidRPr="00131B9D" w:rsidRDefault="00F279F7" w:rsidP="00F279F7"/>
    <w:p w:rsidR="00F279F7" w:rsidRPr="00131B9D" w:rsidRDefault="00F279F7" w:rsidP="00F279F7">
      <w:pPr>
        <w:pStyle w:val="3"/>
        <w:rPr>
          <w:rFonts w:ascii="Times New Roman" w:hAnsi="Times New Roman"/>
        </w:rPr>
      </w:pPr>
      <w:bookmarkStart w:id="183" w:name="_Toc322706946"/>
      <w:r w:rsidRPr="00131B9D">
        <w:rPr>
          <w:rFonts w:ascii="Times New Roman" w:hAnsi="Times New Roman"/>
        </w:rPr>
        <w:t>（七）鎂</w:t>
      </w:r>
      <w:bookmarkEnd w:id="183"/>
    </w:p>
    <w:p w:rsidR="00F279F7" w:rsidRPr="00131B9D" w:rsidRDefault="00F279F7" w:rsidP="00F279F7">
      <w:pPr>
        <w:pStyle w:val="-"/>
        <w:spacing w:before="72" w:after="72"/>
        <w:ind w:firstLine="560"/>
      </w:pPr>
      <w:bookmarkStart w:id="184" w:name="OLE_LINK162"/>
      <w:bookmarkStart w:id="185" w:name="OLE_LINK163"/>
      <w:r w:rsidRPr="00131B9D">
        <w:t>2014</w:t>
      </w:r>
      <w:r w:rsidRPr="00131B9D">
        <w:t>年全球鎂礦產量為</w:t>
      </w:r>
      <w:r w:rsidRPr="00131B9D">
        <w:t>90.7</w:t>
      </w:r>
      <w:r w:rsidRPr="00131B9D">
        <w:t>萬公噸，全球產量最大國家為中國大陸，</w:t>
      </w:r>
      <w:r w:rsidRPr="00131B9D">
        <w:t>2014</w:t>
      </w:r>
      <w:r w:rsidRPr="00131B9D">
        <w:t>年產量達</w:t>
      </w:r>
      <w:r w:rsidRPr="00131B9D">
        <w:t>80</w:t>
      </w:r>
      <w:r w:rsidRPr="00131B9D">
        <w:t>萬公噸，已占了總量的八成以上，其次為以</w:t>
      </w:r>
      <w:r w:rsidRPr="00131B9D">
        <w:lastRenderedPageBreak/>
        <w:t>色列的</w:t>
      </w:r>
      <w:r w:rsidRPr="00131B9D">
        <w:t>3</w:t>
      </w:r>
      <w:r w:rsidRPr="00131B9D">
        <w:t>萬公噸，再來為俄國的</w:t>
      </w:r>
      <w:r w:rsidRPr="00131B9D">
        <w:t>2.8</w:t>
      </w:r>
      <w:r w:rsidRPr="00131B9D">
        <w:t>萬公噸、哈薩克的</w:t>
      </w:r>
      <w:r w:rsidRPr="00131B9D">
        <w:t>2.1</w:t>
      </w:r>
      <w:r w:rsidRPr="00131B9D">
        <w:t>萬公噸、巴西的</w:t>
      </w:r>
      <w:r w:rsidRPr="00131B9D">
        <w:t>1.6</w:t>
      </w:r>
      <w:r w:rsidRPr="00131B9D">
        <w:t>萬公噸及南韓的</w:t>
      </w:r>
      <w:r w:rsidRPr="00131B9D">
        <w:t>1</w:t>
      </w:r>
      <w:r w:rsidRPr="00131B9D">
        <w:t>萬公噸等。</w:t>
      </w:r>
    </w:p>
    <w:p w:rsidR="00F279F7" w:rsidRPr="00131B9D" w:rsidRDefault="00F279F7" w:rsidP="00F279F7">
      <w:pPr>
        <w:pStyle w:val="-"/>
        <w:spacing w:before="72" w:after="72"/>
        <w:ind w:firstLine="560"/>
      </w:pPr>
      <w:bookmarkStart w:id="186" w:name="OLE_LINK150"/>
      <w:bookmarkStart w:id="187" w:name="OLE_LINK151"/>
      <w:r w:rsidRPr="00131B9D">
        <w:t>2015</w:t>
      </w:r>
      <w:r w:rsidRPr="00131B9D">
        <w:t>年國際鎂價大致呈現走跌的情勢。第</w:t>
      </w:r>
      <w:r w:rsidRPr="00131B9D">
        <w:t>1</w:t>
      </w:r>
      <w:r w:rsidRPr="00131B9D">
        <w:t>季鎂價整體呈現下跌走勢，國際鎂價在</w:t>
      </w:r>
      <w:r w:rsidRPr="00131B9D">
        <w:t>1</w:t>
      </w:r>
      <w:r w:rsidRPr="00131B9D">
        <w:t>月的平均價格為</w:t>
      </w:r>
      <w:r w:rsidRPr="00131B9D">
        <w:t>2485</w:t>
      </w:r>
      <w:r w:rsidRPr="00131B9D">
        <w:t>美元</w:t>
      </w:r>
      <w:r w:rsidRPr="00131B9D">
        <w:t>/</w:t>
      </w:r>
      <w:r w:rsidRPr="00131B9D">
        <w:t>噸，至</w:t>
      </w:r>
      <w:r w:rsidRPr="00131B9D">
        <w:t>2</w:t>
      </w:r>
      <w:r w:rsidRPr="00131B9D">
        <w:t>月平均價格降為</w:t>
      </w:r>
      <w:r w:rsidRPr="00131B9D">
        <w:t>2,380</w:t>
      </w:r>
      <w:r w:rsidRPr="00131B9D">
        <w:t>美元</w:t>
      </w:r>
      <w:r w:rsidRPr="00131B9D">
        <w:t>/</w:t>
      </w:r>
      <w:r w:rsidRPr="00131B9D">
        <w:t>噸，而</w:t>
      </w:r>
      <w:r w:rsidRPr="00131B9D">
        <w:t>3</w:t>
      </w:r>
      <w:r w:rsidRPr="00131B9D">
        <w:t>月份的平均價格再度下降，為</w:t>
      </w:r>
      <w:r w:rsidRPr="00131B9D">
        <w:t>2,325</w:t>
      </w:r>
      <w:r w:rsidRPr="00131B9D">
        <w:t>美元</w:t>
      </w:r>
      <w:r w:rsidRPr="00131B9D">
        <w:t>/</w:t>
      </w:r>
      <w:r w:rsidRPr="00131B9D">
        <w:t>噸，第</w:t>
      </w:r>
      <w:r w:rsidRPr="00131B9D">
        <w:t>1</w:t>
      </w:r>
      <w:r w:rsidRPr="00131B9D">
        <w:t>季均價</w:t>
      </w:r>
      <w:r w:rsidRPr="00131B9D">
        <w:t>2,397</w:t>
      </w:r>
      <w:r w:rsidRPr="00131B9D">
        <w:t>美元</w:t>
      </w:r>
      <w:r w:rsidRPr="00131B9D">
        <w:t>/</w:t>
      </w:r>
      <w:r w:rsidRPr="00131B9D">
        <w:t>噸，則較前一季下跌</w:t>
      </w:r>
      <w:r w:rsidRPr="00131B9D">
        <w:t>6.9%</w:t>
      </w:r>
      <w:r w:rsidRPr="00131B9D">
        <w:t>。</w:t>
      </w:r>
      <w:bookmarkEnd w:id="186"/>
      <w:bookmarkEnd w:id="187"/>
      <w:r w:rsidRPr="00131B9D">
        <w:t>第</w:t>
      </w:r>
      <w:r w:rsidRPr="00131B9D">
        <w:t>2</w:t>
      </w:r>
      <w:r w:rsidRPr="00131B9D">
        <w:t>季鎂價整體呈現較平穩走勢，平均價格為</w:t>
      </w:r>
      <w:r w:rsidRPr="00131B9D">
        <w:t>2,300</w:t>
      </w:r>
      <w:r w:rsidRPr="00131B9D">
        <w:t>美元</w:t>
      </w:r>
      <w:r w:rsidRPr="00131B9D">
        <w:t>/</w:t>
      </w:r>
      <w:r w:rsidRPr="00131B9D">
        <w:t>公噸，較第</w:t>
      </w:r>
      <w:r w:rsidRPr="00131B9D">
        <w:t>1</w:t>
      </w:r>
      <w:r w:rsidRPr="00131B9D">
        <w:t>季下跌</w:t>
      </w:r>
      <w:r w:rsidRPr="00131B9D">
        <w:t>4%</w:t>
      </w:r>
      <w:r w:rsidRPr="00131B9D">
        <w:t>。第</w:t>
      </w:r>
      <w:r w:rsidRPr="00131B9D">
        <w:t>3</w:t>
      </w:r>
      <w:r w:rsidRPr="00131B9D">
        <w:t>季鎂價仍下跌，</w:t>
      </w:r>
      <w:r w:rsidRPr="00131B9D">
        <w:t>7</w:t>
      </w:r>
      <w:r w:rsidRPr="00131B9D">
        <w:t>月的平均價格為</w:t>
      </w:r>
      <w:r w:rsidRPr="00131B9D">
        <w:t>2,275</w:t>
      </w:r>
      <w:r w:rsidRPr="00131B9D">
        <w:t>美元</w:t>
      </w:r>
      <w:r w:rsidRPr="00131B9D">
        <w:t>/</w:t>
      </w:r>
      <w:r w:rsidRPr="00131B9D">
        <w:t>公噸，至</w:t>
      </w:r>
      <w:r w:rsidRPr="00131B9D">
        <w:t>8</w:t>
      </w:r>
      <w:r w:rsidRPr="00131B9D">
        <w:t>月平均價格微降至</w:t>
      </w:r>
      <w:r w:rsidRPr="00131B9D">
        <w:t>2,273</w:t>
      </w:r>
      <w:r w:rsidRPr="00131B9D">
        <w:t>美元</w:t>
      </w:r>
      <w:r w:rsidRPr="00131B9D">
        <w:t>/</w:t>
      </w:r>
      <w:r w:rsidRPr="00131B9D">
        <w:t>公噸，而</w:t>
      </w:r>
      <w:r w:rsidRPr="00131B9D">
        <w:t>9</w:t>
      </w:r>
      <w:r w:rsidRPr="00131B9D">
        <w:t>月份的平均價格再降為</w:t>
      </w:r>
      <w:r w:rsidRPr="00131B9D">
        <w:t>2,178.33</w:t>
      </w:r>
      <w:r w:rsidRPr="00131B9D">
        <w:t>美元</w:t>
      </w:r>
      <w:r w:rsidRPr="00131B9D">
        <w:t>/</w:t>
      </w:r>
      <w:r w:rsidRPr="00131B9D">
        <w:t>公噸；第</w:t>
      </w:r>
      <w:r w:rsidRPr="00131B9D">
        <w:t>3</w:t>
      </w:r>
      <w:r w:rsidRPr="00131B9D">
        <w:t>季均價</w:t>
      </w:r>
      <w:r w:rsidRPr="00131B9D">
        <w:t>2,243</w:t>
      </w:r>
      <w:r w:rsidRPr="00131B9D">
        <w:t>美元</w:t>
      </w:r>
      <w:r w:rsidRPr="00131B9D">
        <w:t>/</w:t>
      </w:r>
      <w:r w:rsidRPr="00131B9D">
        <w:t>公噸，則較第</w:t>
      </w:r>
      <w:r w:rsidRPr="00131B9D">
        <w:t>2</w:t>
      </w:r>
      <w:r w:rsidRPr="00131B9D">
        <w:t>季下跌</w:t>
      </w:r>
      <w:r w:rsidRPr="00131B9D">
        <w:t>2.49%</w:t>
      </w:r>
      <w:r w:rsidRPr="00131B9D">
        <w:t>。而</w:t>
      </w:r>
      <w:r w:rsidRPr="00131B9D">
        <w:t>10</w:t>
      </w:r>
      <w:r w:rsidRPr="00131B9D">
        <w:t>月份鎂均價為</w:t>
      </w:r>
      <w:r w:rsidRPr="00131B9D">
        <w:t>2,137</w:t>
      </w:r>
      <w:r w:rsidRPr="00131B9D">
        <w:t>，相較</w:t>
      </w:r>
      <w:r w:rsidRPr="00131B9D">
        <w:t>9</w:t>
      </w:r>
      <w:r w:rsidRPr="00131B9D">
        <w:t>月份再度下跌。（如圖</w:t>
      </w:r>
      <w:r w:rsidRPr="00131B9D">
        <w:t>3-13</w:t>
      </w:r>
      <w:r w:rsidRPr="00131B9D">
        <w:t>）。</w:t>
      </w:r>
    </w:p>
    <w:p w:rsidR="00F279F7" w:rsidRPr="00131B9D" w:rsidRDefault="00F279F7" w:rsidP="00F279F7">
      <w:pPr>
        <w:pStyle w:val="-"/>
        <w:spacing w:before="72" w:after="72"/>
        <w:ind w:firstLine="560"/>
      </w:pPr>
      <w:r w:rsidRPr="00131B9D">
        <w:t>據中國有色金屬工業協會統計資料，</w:t>
      </w:r>
      <w:r w:rsidRPr="00131B9D">
        <w:t>2015</w:t>
      </w:r>
      <w:r w:rsidRPr="00131B9D">
        <w:t>年</w:t>
      </w:r>
      <w:r w:rsidRPr="00131B9D">
        <w:t>1-7</w:t>
      </w:r>
      <w:r w:rsidRPr="00131B9D">
        <w:t>月中國大陸共產原鎂</w:t>
      </w:r>
      <w:r w:rsidRPr="00131B9D">
        <w:t>45.29</w:t>
      </w:r>
      <w:r w:rsidRPr="00131B9D">
        <w:t>萬噸，與去年同期相比減少</w:t>
      </w:r>
      <w:r w:rsidRPr="00131B9D">
        <w:t>10.90%</w:t>
      </w:r>
      <w:r w:rsidRPr="00131B9D">
        <w:t>。進出口方面，據海關總署</w:t>
      </w:r>
      <w:r w:rsidRPr="00131B9D">
        <w:t>4</w:t>
      </w:r>
      <w:r w:rsidRPr="00131B9D">
        <w:t>月統計資料顯示，</w:t>
      </w:r>
      <w:r w:rsidRPr="00131B9D">
        <w:t>2015</w:t>
      </w:r>
      <w:r w:rsidRPr="00131B9D">
        <w:t>年第</w:t>
      </w:r>
      <w:r w:rsidRPr="00131B9D">
        <w:t>1</w:t>
      </w:r>
      <w:r w:rsidRPr="00131B9D">
        <w:t>季中國大陸累計出口各類鎂產品共</w:t>
      </w:r>
      <w:r w:rsidRPr="00131B9D">
        <w:t>10.75</w:t>
      </w:r>
      <w:r w:rsidRPr="00131B9D">
        <w:t>萬噸，較</w:t>
      </w:r>
      <w:r w:rsidRPr="00131B9D">
        <w:t>2014</w:t>
      </w:r>
      <w:r w:rsidRPr="00131B9D">
        <w:t>年同期減少</w:t>
      </w:r>
      <w:r w:rsidRPr="00131B9D">
        <w:t>3.51%</w:t>
      </w:r>
      <w:r w:rsidRPr="00131B9D">
        <w:t>，累計金額</w:t>
      </w:r>
      <w:r w:rsidRPr="00131B9D">
        <w:t>2.73</w:t>
      </w:r>
      <w:r w:rsidRPr="00131B9D">
        <w:t>億美元，較</w:t>
      </w:r>
      <w:r w:rsidRPr="00131B9D">
        <w:t>2014</w:t>
      </w:r>
      <w:r w:rsidRPr="00131B9D">
        <w:t>年同期減少</w:t>
      </w:r>
      <w:r w:rsidRPr="00131B9D">
        <w:t>11.49%</w:t>
      </w:r>
      <w:r w:rsidRPr="00131B9D">
        <w:t>。其中鎂錠累計出口較</w:t>
      </w:r>
      <w:r w:rsidRPr="00131B9D">
        <w:t>2014</w:t>
      </w:r>
      <w:r w:rsidRPr="00131B9D">
        <w:t>年同期減少</w:t>
      </w:r>
      <w:r w:rsidRPr="00131B9D">
        <w:t>5.68%</w:t>
      </w:r>
      <w:r w:rsidRPr="00131B9D">
        <w:t>至</w:t>
      </w:r>
      <w:r w:rsidRPr="00131B9D">
        <w:t>5.49</w:t>
      </w:r>
      <w:r w:rsidRPr="00131B9D">
        <w:t>萬噸；鎂合金累計出口較</w:t>
      </w:r>
      <w:r w:rsidRPr="00131B9D">
        <w:t>2014</w:t>
      </w:r>
      <w:r w:rsidRPr="00131B9D">
        <w:t>年同期減少</w:t>
      </w:r>
      <w:r w:rsidRPr="00131B9D">
        <w:t>2.79%</w:t>
      </w:r>
      <w:r w:rsidRPr="00131B9D">
        <w:t>至</w:t>
      </w:r>
      <w:r w:rsidRPr="00131B9D">
        <w:t>2.70</w:t>
      </w:r>
      <w:r w:rsidRPr="00131B9D">
        <w:t>萬噸；鎂粉累計出口較</w:t>
      </w:r>
      <w:r w:rsidRPr="00131B9D">
        <w:t>2014</w:t>
      </w:r>
      <w:r w:rsidRPr="00131B9D">
        <w:t>年同期增加</w:t>
      </w:r>
      <w:r w:rsidRPr="00131B9D">
        <w:t>3.66%</w:t>
      </w:r>
      <w:r w:rsidRPr="00131B9D">
        <w:t>至</w:t>
      </w:r>
      <w:r w:rsidRPr="00131B9D">
        <w:t>2.29</w:t>
      </w:r>
      <w:r w:rsidRPr="00131B9D">
        <w:t>萬噸。</w:t>
      </w:r>
    </w:p>
    <w:p w:rsidR="00F279F7" w:rsidRPr="00131B9D" w:rsidRDefault="00F279F7" w:rsidP="00F279F7">
      <w:pPr>
        <w:pStyle w:val="-"/>
        <w:spacing w:before="72" w:after="72"/>
        <w:ind w:firstLine="560"/>
      </w:pPr>
      <w:r w:rsidRPr="00131B9D">
        <w:t>在鎂産量佔全球約</w:t>
      </w:r>
      <w:r w:rsidRPr="00131B9D">
        <w:t>80%</w:t>
      </w:r>
      <w:r w:rsidRPr="00131B9D">
        <w:t>的中國大陸，供給過剩的局面沒有停止，需求正在放緩，自</w:t>
      </w:r>
      <w:r w:rsidRPr="00131B9D">
        <w:t>2012</w:t>
      </w:r>
      <w:r w:rsidRPr="00131B9D">
        <w:t>年秋季以後，鎂的國際價格持續下滑，</w:t>
      </w:r>
      <w:r w:rsidRPr="00131B9D">
        <w:t>5</w:t>
      </w:r>
      <w:r w:rsidRPr="00131B9D">
        <w:t>月價格為每噸</w:t>
      </w:r>
      <w:r w:rsidRPr="00131B9D">
        <w:t>2,200-2,250</w:t>
      </w:r>
      <w:r w:rsidRPr="00131B9D">
        <w:t>美元，與</w:t>
      </w:r>
      <w:r w:rsidRPr="00131B9D">
        <w:t>2014</w:t>
      </w:r>
      <w:r w:rsidRPr="00131B9D">
        <w:t>年</w:t>
      </w:r>
      <w:r w:rsidRPr="00131B9D">
        <w:t>5</w:t>
      </w:r>
      <w:r w:rsidRPr="00131B9D">
        <w:t>月相比已降低約</w:t>
      </w:r>
      <w:r w:rsidRPr="00131B9D">
        <w:t>15%</w:t>
      </w:r>
      <w:r w:rsidRPr="00131B9D">
        <w:t>，創下</w:t>
      </w:r>
      <w:r w:rsidRPr="00131B9D">
        <w:t>8</w:t>
      </w:r>
      <w:r w:rsidRPr="00131B9D">
        <w:t>年來新低。中國大陸鎂市場受國外夏休等因素影響，</w:t>
      </w:r>
      <w:r w:rsidRPr="00131B9D">
        <w:t>7-8</w:t>
      </w:r>
      <w:r w:rsidRPr="00131B9D">
        <w:t>月份國內鎂價整體呈下跌走勢，跌幅在</w:t>
      </w:r>
      <w:r w:rsidRPr="00131B9D">
        <w:t>300</w:t>
      </w:r>
      <w:r w:rsidRPr="00131B9D">
        <w:t>人民幣</w:t>
      </w:r>
      <w:r w:rsidRPr="00131B9D">
        <w:t>/</w:t>
      </w:r>
      <w:r w:rsidRPr="00131B9D">
        <w:t>噸左右。</w:t>
      </w:r>
      <w:r w:rsidR="00821D0B" w:rsidRPr="00131B9D">
        <w:t>其次，中國大陸國內供應基本穩定，沒有出現之前預期因減、停產而上升現象，且廠商庫存水準也在可控制範圍，說明中國大陸市場需求持續穩定。</w:t>
      </w:r>
      <w:r w:rsidRPr="00131B9D">
        <w:t>隨著夏休結束，</w:t>
      </w:r>
      <w:r w:rsidRPr="00131B9D">
        <w:t>9</w:t>
      </w:r>
      <w:r w:rsidRPr="00131B9D">
        <w:t>月份市場情況相對好轉，但價格並無大幅度的回升，</w:t>
      </w:r>
      <w:r w:rsidRPr="00131B9D">
        <w:t>10</w:t>
      </w:r>
      <w:r w:rsidRPr="00131B9D">
        <w:t>月份的市場表現更為清淡，美國及歐洲市場鎂價皆下調，根據美國金屬週刊（</w:t>
      </w:r>
      <w:r w:rsidRPr="00131B9D">
        <w:t>MW</w:t>
      </w:r>
      <w:r w:rsidRPr="00131B9D">
        <w:t>）報導，</w:t>
      </w:r>
      <w:r w:rsidRPr="00131B9D">
        <w:t>10</w:t>
      </w:r>
      <w:r w:rsidRPr="00131B9D">
        <w:t>月份美國鎂錠交易者進口價格由</w:t>
      </w:r>
      <w:r w:rsidRPr="00131B9D">
        <w:t>1.72-1.75</w:t>
      </w:r>
      <w:r w:rsidRPr="00131B9D">
        <w:lastRenderedPageBreak/>
        <w:t>美元</w:t>
      </w:r>
      <w:r w:rsidRPr="00131B9D">
        <w:t>/</w:t>
      </w:r>
      <w:r w:rsidRPr="00131B9D">
        <w:t>磅小幅下調至</w:t>
      </w:r>
      <w:r w:rsidRPr="00131B9D">
        <w:t>1.70-1.75</w:t>
      </w:r>
      <w:r w:rsidRPr="00131B9D">
        <w:t>美元</w:t>
      </w:r>
      <w:r w:rsidRPr="00131B9D">
        <w:t>/</w:t>
      </w:r>
      <w:r w:rsidRPr="00131B9D">
        <w:t>磅，而</w:t>
      </w:r>
      <w:r w:rsidRPr="00131B9D">
        <w:t>10</w:t>
      </w:r>
      <w:r w:rsidRPr="00131B9D">
        <w:t>月英國金屬導報（</w:t>
      </w:r>
      <w:r w:rsidRPr="00131B9D">
        <w:t>MB</w:t>
      </w:r>
      <w:r w:rsidRPr="00131B9D">
        <w:t>）披露的鎂錠價格由</w:t>
      </w:r>
      <w:r w:rsidRPr="00131B9D">
        <w:t>2,090-2,160</w:t>
      </w:r>
      <w:r w:rsidRPr="00131B9D">
        <w:t>美元</w:t>
      </w:r>
      <w:r w:rsidRPr="00131B9D">
        <w:t>/</w:t>
      </w:r>
      <w:r w:rsidRPr="00131B9D">
        <w:t>噸下調至</w:t>
      </w:r>
      <w:r w:rsidRPr="00131B9D">
        <w:t>2,080-2,150</w:t>
      </w:r>
      <w:r w:rsidRPr="00131B9D">
        <w:t>美元</w:t>
      </w:r>
      <w:r w:rsidRPr="00131B9D">
        <w:t>/</w:t>
      </w:r>
      <w:r w:rsidRPr="00131B9D">
        <w:t>噸。歐洲戰略小金屬鹿特丹倉庫價格由</w:t>
      </w:r>
      <w:r w:rsidRPr="00131B9D">
        <w:t>2,550</w:t>
      </w:r>
      <w:r w:rsidRPr="00131B9D">
        <w:t>美元</w:t>
      </w:r>
      <w:r w:rsidRPr="00131B9D">
        <w:t>/</w:t>
      </w:r>
      <w:r w:rsidRPr="00131B9D">
        <w:t>噸下調至</w:t>
      </w:r>
      <w:r w:rsidRPr="00131B9D">
        <w:t>2,150</w:t>
      </w:r>
      <w:r w:rsidRPr="00131B9D">
        <w:t>美元</w:t>
      </w:r>
      <w:r w:rsidRPr="00131B9D">
        <w:t>/</w:t>
      </w:r>
      <w:r w:rsidRPr="00131B9D">
        <w:t>噸。</w:t>
      </w:r>
      <w:r w:rsidRPr="00131B9D">
        <w:t>MW</w:t>
      </w:r>
      <w:r w:rsidRPr="00131B9D">
        <w:t>刊載的歐洲自由市場價格由</w:t>
      </w:r>
      <w:r w:rsidRPr="00131B9D">
        <w:t>2,025-2,200</w:t>
      </w:r>
      <w:r w:rsidRPr="00131B9D">
        <w:t>美元</w:t>
      </w:r>
      <w:r w:rsidRPr="00131B9D">
        <w:t>/</w:t>
      </w:r>
      <w:r w:rsidRPr="00131B9D">
        <w:t>噸下調至</w:t>
      </w:r>
      <w:r w:rsidRPr="00131B9D">
        <w:t>2,025-2,150</w:t>
      </w:r>
      <w:r w:rsidRPr="00131B9D">
        <w:t>美元</w:t>
      </w:r>
      <w:r w:rsidRPr="00131B9D">
        <w:t>/</w:t>
      </w:r>
      <w:r w:rsidRPr="00131B9D">
        <w:t>噸。面對嚴峻的經濟形勢，鎂價下跌恐難回轉，想要打破這種格局，需要工廠進行實質性減產，但短期內減產並非那麼容易，因此受到供過於求的現狀限制，加上目前全球經濟環境沒有明顯回暖，預期</w:t>
      </w:r>
      <w:r w:rsidRPr="00131B9D">
        <w:t>2016</w:t>
      </w:r>
      <w:r w:rsidRPr="00131B9D">
        <w:t>年鎂價可能仍會走低。</w:t>
      </w:r>
    </w:p>
    <w:bookmarkEnd w:id="184"/>
    <w:bookmarkEnd w:id="185"/>
    <w:p w:rsidR="00F279F7" w:rsidRPr="00131B9D" w:rsidRDefault="00F279F7" w:rsidP="003B29E8"/>
    <w:p w:rsidR="00F279F7" w:rsidRPr="00131B9D" w:rsidRDefault="00F279F7" w:rsidP="00127C79">
      <w:pPr>
        <w:spacing w:line="0" w:lineRule="atLeast"/>
        <w:jc w:val="center"/>
        <w:rPr>
          <w:rFonts w:eastAsia="標楷體"/>
        </w:rPr>
      </w:pPr>
      <w:r w:rsidRPr="00131B9D">
        <w:rPr>
          <w:noProof/>
        </w:rPr>
        <w:drawing>
          <wp:inline distT="0" distB="0" distL="0" distR="0" wp14:anchorId="16EA67D0" wp14:editId="399D6311">
            <wp:extent cx="5274310" cy="2861953"/>
            <wp:effectExtent l="0" t="0" r="2540" b="14605"/>
            <wp:docPr id="71" name="圖表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F279F7" w:rsidRPr="00131B9D" w:rsidRDefault="00F279F7" w:rsidP="00127C79">
      <w:pPr>
        <w:spacing w:line="0" w:lineRule="atLeas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188" w:name="_Toc398882647"/>
      <w:bookmarkStart w:id="189" w:name="_Toc438223347"/>
      <w:bookmarkStart w:id="190" w:name="_Toc322706947"/>
      <w:bookmarkStart w:id="191" w:name="_Toc365017342"/>
      <w:bookmarkStart w:id="192" w:name="_Toc373423060"/>
      <w:bookmarkStart w:id="193" w:name="_Toc373682443"/>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13</w:t>
      </w:r>
      <w:r w:rsidRPr="00131B9D">
        <w:rPr>
          <w:rFonts w:eastAsia="標楷體"/>
          <w:b/>
          <w:bCs/>
          <w:kern w:val="52"/>
          <w:sz w:val="28"/>
          <w:szCs w:val="28"/>
        </w:rPr>
        <w:fldChar w:fldCharType="end"/>
      </w:r>
      <w:r w:rsidRPr="00131B9D">
        <w:rPr>
          <w:rFonts w:eastAsia="標楷體"/>
          <w:b/>
          <w:bCs/>
          <w:kern w:val="52"/>
          <w:sz w:val="28"/>
          <w:szCs w:val="28"/>
        </w:rPr>
        <w:t xml:space="preserve">　鎂近一年價格走勢圖</w:t>
      </w:r>
      <w:bookmarkEnd w:id="188"/>
      <w:bookmarkEnd w:id="189"/>
    </w:p>
    <w:p w:rsidR="00B22890" w:rsidRPr="00131B9D" w:rsidRDefault="00B22890" w:rsidP="00B22890">
      <w:bookmarkStart w:id="194" w:name="_Toc322706948"/>
      <w:bookmarkEnd w:id="190"/>
      <w:bookmarkEnd w:id="191"/>
      <w:bookmarkEnd w:id="192"/>
      <w:bookmarkEnd w:id="193"/>
    </w:p>
    <w:p w:rsidR="00F279F7" w:rsidRPr="00131B9D" w:rsidRDefault="00F279F7" w:rsidP="00F279F7">
      <w:pPr>
        <w:pStyle w:val="3"/>
        <w:rPr>
          <w:rFonts w:ascii="Times New Roman" w:hAnsi="Times New Roman"/>
        </w:rPr>
      </w:pPr>
      <w:r w:rsidRPr="00131B9D">
        <w:rPr>
          <w:rFonts w:ascii="Times New Roman" w:hAnsi="Times New Roman"/>
        </w:rPr>
        <w:t>（八）鈦</w:t>
      </w:r>
      <w:bookmarkEnd w:id="194"/>
    </w:p>
    <w:p w:rsidR="00F279F7" w:rsidRPr="00131B9D" w:rsidRDefault="00F279F7" w:rsidP="00F279F7">
      <w:pPr>
        <w:pStyle w:val="-"/>
        <w:spacing w:before="72" w:after="72"/>
        <w:ind w:firstLine="560"/>
      </w:pPr>
      <w:r w:rsidRPr="00131B9D">
        <w:t>2014</w:t>
      </w:r>
      <w:r w:rsidRPr="00131B9D">
        <w:t>年全球產量最大國家為澳洲及南非，其次為中國大陸的</w:t>
      </w:r>
      <w:r w:rsidRPr="00131B9D">
        <w:t>100</w:t>
      </w:r>
      <w:r w:rsidRPr="00131B9D">
        <w:t>萬公噸，再來為加拿大的</w:t>
      </w:r>
      <w:r w:rsidRPr="00131B9D">
        <w:t>90</w:t>
      </w:r>
      <w:r w:rsidRPr="00131B9D">
        <w:t>萬公噸、越南和莫三比克的</w:t>
      </w:r>
      <w:r w:rsidRPr="00131B9D">
        <w:t>50</w:t>
      </w:r>
      <w:r w:rsidRPr="00131B9D">
        <w:t>萬公噸及挪威的</w:t>
      </w:r>
      <w:r w:rsidRPr="00131B9D">
        <w:t>40</w:t>
      </w:r>
      <w:r w:rsidRPr="00131B9D">
        <w:t>萬公噸等等。</w:t>
      </w:r>
    </w:p>
    <w:p w:rsidR="00F279F7" w:rsidRPr="00131B9D" w:rsidRDefault="00BC42BF" w:rsidP="00F279F7">
      <w:pPr>
        <w:pStyle w:val="-"/>
        <w:adjustRightInd/>
        <w:spacing w:before="72" w:after="72"/>
        <w:ind w:firstLine="560"/>
        <w:rPr>
          <w:color w:val="000000"/>
        </w:rPr>
      </w:pPr>
      <w:r w:rsidRPr="00131B9D">
        <w:rPr>
          <w:color w:val="000000"/>
        </w:rPr>
        <w:t>根據中國大陸海關總署提供統計數據顯示，中國大陸</w:t>
      </w:r>
      <w:r w:rsidRPr="00131B9D">
        <w:rPr>
          <w:color w:val="000000"/>
        </w:rPr>
        <w:t>2015</w:t>
      </w:r>
      <w:r w:rsidRPr="00131B9D">
        <w:rPr>
          <w:color w:val="000000"/>
        </w:rPr>
        <w:t>年</w:t>
      </w:r>
      <w:r w:rsidRPr="00131B9D">
        <w:rPr>
          <w:color w:val="000000"/>
        </w:rPr>
        <w:t>1</w:t>
      </w:r>
      <w:r w:rsidRPr="00131B9D">
        <w:rPr>
          <w:color w:val="000000"/>
        </w:rPr>
        <w:t>月鈦白粉出口量為</w:t>
      </w:r>
      <w:r w:rsidRPr="00131B9D">
        <w:rPr>
          <w:color w:val="000000"/>
        </w:rPr>
        <w:t>48,158</w:t>
      </w:r>
      <w:r w:rsidRPr="00131B9D">
        <w:rPr>
          <w:color w:val="000000"/>
        </w:rPr>
        <w:t>噸，較去年同期增長</w:t>
      </w:r>
      <w:r w:rsidRPr="00131B9D">
        <w:rPr>
          <w:color w:val="000000"/>
        </w:rPr>
        <w:t>9.52%</w:t>
      </w:r>
      <w:r w:rsidRPr="00131B9D">
        <w:rPr>
          <w:color w:val="000000"/>
        </w:rPr>
        <w:t>，鈦白粉進口量為</w:t>
      </w:r>
      <w:r w:rsidRPr="00131B9D">
        <w:rPr>
          <w:color w:val="000000"/>
        </w:rPr>
        <w:t>13,699</w:t>
      </w:r>
      <w:r w:rsidRPr="00131B9D">
        <w:rPr>
          <w:color w:val="000000"/>
        </w:rPr>
        <w:t>噸，較去年同期減少</w:t>
      </w:r>
      <w:r w:rsidRPr="00131B9D">
        <w:rPr>
          <w:color w:val="000000"/>
        </w:rPr>
        <w:t>21.48%</w:t>
      </w:r>
      <w:r w:rsidRPr="00131B9D">
        <w:rPr>
          <w:color w:val="000000"/>
        </w:rPr>
        <w:t>。於</w:t>
      </w:r>
      <w:r w:rsidRPr="00131B9D">
        <w:rPr>
          <w:color w:val="000000"/>
        </w:rPr>
        <w:t>4</w:t>
      </w:r>
      <w:r w:rsidRPr="00131B9D">
        <w:rPr>
          <w:color w:val="000000"/>
        </w:rPr>
        <w:t>月份時鈦白粉出口量為</w:t>
      </w:r>
      <w:r w:rsidRPr="00131B9D">
        <w:rPr>
          <w:color w:val="000000"/>
        </w:rPr>
        <w:t>4.4</w:t>
      </w:r>
      <w:r w:rsidRPr="00131B9D">
        <w:rPr>
          <w:color w:val="000000"/>
        </w:rPr>
        <w:t>萬公噸，較</w:t>
      </w:r>
      <w:r w:rsidRPr="00131B9D">
        <w:rPr>
          <w:color w:val="000000"/>
        </w:rPr>
        <w:t>3</w:t>
      </w:r>
      <w:r w:rsidRPr="00131B9D">
        <w:rPr>
          <w:color w:val="000000"/>
        </w:rPr>
        <w:t>月下降</w:t>
      </w:r>
      <w:r w:rsidRPr="00131B9D">
        <w:rPr>
          <w:color w:val="000000"/>
        </w:rPr>
        <w:t>7.03%</w:t>
      </w:r>
      <w:r w:rsidRPr="00131B9D">
        <w:rPr>
          <w:color w:val="000000"/>
        </w:rPr>
        <w:t>，較</w:t>
      </w:r>
      <w:r w:rsidRPr="00131B9D">
        <w:rPr>
          <w:color w:val="000000"/>
        </w:rPr>
        <w:t>2014</w:t>
      </w:r>
      <w:r w:rsidRPr="00131B9D">
        <w:rPr>
          <w:color w:val="000000"/>
        </w:rPr>
        <w:t>年同期下降</w:t>
      </w:r>
      <w:r w:rsidRPr="00131B9D">
        <w:rPr>
          <w:color w:val="000000"/>
        </w:rPr>
        <w:t>17.01%</w:t>
      </w:r>
      <w:r w:rsidRPr="00131B9D">
        <w:rPr>
          <w:color w:val="000000"/>
        </w:rPr>
        <w:t>，且出</w:t>
      </w:r>
      <w:r w:rsidRPr="00131B9D">
        <w:rPr>
          <w:color w:val="000000"/>
        </w:rPr>
        <w:lastRenderedPageBreak/>
        <w:t>口均價達</w:t>
      </w:r>
      <w:r w:rsidRPr="00131B9D">
        <w:rPr>
          <w:color w:val="000000"/>
        </w:rPr>
        <w:t>1855.77</w:t>
      </w:r>
      <w:r w:rsidRPr="00131B9D">
        <w:rPr>
          <w:color w:val="000000"/>
        </w:rPr>
        <w:t>美元</w:t>
      </w:r>
      <w:r w:rsidRPr="00131B9D">
        <w:rPr>
          <w:color w:val="000000"/>
        </w:rPr>
        <w:t>/</w:t>
      </w:r>
      <w:r w:rsidRPr="00131B9D">
        <w:rPr>
          <w:color w:val="000000"/>
        </w:rPr>
        <w:t>公噸，則較</w:t>
      </w:r>
      <w:r w:rsidRPr="00131B9D">
        <w:rPr>
          <w:color w:val="000000"/>
        </w:rPr>
        <w:t>3</w:t>
      </w:r>
      <w:r w:rsidRPr="00131B9D">
        <w:rPr>
          <w:color w:val="000000"/>
        </w:rPr>
        <w:t>月下跌</w:t>
      </w:r>
      <w:r w:rsidRPr="00131B9D">
        <w:rPr>
          <w:color w:val="000000"/>
        </w:rPr>
        <w:t>0.72%</w:t>
      </w:r>
      <w:r w:rsidRPr="00131B9D">
        <w:rPr>
          <w:color w:val="000000"/>
        </w:rPr>
        <w:t>，亦較</w:t>
      </w:r>
      <w:r w:rsidRPr="00131B9D">
        <w:rPr>
          <w:color w:val="000000"/>
        </w:rPr>
        <w:t>2014</w:t>
      </w:r>
      <w:r w:rsidRPr="00131B9D">
        <w:rPr>
          <w:color w:val="000000"/>
        </w:rPr>
        <w:t>年同期下跌</w:t>
      </w:r>
      <w:r w:rsidRPr="00131B9D">
        <w:rPr>
          <w:color w:val="000000"/>
        </w:rPr>
        <w:t>8.61%</w:t>
      </w:r>
      <w:r w:rsidRPr="00131B9D">
        <w:rPr>
          <w:color w:val="000000"/>
        </w:rPr>
        <w:t>。無論出口數量還是出口價格，</w:t>
      </w:r>
      <w:r w:rsidRPr="00131B9D">
        <w:rPr>
          <w:color w:val="000000"/>
        </w:rPr>
        <w:t>4</w:t>
      </w:r>
      <w:r w:rsidRPr="00131B9D">
        <w:rPr>
          <w:color w:val="000000"/>
        </w:rPr>
        <w:t>月份均明顯下降，對國內鈦白粉市場而言，造成顯著的利空氛圍</w:t>
      </w:r>
      <w:r w:rsidRPr="00131B9D">
        <w:t>（圖</w:t>
      </w:r>
      <w:r w:rsidRPr="00131B9D">
        <w:t>3-14</w:t>
      </w:r>
      <w:r w:rsidRPr="00131B9D">
        <w:t>）</w:t>
      </w:r>
      <w:r w:rsidRPr="00131B9D">
        <w:rPr>
          <w:color w:val="000000"/>
        </w:rPr>
        <w:t>。</w:t>
      </w:r>
      <w:r w:rsidRPr="00131B9D">
        <w:rPr>
          <w:color w:val="000000"/>
        </w:rPr>
        <w:t>2015</w:t>
      </w:r>
      <w:r w:rsidRPr="00131B9D">
        <w:rPr>
          <w:color w:val="000000"/>
        </w:rPr>
        <w:t>年俄羅斯國內鈦白粉下游應用行業（如塗料油漆、</w:t>
      </w:r>
      <w:r w:rsidRPr="00131B9D">
        <w:rPr>
          <w:color w:val="000000"/>
        </w:rPr>
        <w:t>PVC</w:t>
      </w:r>
      <w:r w:rsidRPr="00131B9D">
        <w:rPr>
          <w:color w:val="000000"/>
        </w:rPr>
        <w:t>窗框和造紙行業）均開始減少對鈦白粉的使用量，是</w:t>
      </w:r>
      <w:r w:rsidRPr="00131B9D">
        <w:rPr>
          <w:color w:val="000000"/>
        </w:rPr>
        <w:t>2015</w:t>
      </w:r>
      <w:r w:rsidRPr="00131B9D">
        <w:rPr>
          <w:color w:val="000000"/>
        </w:rPr>
        <w:t>年前</w:t>
      </w:r>
      <w:r w:rsidRPr="00131B9D">
        <w:rPr>
          <w:color w:val="000000"/>
        </w:rPr>
        <w:t>4</w:t>
      </w:r>
      <w:r w:rsidRPr="00131B9D">
        <w:rPr>
          <w:color w:val="000000"/>
        </w:rPr>
        <w:t>個月鈦白粉市場需求不振的因素之一。俄羅斯今年</w:t>
      </w:r>
      <w:r w:rsidRPr="00131B9D">
        <w:rPr>
          <w:color w:val="000000"/>
        </w:rPr>
        <w:t>1-4</w:t>
      </w:r>
      <w:r w:rsidRPr="00131B9D">
        <w:rPr>
          <w:color w:val="000000"/>
        </w:rPr>
        <w:t>月塗料產量同比下降</w:t>
      </w:r>
      <w:r w:rsidRPr="00131B9D">
        <w:rPr>
          <w:color w:val="000000"/>
        </w:rPr>
        <w:t>10%</w:t>
      </w:r>
      <w:r w:rsidRPr="00131B9D">
        <w:rPr>
          <w:color w:val="000000"/>
        </w:rPr>
        <w:t>，其中聚酯塗料產量前四個月下降</w:t>
      </w:r>
      <w:r w:rsidRPr="00131B9D">
        <w:rPr>
          <w:color w:val="000000"/>
        </w:rPr>
        <w:t>13%</w:t>
      </w:r>
      <w:r w:rsidRPr="00131B9D">
        <w:rPr>
          <w:color w:val="000000"/>
        </w:rPr>
        <w:t>。</w:t>
      </w:r>
      <w:r w:rsidRPr="00131B9D">
        <w:rPr>
          <w:color w:val="000000"/>
        </w:rPr>
        <w:t>4</w:t>
      </w:r>
      <w:r w:rsidRPr="00131B9D">
        <w:rPr>
          <w:color w:val="000000"/>
        </w:rPr>
        <w:t>月份塗料總產量為</w:t>
      </w:r>
      <w:r w:rsidRPr="00131B9D">
        <w:rPr>
          <w:color w:val="000000"/>
        </w:rPr>
        <w:t>80,600</w:t>
      </w:r>
      <w:r w:rsidRPr="00131B9D">
        <w:rPr>
          <w:color w:val="000000"/>
        </w:rPr>
        <w:t>噸，而美術顏料和印刷油墨產量為</w:t>
      </w:r>
      <w:r w:rsidRPr="00131B9D">
        <w:rPr>
          <w:color w:val="000000"/>
        </w:rPr>
        <w:t>28,000</w:t>
      </w:r>
      <w:r w:rsidRPr="00131B9D">
        <w:rPr>
          <w:color w:val="000000"/>
        </w:rPr>
        <w:t>噸，門窗型材和窗臺生產量則為</w:t>
      </w:r>
      <w:r w:rsidRPr="00131B9D">
        <w:rPr>
          <w:color w:val="000000"/>
        </w:rPr>
        <w:t>160</w:t>
      </w:r>
      <w:r w:rsidRPr="00131B9D">
        <w:rPr>
          <w:color w:val="000000"/>
        </w:rPr>
        <w:t>萬平米，俄羅斯聚氯乙烯（</w:t>
      </w:r>
      <w:r w:rsidRPr="00131B9D">
        <w:rPr>
          <w:color w:val="000000"/>
        </w:rPr>
        <w:t>PVC</w:t>
      </w:r>
      <w:r w:rsidRPr="00131B9D">
        <w:rPr>
          <w:color w:val="000000"/>
        </w:rPr>
        <w:t>）型材窗框和窗臺在</w:t>
      </w:r>
      <w:r w:rsidRPr="00131B9D">
        <w:rPr>
          <w:color w:val="000000"/>
        </w:rPr>
        <w:t>4-5</w:t>
      </w:r>
      <w:r w:rsidRPr="00131B9D">
        <w:rPr>
          <w:color w:val="000000"/>
        </w:rPr>
        <w:t>月份之產量也下降</w:t>
      </w:r>
      <w:r w:rsidRPr="00131B9D">
        <w:rPr>
          <w:color w:val="000000"/>
        </w:rPr>
        <w:t>8.5%</w:t>
      </w:r>
      <w:r w:rsidRPr="00131B9D">
        <w:rPr>
          <w:color w:val="000000"/>
        </w:rPr>
        <w:t>。再者，造紙行業對該國鈦白粉的需求量也有顯著的降低。</w:t>
      </w:r>
      <w:r w:rsidRPr="00131B9D">
        <w:rPr>
          <w:color w:val="000000"/>
        </w:rPr>
        <w:t>Mayak-Technocell</w:t>
      </w:r>
      <w:r w:rsidRPr="00131B9D">
        <w:rPr>
          <w:color w:val="000000"/>
        </w:rPr>
        <w:t>公司是該國一家造紙企業，同時也是俄羅斯最大的鈦白粉進口企業，該公司</w:t>
      </w:r>
      <w:r w:rsidRPr="00131B9D">
        <w:rPr>
          <w:color w:val="000000"/>
        </w:rPr>
        <w:t>2015</w:t>
      </w:r>
      <w:r w:rsidRPr="00131B9D">
        <w:rPr>
          <w:color w:val="000000"/>
        </w:rPr>
        <w:t>年前</w:t>
      </w:r>
      <w:r w:rsidRPr="00131B9D">
        <w:rPr>
          <w:color w:val="000000"/>
        </w:rPr>
        <w:t>4</w:t>
      </w:r>
      <w:r w:rsidRPr="00131B9D">
        <w:rPr>
          <w:color w:val="000000"/>
        </w:rPr>
        <w:t>個月的鈦白粉從國外採購量為</w:t>
      </w:r>
      <w:r w:rsidRPr="00131B9D">
        <w:rPr>
          <w:color w:val="000000"/>
        </w:rPr>
        <w:t>380</w:t>
      </w:r>
      <w:r w:rsidRPr="00131B9D">
        <w:rPr>
          <w:color w:val="000000"/>
        </w:rPr>
        <w:t>噸，</w:t>
      </w:r>
      <w:r w:rsidRPr="00131B9D">
        <w:rPr>
          <w:color w:val="000000"/>
        </w:rPr>
        <w:t>2014</w:t>
      </w:r>
      <w:r w:rsidRPr="00131B9D">
        <w:rPr>
          <w:color w:val="000000"/>
        </w:rPr>
        <w:t>年同期為</w:t>
      </w:r>
      <w:r w:rsidRPr="00131B9D">
        <w:rPr>
          <w:color w:val="000000"/>
        </w:rPr>
        <w:t>1,300</w:t>
      </w:r>
      <w:r w:rsidRPr="00131B9D">
        <w:rPr>
          <w:color w:val="000000"/>
        </w:rPr>
        <w:t>噸，進口量約降為</w:t>
      </w:r>
      <w:r w:rsidRPr="00131B9D">
        <w:rPr>
          <w:color w:val="000000"/>
        </w:rPr>
        <w:t>2014</w:t>
      </w:r>
      <w:r w:rsidRPr="00131B9D">
        <w:rPr>
          <w:color w:val="000000"/>
        </w:rPr>
        <w:t>年同期的四分之一。</w:t>
      </w:r>
    </w:p>
    <w:p w:rsidR="00F279F7" w:rsidRPr="00131B9D" w:rsidRDefault="00BC42BF" w:rsidP="00F279F7">
      <w:pPr>
        <w:pStyle w:val="-"/>
        <w:spacing w:before="72" w:after="72"/>
        <w:ind w:firstLine="560"/>
      </w:pPr>
      <w:r w:rsidRPr="00131B9D">
        <w:t>第</w:t>
      </w:r>
      <w:r w:rsidRPr="00131B9D">
        <w:t>2</w:t>
      </w:r>
      <w:r w:rsidRPr="00131B9D">
        <w:t>季市場的走弱態勢延續至第</w:t>
      </w:r>
      <w:r w:rsidRPr="00131B9D">
        <w:t>3</w:t>
      </w:r>
      <w:r w:rsidRPr="00131B9D">
        <w:t>季，主要依據為貨源供應量充足及進口市場競爭激烈。</w:t>
      </w:r>
      <w:r w:rsidRPr="00131B9D">
        <w:t>9</w:t>
      </w:r>
      <w:r w:rsidRPr="00131B9D">
        <w:t>月份為下游塗料、塑膠等行業傳統旺季，鈦白粉需求存在小幅回暖預期，這對行業構成有利因素。但由於行業需求環境偏弱，今年總體經濟表現不佳，在這樣的大環境下，中國大陸主流龍頭企業存在繼續降價意向，一方面保持市場佔有率和降低庫存，另一方面存在以低價壓制其他廠商開工的意圖，亦可維持現金流，客觀上將抑制鈦白粉價格的反彈。目前鈦白粉企業在歐美地區施行減產保價策略，而在中國大陸及亞太地區主要採取降價銷售策略。展望</w:t>
      </w:r>
      <w:r w:rsidRPr="00131B9D">
        <w:t>2016</w:t>
      </w:r>
      <w:r w:rsidRPr="00131B9D">
        <w:t>年，後市預測鈦白粉價格繼續走低，雖開工率仍然維持在低位，不過鈦白粉庫存已經回落至正常的水準。業內預計，未來幾年需求增加速度可能加快，鈦白粉市場有機會復甦。</w:t>
      </w:r>
    </w:p>
    <w:p w:rsidR="00B22890" w:rsidRPr="00131B9D" w:rsidRDefault="00B22890" w:rsidP="00B22890">
      <w:pPr>
        <w:sectPr w:rsidR="00B22890"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spacing w:beforeLines="100" w:before="360"/>
        <w:jc w:val="center"/>
        <w:rPr>
          <w:rFonts w:eastAsia="標楷體"/>
        </w:rPr>
      </w:pPr>
      <w:r w:rsidRPr="00131B9D">
        <w:rPr>
          <w:noProof/>
        </w:rPr>
        <w:lastRenderedPageBreak/>
        <w:drawing>
          <wp:inline distT="0" distB="0" distL="0" distR="0" wp14:anchorId="65EE481C" wp14:editId="01513836">
            <wp:extent cx="5274310" cy="3051959"/>
            <wp:effectExtent l="0" t="0" r="2540" b="15240"/>
            <wp:docPr id="104" name="圖表 104"/>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jc w:val="center"/>
        <w:rPr>
          <w:rFonts w:eastAsia="標楷體"/>
          <w:b/>
          <w:bCs/>
          <w:kern w:val="52"/>
          <w:sz w:val="28"/>
          <w:szCs w:val="28"/>
        </w:rPr>
      </w:pPr>
      <w:bookmarkStart w:id="195" w:name="_Toc398882648"/>
      <w:bookmarkStart w:id="196" w:name="_Toc438223348"/>
      <w:bookmarkStart w:id="197" w:name="_Toc322706949"/>
      <w:bookmarkStart w:id="198" w:name="_Toc365017343"/>
      <w:bookmarkStart w:id="199" w:name="_Toc373423061"/>
      <w:bookmarkStart w:id="200" w:name="_Toc373682444"/>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14</w:t>
      </w:r>
      <w:r w:rsidRPr="00131B9D">
        <w:rPr>
          <w:rFonts w:eastAsia="標楷體"/>
          <w:b/>
          <w:bCs/>
          <w:kern w:val="52"/>
          <w:sz w:val="28"/>
          <w:szCs w:val="28"/>
        </w:rPr>
        <w:fldChar w:fldCharType="end"/>
      </w:r>
      <w:r w:rsidRPr="00131B9D">
        <w:rPr>
          <w:rFonts w:eastAsia="標楷體"/>
          <w:b/>
          <w:bCs/>
          <w:kern w:val="52"/>
          <w:sz w:val="28"/>
          <w:szCs w:val="28"/>
        </w:rPr>
        <w:t xml:space="preserve">　鈦近一年價格走勢圖</w:t>
      </w:r>
      <w:bookmarkEnd w:id="195"/>
      <w:bookmarkEnd w:id="196"/>
    </w:p>
    <w:bookmarkEnd w:id="197"/>
    <w:bookmarkEnd w:id="198"/>
    <w:bookmarkEnd w:id="199"/>
    <w:bookmarkEnd w:id="200"/>
    <w:p w:rsidR="00B22890" w:rsidRPr="00131B9D" w:rsidRDefault="00B22890" w:rsidP="00B22890"/>
    <w:p w:rsidR="00F279F7" w:rsidRPr="00131B9D" w:rsidRDefault="00F279F7" w:rsidP="00F279F7">
      <w:pPr>
        <w:pStyle w:val="3"/>
        <w:rPr>
          <w:rFonts w:ascii="Times New Roman" w:hAnsi="Times New Roman"/>
        </w:rPr>
      </w:pPr>
      <w:r w:rsidRPr="00131B9D">
        <w:rPr>
          <w:rFonts w:ascii="Times New Roman" w:hAnsi="Times New Roman"/>
        </w:rPr>
        <w:t>（九）釹</w:t>
      </w:r>
    </w:p>
    <w:p w:rsidR="00F279F7" w:rsidRPr="00131B9D" w:rsidRDefault="00F279F7" w:rsidP="00F279F7">
      <w:pPr>
        <w:pStyle w:val="-"/>
        <w:spacing w:before="72" w:after="72"/>
        <w:ind w:firstLine="560"/>
        <w:rPr>
          <w:szCs w:val="24"/>
        </w:rPr>
      </w:pPr>
      <w:r w:rsidRPr="00131B9D">
        <w:rPr>
          <w:szCs w:val="24"/>
        </w:rPr>
        <w:t>中國大陸的稀土生產量佔全球的</w:t>
      </w:r>
      <w:r w:rsidRPr="00131B9D">
        <w:rPr>
          <w:szCs w:val="24"/>
        </w:rPr>
        <w:t>90%</w:t>
      </w:r>
      <w:r w:rsidRPr="00131B9D">
        <w:rPr>
          <w:szCs w:val="24"/>
        </w:rPr>
        <w:t>，並擁有全球稀土儲量的</w:t>
      </w:r>
      <w:r w:rsidRPr="00131B9D">
        <w:rPr>
          <w:szCs w:val="24"/>
        </w:rPr>
        <w:t>30%</w:t>
      </w:r>
      <w:r w:rsidRPr="00131B9D">
        <w:rPr>
          <w:szCs w:val="24"/>
        </w:rPr>
        <w:t>。在稀土材料下游應用中，釹鐵硼材料佔據了一半的比例，已廣泛應用於高性能材料、載人航太、移動通信、航空母艦、新能源汽車、風力發電、高速鐵路等工程技術領域，新能源汽車對於釹鐵硼需求量極大，</w:t>
      </w:r>
      <w:r w:rsidRPr="00131B9D">
        <w:rPr>
          <w:szCs w:val="24"/>
        </w:rPr>
        <w:t>2020</w:t>
      </w:r>
      <w:r w:rsidRPr="00131B9D">
        <w:rPr>
          <w:szCs w:val="24"/>
        </w:rPr>
        <w:t>年全球新能源汽車對釹鐵硼需求預計將超過</w:t>
      </w:r>
      <w:r w:rsidRPr="00131B9D">
        <w:rPr>
          <w:szCs w:val="24"/>
        </w:rPr>
        <w:t>5</w:t>
      </w:r>
      <w:r w:rsidRPr="00131B9D">
        <w:rPr>
          <w:szCs w:val="24"/>
        </w:rPr>
        <w:t>萬噸，釹鐵硼行業有望迎來黃金發展期。</w:t>
      </w:r>
    </w:p>
    <w:p w:rsidR="00F279F7" w:rsidRPr="00131B9D" w:rsidRDefault="00F279F7" w:rsidP="00F279F7">
      <w:pPr>
        <w:pStyle w:val="-"/>
        <w:spacing w:before="72" w:after="72"/>
        <w:ind w:firstLine="560"/>
        <w:rPr>
          <w:szCs w:val="24"/>
        </w:rPr>
      </w:pPr>
      <w:r w:rsidRPr="00131B9D">
        <w:rPr>
          <w:szCs w:val="24"/>
        </w:rPr>
        <w:t>中國大陸的稀土供應策略上除減少配額外，還曾徵收出口關稅，中國大陸在</w:t>
      </w:r>
      <w:r w:rsidRPr="00131B9D">
        <w:rPr>
          <w:szCs w:val="24"/>
        </w:rPr>
        <w:t>2010</w:t>
      </w:r>
      <w:r w:rsidRPr="00131B9D">
        <w:rPr>
          <w:szCs w:val="24"/>
        </w:rPr>
        <w:t>年後削減出口配額，稀土價格經歷價格猛漲後迅速下跌。世界貿易組織（</w:t>
      </w:r>
      <w:r w:rsidRPr="00131B9D">
        <w:rPr>
          <w:szCs w:val="24"/>
        </w:rPr>
        <w:t>WTO</w:t>
      </w:r>
      <w:r w:rsidRPr="00131B9D">
        <w:rPr>
          <w:szCs w:val="24"/>
        </w:rPr>
        <w:t>）於</w:t>
      </w:r>
      <w:r w:rsidRPr="00131B9D">
        <w:rPr>
          <w:szCs w:val="24"/>
        </w:rPr>
        <w:t>2014</w:t>
      </w:r>
      <w:r w:rsidRPr="00131B9D">
        <w:rPr>
          <w:szCs w:val="24"/>
        </w:rPr>
        <w:t>年</w:t>
      </w:r>
      <w:r w:rsidRPr="00131B9D">
        <w:rPr>
          <w:szCs w:val="24"/>
        </w:rPr>
        <w:t>8</w:t>
      </w:r>
      <w:r w:rsidRPr="00131B9D">
        <w:rPr>
          <w:szCs w:val="24"/>
        </w:rPr>
        <w:t>月裁定中國大陸違反協定，中國大陸從</w:t>
      </w:r>
      <w:r w:rsidRPr="00131B9D">
        <w:rPr>
          <w:szCs w:val="24"/>
        </w:rPr>
        <w:t>2015</w:t>
      </w:r>
      <w:r w:rsidRPr="00131B9D">
        <w:rPr>
          <w:szCs w:val="24"/>
        </w:rPr>
        <w:t>年起取消出口配額，並在</w:t>
      </w:r>
      <w:r w:rsidRPr="00131B9D">
        <w:rPr>
          <w:szCs w:val="24"/>
        </w:rPr>
        <w:t>5</w:t>
      </w:r>
      <w:r w:rsidRPr="00131B9D">
        <w:rPr>
          <w:szCs w:val="24"/>
        </w:rPr>
        <w:t>月</w:t>
      </w:r>
      <w:r w:rsidRPr="00131B9D">
        <w:rPr>
          <w:szCs w:val="24"/>
        </w:rPr>
        <w:t>1</w:t>
      </w:r>
      <w:r w:rsidRPr="00131B9D">
        <w:rPr>
          <w:szCs w:val="24"/>
        </w:rPr>
        <w:t>日取消了出口關稅，關稅取消相當於出口價格下降了</w:t>
      </w:r>
      <w:r w:rsidRPr="00131B9D">
        <w:rPr>
          <w:szCs w:val="24"/>
        </w:rPr>
        <w:t>20-25%</w:t>
      </w:r>
      <w:r w:rsidRPr="00131B9D">
        <w:rPr>
          <w:szCs w:val="24"/>
        </w:rPr>
        <w:t>，稀土價格已經恢復到</w:t>
      </w:r>
      <w:r w:rsidRPr="00131B9D">
        <w:rPr>
          <w:szCs w:val="24"/>
        </w:rPr>
        <w:t>2010</w:t>
      </w:r>
      <w:r w:rsidRPr="00131B9D">
        <w:rPr>
          <w:szCs w:val="24"/>
        </w:rPr>
        <w:t>年暴漲前的水準</w:t>
      </w:r>
      <w:r w:rsidRPr="00131B9D">
        <w:t>（如圖</w:t>
      </w:r>
      <w:r w:rsidRPr="00131B9D">
        <w:t>3-15</w:t>
      </w:r>
      <w:r w:rsidRPr="00131B9D">
        <w:t>）</w:t>
      </w:r>
      <w:r w:rsidRPr="00131B9D">
        <w:rPr>
          <w:szCs w:val="24"/>
        </w:rPr>
        <w:t>，中國大陸稀土出口金額雖大幅下滑，但國內稀土出口量增加，對企業去庫存有正面助益。據中國大陸海關</w:t>
      </w:r>
      <w:r w:rsidRPr="00131B9D">
        <w:rPr>
          <w:szCs w:val="24"/>
        </w:rPr>
        <w:lastRenderedPageBreak/>
        <w:t>總署公佈資料顯示，</w:t>
      </w:r>
      <w:r w:rsidRPr="00131B9D">
        <w:rPr>
          <w:szCs w:val="24"/>
        </w:rPr>
        <w:t>2015</w:t>
      </w:r>
      <w:r w:rsidRPr="00131B9D">
        <w:rPr>
          <w:szCs w:val="24"/>
        </w:rPr>
        <w:t>年</w:t>
      </w:r>
      <w:r w:rsidRPr="00131B9D">
        <w:rPr>
          <w:szCs w:val="24"/>
        </w:rPr>
        <w:t>5</w:t>
      </w:r>
      <w:r w:rsidRPr="00131B9D">
        <w:rPr>
          <w:szCs w:val="24"/>
        </w:rPr>
        <w:t>月份稀土出口量為</w:t>
      </w:r>
      <w:r w:rsidRPr="00131B9D">
        <w:rPr>
          <w:szCs w:val="24"/>
        </w:rPr>
        <w:t>2,618</w:t>
      </w:r>
      <w:r w:rsidRPr="00131B9D">
        <w:rPr>
          <w:szCs w:val="24"/>
        </w:rPr>
        <w:t>噸，增長</w:t>
      </w:r>
      <w:r w:rsidRPr="00131B9D">
        <w:rPr>
          <w:szCs w:val="24"/>
        </w:rPr>
        <w:t>11%</w:t>
      </w:r>
      <w:r w:rsidRPr="00131B9D">
        <w:rPr>
          <w:szCs w:val="24"/>
        </w:rPr>
        <w:t>。但</w:t>
      </w:r>
      <w:r w:rsidRPr="00131B9D">
        <w:rPr>
          <w:szCs w:val="24"/>
        </w:rPr>
        <w:t>1-5</w:t>
      </w:r>
      <w:r w:rsidRPr="00131B9D">
        <w:rPr>
          <w:szCs w:val="24"/>
        </w:rPr>
        <w:t>月份稀土出口總量為</w:t>
      </w:r>
      <w:r w:rsidRPr="00131B9D">
        <w:rPr>
          <w:szCs w:val="24"/>
        </w:rPr>
        <w:t>10,661</w:t>
      </w:r>
      <w:r w:rsidRPr="00131B9D">
        <w:rPr>
          <w:szCs w:val="24"/>
        </w:rPr>
        <w:t>噸，較</w:t>
      </w:r>
      <w:r w:rsidRPr="00131B9D">
        <w:rPr>
          <w:szCs w:val="24"/>
        </w:rPr>
        <w:t>2014</w:t>
      </w:r>
      <w:r w:rsidRPr="00131B9D">
        <w:rPr>
          <w:szCs w:val="24"/>
        </w:rPr>
        <w:t>年同期累計</w:t>
      </w:r>
      <w:r w:rsidRPr="00131B9D">
        <w:rPr>
          <w:szCs w:val="24"/>
        </w:rPr>
        <w:t>12,544</w:t>
      </w:r>
      <w:r w:rsidRPr="00131B9D">
        <w:rPr>
          <w:szCs w:val="24"/>
        </w:rPr>
        <w:t>噸下降</w:t>
      </w:r>
      <w:r w:rsidRPr="00131B9D">
        <w:rPr>
          <w:szCs w:val="24"/>
        </w:rPr>
        <w:t>15.0%</w:t>
      </w:r>
      <w:r w:rsidRPr="00131B9D">
        <w:rPr>
          <w:szCs w:val="24"/>
        </w:rPr>
        <w:t>。內蒙古是中國大陸稀土大省，根據呼和浩特海關</w:t>
      </w:r>
      <w:r w:rsidRPr="00131B9D">
        <w:rPr>
          <w:szCs w:val="24"/>
        </w:rPr>
        <w:t>3</w:t>
      </w:r>
      <w:r w:rsidRPr="00131B9D">
        <w:rPr>
          <w:szCs w:val="24"/>
        </w:rPr>
        <w:t>月</w:t>
      </w:r>
      <w:r w:rsidRPr="00131B9D">
        <w:rPr>
          <w:szCs w:val="24"/>
        </w:rPr>
        <w:t>19</w:t>
      </w:r>
      <w:r w:rsidRPr="00131B9D">
        <w:rPr>
          <w:szCs w:val="24"/>
        </w:rPr>
        <w:t>日資料顯示，</w:t>
      </w:r>
      <w:r w:rsidRPr="00131B9D">
        <w:rPr>
          <w:szCs w:val="24"/>
        </w:rPr>
        <w:t>2015</w:t>
      </w:r>
      <w:r w:rsidRPr="00131B9D">
        <w:rPr>
          <w:szCs w:val="24"/>
        </w:rPr>
        <w:t>年前</w:t>
      </w:r>
      <w:r w:rsidRPr="00131B9D">
        <w:rPr>
          <w:szCs w:val="24"/>
        </w:rPr>
        <w:t>2</w:t>
      </w:r>
      <w:r w:rsidRPr="00131B9D">
        <w:rPr>
          <w:szCs w:val="24"/>
        </w:rPr>
        <w:t>個月，內蒙古自治區出口稀土</w:t>
      </w:r>
      <w:r w:rsidRPr="00131B9D">
        <w:rPr>
          <w:szCs w:val="24"/>
        </w:rPr>
        <w:t>660.8</w:t>
      </w:r>
      <w:r w:rsidRPr="00131B9D">
        <w:rPr>
          <w:szCs w:val="24"/>
        </w:rPr>
        <w:t>噸，比</w:t>
      </w:r>
      <w:r w:rsidRPr="00131B9D">
        <w:rPr>
          <w:szCs w:val="24"/>
        </w:rPr>
        <w:t>2014</w:t>
      </w:r>
      <w:r w:rsidRPr="00131B9D">
        <w:rPr>
          <w:szCs w:val="24"/>
        </w:rPr>
        <w:t>年同期增加</w:t>
      </w:r>
      <w:r w:rsidRPr="00131B9D">
        <w:rPr>
          <w:szCs w:val="24"/>
        </w:rPr>
        <w:t>30.8%</w:t>
      </w:r>
      <w:r w:rsidRPr="00131B9D">
        <w:rPr>
          <w:szCs w:val="24"/>
        </w:rPr>
        <w:t>；價值</w:t>
      </w:r>
      <w:r w:rsidRPr="00131B9D">
        <w:rPr>
          <w:szCs w:val="24"/>
        </w:rPr>
        <w:t>2,373.1</w:t>
      </w:r>
      <w:r w:rsidRPr="00131B9D">
        <w:rPr>
          <w:szCs w:val="24"/>
        </w:rPr>
        <w:t>萬元人民幣，較</w:t>
      </w:r>
      <w:r w:rsidRPr="00131B9D">
        <w:rPr>
          <w:szCs w:val="24"/>
        </w:rPr>
        <w:t>2014</w:t>
      </w:r>
      <w:r w:rsidRPr="00131B9D">
        <w:rPr>
          <w:szCs w:val="24"/>
        </w:rPr>
        <w:t>年同期下降</w:t>
      </w:r>
      <w:r w:rsidRPr="00131B9D">
        <w:rPr>
          <w:szCs w:val="24"/>
        </w:rPr>
        <w:t>35.7%</w:t>
      </w:r>
      <w:r w:rsidRPr="00131B9D">
        <w:rPr>
          <w:szCs w:val="24"/>
        </w:rPr>
        <w:t>；出口平均價格為每噸</w:t>
      </w:r>
      <w:r w:rsidRPr="00131B9D">
        <w:rPr>
          <w:szCs w:val="24"/>
        </w:rPr>
        <w:t>3.6</w:t>
      </w:r>
      <w:r w:rsidRPr="00131B9D">
        <w:rPr>
          <w:szCs w:val="24"/>
        </w:rPr>
        <w:t>萬元人民幣，同比下跌</w:t>
      </w:r>
      <w:r w:rsidRPr="00131B9D">
        <w:rPr>
          <w:szCs w:val="24"/>
        </w:rPr>
        <w:t>50.7%</w:t>
      </w:r>
      <w:r w:rsidRPr="00131B9D">
        <w:rPr>
          <w:szCs w:val="24"/>
        </w:rPr>
        <w:t>，稀土出口呈現量增價跌之勢，美國為內蒙古稀土主要出口市場，對日本出口也有小幅增長，其中</w:t>
      </w:r>
      <w:r w:rsidRPr="00131B9D">
        <w:rPr>
          <w:szCs w:val="24"/>
        </w:rPr>
        <w:t>9</w:t>
      </w:r>
      <w:r w:rsidRPr="00131B9D">
        <w:rPr>
          <w:szCs w:val="24"/>
        </w:rPr>
        <w:t>成以上由稀土大市包頭出口。</w:t>
      </w:r>
    </w:p>
    <w:p w:rsidR="00F279F7" w:rsidRPr="00131B9D" w:rsidRDefault="00F279F7" w:rsidP="00F279F7">
      <w:pPr>
        <w:pStyle w:val="-"/>
        <w:spacing w:before="72" w:after="72"/>
        <w:ind w:firstLine="560"/>
        <w:rPr>
          <w:szCs w:val="24"/>
        </w:rPr>
      </w:pPr>
      <w:r w:rsidRPr="00131B9D">
        <w:rPr>
          <w:szCs w:val="24"/>
        </w:rPr>
        <w:t>據亞洲金屬統計，</w:t>
      </w:r>
      <w:r w:rsidRPr="00131B9D">
        <w:rPr>
          <w:szCs w:val="24"/>
        </w:rPr>
        <w:t>2015</w:t>
      </w:r>
      <w:r w:rsidRPr="00131B9D">
        <w:rPr>
          <w:szCs w:val="24"/>
        </w:rPr>
        <w:t>年上半年中國大陸氧化鐠釹產量約為</w:t>
      </w:r>
      <w:r w:rsidRPr="00131B9D">
        <w:rPr>
          <w:szCs w:val="24"/>
        </w:rPr>
        <w:t>1.8</w:t>
      </w:r>
      <w:r w:rsidRPr="00131B9D">
        <w:rPr>
          <w:szCs w:val="24"/>
        </w:rPr>
        <w:t>萬噸。由於釹鐵硼磁材行業仍無好轉跡象，鐠釹混合金屬需求疲軟，氧化鐠釹市場成交遲滯、價格下降，已有</w:t>
      </w:r>
      <w:r w:rsidRPr="00131B9D">
        <w:rPr>
          <w:szCs w:val="24"/>
        </w:rPr>
        <w:t>10</w:t>
      </w:r>
      <w:r w:rsidRPr="00131B9D">
        <w:rPr>
          <w:szCs w:val="24"/>
        </w:rPr>
        <w:t>家分離廠於</w:t>
      </w:r>
      <w:r w:rsidRPr="00131B9D">
        <w:rPr>
          <w:szCs w:val="24"/>
        </w:rPr>
        <w:t>8</w:t>
      </w:r>
      <w:r w:rsidRPr="00131B9D">
        <w:rPr>
          <w:szCs w:val="24"/>
        </w:rPr>
        <w:t>月初停產，另有</w:t>
      </w:r>
      <w:r w:rsidRPr="00131B9D">
        <w:rPr>
          <w:szCs w:val="24"/>
        </w:rPr>
        <w:t>20</w:t>
      </w:r>
      <w:r w:rsidRPr="00131B9D">
        <w:rPr>
          <w:szCs w:val="24"/>
        </w:rPr>
        <w:t>家計畫於</w:t>
      </w:r>
      <w:r w:rsidRPr="00131B9D">
        <w:rPr>
          <w:szCs w:val="24"/>
        </w:rPr>
        <w:t>9</w:t>
      </w:r>
      <w:r w:rsidRPr="00131B9D">
        <w:rPr>
          <w:szCs w:val="24"/>
        </w:rPr>
        <w:t>月初停產。</w:t>
      </w:r>
      <w:r w:rsidRPr="00131B9D">
        <w:rPr>
          <w:szCs w:val="24"/>
        </w:rPr>
        <w:t>9</w:t>
      </w:r>
      <w:r w:rsidRPr="00131B9D">
        <w:rPr>
          <w:szCs w:val="24"/>
        </w:rPr>
        <w:t>、</w:t>
      </w:r>
      <w:r w:rsidRPr="00131B9D">
        <w:rPr>
          <w:szCs w:val="24"/>
        </w:rPr>
        <w:t>10</w:t>
      </w:r>
      <w:r w:rsidRPr="00131B9D">
        <w:rPr>
          <w:szCs w:val="24"/>
        </w:rPr>
        <w:t>月份通常是釹鐵硼磁材行業的旺季，海外採購商結束夏休返市採購，鐠釹產品市場將略為回暖，停產的分離廠將於</w:t>
      </w:r>
      <w:r w:rsidRPr="00131B9D">
        <w:rPr>
          <w:szCs w:val="24"/>
        </w:rPr>
        <w:t>9</w:t>
      </w:r>
      <w:r w:rsidRPr="00131B9D">
        <w:rPr>
          <w:szCs w:val="24"/>
        </w:rPr>
        <w:t>、</w:t>
      </w:r>
      <w:r w:rsidRPr="00131B9D">
        <w:rPr>
          <w:szCs w:val="24"/>
        </w:rPr>
        <w:t>10</w:t>
      </w:r>
      <w:r w:rsidRPr="00131B9D">
        <w:rPr>
          <w:szCs w:val="24"/>
        </w:rPr>
        <w:t>月份恢復生產。</w:t>
      </w:r>
      <w:r w:rsidRPr="00131B9D">
        <w:rPr>
          <w:szCs w:val="24"/>
        </w:rPr>
        <w:t>10</w:t>
      </w:r>
      <w:r w:rsidRPr="00131B9D">
        <w:rPr>
          <w:szCs w:val="24"/>
        </w:rPr>
        <w:t>月份開始，在中國大陸六大稀土集團聯手限產保價的推動下，市場現貨庫存偏低，稀土市場價格開始上揚，至</w:t>
      </w:r>
      <w:r w:rsidRPr="00131B9D">
        <w:rPr>
          <w:szCs w:val="24"/>
        </w:rPr>
        <w:t>10</w:t>
      </w:r>
      <w:r w:rsidRPr="00131B9D">
        <w:rPr>
          <w:szCs w:val="24"/>
        </w:rPr>
        <w:t>月下旬氧化鐠釹已上漲</w:t>
      </w:r>
      <w:r w:rsidRPr="00131B9D">
        <w:rPr>
          <w:szCs w:val="24"/>
        </w:rPr>
        <w:t>14.5%</w:t>
      </w:r>
      <w:r w:rsidRPr="00131B9D">
        <w:rPr>
          <w:szCs w:val="24"/>
        </w:rPr>
        <w:t>，</w:t>
      </w:r>
      <w:r w:rsidRPr="00131B9D">
        <w:rPr>
          <w:szCs w:val="24"/>
        </w:rPr>
        <w:t>10</w:t>
      </w:r>
      <w:r w:rsidRPr="00131B9D">
        <w:rPr>
          <w:szCs w:val="24"/>
        </w:rPr>
        <w:t>月底北方稀土再度上調鐠釹氧化物指導價</w:t>
      </w:r>
      <w:r w:rsidRPr="00131B9D">
        <w:rPr>
          <w:szCs w:val="24"/>
        </w:rPr>
        <w:t>1</w:t>
      </w:r>
      <w:r w:rsidRPr="00131B9D">
        <w:rPr>
          <w:szCs w:val="24"/>
        </w:rPr>
        <w:t>萬元，漲幅</w:t>
      </w:r>
      <w:r w:rsidRPr="00131B9D">
        <w:rPr>
          <w:szCs w:val="24"/>
        </w:rPr>
        <w:t>4%</w:t>
      </w:r>
      <w:r w:rsidRPr="00131B9D">
        <w:rPr>
          <w:szCs w:val="24"/>
        </w:rPr>
        <w:t>。此外，</w:t>
      </w:r>
      <w:r w:rsidRPr="00131B9D">
        <w:rPr>
          <w:szCs w:val="24"/>
        </w:rPr>
        <w:t>10</w:t>
      </w:r>
      <w:r w:rsidRPr="00131B9D">
        <w:rPr>
          <w:szCs w:val="24"/>
        </w:rPr>
        <w:t>月底中國大陸工信部發布通知將開展稀土礦加工廠的違法違規整頓行動，第一階段現場調查工作從</w:t>
      </w:r>
      <w:r w:rsidRPr="00131B9D">
        <w:rPr>
          <w:szCs w:val="24"/>
        </w:rPr>
        <w:t>11</w:t>
      </w:r>
      <w:r w:rsidRPr="00131B9D">
        <w:rPr>
          <w:szCs w:val="24"/>
        </w:rPr>
        <w:t>月</w:t>
      </w:r>
      <w:r w:rsidRPr="00131B9D">
        <w:rPr>
          <w:szCs w:val="24"/>
        </w:rPr>
        <w:t>1</w:t>
      </w:r>
      <w:r w:rsidRPr="00131B9D">
        <w:rPr>
          <w:szCs w:val="24"/>
        </w:rPr>
        <w:t>日開始﹔第二階段整頓處理時間為</w:t>
      </w:r>
      <w:r w:rsidRPr="00131B9D">
        <w:rPr>
          <w:szCs w:val="24"/>
        </w:rPr>
        <w:t>11</w:t>
      </w:r>
      <w:r w:rsidRPr="00131B9D">
        <w:rPr>
          <w:szCs w:val="24"/>
        </w:rPr>
        <w:t>月</w:t>
      </w:r>
      <w:r w:rsidRPr="00131B9D">
        <w:rPr>
          <w:szCs w:val="24"/>
        </w:rPr>
        <w:t>21</w:t>
      </w:r>
      <w:r w:rsidRPr="00131B9D">
        <w:rPr>
          <w:szCs w:val="24"/>
        </w:rPr>
        <w:t>日至</w:t>
      </w:r>
      <w:r w:rsidRPr="00131B9D">
        <w:rPr>
          <w:szCs w:val="24"/>
        </w:rPr>
        <w:t>12</w:t>
      </w:r>
      <w:r w:rsidRPr="00131B9D">
        <w:rPr>
          <w:szCs w:val="24"/>
        </w:rPr>
        <w:t>月</w:t>
      </w:r>
      <w:r w:rsidRPr="00131B9D">
        <w:rPr>
          <w:szCs w:val="24"/>
        </w:rPr>
        <w:t>20</w:t>
      </w:r>
      <w:r w:rsidRPr="00131B9D">
        <w:rPr>
          <w:szCs w:val="24"/>
        </w:rPr>
        <w:t>日。市場對此消息已有反應，根據</w:t>
      </w:r>
      <w:r w:rsidRPr="00131B9D">
        <w:rPr>
          <w:szCs w:val="24"/>
        </w:rPr>
        <w:t>11</w:t>
      </w:r>
      <w:r w:rsidRPr="00131B9D">
        <w:rPr>
          <w:szCs w:val="24"/>
        </w:rPr>
        <w:t>月</w:t>
      </w:r>
      <w:r w:rsidRPr="00131B9D">
        <w:rPr>
          <w:szCs w:val="24"/>
        </w:rPr>
        <w:t>10</w:t>
      </w:r>
      <w:r w:rsidRPr="00131B9D">
        <w:rPr>
          <w:szCs w:val="24"/>
        </w:rPr>
        <w:t>日之價格統計顯示，鐠釹合金上漲約</w:t>
      </w:r>
      <w:r w:rsidRPr="00131B9D">
        <w:rPr>
          <w:szCs w:val="24"/>
        </w:rPr>
        <w:t>3,000</w:t>
      </w:r>
      <w:r w:rsidRPr="00131B9D">
        <w:rPr>
          <w:szCs w:val="24"/>
        </w:rPr>
        <w:t>人民幣</w:t>
      </w:r>
      <w:r w:rsidRPr="00131B9D">
        <w:rPr>
          <w:szCs w:val="24"/>
        </w:rPr>
        <w:t>/</w:t>
      </w:r>
      <w:r w:rsidRPr="00131B9D">
        <w:rPr>
          <w:szCs w:val="24"/>
        </w:rPr>
        <w:t>噸，均價約</w:t>
      </w:r>
      <w:r w:rsidRPr="00131B9D">
        <w:rPr>
          <w:szCs w:val="24"/>
        </w:rPr>
        <w:t>33</w:t>
      </w:r>
      <w:r w:rsidRPr="00131B9D">
        <w:rPr>
          <w:szCs w:val="24"/>
        </w:rPr>
        <w:t>萬人民幣</w:t>
      </w:r>
      <w:r w:rsidRPr="00131B9D">
        <w:rPr>
          <w:szCs w:val="24"/>
        </w:rPr>
        <w:t>/</w:t>
      </w:r>
      <w:r w:rsidRPr="00131B9D">
        <w:rPr>
          <w:szCs w:val="24"/>
        </w:rPr>
        <w:t>噸左右。</w:t>
      </w:r>
    </w:p>
    <w:p w:rsidR="00F279F7" w:rsidRPr="00131B9D" w:rsidRDefault="00F279F7" w:rsidP="00F279F7">
      <w:pPr>
        <w:pStyle w:val="-"/>
        <w:spacing w:before="72" w:after="72"/>
        <w:ind w:firstLine="560"/>
        <w:rPr>
          <w:szCs w:val="24"/>
        </w:rPr>
      </w:pPr>
      <w:r w:rsidRPr="00131B9D">
        <w:rPr>
          <w:szCs w:val="24"/>
        </w:rPr>
        <w:t>展望</w:t>
      </w:r>
      <w:r w:rsidRPr="00131B9D">
        <w:rPr>
          <w:szCs w:val="24"/>
        </w:rPr>
        <w:t>2016</w:t>
      </w:r>
      <w:r w:rsidRPr="00131B9D">
        <w:rPr>
          <w:szCs w:val="24"/>
        </w:rPr>
        <w:t>年釹市，中國稀土行業協會副秘書長陳占恒表示，當前稀土價格已經見底，企業難以承受當前的低價。隨著限產和打擊非法黑稀土效果的發揮，稀土價格有望回升，但近年來幾次打擊非法黑稀土行動都會讓市場迎來一輪</w:t>
      </w:r>
      <w:r w:rsidRPr="00131B9D">
        <w:rPr>
          <w:szCs w:val="24"/>
        </w:rPr>
        <w:t>“</w:t>
      </w:r>
      <w:r w:rsidRPr="00131B9D">
        <w:rPr>
          <w:szCs w:val="24"/>
        </w:rPr>
        <w:t>行情</w:t>
      </w:r>
      <w:r w:rsidRPr="00131B9D">
        <w:rPr>
          <w:szCs w:val="24"/>
        </w:rPr>
        <w:t>”</w:t>
      </w:r>
      <w:r w:rsidRPr="00131B9D">
        <w:rPr>
          <w:szCs w:val="24"/>
        </w:rPr>
        <w:t>，但風聲一過價格又會下滑。因此，稀土價格能否長期穩定還是要看供給端，尤其是明年</w:t>
      </w:r>
      <w:r w:rsidRPr="00131B9D">
        <w:rPr>
          <w:szCs w:val="24"/>
        </w:rPr>
        <w:t>3</w:t>
      </w:r>
      <w:r w:rsidRPr="00131B9D">
        <w:rPr>
          <w:szCs w:val="24"/>
        </w:rPr>
        <w:t>月份的產能情況。</w:t>
      </w:r>
    </w:p>
    <w:p w:rsidR="00F279F7" w:rsidRPr="00131B9D" w:rsidRDefault="00F279F7" w:rsidP="00F279F7">
      <w:pPr>
        <w:spacing w:beforeLines="100" w:before="360"/>
        <w:jc w:val="center"/>
        <w:rPr>
          <w:rFonts w:eastAsia="標楷體"/>
        </w:rPr>
      </w:pPr>
      <w:r w:rsidRPr="00131B9D">
        <w:rPr>
          <w:noProof/>
        </w:rPr>
        <w:lastRenderedPageBreak/>
        <w:drawing>
          <wp:inline distT="0" distB="0" distL="0" distR="0" wp14:anchorId="23E62185" wp14:editId="4EA0C41B">
            <wp:extent cx="5274310" cy="2968831"/>
            <wp:effectExtent l="0" t="0" r="2540" b="3175"/>
            <wp:docPr id="34" name="圖表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01" w:name="_Toc398882649"/>
      <w:bookmarkStart w:id="202" w:name="_Toc438223349"/>
      <w:bookmarkStart w:id="203" w:name="_Toc373682445"/>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15</w:t>
      </w:r>
      <w:r w:rsidRPr="00131B9D">
        <w:rPr>
          <w:rFonts w:eastAsia="標楷體"/>
          <w:b/>
          <w:bCs/>
          <w:kern w:val="52"/>
          <w:sz w:val="28"/>
          <w:szCs w:val="28"/>
        </w:rPr>
        <w:fldChar w:fldCharType="end"/>
      </w:r>
      <w:r w:rsidRPr="00131B9D">
        <w:rPr>
          <w:rFonts w:eastAsia="標楷體"/>
          <w:b/>
          <w:bCs/>
          <w:kern w:val="52"/>
          <w:sz w:val="28"/>
          <w:szCs w:val="28"/>
        </w:rPr>
        <w:t xml:space="preserve">　釹近一年價格走勢圖</w:t>
      </w:r>
      <w:bookmarkEnd w:id="201"/>
      <w:bookmarkEnd w:id="202"/>
    </w:p>
    <w:bookmarkEnd w:id="203"/>
    <w:p w:rsidR="00B22890" w:rsidRPr="00131B9D" w:rsidRDefault="00B22890" w:rsidP="00B22890"/>
    <w:p w:rsidR="00F279F7" w:rsidRPr="00131B9D" w:rsidRDefault="00F279F7" w:rsidP="00F279F7">
      <w:pPr>
        <w:pStyle w:val="3"/>
        <w:rPr>
          <w:rFonts w:ascii="Times New Roman" w:hAnsi="Times New Roman"/>
        </w:rPr>
      </w:pPr>
      <w:r w:rsidRPr="00131B9D">
        <w:rPr>
          <w:rFonts w:ascii="Times New Roman" w:hAnsi="Times New Roman"/>
        </w:rPr>
        <w:t>（十）鈷</w:t>
      </w:r>
    </w:p>
    <w:p w:rsidR="00F279F7" w:rsidRPr="00131B9D" w:rsidRDefault="00F279F7" w:rsidP="00F279F7">
      <w:pPr>
        <w:pStyle w:val="-"/>
        <w:spacing w:before="72" w:after="72"/>
        <w:ind w:firstLine="560"/>
        <w:rPr>
          <w:color w:val="000000"/>
          <w:szCs w:val="24"/>
        </w:rPr>
      </w:pPr>
      <w:bookmarkStart w:id="204" w:name="_Toc384853756"/>
      <w:bookmarkStart w:id="205" w:name="_Toc384887729"/>
      <w:r w:rsidRPr="00131B9D">
        <w:t>2014</w:t>
      </w:r>
      <w:r w:rsidRPr="00131B9D">
        <w:t>年全球鈷礦產量為</w:t>
      </w:r>
      <w:r w:rsidRPr="00131B9D">
        <w:t>11.2</w:t>
      </w:r>
      <w:r w:rsidRPr="00131B9D">
        <w:t>萬公噸，全球產量最大國家為剛果達</w:t>
      </w:r>
      <w:r w:rsidRPr="00131B9D">
        <w:t>5.6</w:t>
      </w:r>
      <w:r w:rsidRPr="00131B9D">
        <w:t>萬公噸，其次為中國大陸的</w:t>
      </w:r>
      <w:r w:rsidRPr="00131B9D">
        <w:t>0.72</w:t>
      </w:r>
      <w:r w:rsidRPr="00131B9D">
        <w:t>萬公噸，再來為加拿大的</w:t>
      </w:r>
      <w:r w:rsidRPr="00131B9D">
        <w:t>0.7</w:t>
      </w:r>
      <w:r w:rsidRPr="00131B9D">
        <w:t>萬公噸、澳洲的</w:t>
      </w:r>
      <w:r w:rsidRPr="00131B9D">
        <w:t>0.65</w:t>
      </w:r>
      <w:r w:rsidRPr="00131B9D">
        <w:t>萬公噸、俄國的</w:t>
      </w:r>
      <w:r w:rsidRPr="00131B9D">
        <w:t>0.63</w:t>
      </w:r>
      <w:r w:rsidRPr="00131B9D">
        <w:t>萬公噸及古巴的</w:t>
      </w:r>
      <w:r w:rsidRPr="00131B9D">
        <w:t>0.42</w:t>
      </w:r>
      <w:r w:rsidRPr="00131B9D">
        <w:t>萬公噸等。</w:t>
      </w:r>
    </w:p>
    <w:p w:rsidR="00F279F7" w:rsidRPr="00131B9D" w:rsidRDefault="00F279F7" w:rsidP="00F279F7">
      <w:pPr>
        <w:pStyle w:val="-"/>
        <w:spacing w:before="72" w:after="72"/>
        <w:ind w:firstLine="560"/>
        <w:rPr>
          <w:color w:val="000000"/>
          <w:szCs w:val="24"/>
        </w:rPr>
      </w:pPr>
      <w:r w:rsidRPr="00131B9D">
        <w:rPr>
          <w:color w:val="000000"/>
          <w:szCs w:val="24"/>
        </w:rPr>
        <w:t>鈷的全球儲量中，有一半集中在非洲剛果地區，目前全球所消費的鈷，其來源有</w:t>
      </w:r>
      <w:r w:rsidRPr="00131B9D">
        <w:rPr>
          <w:color w:val="000000"/>
          <w:szCs w:val="24"/>
        </w:rPr>
        <w:t>85%</w:t>
      </w:r>
      <w:r w:rsidRPr="00131B9D">
        <w:rPr>
          <w:color w:val="000000"/>
          <w:szCs w:val="24"/>
        </w:rPr>
        <w:t>都產自剛果，然因當地基礎建設尚未完備及其他因素，將使鈷的供給量受到限制，預估在</w:t>
      </w:r>
      <w:r w:rsidRPr="00131B9D">
        <w:rPr>
          <w:color w:val="000000"/>
          <w:szCs w:val="24"/>
        </w:rPr>
        <w:t>2019</w:t>
      </w:r>
      <w:r w:rsidRPr="00131B9D">
        <w:rPr>
          <w:color w:val="000000"/>
          <w:szCs w:val="24"/>
        </w:rPr>
        <w:t>年時全球鈷的生產量成長率將接近</w:t>
      </w:r>
      <w:r w:rsidRPr="00131B9D">
        <w:rPr>
          <w:color w:val="000000"/>
          <w:szCs w:val="24"/>
        </w:rPr>
        <w:t>0%</w:t>
      </w:r>
      <w:r w:rsidRPr="00131B9D">
        <w:rPr>
          <w:color w:val="000000"/>
          <w:szCs w:val="24"/>
        </w:rPr>
        <w:t>。從</w:t>
      </w:r>
      <w:r w:rsidRPr="00131B9D">
        <w:rPr>
          <w:color w:val="000000"/>
          <w:szCs w:val="24"/>
        </w:rPr>
        <w:t>2012</w:t>
      </w:r>
      <w:r w:rsidRPr="00131B9D">
        <w:rPr>
          <w:color w:val="000000"/>
          <w:szCs w:val="24"/>
        </w:rPr>
        <w:t>年開始，鈷的供需已經出現小幅缺口，但由於前期庫存較大，所以鈷價並未明顯上升，第</w:t>
      </w:r>
      <w:r w:rsidRPr="00131B9D">
        <w:rPr>
          <w:color w:val="000000"/>
          <w:szCs w:val="24"/>
        </w:rPr>
        <w:t>1</w:t>
      </w:r>
      <w:r w:rsidRPr="00131B9D">
        <w:rPr>
          <w:color w:val="000000"/>
          <w:szCs w:val="24"/>
        </w:rPr>
        <w:t>季中國大陸鈷市場年後恢復緩慢，市場多處於冷清狀態，成交量稀少，終端及下游需求疲軟，而國際鈷價連續下跌，貿易商信心缺乏，入市意願低迷，大多採取保守避險操作。今年第</w:t>
      </w:r>
      <w:r w:rsidRPr="00131B9D">
        <w:rPr>
          <w:color w:val="000000"/>
          <w:szCs w:val="24"/>
        </w:rPr>
        <w:t>1</w:t>
      </w:r>
      <w:r w:rsidRPr="00131B9D">
        <w:rPr>
          <w:color w:val="000000"/>
          <w:szCs w:val="24"/>
        </w:rPr>
        <w:t>季末，鈷相關的企業資金偏緊，預期消費壓力存在，整體市場持續疲軟、需求面不佳。</w:t>
      </w:r>
      <w:r w:rsidRPr="00131B9D">
        <w:rPr>
          <w:color w:val="000000"/>
          <w:szCs w:val="24"/>
        </w:rPr>
        <w:t>2015</w:t>
      </w:r>
      <w:r w:rsidRPr="00131B9D">
        <w:rPr>
          <w:color w:val="000000"/>
          <w:szCs w:val="24"/>
        </w:rPr>
        <w:t>年</w:t>
      </w:r>
      <w:r w:rsidRPr="00131B9D">
        <w:rPr>
          <w:color w:val="000000"/>
          <w:szCs w:val="24"/>
        </w:rPr>
        <w:t>4</w:t>
      </w:r>
      <w:r w:rsidRPr="00131B9D">
        <w:rPr>
          <w:color w:val="000000"/>
          <w:szCs w:val="24"/>
        </w:rPr>
        <w:t>月初，由歐亞自然資源公司（</w:t>
      </w:r>
      <w:r w:rsidRPr="00131B9D">
        <w:rPr>
          <w:color w:val="000000"/>
          <w:szCs w:val="24"/>
        </w:rPr>
        <w:t>ENRC</w:t>
      </w:r>
      <w:r w:rsidRPr="00131B9D">
        <w:rPr>
          <w:color w:val="000000"/>
          <w:szCs w:val="24"/>
        </w:rPr>
        <w:t>）所持有的全球最大鈷礦生產公司</w:t>
      </w:r>
      <w:r w:rsidRPr="00131B9D">
        <w:rPr>
          <w:color w:val="000000"/>
          <w:szCs w:val="24"/>
        </w:rPr>
        <w:t>Chambishi</w:t>
      </w:r>
      <w:r w:rsidRPr="00131B9D">
        <w:rPr>
          <w:color w:val="000000"/>
          <w:szCs w:val="24"/>
        </w:rPr>
        <w:t>因原料問題宣佈停產</w:t>
      </w:r>
      <w:r w:rsidRPr="00131B9D">
        <w:rPr>
          <w:color w:val="000000"/>
          <w:szCs w:val="24"/>
        </w:rPr>
        <w:t>3</w:t>
      </w:r>
      <w:r w:rsidRPr="00131B9D">
        <w:rPr>
          <w:color w:val="000000"/>
          <w:szCs w:val="24"/>
        </w:rPr>
        <w:t>個月，而鈷發展協會（</w:t>
      </w:r>
      <w:r w:rsidRPr="00131B9D">
        <w:rPr>
          <w:color w:val="000000"/>
          <w:szCs w:val="24"/>
        </w:rPr>
        <w:t xml:space="preserve">the Cobalt </w:t>
      </w:r>
      <w:r w:rsidRPr="00131B9D">
        <w:rPr>
          <w:color w:val="000000"/>
          <w:szCs w:val="24"/>
        </w:rPr>
        <w:lastRenderedPageBreak/>
        <w:t>Development Institute, CDI</w:t>
      </w:r>
      <w:r w:rsidRPr="00131B9D">
        <w:rPr>
          <w:color w:val="000000"/>
          <w:szCs w:val="24"/>
        </w:rPr>
        <w:t>）在</w:t>
      </w:r>
      <w:r w:rsidRPr="00131B9D">
        <w:rPr>
          <w:color w:val="000000"/>
          <w:szCs w:val="24"/>
        </w:rPr>
        <w:t>2015</w:t>
      </w:r>
      <w:r w:rsidRPr="00131B9D">
        <w:rPr>
          <w:color w:val="000000"/>
          <w:szCs w:val="24"/>
        </w:rPr>
        <w:t>年年度會議中指出，</w:t>
      </w:r>
      <w:r w:rsidRPr="00131B9D">
        <w:rPr>
          <w:color w:val="000000"/>
          <w:szCs w:val="24"/>
        </w:rPr>
        <w:t>Chambishi</w:t>
      </w:r>
      <w:r w:rsidRPr="00131B9D">
        <w:rPr>
          <w:color w:val="000000"/>
          <w:szCs w:val="24"/>
        </w:rPr>
        <w:t>之停產時程可能延長，且中國金川國際集團正計畫降低今年</w:t>
      </w:r>
      <w:r w:rsidRPr="00131B9D">
        <w:rPr>
          <w:color w:val="000000"/>
          <w:szCs w:val="24"/>
        </w:rPr>
        <w:t>16%</w:t>
      </w:r>
      <w:r w:rsidRPr="00131B9D">
        <w:rPr>
          <w:color w:val="000000"/>
          <w:szCs w:val="24"/>
        </w:rPr>
        <w:t>的鈷產量至</w:t>
      </w:r>
      <w:r w:rsidRPr="00131B9D">
        <w:rPr>
          <w:color w:val="000000"/>
          <w:szCs w:val="24"/>
        </w:rPr>
        <w:t>3,200</w:t>
      </w:r>
      <w:r w:rsidRPr="00131B9D">
        <w:rPr>
          <w:color w:val="000000"/>
          <w:szCs w:val="24"/>
        </w:rPr>
        <w:t>噸。</w:t>
      </w:r>
      <w:r w:rsidRPr="00131B9D">
        <w:rPr>
          <w:color w:val="000000"/>
          <w:szCs w:val="24"/>
        </w:rPr>
        <w:t>7</w:t>
      </w:r>
      <w:r w:rsidRPr="00131B9D">
        <w:rPr>
          <w:color w:val="000000"/>
          <w:szCs w:val="24"/>
        </w:rPr>
        <w:t>月為歐洲夏休期間，電解鈷市場不振，報價下跌，</w:t>
      </w:r>
      <w:r w:rsidRPr="00131B9D">
        <w:rPr>
          <w:color w:val="000000"/>
          <w:szCs w:val="24"/>
        </w:rPr>
        <w:t>8</w:t>
      </w:r>
      <w:r w:rsidRPr="00131B9D">
        <w:rPr>
          <w:color w:val="000000"/>
          <w:szCs w:val="24"/>
        </w:rPr>
        <w:t>月亦為消費淡季，因此鈷市仍然緩步走低。而全球大宗商品貿易商嘉能可的執行長格拉森柏格（</w:t>
      </w:r>
      <w:r w:rsidRPr="00131B9D">
        <w:rPr>
          <w:color w:val="000000"/>
          <w:szCs w:val="24"/>
        </w:rPr>
        <w:t>IvanGlasenberg</w:t>
      </w:r>
      <w:r w:rsidRPr="00131B9D">
        <w:rPr>
          <w:color w:val="000000"/>
          <w:szCs w:val="24"/>
        </w:rPr>
        <w:t>）</w:t>
      </w:r>
      <w:r w:rsidRPr="00131B9D">
        <w:rPr>
          <w:color w:val="000000"/>
          <w:szCs w:val="24"/>
        </w:rPr>
        <w:t>9</w:t>
      </w:r>
      <w:r w:rsidRPr="00131B9D">
        <w:rPr>
          <w:color w:val="000000"/>
          <w:szCs w:val="24"/>
        </w:rPr>
        <w:t>月</w:t>
      </w:r>
      <w:r w:rsidRPr="00131B9D">
        <w:rPr>
          <w:color w:val="000000"/>
          <w:szCs w:val="24"/>
        </w:rPr>
        <w:t>7</w:t>
      </w:r>
      <w:r w:rsidRPr="00131B9D">
        <w:rPr>
          <w:color w:val="000000"/>
          <w:szCs w:val="24"/>
        </w:rPr>
        <w:t>日表示，因非洲銅專案業務更新，</w:t>
      </w:r>
      <w:r w:rsidRPr="00131B9D">
        <w:rPr>
          <w:color w:val="000000"/>
          <w:szCs w:val="24"/>
        </w:rPr>
        <w:t>Katanga</w:t>
      </w:r>
      <w:r w:rsidRPr="00131B9D">
        <w:rPr>
          <w:color w:val="000000"/>
          <w:szCs w:val="24"/>
        </w:rPr>
        <w:t>及</w:t>
      </w:r>
      <w:r w:rsidRPr="00131B9D">
        <w:rPr>
          <w:color w:val="000000"/>
          <w:szCs w:val="24"/>
        </w:rPr>
        <w:t>Mopani</w:t>
      </w:r>
      <w:r w:rsidRPr="00131B9D">
        <w:rPr>
          <w:color w:val="000000"/>
          <w:szCs w:val="24"/>
        </w:rPr>
        <w:t>銅礦山將停產</w:t>
      </w:r>
      <w:r w:rsidRPr="00131B9D">
        <w:rPr>
          <w:color w:val="000000"/>
          <w:szCs w:val="24"/>
        </w:rPr>
        <w:t>18</w:t>
      </w:r>
      <w:r w:rsidRPr="00131B9D">
        <w:rPr>
          <w:color w:val="000000"/>
          <w:szCs w:val="24"/>
        </w:rPr>
        <w:t>個月，本次停產涉及</w:t>
      </w:r>
      <w:r w:rsidRPr="00131B9D">
        <w:rPr>
          <w:color w:val="000000"/>
          <w:szCs w:val="24"/>
        </w:rPr>
        <w:t>Katanga</w:t>
      </w:r>
      <w:r w:rsidRPr="00131B9D">
        <w:rPr>
          <w:color w:val="000000"/>
          <w:szCs w:val="24"/>
        </w:rPr>
        <w:t>的全礦石浸出、</w:t>
      </w:r>
      <w:r w:rsidRPr="00131B9D">
        <w:rPr>
          <w:color w:val="000000"/>
          <w:szCs w:val="24"/>
        </w:rPr>
        <w:t>Mopani</w:t>
      </w:r>
      <w:r w:rsidRPr="00131B9D">
        <w:rPr>
          <w:color w:val="000000"/>
          <w:szCs w:val="24"/>
        </w:rPr>
        <w:t>的新豎井及選礦機，然而該計畫不僅影響銅的出口，鈷市場也受到一定程度的影響。</w:t>
      </w:r>
    </w:p>
    <w:p w:rsidR="00F279F7" w:rsidRPr="00131B9D" w:rsidRDefault="00F279F7" w:rsidP="00F279F7">
      <w:pPr>
        <w:pStyle w:val="-"/>
        <w:spacing w:before="72" w:after="72"/>
        <w:ind w:firstLine="560"/>
        <w:rPr>
          <w:color w:val="000000"/>
          <w:szCs w:val="24"/>
        </w:rPr>
      </w:pPr>
      <w:r w:rsidRPr="00131B9D">
        <w:rPr>
          <w:color w:val="000000"/>
          <w:szCs w:val="24"/>
        </w:rPr>
        <w:t>再者，就需求面而言，鈷大多用於電池材料，</w:t>
      </w:r>
      <w:r w:rsidRPr="00131B9D">
        <w:rPr>
          <w:color w:val="000000"/>
          <w:szCs w:val="24"/>
        </w:rPr>
        <w:t>2015</w:t>
      </w:r>
      <w:r w:rsidRPr="00131B9D">
        <w:rPr>
          <w:color w:val="000000"/>
          <w:szCs w:val="24"/>
        </w:rPr>
        <w:t>年約有</w:t>
      </w:r>
      <w:r w:rsidRPr="00131B9D">
        <w:rPr>
          <w:color w:val="000000"/>
          <w:szCs w:val="24"/>
        </w:rPr>
        <w:t>43%</w:t>
      </w:r>
      <w:r w:rsidRPr="00131B9D">
        <w:rPr>
          <w:color w:val="000000"/>
          <w:szCs w:val="24"/>
        </w:rPr>
        <w:t>的鈷用於電池之中，對比</w:t>
      </w:r>
      <w:r w:rsidRPr="00131B9D">
        <w:rPr>
          <w:color w:val="000000"/>
          <w:szCs w:val="24"/>
        </w:rPr>
        <w:t>2006</w:t>
      </w:r>
      <w:r w:rsidRPr="00131B9D">
        <w:rPr>
          <w:color w:val="000000"/>
          <w:szCs w:val="24"/>
        </w:rPr>
        <w:t>年時該數值僅為</w:t>
      </w:r>
      <w:r w:rsidRPr="00131B9D">
        <w:rPr>
          <w:color w:val="000000"/>
          <w:szCs w:val="24"/>
        </w:rPr>
        <w:t>26%</w:t>
      </w:r>
      <w:r w:rsidRPr="00131B9D">
        <w:rPr>
          <w:color w:val="000000"/>
          <w:szCs w:val="24"/>
        </w:rPr>
        <w:t>，且</w:t>
      </w:r>
      <w:r w:rsidRPr="00131B9D">
        <w:rPr>
          <w:color w:val="000000"/>
          <w:szCs w:val="24"/>
        </w:rPr>
        <w:t>2015</w:t>
      </w:r>
      <w:r w:rsidRPr="00131B9D">
        <w:rPr>
          <w:color w:val="000000"/>
          <w:szCs w:val="24"/>
        </w:rPr>
        <w:t>年</w:t>
      </w:r>
      <w:r w:rsidRPr="00131B9D">
        <w:rPr>
          <w:color w:val="000000"/>
          <w:szCs w:val="24"/>
        </w:rPr>
        <w:t>4</w:t>
      </w:r>
      <w:r w:rsidRPr="00131B9D">
        <w:rPr>
          <w:color w:val="000000"/>
          <w:szCs w:val="24"/>
        </w:rPr>
        <w:t>月</w:t>
      </w:r>
      <w:r w:rsidRPr="00131B9D">
        <w:rPr>
          <w:color w:val="000000"/>
          <w:szCs w:val="24"/>
        </w:rPr>
        <w:t>30</w:t>
      </w:r>
      <w:r w:rsidRPr="00131B9D">
        <w:rPr>
          <w:color w:val="000000"/>
          <w:szCs w:val="24"/>
        </w:rPr>
        <w:t>日，特斯拉在洛杉磯公布了一套適用家庭、企業和公共事業的電池方案，預期將帶動電池的需求，進而增加電池所需的相關材料（如鋰、鈷等），此外，</w:t>
      </w:r>
      <w:r w:rsidRPr="00131B9D">
        <w:rPr>
          <w:color w:val="000000"/>
          <w:szCs w:val="24"/>
        </w:rPr>
        <w:t>CDI</w:t>
      </w:r>
      <w:r w:rsidRPr="00131B9D">
        <w:rPr>
          <w:color w:val="000000"/>
          <w:szCs w:val="24"/>
        </w:rPr>
        <w:t>於今年度會議中亦有專家認為，</w:t>
      </w:r>
      <w:r w:rsidRPr="00131B9D">
        <w:rPr>
          <w:color w:val="000000"/>
          <w:szCs w:val="24"/>
        </w:rPr>
        <w:t>2015</w:t>
      </w:r>
      <w:r w:rsidRPr="00131B9D">
        <w:rPr>
          <w:color w:val="000000"/>
          <w:szCs w:val="24"/>
        </w:rPr>
        <w:t>年中國大陸的鈷需求量預計增長</w:t>
      </w:r>
      <w:r w:rsidRPr="00131B9D">
        <w:rPr>
          <w:color w:val="000000"/>
          <w:szCs w:val="24"/>
        </w:rPr>
        <w:t>13%</w:t>
      </w:r>
      <w:r w:rsidRPr="00131B9D">
        <w:rPr>
          <w:color w:val="000000"/>
          <w:szCs w:val="24"/>
        </w:rPr>
        <w:t>至</w:t>
      </w:r>
      <w:r w:rsidRPr="00131B9D">
        <w:rPr>
          <w:color w:val="000000"/>
          <w:szCs w:val="24"/>
        </w:rPr>
        <w:t>4,300</w:t>
      </w:r>
      <w:r w:rsidRPr="00131B9D">
        <w:rPr>
          <w:color w:val="000000"/>
          <w:szCs w:val="24"/>
        </w:rPr>
        <w:t>噸，日、韓之電池製造商均認為鈷的強勁需求來自於汽車部門，因此展望</w:t>
      </w:r>
      <w:r w:rsidRPr="00131B9D">
        <w:rPr>
          <w:color w:val="000000"/>
          <w:szCs w:val="24"/>
        </w:rPr>
        <w:t>2016</w:t>
      </w:r>
      <w:r w:rsidRPr="00131B9D">
        <w:rPr>
          <w:color w:val="000000"/>
          <w:szCs w:val="24"/>
        </w:rPr>
        <w:t>年，預期未來在供給量受限而需求端成長相對快速之下，鈷的市場價格有可能提升。</w:t>
      </w:r>
    </w:p>
    <w:p w:rsidR="00F279F7" w:rsidRPr="00131B9D" w:rsidRDefault="00F279F7" w:rsidP="00F279F7"/>
    <w:bookmarkEnd w:id="204"/>
    <w:bookmarkEnd w:id="205"/>
    <w:p w:rsidR="00F279F7" w:rsidRPr="00131B9D" w:rsidRDefault="00F279F7" w:rsidP="00B22890">
      <w:pPr>
        <w:spacing w:line="0" w:lineRule="atLeast"/>
        <w:jc w:val="center"/>
        <w:rPr>
          <w:rFonts w:eastAsia="標楷體"/>
        </w:rPr>
      </w:pPr>
      <w:r w:rsidRPr="00131B9D">
        <w:rPr>
          <w:noProof/>
        </w:rPr>
        <w:drawing>
          <wp:inline distT="0" distB="0" distL="0" distR="0" wp14:anchorId="08902E85" wp14:editId="1E5552ED">
            <wp:extent cx="5274310" cy="3135086"/>
            <wp:effectExtent l="0" t="0" r="2540" b="8255"/>
            <wp:docPr id="35" name="圖表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B22890">
      <w:pPr>
        <w:pStyle w:val="afff5"/>
        <w:spacing w:line="0" w:lineRule="atLeast"/>
        <w:jc w:val="center"/>
      </w:pPr>
      <w:bookmarkStart w:id="206" w:name="_Toc398882650"/>
      <w:bookmarkStart w:id="207" w:name="_Toc438223350"/>
      <w:bookmarkStart w:id="208" w:name="_Toc373682446"/>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16</w:t>
      </w:r>
      <w:r w:rsidRPr="00131B9D">
        <w:rPr>
          <w:rFonts w:eastAsia="標楷體"/>
          <w:b/>
          <w:bCs/>
          <w:kern w:val="52"/>
          <w:sz w:val="28"/>
          <w:szCs w:val="28"/>
        </w:rPr>
        <w:fldChar w:fldCharType="end"/>
      </w:r>
      <w:r w:rsidRPr="00131B9D">
        <w:rPr>
          <w:rFonts w:eastAsia="標楷體"/>
          <w:b/>
          <w:bCs/>
          <w:kern w:val="52"/>
          <w:sz w:val="28"/>
          <w:szCs w:val="28"/>
        </w:rPr>
        <w:t xml:space="preserve">　鈷近一年價格走勢圖</w:t>
      </w:r>
      <w:bookmarkEnd w:id="206"/>
      <w:bookmarkEnd w:id="207"/>
      <w:r w:rsidRPr="00131B9D">
        <w:br w:type="page"/>
      </w:r>
    </w:p>
    <w:p w:rsidR="00F279F7" w:rsidRPr="00131B9D" w:rsidRDefault="00F279F7" w:rsidP="00F279F7">
      <w:pPr>
        <w:pStyle w:val="2"/>
        <w:spacing w:before="108" w:after="108"/>
        <w:rPr>
          <w:rFonts w:ascii="Times New Roman" w:hAnsi="Times New Roman"/>
        </w:rPr>
      </w:pPr>
      <w:bookmarkStart w:id="209" w:name="_Toc439162954"/>
      <w:bookmarkStart w:id="210" w:name="_Toc322706963"/>
      <w:bookmarkStart w:id="211" w:name="_Toc373760885"/>
      <w:bookmarkStart w:id="212" w:name="_Toc373761942"/>
      <w:bookmarkEnd w:id="121"/>
      <w:bookmarkEnd w:id="122"/>
      <w:bookmarkEnd w:id="123"/>
      <w:bookmarkEnd w:id="208"/>
      <w:r w:rsidRPr="00131B9D">
        <w:rPr>
          <w:rFonts w:ascii="Times New Roman" w:hAnsi="Times New Roman"/>
        </w:rPr>
        <w:lastRenderedPageBreak/>
        <w:t>四、金屬工業原料</w:t>
      </w:r>
      <w:bookmarkEnd w:id="209"/>
    </w:p>
    <w:p w:rsidR="00F279F7" w:rsidRPr="00131B9D" w:rsidRDefault="00F279F7" w:rsidP="00F279F7">
      <w:pPr>
        <w:pStyle w:val="-"/>
        <w:spacing w:before="72" w:after="72"/>
        <w:ind w:firstLine="560"/>
      </w:pPr>
      <w:r w:rsidRPr="00131B9D">
        <w:t>鋼材市場供過於求，造成鋼鐵價格一路下滑。</w:t>
      </w:r>
      <w:r w:rsidRPr="00131B9D">
        <w:t>CRU</w:t>
      </w:r>
      <w:r w:rsidRPr="00131B9D">
        <w:t>全球鋼鐵價格指數</w:t>
      </w:r>
      <w:r w:rsidRPr="00131B9D">
        <w:t>1-10</w:t>
      </w:r>
      <w:r w:rsidRPr="00131B9D">
        <w:t>月份之月平均皆下跌，自</w:t>
      </w:r>
      <w:r w:rsidRPr="00131B9D">
        <w:t>1</w:t>
      </w:r>
      <w:r w:rsidRPr="00131B9D">
        <w:t>月份</w:t>
      </w:r>
      <w:r w:rsidRPr="00131B9D">
        <w:t>CRU</w:t>
      </w:r>
      <w:r w:rsidRPr="00131B9D">
        <w:t>全球鋼鐵價格指數平均值</w:t>
      </w:r>
      <w:r w:rsidRPr="00131B9D">
        <w:t>156.3</w:t>
      </w:r>
      <w:r w:rsidRPr="00131B9D">
        <w:t>，跌至</w:t>
      </w:r>
      <w:r w:rsidRPr="00131B9D">
        <w:t>10</w:t>
      </w:r>
      <w:r w:rsidRPr="00131B9D">
        <w:t>月份的</w:t>
      </w:r>
      <w:r w:rsidRPr="00131B9D">
        <w:t>126.5</w:t>
      </w:r>
      <w:r w:rsidRPr="00131B9D">
        <w:t>，指數跌幅超過</w:t>
      </w:r>
      <w:r w:rsidRPr="00131B9D">
        <w:t>19%</w:t>
      </w:r>
      <w:r w:rsidRPr="00131B9D">
        <w:t>，其中</w:t>
      </w:r>
      <w:r w:rsidRPr="00131B9D">
        <w:t>2</w:t>
      </w:r>
      <w:r w:rsidRPr="00131B9D">
        <w:t>、</w:t>
      </w:r>
      <w:r w:rsidRPr="00131B9D">
        <w:t>7</w:t>
      </w:r>
      <w:r w:rsidRPr="00131B9D">
        <w:t>、</w:t>
      </w:r>
      <w:r w:rsidRPr="00131B9D">
        <w:t>9</w:t>
      </w:r>
      <w:r w:rsidRPr="00131B9D">
        <w:t>及</w:t>
      </w:r>
      <w:r w:rsidRPr="00131B9D">
        <w:t>10</w:t>
      </w:r>
      <w:r w:rsidRPr="00131B9D">
        <w:t>月跌幅較大，皆超過</w:t>
      </w:r>
      <w:r w:rsidRPr="00131B9D">
        <w:t>3%</w:t>
      </w:r>
      <w:r w:rsidRPr="00131B9D">
        <w:t>（如</w:t>
      </w:r>
      <w:r w:rsidR="00160782" w:rsidRPr="00131B9D">
        <w:t>圖</w:t>
      </w:r>
      <w:r w:rsidR="00160782" w:rsidRPr="00131B9D">
        <w:t>3-18</w:t>
      </w:r>
      <w:r w:rsidRPr="00131B9D">
        <w:t>）。</w:t>
      </w:r>
    </w:p>
    <w:p w:rsidR="00F279F7" w:rsidRPr="00131B9D" w:rsidRDefault="00F279F7" w:rsidP="00F279F7">
      <w:pPr>
        <w:pStyle w:val="-"/>
        <w:spacing w:before="72" w:after="72"/>
        <w:ind w:firstLine="560"/>
      </w:pPr>
      <w:r w:rsidRPr="00131B9D">
        <w:t>鐵礦石是鋼鐵業之上游原料（如圖</w:t>
      </w:r>
      <w:r w:rsidRPr="00131B9D">
        <w:t>3-1</w:t>
      </w:r>
      <w:r w:rsidR="00160782" w:rsidRPr="00131B9D">
        <w:t>7</w:t>
      </w:r>
      <w:r w:rsidRPr="00131B9D">
        <w:t>），巴西是鐵礦石出口大國，</w:t>
      </w:r>
      <w:r w:rsidRPr="00131B9D">
        <w:t>2015</w:t>
      </w:r>
      <w:r w:rsidRPr="00131B9D">
        <w:t>年</w:t>
      </w:r>
      <w:r w:rsidRPr="00131B9D">
        <w:t>2</w:t>
      </w:r>
      <w:r w:rsidRPr="00131B9D">
        <w:t>月，巴西鐵礦石出口量為</w:t>
      </w:r>
      <w:r w:rsidRPr="00131B9D">
        <w:t>2,526</w:t>
      </w:r>
      <w:r w:rsidRPr="00131B9D">
        <w:t>萬噸，較去年同期的</w:t>
      </w:r>
      <w:r w:rsidRPr="00131B9D">
        <w:t>2,263</w:t>
      </w:r>
      <w:r w:rsidRPr="00131B9D">
        <w:t>萬噸增加</w:t>
      </w:r>
      <w:r w:rsidRPr="00131B9D">
        <w:t>11.6%</w:t>
      </w:r>
      <w:r w:rsidRPr="00131B9D">
        <w:t>。鐵礦石出口值則主要因為鐵礦石價格較去年同期的每噸</w:t>
      </w:r>
      <w:r w:rsidRPr="00131B9D">
        <w:t>96.9</w:t>
      </w:r>
      <w:r w:rsidRPr="00131B9D">
        <w:t>美元幾乎減半至每噸</w:t>
      </w:r>
      <w:r w:rsidRPr="00131B9D">
        <w:t>50.2</w:t>
      </w:r>
      <w:r w:rsidRPr="00131B9D">
        <w:t>美元，導致較去年同期的</w:t>
      </w:r>
      <w:r w:rsidRPr="00131B9D">
        <w:t>21.93</w:t>
      </w:r>
      <w:r w:rsidRPr="00131B9D">
        <w:t>億美元大減至</w:t>
      </w:r>
      <w:r w:rsidRPr="00131B9D">
        <w:t>12.69</w:t>
      </w:r>
      <w:r w:rsidRPr="00131B9D">
        <w:t>億美元。</w:t>
      </w:r>
      <w:r w:rsidRPr="00131B9D">
        <w:t>2015</w:t>
      </w:r>
      <w:r w:rsidRPr="00131B9D">
        <w:t>年</w:t>
      </w:r>
      <w:r w:rsidRPr="00131B9D">
        <w:t>1</w:t>
      </w:r>
      <w:r w:rsidRPr="00131B9D">
        <w:t>月中國大陸出口鋼品年增</w:t>
      </w:r>
      <w:r w:rsidRPr="00131B9D">
        <w:t>63%</w:t>
      </w:r>
      <w:r w:rsidRPr="00131B9D">
        <w:t>至</w:t>
      </w:r>
      <w:r w:rsidRPr="00131B9D">
        <w:t>920</w:t>
      </w:r>
      <w:r w:rsidRPr="00131B9D">
        <w:t>萬噸。進入第</w:t>
      </w:r>
      <w:r w:rsidRPr="00131B9D">
        <w:t>2</w:t>
      </w:r>
      <w:r w:rsidRPr="00131B9D">
        <w:t>季，在中國大陸需求疲弱的背景下，必和必拓（</w:t>
      </w:r>
      <w:r w:rsidRPr="00131B9D">
        <w:t>BHP Billiton Ltd.</w:t>
      </w:r>
      <w:r w:rsidRPr="00131B9D">
        <w:t>）、力拓（</w:t>
      </w:r>
      <w:r w:rsidRPr="00131B9D">
        <w:t>Rio Tinto Group</w:t>
      </w:r>
      <w:r w:rsidRPr="00131B9D">
        <w:t>）和淡水河谷（</w:t>
      </w:r>
      <w:r w:rsidRPr="00131B9D">
        <w:t>Vale S.A.</w:t>
      </w:r>
      <w:r w:rsidRPr="00131B9D">
        <w:t>）這三家世界上最大的鐵礦石生產商仍然擴大產出，以爭奪市場份額，導致第</w:t>
      </w:r>
      <w:r w:rsidRPr="00131B9D">
        <w:t>2</w:t>
      </w:r>
      <w:r w:rsidRPr="00131B9D">
        <w:t>季鐵礦石價格一度跌至</w:t>
      </w:r>
      <w:r w:rsidRPr="00131B9D">
        <w:t>10</w:t>
      </w:r>
      <w:r w:rsidRPr="00131B9D">
        <w:t>年新低。其後必和必拓、淡水河谷等公司表示將減緩鐵礦石業務擴張速度，市場對鐵礦石供應過剩有望緩解的預期升溫，加上中國大陸鐵礦石庫存及產量減少，造成第</w:t>
      </w:r>
      <w:r w:rsidRPr="00131B9D">
        <w:t>2</w:t>
      </w:r>
      <w:r w:rsidRPr="00131B9D">
        <w:t>季鐵礦石價格飆升，一度攀至</w:t>
      </w:r>
      <w:r w:rsidRPr="00131B9D">
        <w:t>4</w:t>
      </w:r>
      <w:r w:rsidRPr="00131B9D">
        <w:t>個月來高點，創下兩年來最大漲幅。</w:t>
      </w:r>
      <w:r w:rsidRPr="00131B9D">
        <w:t>7</w:t>
      </w:r>
      <w:r w:rsidRPr="00131B9D">
        <w:t>月初，受中國股市暴跌及希臘財政危機影響，來自鐵礦石出產國的供應持續增加，</w:t>
      </w:r>
      <w:r w:rsidRPr="00131B9D">
        <w:t>62%</w:t>
      </w:r>
      <w:r w:rsidRPr="00131B9D">
        <w:t>品位的鐵礦石現貨價在</w:t>
      </w:r>
      <w:r w:rsidRPr="00131B9D">
        <w:t xml:space="preserve">7 </w:t>
      </w:r>
      <w:r w:rsidRPr="00131B9D">
        <w:t>月</w:t>
      </w:r>
      <w:r w:rsidRPr="00131B9D">
        <w:t xml:space="preserve">8 </w:t>
      </w:r>
      <w:r w:rsidRPr="00131B9D">
        <w:t>日大跌</w:t>
      </w:r>
      <w:r w:rsidRPr="00131B9D">
        <w:t>10.1%</w:t>
      </w:r>
      <w:r w:rsidRPr="00131B9D">
        <w:t>，為歷年最大單日跌幅。隨後因中國大陸股市價格反彈及閱兵前鋼廠提高產量，</w:t>
      </w:r>
      <w:r w:rsidRPr="00131B9D">
        <w:t>8</w:t>
      </w:r>
      <w:r w:rsidRPr="00131B9D">
        <w:t>、</w:t>
      </w:r>
      <w:r w:rsidRPr="00131B9D">
        <w:t>9</w:t>
      </w:r>
      <w:r w:rsidRPr="00131B9D">
        <w:t>月鐵礦石價格大約在</w:t>
      </w:r>
      <w:r w:rsidRPr="00131B9D">
        <w:t>55-60</w:t>
      </w:r>
      <w:r w:rsidRPr="00131B9D">
        <w:t>美元</w:t>
      </w:r>
      <w:r w:rsidRPr="00131B9D">
        <w:t>/</w:t>
      </w:r>
      <w:r w:rsidRPr="00131B9D">
        <w:t>公噸間震盪。</w:t>
      </w:r>
      <w:r w:rsidRPr="00131B9D">
        <w:t>10</w:t>
      </w:r>
      <w:r w:rsidRPr="00131B9D">
        <w:t>月後，隨著冬季即將來到，且國際四大礦山企業第</w:t>
      </w:r>
      <w:r w:rsidRPr="00131B9D">
        <w:t>3</w:t>
      </w:r>
      <w:r w:rsidRPr="00131B9D">
        <w:t>季鐵礦石產量均呈增長態勢，鐵礦石價格再次重回下跌走勢。</w:t>
      </w:r>
    </w:p>
    <w:p w:rsidR="00F279F7" w:rsidRPr="00131B9D" w:rsidRDefault="00F279F7" w:rsidP="00F279F7">
      <w:pPr>
        <w:pStyle w:val="-"/>
        <w:spacing w:before="72" w:after="72"/>
        <w:ind w:firstLine="560"/>
      </w:pPr>
      <w:r w:rsidRPr="00131B9D">
        <w:t>因鐵礦石大廠相繼增加低成本鐵礦石供應量，加上中國大陸需求疲軟使市場供給過剩，必和必拓預測，隨著產量增長，鐵礦石價格疲勢可能將延續幾年，高盛預計鐵礦石價格在</w:t>
      </w:r>
      <w:r w:rsidRPr="00131B9D">
        <w:t>2016</w:t>
      </w:r>
      <w:r w:rsidRPr="00131B9D">
        <w:t>年跌至</w:t>
      </w:r>
      <w:r w:rsidRPr="00131B9D">
        <w:t>44</w:t>
      </w:r>
      <w:r w:rsidRPr="00131B9D">
        <w:t>美元</w:t>
      </w:r>
      <w:r w:rsidRPr="00131B9D">
        <w:t>/</w:t>
      </w:r>
      <w:r w:rsidRPr="00131B9D">
        <w:t>噸。</w:t>
      </w:r>
    </w:p>
    <w:p w:rsidR="00F279F7" w:rsidRPr="00131B9D" w:rsidRDefault="00F279F7" w:rsidP="00F279F7">
      <w:pPr>
        <w:pStyle w:val="-"/>
        <w:spacing w:before="72" w:after="72"/>
        <w:ind w:firstLine="560"/>
      </w:pPr>
      <w:r w:rsidRPr="00131B9D">
        <w:t>世界鋼鐵供過於求，其中重要原因之一為中國大陸鋼鐵產能過剩，需求不足，中國大陸挾其價格優勢，將過剩之鋼鐵銷往全球各地。拉</w:t>
      </w:r>
      <w:r w:rsidRPr="00131B9D">
        <w:lastRenderedPageBreak/>
        <w:t>低全球鋼鐵價格。</w:t>
      </w:r>
      <w:r w:rsidRPr="00131B9D">
        <w:t>2015</w:t>
      </w:r>
      <w:r w:rsidRPr="00131B9D">
        <w:t>年上半年，中國大陸鋼鐵呈現需求、產量和價格「三降」之情勢。需求方面，隨著中國大陸經濟放緩，鋼鐵需求減弱，而且夏季期間建築活動放緩，鋼鐵需求進一步受挫，促使鋼廠削減產量，造成鋼鐵產量較上年同期下降近</w:t>
      </w:r>
      <w:r w:rsidRPr="00131B9D">
        <w:t>2%</w:t>
      </w:r>
      <w:r w:rsidRPr="00131B9D">
        <w:t>。再者，中國大陸鋼鐵工業協會表示，</w:t>
      </w:r>
      <w:r w:rsidRPr="00131B9D">
        <w:t>2015</w:t>
      </w:r>
      <w:r w:rsidRPr="00131B9D">
        <w:t>上半年全國粗鋼產量近</w:t>
      </w:r>
      <w:r w:rsidRPr="00131B9D">
        <w:t>20</w:t>
      </w:r>
      <w:r w:rsidRPr="00131B9D">
        <w:t>年來首次下降。雖然粗鋼產量降低，但是鋼材供過於求的情勢仍然十分嚴重，導致鋼材價格持續下跌。今年年初在原料市場大幅下挫、鋼材供給較多而需求不足的情況下，鋼價延續去年以來的下跌態勢，</w:t>
      </w:r>
      <w:r w:rsidRPr="00131B9D">
        <w:t>3</w:t>
      </w:r>
      <w:r w:rsidRPr="00131B9D">
        <w:t>月中旬，隨著下游需求逐步恢復，加上鋼廠減、停產，迎來一波短暫的價格反彈，但下游需求難以有效跟進，</w:t>
      </w:r>
      <w:r w:rsidRPr="00131B9D">
        <w:t>3</w:t>
      </w:r>
      <w:r w:rsidRPr="00131B9D">
        <w:t>月底鋼材現貨價格再度下跌，</w:t>
      </w:r>
      <w:r w:rsidRPr="00131B9D">
        <w:t>4</w:t>
      </w:r>
      <w:r w:rsidRPr="00131B9D">
        <w:t>月底雖然出現小幅反彈，但持續時間較為短暫，而後一直延續跌勢。總體而言，</w:t>
      </w:r>
      <w:r w:rsidRPr="00131B9D">
        <w:t>2015</w:t>
      </w:r>
      <w:r w:rsidRPr="00131B9D">
        <w:t>上半年各種鋼材價格較年初下滑</w:t>
      </w:r>
      <w:r w:rsidRPr="00131B9D">
        <w:t>5%-25%</w:t>
      </w:r>
      <w:r w:rsidRPr="00131B9D">
        <w:t>不等，其中熱軋鋼材、中板鋼、鋼筋、冷軋鋼材跌幅最大，跌幅均在</w:t>
      </w:r>
      <w:r w:rsidRPr="00131B9D">
        <w:t>20%</w:t>
      </w:r>
      <w:r w:rsidRPr="00131B9D">
        <w:t>以上。中國大陸國內鋼材供過於求，迫使中國鋼鐵業和貿易商將更多注意力轉移到海外市場，中國鋼鐵工業協會副會長王立群對外表示，</w:t>
      </w:r>
      <w:r w:rsidRPr="00131B9D">
        <w:t>2015</w:t>
      </w:r>
      <w:r w:rsidRPr="00131B9D">
        <w:t>年中國鋼鐵產品出口量可能超過</w:t>
      </w:r>
      <w:r w:rsidRPr="00131B9D">
        <w:t>1</w:t>
      </w:r>
      <w:r w:rsidRPr="00131B9D">
        <w:t>億噸。由於中國大陸將過剩產能銷往全世界，造成</w:t>
      </w:r>
      <w:r w:rsidRPr="00131B9D">
        <w:t>7</w:t>
      </w:r>
      <w:r w:rsidRPr="00131B9D">
        <w:t>月亞洲鋼價創</w:t>
      </w:r>
      <w:r w:rsidRPr="00131B9D">
        <w:t>9</w:t>
      </w:r>
      <w:r w:rsidRPr="00131B9D">
        <w:t>年新低。</w:t>
      </w:r>
      <w:r w:rsidRPr="00131B9D">
        <w:t>8</w:t>
      </w:r>
      <w:r w:rsidRPr="00131B9D">
        <w:t>月隨著鐵礦石價格反彈，鋼材需求有所回升，鋼價暫時止跌彈升，中國大陸</w:t>
      </w:r>
      <w:r w:rsidRPr="00131B9D">
        <w:t>9</w:t>
      </w:r>
      <w:r w:rsidRPr="00131B9D">
        <w:t>月鋼鐵需求較去年下滑</w:t>
      </w:r>
      <w:r w:rsidRPr="00131B9D">
        <w:t>8.65%</w:t>
      </w:r>
      <w:r w:rsidRPr="00131B9D">
        <w:t>，粗鋼產量僅較去年下降</w:t>
      </w:r>
      <w:r w:rsidRPr="00131B9D">
        <w:t>2%</w:t>
      </w:r>
      <w:r w:rsidRPr="00131B9D">
        <w:t>，出口鋼材</w:t>
      </w:r>
      <w:r w:rsidRPr="00131B9D">
        <w:t>1,125</w:t>
      </w:r>
      <w:r w:rsidRPr="00131B9D">
        <w:t>萬噸，再創歷史新高，導致</w:t>
      </w:r>
      <w:r w:rsidRPr="00131B9D">
        <w:t>2015</w:t>
      </w:r>
      <w:r w:rsidRPr="00131B9D">
        <w:t>年</w:t>
      </w:r>
      <w:r w:rsidRPr="00131B9D">
        <w:t>9</w:t>
      </w:r>
      <w:r w:rsidRPr="00131B9D">
        <w:t>月全球綜合鋼鐵價格創</w:t>
      </w:r>
      <w:r w:rsidRPr="00131B9D">
        <w:t>10</w:t>
      </w:r>
      <w:r w:rsidRPr="00131B9D">
        <w:t>年新低。</w:t>
      </w:r>
      <w:r w:rsidRPr="00131B9D">
        <w:t>10</w:t>
      </w:r>
      <w:r w:rsidRPr="00131B9D">
        <w:t>月後隨著天氣轉冷，中國大陸國內市場進入鋼材消費淡季，需求更加疲軟，鋼材價格隨之下降，中國大陸鋼價也在</w:t>
      </w:r>
      <w:r w:rsidRPr="00131B9D">
        <w:t>11</w:t>
      </w:r>
      <w:r w:rsidRPr="00131B9D">
        <w:t>月</w:t>
      </w:r>
      <w:r w:rsidRPr="00131B9D">
        <w:t>18</w:t>
      </w:r>
      <w:r w:rsidRPr="00131B9D">
        <w:t>日達歷史新低</w:t>
      </w:r>
      <w:r w:rsidR="00160782" w:rsidRPr="00131B9D">
        <w:t>（如圖</w:t>
      </w:r>
      <w:r w:rsidR="00160782" w:rsidRPr="00131B9D">
        <w:t>3-18</w:t>
      </w:r>
      <w:r w:rsidR="00160782" w:rsidRPr="00131B9D">
        <w:t>）</w:t>
      </w:r>
      <w:r w:rsidRPr="00131B9D">
        <w:t>。</w:t>
      </w:r>
    </w:p>
    <w:p w:rsidR="00F279F7" w:rsidRPr="00131B9D" w:rsidRDefault="00821D0B" w:rsidP="00F279F7">
      <w:pPr>
        <w:pStyle w:val="-"/>
        <w:spacing w:before="72" w:after="72"/>
        <w:ind w:firstLine="560"/>
        <w:rPr>
          <w:kern w:val="0"/>
        </w:rPr>
      </w:pPr>
      <w:r w:rsidRPr="00131B9D">
        <w:rPr>
          <w:kern w:val="0"/>
        </w:rPr>
        <w:t>中國大陸鋼材產量過剩庫存攀高，且麥格理集團指出，中國鋼鐵</w:t>
      </w:r>
      <w:r w:rsidR="00F279F7" w:rsidRPr="00131B9D">
        <w:rPr>
          <w:kern w:val="0"/>
        </w:rPr>
        <w:t>業的虧損狀況堪稱是前所未見，小廠雖已大幅減產、但大廠仍紋風不動，此外，美銀美林也看空未來鋼價，因此預計未來鋼價可能難有改善。</w:t>
      </w:r>
    </w:p>
    <w:p w:rsidR="00F279F7" w:rsidRPr="00131B9D" w:rsidRDefault="00F279F7" w:rsidP="00F279F7">
      <w:bookmarkStart w:id="213" w:name="_Toc322706951"/>
      <w:bookmarkStart w:id="214" w:name="_Toc365017344"/>
      <w:bookmarkStart w:id="215" w:name="_Toc373423062"/>
      <w:bookmarkStart w:id="216" w:name="_Toc373682447"/>
    </w:p>
    <w:p w:rsidR="00160782" w:rsidRPr="00131B9D" w:rsidRDefault="00160782" w:rsidP="00160782">
      <w:pPr>
        <w:spacing w:line="0" w:lineRule="atLeast"/>
      </w:pPr>
      <w:r w:rsidRPr="00131B9D">
        <w:rPr>
          <w:noProof/>
        </w:rPr>
        <w:lastRenderedPageBreak/>
        <w:drawing>
          <wp:inline distT="0" distB="0" distL="0" distR="0" wp14:anchorId="4A5B00D3" wp14:editId="203B775F">
            <wp:extent cx="5276850" cy="3533775"/>
            <wp:effectExtent l="19050" t="19050" r="19050" b="28575"/>
            <wp:docPr id="120" name="圖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76850" cy="3533775"/>
                    </a:xfrm>
                    <a:prstGeom prst="rect">
                      <a:avLst/>
                    </a:prstGeom>
                    <a:noFill/>
                    <a:ln w="6350" cmpd="sng">
                      <a:solidFill>
                        <a:srgbClr val="000000"/>
                      </a:solidFill>
                      <a:miter lim="800000"/>
                      <a:headEnd/>
                      <a:tailEnd/>
                    </a:ln>
                    <a:effectLst/>
                  </pic:spPr>
                </pic:pic>
              </a:graphicData>
            </a:graphic>
          </wp:inline>
        </w:drawing>
      </w:r>
    </w:p>
    <w:p w:rsidR="00160782" w:rsidRPr="00131B9D" w:rsidRDefault="00160782" w:rsidP="00160782">
      <w:pPr>
        <w:pStyle w:val="-"/>
        <w:spacing w:beforeLines="0" w:afterLines="0" w:line="0" w:lineRule="atLeast"/>
        <w:ind w:firstLineChars="0" w:firstLine="0"/>
        <w:rPr>
          <w:sz w:val="24"/>
          <w:szCs w:val="24"/>
        </w:rPr>
      </w:pPr>
      <w:r w:rsidRPr="00131B9D">
        <w:rPr>
          <w:sz w:val="24"/>
          <w:szCs w:val="24"/>
        </w:rPr>
        <w:t>資料來源：本研究整理。</w:t>
      </w:r>
    </w:p>
    <w:p w:rsidR="00160782" w:rsidRPr="00131B9D" w:rsidRDefault="00160782" w:rsidP="00160782">
      <w:pPr>
        <w:pStyle w:val="afff5"/>
        <w:spacing w:line="0" w:lineRule="atLeast"/>
        <w:jc w:val="center"/>
        <w:rPr>
          <w:rFonts w:eastAsia="標楷體"/>
          <w:b/>
          <w:bCs/>
          <w:kern w:val="52"/>
          <w:sz w:val="28"/>
          <w:szCs w:val="28"/>
        </w:rPr>
      </w:pPr>
      <w:bookmarkStart w:id="217" w:name="_Toc438223351"/>
      <w:r w:rsidRPr="00131B9D">
        <w:rPr>
          <w:rFonts w:eastAsia="標楷體"/>
          <w:b/>
          <w:bCs/>
          <w:kern w:val="52"/>
          <w:sz w:val="28"/>
          <w:szCs w:val="28"/>
        </w:rPr>
        <w:t>圖</w:t>
      </w:r>
      <w:r w:rsidRPr="00131B9D">
        <w:rPr>
          <w:rFonts w:eastAsia="標楷體"/>
          <w:b/>
          <w:bCs/>
          <w:kern w:val="52"/>
          <w:sz w:val="28"/>
          <w:szCs w:val="28"/>
        </w:rPr>
        <w:t xml:space="preserve">3- </w:t>
      </w:r>
      <w:r w:rsidRPr="00131B9D">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fldChar w:fldCharType="separate"/>
      </w:r>
      <w:r w:rsidR="001641D3">
        <w:rPr>
          <w:rFonts w:eastAsia="標楷體"/>
          <w:b/>
          <w:bCs/>
          <w:noProof/>
          <w:kern w:val="52"/>
          <w:sz w:val="28"/>
          <w:szCs w:val="28"/>
        </w:rPr>
        <w:t>17</w:t>
      </w:r>
      <w:r w:rsidRPr="00131B9D">
        <w:fldChar w:fldCharType="end"/>
      </w:r>
      <w:r w:rsidRPr="00131B9D">
        <w:rPr>
          <w:rFonts w:eastAsia="標楷體"/>
          <w:b/>
          <w:bCs/>
          <w:kern w:val="52"/>
          <w:sz w:val="28"/>
          <w:szCs w:val="28"/>
        </w:rPr>
        <w:t xml:space="preserve">　鋼鐵產業關聯圖</w:t>
      </w:r>
      <w:bookmarkEnd w:id="217"/>
    </w:p>
    <w:p w:rsidR="00160782" w:rsidRPr="00131B9D" w:rsidRDefault="00160782" w:rsidP="00160782">
      <w:pPr>
        <w:widowControl/>
        <w:rPr>
          <w:rFonts w:eastAsia="標楷體"/>
        </w:rPr>
      </w:pPr>
    </w:p>
    <w:p w:rsidR="00160782" w:rsidRPr="00131B9D" w:rsidRDefault="00160782" w:rsidP="00160782">
      <w:pPr>
        <w:widowControl/>
        <w:rPr>
          <w:rFonts w:eastAsia="標楷體"/>
        </w:rPr>
      </w:pPr>
      <w:r w:rsidRPr="00131B9D">
        <w:rPr>
          <w:noProof/>
        </w:rPr>
        <w:drawing>
          <wp:inline distT="0" distB="0" distL="0" distR="0" wp14:anchorId="245F2D63" wp14:editId="725CF971">
            <wp:extent cx="5252400" cy="3189768"/>
            <wp:effectExtent l="0" t="0" r="24765" b="10795"/>
            <wp:docPr id="36" name="圖表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160782" w:rsidRPr="00131B9D" w:rsidRDefault="00160782" w:rsidP="00160782">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160782" w:rsidRPr="00131B9D" w:rsidRDefault="00160782" w:rsidP="00160782">
      <w:pPr>
        <w:pStyle w:val="afff5"/>
        <w:spacing w:line="0" w:lineRule="atLeast"/>
        <w:jc w:val="center"/>
        <w:rPr>
          <w:rFonts w:eastAsia="標楷體"/>
          <w:b/>
          <w:bCs/>
          <w:kern w:val="52"/>
          <w:sz w:val="28"/>
          <w:szCs w:val="28"/>
        </w:rPr>
      </w:pPr>
      <w:bookmarkStart w:id="218" w:name="_Toc438223352"/>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18</w:t>
      </w:r>
      <w:r w:rsidRPr="00131B9D">
        <w:rPr>
          <w:rFonts w:eastAsia="標楷體"/>
          <w:b/>
          <w:bCs/>
          <w:kern w:val="52"/>
          <w:sz w:val="28"/>
          <w:szCs w:val="28"/>
        </w:rPr>
        <w:fldChar w:fldCharType="end"/>
      </w:r>
      <w:r w:rsidRPr="00131B9D">
        <w:rPr>
          <w:rFonts w:eastAsia="標楷體"/>
          <w:b/>
          <w:bCs/>
          <w:kern w:val="52"/>
          <w:sz w:val="28"/>
          <w:szCs w:val="28"/>
        </w:rPr>
        <w:t xml:space="preserve">　全球鋼鐵指數</w:t>
      </w:r>
      <w:r w:rsidRPr="00131B9D">
        <w:rPr>
          <w:rFonts w:eastAsia="標楷體"/>
          <w:b/>
          <w:bCs/>
          <w:kern w:val="52"/>
          <w:sz w:val="28"/>
          <w:szCs w:val="28"/>
        </w:rPr>
        <w:t>CRU</w:t>
      </w:r>
      <w:r w:rsidRPr="00131B9D">
        <w:rPr>
          <w:rFonts w:eastAsia="標楷體"/>
          <w:b/>
          <w:bCs/>
          <w:kern w:val="52"/>
          <w:sz w:val="28"/>
          <w:szCs w:val="28"/>
        </w:rPr>
        <w:t>走勢圖</w:t>
      </w:r>
      <w:bookmarkEnd w:id="218"/>
    </w:p>
    <w:p w:rsidR="00160782" w:rsidRPr="00131B9D" w:rsidRDefault="00160782" w:rsidP="003B29E8">
      <w:pPr>
        <w:spacing w:line="0" w:lineRule="atLeast"/>
      </w:pPr>
    </w:p>
    <w:p w:rsidR="00F279F7" w:rsidRPr="00131B9D" w:rsidRDefault="00F279F7" w:rsidP="00F279F7">
      <w:pPr>
        <w:pStyle w:val="afff5"/>
        <w:spacing w:line="0" w:lineRule="atLeast"/>
        <w:jc w:val="center"/>
        <w:rPr>
          <w:rFonts w:eastAsia="標楷體"/>
          <w:b/>
          <w:bCs/>
          <w:kern w:val="52"/>
          <w:sz w:val="28"/>
          <w:szCs w:val="28"/>
        </w:rPr>
      </w:pPr>
    </w:p>
    <w:p w:rsidR="00F279F7" w:rsidRPr="00131B9D" w:rsidRDefault="00F279F7" w:rsidP="00F279F7">
      <w:pPr>
        <w:sectPr w:rsidR="00F279F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3"/>
        <w:rPr>
          <w:rFonts w:ascii="Times New Roman" w:hAnsi="Times New Roman"/>
        </w:rPr>
      </w:pPr>
      <w:bookmarkStart w:id="219" w:name="_Toc322706952"/>
      <w:bookmarkEnd w:id="213"/>
      <w:bookmarkEnd w:id="214"/>
      <w:bookmarkEnd w:id="215"/>
      <w:bookmarkEnd w:id="216"/>
      <w:r w:rsidRPr="00131B9D">
        <w:rPr>
          <w:rFonts w:ascii="Times New Roman" w:hAnsi="Times New Roman"/>
        </w:rPr>
        <w:lastRenderedPageBreak/>
        <w:t>（一）廢鋼</w:t>
      </w:r>
      <w:bookmarkEnd w:id="219"/>
    </w:p>
    <w:p w:rsidR="00BC42BF" w:rsidRPr="00131B9D" w:rsidRDefault="00BC42BF" w:rsidP="00BC42BF">
      <w:pPr>
        <w:pStyle w:val="-"/>
        <w:spacing w:before="72" w:after="72"/>
        <w:ind w:firstLine="560"/>
        <w:rPr>
          <w:kern w:val="0"/>
        </w:rPr>
      </w:pPr>
      <w:r w:rsidRPr="00131B9D">
        <w:rPr>
          <w:kern w:val="0"/>
        </w:rPr>
        <w:t>供給過剩，鐵礦石價格持續下滑，中國大陸建築用鋼材價格持續走低，出口鋼材也大幅下滑，帶給其它國家電爐廠降價壓力，拖累國際廢鋼價格，國內電爐大廠豐興也隨之下調廢鋼價格。日本國內廢鋼價格也持續走弱，加上</w:t>
      </w:r>
      <w:r w:rsidRPr="00131B9D">
        <w:rPr>
          <w:kern w:val="0"/>
        </w:rPr>
        <w:t>1</w:t>
      </w:r>
      <w:r w:rsidRPr="00131B9D">
        <w:rPr>
          <w:kern w:val="0"/>
        </w:rPr>
        <w:t>月韓國鋼廠選擇從俄羅斯進口廢鋼，對表現不佳的廢鋼市場雪上加霜。</w:t>
      </w:r>
      <w:r w:rsidRPr="00131B9D">
        <w:rPr>
          <w:kern w:val="0"/>
        </w:rPr>
        <w:t>3</w:t>
      </w:r>
      <w:r w:rsidRPr="00131B9D">
        <w:rPr>
          <w:kern w:val="0"/>
        </w:rPr>
        <w:t>月中旬後，東亞受到土耳其廢鋼價格上升，也同步上調廢鋼進口價；日本國內廢鋼跌幅縮小，出口價受韓國需求推升而有所反彈，美國大船廢鋼也較先前上漲，受國際廢鋼價反彈影響，</w:t>
      </w:r>
      <w:r w:rsidRPr="00131B9D">
        <w:rPr>
          <w:kern w:val="0"/>
        </w:rPr>
        <w:t>3</w:t>
      </w:r>
      <w:r w:rsidRPr="00131B9D">
        <w:rPr>
          <w:kern w:val="0"/>
        </w:rPr>
        <w:t>月豐興廢鋼價格止跌維持平盤。</w:t>
      </w:r>
      <w:r w:rsidRPr="00131B9D">
        <w:rPr>
          <w:kern w:val="0"/>
        </w:rPr>
        <w:t>4</w:t>
      </w:r>
      <w:r w:rsidRPr="00131B9D">
        <w:rPr>
          <w:kern w:val="0"/>
        </w:rPr>
        <w:t>月下半月，國際廢鋼漲勢停滯，價格轉趨下跌，隨美國貨櫃廢鋼價格下跌，加上南部鋼筋業者為刺激買氣持續降價，豐興為提振客戶下單意願隨之調降廢鋼價格。</w:t>
      </w:r>
      <w:r w:rsidRPr="00131B9D">
        <w:rPr>
          <w:kern w:val="0"/>
        </w:rPr>
        <w:t>5</w:t>
      </w:r>
      <w:r w:rsidRPr="00131B9D">
        <w:rPr>
          <w:kern w:val="0"/>
        </w:rPr>
        <w:t>月國際鐵礦石價格回溫，國際廢鋼價格維持強勢，美國及日本廢鋼出口價格皆上漲，東京製鋼連續</w:t>
      </w:r>
      <w:r w:rsidRPr="00131B9D">
        <w:rPr>
          <w:kern w:val="0"/>
        </w:rPr>
        <w:t>2</w:t>
      </w:r>
      <w:r w:rsidRPr="00131B9D">
        <w:rPr>
          <w:kern w:val="0"/>
        </w:rPr>
        <w:t>週上調廢鋼採購價，國際價格上漲但我國國內需求下降，故廢鋼價格維持平穩。</w:t>
      </w:r>
      <w:r w:rsidRPr="00131B9D">
        <w:rPr>
          <w:kern w:val="0"/>
        </w:rPr>
        <w:t>6</w:t>
      </w:r>
      <w:r w:rsidRPr="00131B9D">
        <w:rPr>
          <w:kern w:val="0"/>
        </w:rPr>
        <w:t>月上半，在國際廢鋼價買盤回補，以及鐵礦石續漲激勵下，豐興於</w:t>
      </w:r>
      <w:r w:rsidRPr="00131B9D">
        <w:rPr>
          <w:kern w:val="0"/>
        </w:rPr>
        <w:t>6</w:t>
      </w:r>
      <w:r w:rsidRPr="00131B9D">
        <w:rPr>
          <w:kern w:val="0"/>
        </w:rPr>
        <w:t>月初上調廢鋼收購價，但隨著</w:t>
      </w:r>
      <w:r w:rsidRPr="00131B9D">
        <w:rPr>
          <w:kern w:val="0"/>
        </w:rPr>
        <w:t>6</w:t>
      </w:r>
      <w:r w:rsidRPr="00131B9D">
        <w:rPr>
          <w:kern w:val="0"/>
        </w:rPr>
        <w:t>月下旬，國際鐵礦石價格重回跌勢，美國及日本廢鋼價格面向下修正，國內廢鋼價格反轉下跌。</w:t>
      </w:r>
      <w:r w:rsidRPr="00131B9D">
        <w:rPr>
          <w:color w:val="000000"/>
          <w:kern w:val="0"/>
        </w:rPr>
        <w:t>7</w:t>
      </w:r>
      <w:r w:rsidRPr="00131B9D">
        <w:rPr>
          <w:color w:val="000000"/>
          <w:kern w:val="0"/>
        </w:rPr>
        <w:t>月初</w:t>
      </w:r>
      <w:r w:rsidRPr="00131B9D">
        <w:rPr>
          <w:kern w:val="0"/>
        </w:rPr>
        <w:t>國際鐵礦石價格暴跌，且鋼筋價格低迷以及中國大陸鋼胚價格下跌，對廢鋼價格造成下跌之壓力，加上第</w:t>
      </w:r>
      <w:r w:rsidRPr="00131B9D">
        <w:rPr>
          <w:kern w:val="0"/>
        </w:rPr>
        <w:t>3</w:t>
      </w:r>
      <w:r w:rsidRPr="00131B9D">
        <w:rPr>
          <w:kern w:val="0"/>
        </w:rPr>
        <w:t>季適逢夏季用電，電爐廠紛紛改為晚間煉鋼，導致廢鋼需求量下滑，臺灣廢鋼市場價格持續下跌，電爐大廠豐興持續下調廢鋼產品收購價格，自</w:t>
      </w:r>
      <w:r w:rsidRPr="00131B9D">
        <w:rPr>
          <w:kern w:val="0"/>
        </w:rPr>
        <w:t>7</w:t>
      </w:r>
      <w:r w:rsidRPr="00131B9D">
        <w:rPr>
          <w:kern w:val="0"/>
        </w:rPr>
        <w:t>月初</w:t>
      </w:r>
      <w:r w:rsidRPr="00131B9D">
        <w:rPr>
          <w:kern w:val="0"/>
        </w:rPr>
        <w:t>5400</w:t>
      </w:r>
      <w:r w:rsidRPr="00131B9D">
        <w:rPr>
          <w:kern w:val="0"/>
        </w:rPr>
        <w:t>新台幣</w:t>
      </w:r>
      <w:r w:rsidRPr="00131B9D">
        <w:rPr>
          <w:kern w:val="0"/>
        </w:rPr>
        <w:t>/</w:t>
      </w:r>
      <w:r w:rsidRPr="00131B9D">
        <w:rPr>
          <w:kern w:val="0"/>
        </w:rPr>
        <w:t>公噸跌至月底的</w:t>
      </w:r>
      <w:r w:rsidRPr="00131B9D">
        <w:rPr>
          <w:kern w:val="0"/>
        </w:rPr>
        <w:t>4500</w:t>
      </w:r>
      <w:r w:rsidRPr="00131B9D">
        <w:rPr>
          <w:kern w:val="0"/>
        </w:rPr>
        <w:t>新台幣</w:t>
      </w:r>
      <w:r w:rsidRPr="00131B9D">
        <w:rPr>
          <w:kern w:val="0"/>
        </w:rPr>
        <w:t>/</w:t>
      </w:r>
      <w:r w:rsidRPr="00131B9D">
        <w:rPr>
          <w:kern w:val="0"/>
        </w:rPr>
        <w:t>公噸，單月跌幅達</w:t>
      </w:r>
      <w:r w:rsidRPr="00131B9D">
        <w:rPr>
          <w:kern w:val="0"/>
        </w:rPr>
        <w:t>16.67%</w:t>
      </w:r>
      <w:r w:rsidRPr="00131B9D">
        <w:rPr>
          <w:kern w:val="0"/>
        </w:rPr>
        <w:t>。日本廢鋼價格也持續走跌，</w:t>
      </w:r>
      <w:r w:rsidRPr="00131B9D">
        <w:rPr>
          <w:kern w:val="0"/>
        </w:rPr>
        <w:t>H2</w:t>
      </w:r>
      <w:r w:rsidRPr="00131B9D">
        <w:rPr>
          <w:kern w:val="0"/>
        </w:rPr>
        <w:t>廢鋼對東亞其他國家出口價格下跌至</w:t>
      </w:r>
      <w:r w:rsidRPr="00131B9D">
        <w:rPr>
          <w:kern w:val="0"/>
        </w:rPr>
        <w:t>FOB 25000</w:t>
      </w:r>
      <w:r w:rsidRPr="00131B9D">
        <w:rPr>
          <w:kern w:val="0"/>
        </w:rPr>
        <w:t>日元</w:t>
      </w:r>
      <w:r w:rsidRPr="00131B9D">
        <w:rPr>
          <w:kern w:val="0"/>
        </w:rPr>
        <w:t>/</w:t>
      </w:r>
      <w:r w:rsidRPr="00131B9D">
        <w:rPr>
          <w:kern w:val="0"/>
        </w:rPr>
        <w:t>噸左右，國外用戶認為日本廢鋼價格還會進一步下跌，幾乎沒有新的交易談判消息。</w:t>
      </w:r>
      <w:r w:rsidRPr="00131B9D">
        <w:rPr>
          <w:kern w:val="0"/>
        </w:rPr>
        <w:t>8</w:t>
      </w:r>
      <w:r w:rsidRPr="00131B9D">
        <w:rPr>
          <w:kern w:val="0"/>
        </w:rPr>
        <w:t>月初廢鋼價格延續</w:t>
      </w:r>
      <w:r w:rsidRPr="00131B9D">
        <w:rPr>
          <w:kern w:val="0"/>
        </w:rPr>
        <w:t>7</w:t>
      </w:r>
      <w:r w:rsidRPr="00131B9D">
        <w:rPr>
          <w:kern w:val="0"/>
        </w:rPr>
        <w:t>月跌勢，月中隨著國際原物料反彈，鐵礦石價格彈升，且中國大陸小鋼胚價格也重返每噸</w:t>
      </w:r>
      <w:r w:rsidRPr="00131B9D">
        <w:rPr>
          <w:kern w:val="0"/>
        </w:rPr>
        <w:t>300</w:t>
      </w:r>
      <w:r w:rsidRPr="00131B9D">
        <w:rPr>
          <w:kern w:val="0"/>
        </w:rPr>
        <w:t>美元之上，加上新台幣貶值廢鋼進口成本增加，為廢鋼迎來一波漲勢。到了</w:t>
      </w:r>
      <w:r w:rsidRPr="00131B9D">
        <w:rPr>
          <w:kern w:val="0"/>
        </w:rPr>
        <w:t>9</w:t>
      </w:r>
      <w:r w:rsidRPr="00131B9D">
        <w:rPr>
          <w:kern w:val="0"/>
        </w:rPr>
        <w:t>月，國際廢鋼價格走跌，國內鋼筋市況不佳，廢鋼價也跟著走弱，豐興</w:t>
      </w:r>
      <w:r w:rsidRPr="00131B9D">
        <w:rPr>
          <w:kern w:val="0"/>
        </w:rPr>
        <w:t>9</w:t>
      </w:r>
      <w:r w:rsidRPr="00131B9D">
        <w:rPr>
          <w:kern w:val="0"/>
        </w:rPr>
        <w:t>月連續</w:t>
      </w:r>
      <w:r w:rsidRPr="00131B9D">
        <w:rPr>
          <w:kern w:val="0"/>
        </w:rPr>
        <w:t>3</w:t>
      </w:r>
      <w:r w:rsidRPr="00131B9D">
        <w:rPr>
          <w:kern w:val="0"/>
        </w:rPr>
        <w:t>次</w:t>
      </w:r>
      <w:r w:rsidRPr="00131B9D">
        <w:rPr>
          <w:kern w:val="0"/>
        </w:rPr>
        <w:lastRenderedPageBreak/>
        <w:t>下調廢鋼收購價，自</w:t>
      </w:r>
      <w:r w:rsidRPr="00131B9D">
        <w:rPr>
          <w:kern w:val="0"/>
        </w:rPr>
        <w:t>5300</w:t>
      </w:r>
      <w:r w:rsidRPr="00131B9D">
        <w:rPr>
          <w:kern w:val="0"/>
        </w:rPr>
        <w:t>元</w:t>
      </w:r>
      <w:r w:rsidRPr="00131B9D">
        <w:rPr>
          <w:kern w:val="0"/>
        </w:rPr>
        <w:t>/</w:t>
      </w:r>
      <w:r w:rsidRPr="00131B9D">
        <w:rPr>
          <w:kern w:val="0"/>
        </w:rPr>
        <w:t>噸下調至</w:t>
      </w:r>
      <w:r w:rsidRPr="00131B9D">
        <w:rPr>
          <w:kern w:val="0"/>
        </w:rPr>
        <w:t>4500</w:t>
      </w:r>
      <w:r w:rsidRPr="00131B9D">
        <w:rPr>
          <w:kern w:val="0"/>
        </w:rPr>
        <w:t>元</w:t>
      </w:r>
      <w:r w:rsidRPr="00131B9D">
        <w:rPr>
          <w:kern w:val="0"/>
        </w:rPr>
        <w:t>/</w:t>
      </w:r>
      <w:r w:rsidRPr="00131B9D">
        <w:rPr>
          <w:kern w:val="0"/>
        </w:rPr>
        <w:t>噸。</w:t>
      </w:r>
      <w:r w:rsidRPr="00131B9D">
        <w:rPr>
          <w:color w:val="000000"/>
          <w:kern w:val="0"/>
          <w:sz w:val="27"/>
          <w:szCs w:val="27"/>
        </w:rPr>
        <w:t>日本方面，內需不佳，</w:t>
      </w:r>
      <w:r w:rsidRPr="00131B9D">
        <w:rPr>
          <w:color w:val="000000"/>
          <w:kern w:val="0"/>
          <w:sz w:val="27"/>
          <w:szCs w:val="27"/>
        </w:rPr>
        <w:t>H</w:t>
      </w:r>
      <w:r w:rsidRPr="00131B9D">
        <w:rPr>
          <w:color w:val="000000"/>
          <w:kern w:val="0"/>
          <w:sz w:val="27"/>
          <w:szCs w:val="27"/>
        </w:rPr>
        <w:t>型鋼市場持疲</w:t>
      </w:r>
      <w:r w:rsidRPr="00131B9D">
        <w:rPr>
          <w:kern w:val="0"/>
        </w:rPr>
        <w:t>，外銷韓國等市場也不順，廢鋼供過於求，截至</w:t>
      </w:r>
      <w:r w:rsidRPr="00131B9D">
        <w:rPr>
          <w:kern w:val="0"/>
        </w:rPr>
        <w:t>9</w:t>
      </w:r>
      <w:r w:rsidRPr="00131B9D">
        <w:rPr>
          <w:kern w:val="0"/>
        </w:rPr>
        <w:t>月中旬，日本國內廢鋼已連續</w:t>
      </w:r>
      <w:r w:rsidRPr="00131B9D">
        <w:rPr>
          <w:kern w:val="0"/>
        </w:rPr>
        <w:t>12</w:t>
      </w:r>
      <w:r w:rsidRPr="00131B9D">
        <w:rPr>
          <w:kern w:val="0"/>
        </w:rPr>
        <w:t>週下滑，為</w:t>
      </w:r>
      <w:r w:rsidRPr="00131B9D">
        <w:rPr>
          <w:kern w:val="0"/>
        </w:rPr>
        <w:t>2009</w:t>
      </w:r>
      <w:r w:rsidRPr="00131B9D">
        <w:rPr>
          <w:kern w:val="0"/>
        </w:rPr>
        <w:t>年</w:t>
      </w:r>
      <w:r w:rsidRPr="00131B9D">
        <w:rPr>
          <w:kern w:val="0"/>
        </w:rPr>
        <w:t>3</w:t>
      </w:r>
      <w:r w:rsidRPr="00131B9D">
        <w:rPr>
          <w:kern w:val="0"/>
        </w:rPr>
        <w:t>月以來新低。豐興鋼鐵</w:t>
      </w:r>
      <w:r w:rsidRPr="00131B9D">
        <w:rPr>
          <w:kern w:val="0"/>
        </w:rPr>
        <w:t>8</w:t>
      </w:r>
      <w:r w:rsidRPr="00131B9D">
        <w:rPr>
          <w:kern w:val="0"/>
        </w:rPr>
        <w:t>月盤價一度反彈，但</w:t>
      </w:r>
      <w:r w:rsidRPr="00131B9D">
        <w:rPr>
          <w:kern w:val="0"/>
        </w:rPr>
        <w:t>9</w:t>
      </w:r>
      <w:r w:rsidRPr="00131B9D">
        <w:rPr>
          <w:kern w:val="0"/>
        </w:rPr>
        <w:t>月將</w:t>
      </w:r>
      <w:r w:rsidRPr="00131B9D">
        <w:rPr>
          <w:kern w:val="0"/>
        </w:rPr>
        <w:t>8</w:t>
      </w:r>
      <w:r w:rsidRPr="00131B9D">
        <w:rPr>
          <w:kern w:val="0"/>
        </w:rPr>
        <w:t>月漲的幅度完全吐回。進入第</w:t>
      </w:r>
      <w:r w:rsidRPr="00131B9D">
        <w:rPr>
          <w:kern w:val="0"/>
        </w:rPr>
        <w:t>4</w:t>
      </w:r>
      <w:r w:rsidRPr="00131B9D">
        <w:rPr>
          <w:kern w:val="0"/>
        </w:rPr>
        <w:t>季，亞洲廢鋼價格持續走弱，受國際廢鋼價格下跌影響，且鐵礦石亦重回下跌走勢，豐興</w:t>
      </w:r>
      <w:r w:rsidRPr="00131B9D">
        <w:rPr>
          <w:kern w:val="0"/>
        </w:rPr>
        <w:t>10</w:t>
      </w:r>
      <w:r w:rsidRPr="00131B9D">
        <w:rPr>
          <w:kern w:val="0"/>
        </w:rPr>
        <w:t>月初開出盤價格呈現破底，調降國內廢鋼收購價至</w:t>
      </w:r>
      <w:r w:rsidRPr="00131B9D">
        <w:rPr>
          <w:kern w:val="0"/>
        </w:rPr>
        <w:t>4,300</w:t>
      </w:r>
      <w:r w:rsidRPr="00131B9D">
        <w:rPr>
          <w:kern w:val="0"/>
        </w:rPr>
        <w:t>元</w:t>
      </w:r>
      <w:r w:rsidRPr="00131B9D">
        <w:rPr>
          <w:kern w:val="0"/>
        </w:rPr>
        <w:t>/</w:t>
      </w:r>
      <w:r w:rsidRPr="00131B9D">
        <w:rPr>
          <w:kern w:val="0"/>
        </w:rPr>
        <w:t>公噸，已低於金融海嘯時期價格。</w:t>
      </w:r>
      <w:r w:rsidRPr="00131B9D">
        <w:rPr>
          <w:kern w:val="0"/>
        </w:rPr>
        <w:t>10</w:t>
      </w:r>
      <w:r w:rsidRPr="00131B9D">
        <w:rPr>
          <w:kern w:val="0"/>
        </w:rPr>
        <w:t>月中旬後國際廢鋼價格回穩，國內廢鋼價格持平。日本廢鋼也呈現先降後穩之勢，日本三大主要廢鋼地區在</w:t>
      </w:r>
      <w:r w:rsidRPr="00131B9D">
        <w:rPr>
          <w:kern w:val="0"/>
        </w:rPr>
        <w:t>10</w:t>
      </w:r>
      <w:r w:rsidRPr="00131B9D">
        <w:rPr>
          <w:kern w:val="0"/>
        </w:rPr>
        <w:t>月中旬跌至</w:t>
      </w:r>
      <w:r w:rsidRPr="00131B9D">
        <w:rPr>
          <w:kern w:val="0"/>
        </w:rPr>
        <w:t>2008</w:t>
      </w:r>
      <w:r w:rsidRPr="00131B9D">
        <w:rPr>
          <w:kern w:val="0"/>
        </w:rPr>
        <w:t>年新低後，跌勢趨緩。進入</w:t>
      </w:r>
      <w:r w:rsidRPr="00131B9D">
        <w:rPr>
          <w:kern w:val="0"/>
        </w:rPr>
        <w:t>11</w:t>
      </w:r>
      <w:r w:rsidRPr="00131B9D">
        <w:rPr>
          <w:kern w:val="0"/>
        </w:rPr>
        <w:t>月後，國際廢鋼價格上揚，國內鋼市場緩步回溫，豐興在連開兩周平盤後調漲廢鋼價格，下游也開始進場回補庫存，截至</w:t>
      </w:r>
      <w:r w:rsidRPr="00131B9D">
        <w:rPr>
          <w:kern w:val="0"/>
        </w:rPr>
        <w:t>11</w:t>
      </w:r>
      <w:r w:rsidRPr="00131B9D">
        <w:rPr>
          <w:kern w:val="0"/>
        </w:rPr>
        <w:t>月中旬，國內廢鋼價格連續第</w:t>
      </w:r>
      <w:r w:rsidRPr="00131B9D">
        <w:rPr>
          <w:kern w:val="0"/>
        </w:rPr>
        <w:t>3</w:t>
      </w:r>
      <w:r w:rsidRPr="00131B9D">
        <w:rPr>
          <w:kern w:val="0"/>
        </w:rPr>
        <w:t>週上漲（如</w:t>
      </w:r>
      <w:r w:rsidRPr="00131B9D">
        <w:t>圖</w:t>
      </w:r>
      <w:r w:rsidRPr="00131B9D">
        <w:t>3-19</w:t>
      </w:r>
      <w:r w:rsidRPr="00131B9D">
        <w:rPr>
          <w:kern w:val="0"/>
        </w:rPr>
        <w:t>）。</w:t>
      </w:r>
    </w:p>
    <w:p w:rsidR="00F279F7" w:rsidRPr="00131B9D" w:rsidRDefault="00F279F7" w:rsidP="00F279F7">
      <w:pPr>
        <w:pStyle w:val="-"/>
        <w:spacing w:before="72" w:after="72"/>
        <w:ind w:firstLine="560"/>
        <w:rPr>
          <w:color w:val="000000"/>
        </w:rPr>
      </w:pPr>
      <w:r w:rsidRPr="00131B9D">
        <w:rPr>
          <w:kern w:val="0"/>
        </w:rPr>
        <w:t>受到全球鋼鐵產量過剩，需求不足，造成鋼價下跌，同時導致上游原料廢鋼價格疲弱，預期明年鋼市將持續疲弱，同時鐵礦石價格繼續下跌，將近一步排擠廢鋼需求，因此明年廢鋼價格仍然承壓。</w:t>
      </w:r>
    </w:p>
    <w:p w:rsidR="00F279F7" w:rsidRPr="00131B9D" w:rsidRDefault="00F279F7" w:rsidP="00F279F7"/>
    <w:p w:rsidR="00F279F7" w:rsidRPr="00131B9D" w:rsidRDefault="00F279F7" w:rsidP="00F279F7">
      <w:pPr>
        <w:jc w:val="center"/>
        <w:rPr>
          <w:rFonts w:eastAsia="標楷體"/>
        </w:rPr>
      </w:pPr>
      <w:r w:rsidRPr="00131B9D">
        <w:rPr>
          <w:noProof/>
        </w:rPr>
        <w:drawing>
          <wp:inline distT="0" distB="0" distL="0" distR="0" wp14:anchorId="73DA5304" wp14:editId="19AFC11C">
            <wp:extent cx="5252400" cy="3189767"/>
            <wp:effectExtent l="19050" t="0" r="24450" b="0"/>
            <wp:docPr id="41" name="圖表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F279F7" w:rsidRPr="00131B9D" w:rsidRDefault="00F279F7" w:rsidP="00F279F7">
      <w:pPr>
        <w:spacing w:line="240" w:lineRule="exact"/>
        <w:ind w:firstLineChars="100" w:firstLine="200"/>
        <w:jc w:val="both"/>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20" w:name="_Toc398882652"/>
      <w:bookmarkStart w:id="221" w:name="_Toc438223353"/>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19</w:t>
      </w:r>
      <w:r w:rsidRPr="00131B9D">
        <w:rPr>
          <w:rFonts w:eastAsia="標楷體"/>
          <w:b/>
          <w:bCs/>
          <w:kern w:val="52"/>
          <w:sz w:val="28"/>
          <w:szCs w:val="28"/>
        </w:rPr>
        <w:fldChar w:fldCharType="end"/>
      </w:r>
      <w:r w:rsidRPr="00131B9D">
        <w:rPr>
          <w:rFonts w:eastAsia="標楷體"/>
          <w:b/>
          <w:bCs/>
          <w:kern w:val="52"/>
          <w:sz w:val="28"/>
          <w:szCs w:val="28"/>
        </w:rPr>
        <w:t xml:space="preserve">　廢鋼近一年價格走勢圖</w:t>
      </w:r>
      <w:bookmarkEnd w:id="220"/>
      <w:bookmarkEnd w:id="221"/>
    </w:p>
    <w:p w:rsidR="00F279F7" w:rsidRPr="00131B9D" w:rsidRDefault="00F279F7" w:rsidP="00F279F7">
      <w:pPr>
        <w:sectPr w:rsidR="00F279F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3"/>
        <w:rPr>
          <w:rFonts w:ascii="Times New Roman" w:hAnsi="Times New Roman"/>
        </w:rPr>
      </w:pPr>
      <w:bookmarkStart w:id="222" w:name="_Toc322706954"/>
      <w:r w:rsidRPr="00131B9D">
        <w:rPr>
          <w:rFonts w:ascii="Times New Roman" w:hAnsi="Times New Roman"/>
        </w:rPr>
        <w:lastRenderedPageBreak/>
        <w:t>（二）小鋼胚</w:t>
      </w:r>
      <w:bookmarkEnd w:id="222"/>
    </w:p>
    <w:p w:rsidR="00F279F7" w:rsidRPr="00131B9D" w:rsidRDefault="00F279F7" w:rsidP="00F279F7">
      <w:pPr>
        <w:pStyle w:val="-"/>
        <w:spacing w:before="72" w:after="72"/>
        <w:ind w:firstLine="560"/>
      </w:pPr>
      <w:r w:rsidRPr="00131B9D">
        <w:rPr>
          <w:color w:val="000000"/>
        </w:rPr>
        <w:t>隨著中國大陸經濟增長速度放緩，鋼鐵生產過剩情況日趨嚴重，鋼鐵企業失去國內市場的同時已開始轉戰海外市場，大量鋼鐵產品湧向全球。但基於競爭，中國大陸的鋼鐵企業都不願第一個倒下，反而利用鐵礦石價格下跌，以過剩產能擴大產量來搶佔市場，進一步壓低鋼鐵價格，惟中國大陸工業難以消化所有產量，於是不斷降價，湧向全球市場。中國大陸國內鋼鐵需求不足，鋼胚產能過剩持續對外傾銷，不只東南亞各國（如菲律賓、泰國、印尼、馬來西亞、新加坡等）成為其銷售對象，甚至連傳統的鋼胚出口大國土耳其也想從中國大陸進口鋼胚。再者，雖然鐵礦石、鋼胚市場價格於</w:t>
      </w:r>
      <w:r w:rsidRPr="00131B9D">
        <w:rPr>
          <w:color w:val="000000"/>
        </w:rPr>
        <w:t>4</w:t>
      </w:r>
      <w:r w:rsidRPr="00131B9D">
        <w:rPr>
          <w:color w:val="000000"/>
        </w:rPr>
        <w:t>月時有所反彈，但市場未見明顯好轉，商家心態仍較為悲觀。前期部分停產之鋼鐵廠已經陸續復產，市場供應量進一步增大，但由於需求並未增加，鋼鐵廠為去化庫存回收資金，只能持續降價。中國大陸對鋼胚大國土耳其，小鋼胚報價僅</w:t>
      </w:r>
      <w:r w:rsidRPr="00131B9D">
        <w:rPr>
          <w:color w:val="000000"/>
        </w:rPr>
        <w:t>C&amp;F 335-340</w:t>
      </w:r>
      <w:r w:rsidRPr="00131B9D">
        <w:rPr>
          <w:color w:val="000000"/>
        </w:rPr>
        <w:t>美元</w:t>
      </w:r>
      <w:r w:rsidRPr="00131B9D">
        <w:rPr>
          <w:color w:val="000000"/>
        </w:rPr>
        <w:t>/</w:t>
      </w:r>
      <w:r w:rsidRPr="00131B9D">
        <w:rPr>
          <w:color w:val="000000"/>
        </w:rPr>
        <w:t>噸，對臺灣報價也下調至</w:t>
      </w:r>
      <w:r w:rsidRPr="00131B9D">
        <w:rPr>
          <w:color w:val="000000"/>
        </w:rPr>
        <w:t>C&amp;F 325-330</w:t>
      </w:r>
      <w:r w:rsidRPr="00131B9D">
        <w:rPr>
          <w:color w:val="000000"/>
        </w:rPr>
        <w:t>美元</w:t>
      </w:r>
      <w:r w:rsidRPr="00131B9D">
        <w:rPr>
          <w:color w:val="000000"/>
        </w:rPr>
        <w:t>/</w:t>
      </w:r>
      <w:r w:rsidRPr="00131B9D">
        <w:rPr>
          <w:color w:val="000000"/>
        </w:rPr>
        <w:t>噸。電爐鋼廠豐興表示，中國大陸鋼胚品質仍有一定水準，尤其在加硼與鉻等變成合金鋼後，還可享有出口退稅，更具價格競爭力。現在臺灣鋼胚出口到國際市場，輸給中國大陸的價差每噸至少</w:t>
      </w:r>
      <w:r w:rsidRPr="00131B9D">
        <w:rPr>
          <w:color w:val="000000"/>
        </w:rPr>
        <w:t>100</w:t>
      </w:r>
      <w:r w:rsidRPr="00131B9D">
        <w:rPr>
          <w:color w:val="000000"/>
        </w:rPr>
        <w:t>美元，讓臺灣鋼鐵廠商倍感壓力。進入第</w:t>
      </w:r>
      <w:r w:rsidRPr="00131B9D">
        <w:rPr>
          <w:color w:val="000000"/>
        </w:rPr>
        <w:t>3</w:t>
      </w:r>
      <w:r w:rsidRPr="00131B9D">
        <w:rPr>
          <w:color w:val="000000"/>
        </w:rPr>
        <w:t>季</w:t>
      </w:r>
      <w:r w:rsidRPr="00131B9D">
        <w:t>Steel World</w:t>
      </w:r>
      <w:r w:rsidRPr="00131B9D">
        <w:t>全球鋼訊網總經理表示，</w:t>
      </w:r>
      <w:r w:rsidRPr="00131B9D">
        <w:t>7</w:t>
      </w:r>
      <w:r w:rsidRPr="00131B9D">
        <w:t>月份亞洲鋼價再跌，主要是中國產能過剩，把產量往全世界倒，「尤其</w:t>
      </w:r>
      <w:r w:rsidRPr="00131B9D">
        <w:t>6</w:t>
      </w:r>
      <w:r w:rsidRPr="00131B9D">
        <w:t>月底銀行業進行下半年的放款評估，鋼廠為了取得資金，即使虧錢，也要生產，把營業額衝出來。」中國大陸鋼鐵半成品庫存過剩，擴大出口，亞洲市場鋼材、鋼板之鋼胚半成品價格持續低迷。鋼廠表示，</w:t>
      </w:r>
      <w:r w:rsidRPr="00131B9D">
        <w:t>7</w:t>
      </w:r>
      <w:r w:rsidRPr="00131B9D">
        <w:t>月初鐵礦石價格暴跌，中國大陸高爐廠以鐵礦砂為原料，產出小鋼胚只要</w:t>
      </w:r>
      <w:r w:rsidRPr="00131B9D">
        <w:t>300</w:t>
      </w:r>
      <w:r w:rsidRPr="00131B9D">
        <w:t>美元</w:t>
      </w:r>
      <w:r w:rsidRPr="00131B9D">
        <w:t>/</w:t>
      </w:r>
      <w:r w:rsidRPr="00131B9D">
        <w:t>公噸，與我國用電爐廠以廢鋼為原料生產之小鋼胚價差高達</w:t>
      </w:r>
      <w:r w:rsidRPr="00131B9D">
        <w:t>40</w:t>
      </w:r>
      <w:r w:rsidRPr="00131B9D">
        <w:t>美元</w:t>
      </w:r>
      <w:r w:rsidRPr="00131B9D">
        <w:t>/</w:t>
      </w:r>
      <w:r w:rsidRPr="00131B9D">
        <w:t>公噸。面對中國大陸低價小鋼胚大量叩關的壓力，電爐廠「世家興業」於</w:t>
      </w:r>
      <w:r w:rsidRPr="00131B9D">
        <w:t>7</w:t>
      </w:r>
      <w:r w:rsidRPr="00131B9D">
        <w:t>月傳出將退出市場，日本的共英製鋼公司預定明年</w:t>
      </w:r>
      <w:r w:rsidRPr="00131B9D">
        <w:t>3</w:t>
      </w:r>
      <w:r w:rsidRPr="00131B9D">
        <w:t>月關閉在大阪生產小鋼胚之工廠。</w:t>
      </w:r>
      <w:r w:rsidRPr="00131B9D">
        <w:t>8</w:t>
      </w:r>
      <w:r w:rsidRPr="00131B9D">
        <w:t>月鐵礦石價格反彈帶動小鋼胚價格回升，其中中國大陸從先前每公噸</w:t>
      </w:r>
      <w:r w:rsidRPr="00131B9D">
        <w:lastRenderedPageBreak/>
        <w:t>280</w:t>
      </w:r>
      <w:r w:rsidRPr="00131B9D">
        <w:t>美元漲破</w:t>
      </w:r>
      <w:r w:rsidRPr="00131B9D">
        <w:t>300</w:t>
      </w:r>
      <w:r w:rsidRPr="00131B9D">
        <w:t>美元，但到了</w:t>
      </w:r>
      <w:r w:rsidRPr="00131B9D">
        <w:t>9</w:t>
      </w:r>
      <w:r w:rsidRPr="00131B9D">
        <w:t>月，國際原物料再次呈現下跌走勢，需求不振加上中國大陸小鋼胚低價促銷，使台灣鋼胚價格再次下跌。</w:t>
      </w:r>
      <w:r w:rsidRPr="00131B9D">
        <w:t>10</w:t>
      </w:r>
      <w:r w:rsidRPr="00131B9D">
        <w:t>月鋼材需求更加疲弱，鐵礦石及廢鋼價格連續下跌，鋼胚價格也隨之下跌，惟</w:t>
      </w:r>
      <w:r w:rsidRPr="00131B9D">
        <w:t>10</w:t>
      </w:r>
      <w:r w:rsidRPr="00131B9D">
        <w:t>月底</w:t>
      </w:r>
      <w:r w:rsidRPr="00131B9D">
        <w:t>11</w:t>
      </w:r>
      <w:r w:rsidRPr="00131B9D">
        <w:t>月初，隨廢鋼價格反彈，帶動小鋼價格上揚</w:t>
      </w:r>
      <w:r w:rsidR="00160782" w:rsidRPr="00131B9D">
        <w:t>（如圖</w:t>
      </w:r>
      <w:r w:rsidR="00160782" w:rsidRPr="00131B9D">
        <w:t>3-20</w:t>
      </w:r>
      <w:r w:rsidR="00160782" w:rsidRPr="00131B9D">
        <w:t>）</w:t>
      </w:r>
      <w:r w:rsidRPr="00131B9D">
        <w:t>。</w:t>
      </w:r>
    </w:p>
    <w:p w:rsidR="00F279F7" w:rsidRPr="00131B9D" w:rsidRDefault="00F279F7" w:rsidP="00F279F7">
      <w:pPr>
        <w:pStyle w:val="-"/>
        <w:spacing w:before="72" w:after="72"/>
        <w:ind w:firstLine="560"/>
        <w:rPr>
          <w:color w:val="000000"/>
        </w:rPr>
      </w:pPr>
      <w:r w:rsidRPr="00131B9D">
        <w:rPr>
          <w:kern w:val="0"/>
        </w:rPr>
        <w:t>由於全球經濟成長趨緩，房市景氣欠佳，鋼鐵需求不足，同時產量過剩造成國際鋼價大跌，且相對臺灣以電爐製造小鋼胚，中國大陸透過高爐製成之產品有價格優勢，</w:t>
      </w:r>
      <w:r w:rsidRPr="00131B9D">
        <w:rPr>
          <w:kern w:val="0"/>
        </w:rPr>
        <w:t xml:space="preserve"> </w:t>
      </w:r>
      <w:r w:rsidRPr="00131B9D">
        <w:rPr>
          <w:kern w:val="0"/>
        </w:rPr>
        <w:t>因此未來小鋼胚價格恐下跌。</w:t>
      </w:r>
    </w:p>
    <w:p w:rsidR="00F279F7" w:rsidRPr="00131B9D" w:rsidRDefault="00F279F7" w:rsidP="00F279F7"/>
    <w:p w:rsidR="00F279F7" w:rsidRPr="00131B9D" w:rsidRDefault="00F279F7" w:rsidP="00F279F7">
      <w:pPr>
        <w:jc w:val="center"/>
        <w:rPr>
          <w:rFonts w:eastAsia="標楷體"/>
        </w:rPr>
      </w:pPr>
      <w:r w:rsidRPr="00131B9D">
        <w:rPr>
          <w:noProof/>
        </w:rPr>
        <w:drawing>
          <wp:inline distT="0" distB="0" distL="0" distR="0" wp14:anchorId="068FFE02" wp14:editId="5D1033FE">
            <wp:extent cx="5252400" cy="3189768"/>
            <wp:effectExtent l="19050" t="0" r="24450" b="0"/>
            <wp:docPr id="62" name="圖表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F279F7" w:rsidRPr="00131B9D" w:rsidRDefault="00F279F7" w:rsidP="00F279F7">
      <w:pPr>
        <w:spacing w:line="240" w:lineRule="exact"/>
        <w:ind w:firstLineChars="100" w:firstLine="200"/>
        <w:jc w:val="both"/>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23" w:name="_Toc398882653"/>
      <w:bookmarkStart w:id="224" w:name="_Toc438223354"/>
      <w:bookmarkStart w:id="225" w:name="_Toc322706955"/>
      <w:bookmarkStart w:id="226" w:name="_Toc365017345"/>
      <w:bookmarkStart w:id="227" w:name="_Toc373423064"/>
      <w:bookmarkStart w:id="228" w:name="_Toc373682449"/>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20</w:t>
      </w:r>
      <w:r w:rsidRPr="00131B9D">
        <w:rPr>
          <w:rFonts w:eastAsia="標楷體"/>
          <w:b/>
          <w:bCs/>
          <w:kern w:val="52"/>
          <w:sz w:val="28"/>
          <w:szCs w:val="28"/>
        </w:rPr>
        <w:fldChar w:fldCharType="end"/>
      </w:r>
      <w:r w:rsidRPr="00131B9D">
        <w:rPr>
          <w:rFonts w:eastAsia="標楷體"/>
          <w:b/>
          <w:bCs/>
          <w:kern w:val="52"/>
          <w:sz w:val="28"/>
          <w:szCs w:val="28"/>
        </w:rPr>
        <w:t xml:space="preserve">　小鋼胚近一年價格走勢圖</w:t>
      </w:r>
      <w:bookmarkEnd w:id="223"/>
      <w:bookmarkEnd w:id="224"/>
    </w:p>
    <w:p w:rsidR="00F279F7" w:rsidRPr="00131B9D" w:rsidRDefault="00F279F7" w:rsidP="00F279F7"/>
    <w:p w:rsidR="00F279F7" w:rsidRPr="00131B9D" w:rsidRDefault="00F279F7" w:rsidP="00F279F7">
      <w:pPr>
        <w:pStyle w:val="3"/>
        <w:rPr>
          <w:rFonts w:ascii="Times New Roman" w:hAnsi="Times New Roman"/>
        </w:rPr>
      </w:pPr>
      <w:bookmarkStart w:id="229" w:name="_Toc322706956"/>
      <w:bookmarkEnd w:id="225"/>
      <w:bookmarkEnd w:id="226"/>
      <w:bookmarkEnd w:id="227"/>
      <w:bookmarkEnd w:id="228"/>
      <w:r w:rsidRPr="00131B9D">
        <w:rPr>
          <w:rFonts w:ascii="Times New Roman" w:hAnsi="Times New Roman"/>
        </w:rPr>
        <w:t>（三）平板鋼類（包含熱軋鋼捲、冷軋鋼捲及鍍鋅鋼捲）</w:t>
      </w:r>
      <w:bookmarkEnd w:id="229"/>
    </w:p>
    <w:p w:rsidR="00F279F7" w:rsidRPr="00131B9D" w:rsidRDefault="00F279F7" w:rsidP="00F279F7">
      <w:pPr>
        <w:pStyle w:val="-"/>
        <w:spacing w:before="72" w:after="72"/>
        <w:ind w:firstLine="560"/>
      </w:pPr>
      <w:bookmarkStart w:id="230" w:name="_Toc322706959"/>
      <w:bookmarkStart w:id="231" w:name="_Toc365017348"/>
      <w:bookmarkStart w:id="232" w:name="_Toc373423067"/>
      <w:bookmarkStart w:id="233" w:name="_Toc373682452"/>
      <w:r w:rsidRPr="00131B9D">
        <w:t>2015</w:t>
      </w:r>
      <w:r w:rsidRPr="00131B9D">
        <w:t>年初美國平板鋼材延續前期低迷的市場情緒，價格持續下跌，中西部鋼廠熱軋鋼捲跌破</w:t>
      </w:r>
      <w:r w:rsidRPr="00131B9D">
        <w:t>600</w:t>
      </w:r>
      <w:r w:rsidRPr="00131B9D">
        <w:t>美元</w:t>
      </w:r>
      <w:r w:rsidRPr="00131B9D">
        <w:t>/</w:t>
      </w:r>
      <w:r w:rsidRPr="00131B9D">
        <w:t>短噸，創</w:t>
      </w:r>
      <w:r w:rsidRPr="00131B9D">
        <w:t>2013</w:t>
      </w:r>
      <w:r w:rsidRPr="00131B9D">
        <w:t>年</w:t>
      </w:r>
      <w:r w:rsidRPr="00131B9D">
        <w:t>6</w:t>
      </w:r>
      <w:r w:rsidRPr="00131B9D">
        <w:t>月以來新低，且</w:t>
      </w:r>
      <w:r w:rsidRPr="00131B9D">
        <w:t>2~4</w:t>
      </w:r>
      <w:r w:rsidRPr="00131B9D">
        <w:t>月價格仍持續下跌。平板鋼材自</w:t>
      </w:r>
      <w:r w:rsidRPr="00131B9D">
        <w:t>4</w:t>
      </w:r>
      <w:r w:rsidRPr="00131B9D">
        <w:t>月底</w:t>
      </w:r>
      <w:r w:rsidRPr="00131B9D">
        <w:t>5</w:t>
      </w:r>
      <w:r w:rsidRPr="00131B9D">
        <w:t>月初開始出現反彈，安米、紐柯與俄新鋼美國公司宣佈上調熱軋鋼捲、冷軋鋼捲以及鍍鋅鋼材之報價，且多家鋼廠在</w:t>
      </w:r>
      <w:r w:rsidRPr="00131B9D">
        <w:t>6</w:t>
      </w:r>
      <w:r w:rsidRPr="00131B9D">
        <w:t>月嘗試再次提高價格。美國在</w:t>
      </w:r>
      <w:r w:rsidRPr="00131B9D">
        <w:t>6</w:t>
      </w:r>
      <w:r w:rsidRPr="00131B9D">
        <w:t>月</w:t>
      </w:r>
      <w:r w:rsidRPr="00131B9D">
        <w:lastRenderedPageBreak/>
        <w:t>對包含中國大陸與臺灣在內</w:t>
      </w:r>
      <w:r w:rsidRPr="00131B9D">
        <w:t>5</w:t>
      </w:r>
      <w:r w:rsidRPr="00131B9D">
        <w:t>個國家的薄板鋼材進行反傾銷調查，可能對鋼材價格造成影響。第</w:t>
      </w:r>
      <w:r w:rsidRPr="00131B9D">
        <w:t>3</w:t>
      </w:r>
      <w:r w:rsidRPr="00131B9D">
        <w:t>季，美國雖因頻繁的反傾銷措施有利於限制鋼材進口，緩解供過於求之情形進而支持鋼價，惟市場庫存充足，且需求處於淡季，加上</w:t>
      </w:r>
      <w:r w:rsidRPr="00131B9D">
        <w:t>9</w:t>
      </w:r>
      <w:r w:rsidRPr="00131B9D">
        <w:t>月鋼廠與勞工達成勞動合約可能性漸高，爆發大規模罷工之可能性不大，鋼鐵價格轉而下跌。進入第</w:t>
      </w:r>
      <w:r w:rsidRPr="00131B9D">
        <w:t>4</w:t>
      </w:r>
      <w:r w:rsidRPr="00131B9D">
        <w:t>季，美國平板鋼材需求仍然疲弱，除了汽車製造業需求尚可，其於終端使用者需求均保持疲軟，雖有鋼廠宣布減產計畫，但短時間市場供需面難有明顯改善，平板鋼材持續走跌，截至</w:t>
      </w:r>
      <w:r w:rsidRPr="00131B9D">
        <w:t>11</w:t>
      </w:r>
      <w:r w:rsidRPr="00131B9D">
        <w:t>中旬，熱軋鋼捲跌至</w:t>
      </w:r>
      <w:r w:rsidRPr="00131B9D">
        <w:t>435</w:t>
      </w:r>
      <w:r w:rsidRPr="00131B9D">
        <w:t>美元</w:t>
      </w:r>
      <w:r w:rsidRPr="00131B9D">
        <w:t>/</w:t>
      </w:r>
      <w:r w:rsidRPr="00131B9D">
        <w:t>噸，創</w:t>
      </w:r>
      <w:r w:rsidRPr="00131B9D">
        <w:t>76</w:t>
      </w:r>
      <w:r w:rsidRPr="00131B9D">
        <w:t>個月新低，冷軋鋼捲及浸鍍鋅鋼捲價格分別為</w:t>
      </w:r>
      <w:r w:rsidRPr="00131B9D">
        <w:t>579</w:t>
      </w:r>
      <w:r w:rsidRPr="00131B9D">
        <w:t>美元</w:t>
      </w:r>
      <w:r w:rsidRPr="00131B9D">
        <w:t>/</w:t>
      </w:r>
      <w:r w:rsidRPr="00131B9D">
        <w:t>噸及</w:t>
      </w:r>
      <w:r w:rsidRPr="00131B9D">
        <w:t>667</w:t>
      </w:r>
      <w:r w:rsidRPr="00131B9D">
        <w:t>美元</w:t>
      </w:r>
      <w:r w:rsidRPr="00131B9D">
        <w:t>/</w:t>
      </w:r>
      <w:r w:rsidRPr="00131B9D">
        <w:t>噸。</w:t>
      </w:r>
    </w:p>
    <w:p w:rsidR="00F279F7" w:rsidRPr="00131B9D" w:rsidRDefault="00F279F7" w:rsidP="00F279F7">
      <w:pPr>
        <w:pStyle w:val="-"/>
        <w:spacing w:before="72" w:after="72"/>
        <w:ind w:firstLine="560"/>
      </w:pPr>
      <w:r w:rsidRPr="00131B9D">
        <w:t>歐洲方面，</w:t>
      </w:r>
      <w:r w:rsidRPr="00131B9D">
        <w:t>2015</w:t>
      </w:r>
      <w:r w:rsidRPr="00131B9D">
        <w:t>年第</w:t>
      </w:r>
      <w:r w:rsidRPr="00131B9D">
        <w:t>1</w:t>
      </w:r>
      <w:r w:rsidRPr="00131B9D">
        <w:t>季歐元走跌，削弱中國大陸與俄羅斯等進口鋼材的價格優勢，且由於去年第</w:t>
      </w:r>
      <w:r w:rsidRPr="00131B9D">
        <w:t>4</w:t>
      </w:r>
      <w:r w:rsidRPr="00131B9D">
        <w:t>季平板鋼材價格下跌，使得第</w:t>
      </w:r>
      <w:r w:rsidRPr="00131B9D">
        <w:t>1</w:t>
      </w:r>
      <w:r w:rsidRPr="00131B9D">
        <w:t>季價格有提升空間，因此相對世界各國平板鋼材價格呈下跌走勢，歐洲市場保持平穩。進入第</w:t>
      </w:r>
      <w:r w:rsidRPr="00131B9D">
        <w:t>2</w:t>
      </w:r>
      <w:r w:rsidRPr="00131B9D">
        <w:t>季時，歐洲總體經濟情勢略有好轉，汽車製造、家電等產業逐漸復甦，帶動歐洲平板鋼類需求增加，加上</w:t>
      </w:r>
      <w:r w:rsidRPr="00131B9D">
        <w:t>5</w:t>
      </w:r>
      <w:r w:rsidRPr="00131B9D">
        <w:t>月</w:t>
      </w:r>
      <w:r w:rsidRPr="00131B9D">
        <w:t>14</w:t>
      </w:r>
      <w:r w:rsidRPr="00131B9D">
        <w:t>日歐盟委員會對進口自中國大陸及俄羅斯的冷軋鋼捲進行反傾銷調查，買主對採購兩國鋼材均持謹慎態度，造成本季歐洲鋼市呈現穩中趨升的情勢。然而到了</w:t>
      </w:r>
      <w:r w:rsidRPr="00131B9D">
        <w:t>6</w:t>
      </w:r>
      <w:r w:rsidRPr="00131B9D">
        <w:t>月，因臨近傳統需求淡季，且受到南歐、東歐鋼廠價格下調之壓力增大，加上自</w:t>
      </w:r>
      <w:r w:rsidRPr="00131B9D">
        <w:t>2014</w:t>
      </w:r>
      <w:r w:rsidRPr="00131B9D">
        <w:t>年</w:t>
      </w:r>
      <w:r w:rsidRPr="00131B9D">
        <w:t>12</w:t>
      </w:r>
      <w:r w:rsidRPr="00131B9D">
        <w:t>月美國限制俄羅斯熱軋鋼捲之進口後，低價熱軋鋼捲轉而銷往歐洲，市場供給過剩情況嚴重，鋼廠希望在需求淡季來臨前儘快消化庫存，</w:t>
      </w:r>
      <w:r w:rsidRPr="00131B9D">
        <w:t>6</w:t>
      </w:r>
      <w:r w:rsidRPr="00131B9D">
        <w:t>月底，熱軋鋼捲價格已跌破</w:t>
      </w:r>
      <w:r w:rsidRPr="00131B9D">
        <w:t>390</w:t>
      </w:r>
      <w:r w:rsidRPr="00131B9D">
        <w:t>歐元</w:t>
      </w:r>
      <w:r w:rsidRPr="00131B9D">
        <w:t>/</w:t>
      </w:r>
      <w:r w:rsidRPr="00131B9D">
        <w:t>噸，下半年歐洲汽車板合約價也下跌</w:t>
      </w:r>
      <w:r w:rsidRPr="00131B9D">
        <w:t>10</w:t>
      </w:r>
      <w:r w:rsidRPr="00131B9D">
        <w:t>歐元</w:t>
      </w:r>
      <w:r w:rsidRPr="00131B9D">
        <w:t>/</w:t>
      </w:r>
      <w:r w:rsidRPr="00131B9D">
        <w:t>噸。第</w:t>
      </w:r>
      <w:r w:rsidRPr="00131B9D">
        <w:t>3</w:t>
      </w:r>
      <w:r w:rsidRPr="00131B9D">
        <w:t>季，歐洲淡季需求平淡，鋼廠減產力道不足，鋼價持續低檔徘迴，且美國反傾銷動作頻頻，因此許多原本賣至美國之鋼材轉而銷往歐盟，加上</w:t>
      </w:r>
      <w:r w:rsidRPr="00131B9D">
        <w:t>8</w:t>
      </w:r>
      <w:r w:rsidRPr="00131B9D">
        <w:t>月人民幣貶值，進一步加強中國大陸鋼材價格優勢，又因受到巴西廉價鋼材之衝擊，截至</w:t>
      </w:r>
      <w:r w:rsidRPr="00131B9D">
        <w:t>9</w:t>
      </w:r>
      <w:r w:rsidRPr="00131B9D">
        <w:t>月底，德國魯爾區熱軋鋼捲出廠價為</w:t>
      </w:r>
      <w:r w:rsidRPr="00131B9D">
        <w:t>370</w:t>
      </w:r>
      <w:r w:rsidRPr="00131B9D">
        <w:t>歐元</w:t>
      </w:r>
      <w:r w:rsidRPr="00131B9D">
        <w:t>/</w:t>
      </w:r>
      <w:r w:rsidRPr="00131B9D">
        <w:t>公噸，冷軋鋼捲出廠價為</w:t>
      </w:r>
      <w:r w:rsidRPr="00131B9D">
        <w:t>450-460</w:t>
      </w:r>
      <w:r w:rsidRPr="00131B9D">
        <w:t>歐元</w:t>
      </w:r>
      <w:r w:rsidRPr="00131B9D">
        <w:t>/</w:t>
      </w:r>
      <w:r w:rsidRPr="00131B9D">
        <w:t>公噸，實際成交價為</w:t>
      </w:r>
      <w:r w:rsidRPr="00131B9D">
        <w:t>440-450</w:t>
      </w:r>
      <w:r w:rsidRPr="00131B9D">
        <w:t>歐元</w:t>
      </w:r>
      <w:r w:rsidRPr="00131B9D">
        <w:t>/</w:t>
      </w:r>
      <w:r w:rsidRPr="00131B9D">
        <w:t>公噸，創</w:t>
      </w:r>
      <w:r w:rsidRPr="00131B9D">
        <w:t>2009</w:t>
      </w:r>
      <w:r w:rsidRPr="00131B9D">
        <w:t>年</w:t>
      </w:r>
      <w:r w:rsidRPr="00131B9D">
        <w:t>12</w:t>
      </w:r>
      <w:r w:rsidRPr="00131B9D">
        <w:t>月新低，且第</w:t>
      </w:r>
      <w:r w:rsidRPr="00131B9D">
        <w:t>4</w:t>
      </w:r>
      <w:r w:rsidRPr="00131B9D">
        <w:t>季歐洲平</w:t>
      </w:r>
      <w:r w:rsidRPr="00131B9D">
        <w:lastRenderedPageBreak/>
        <w:t>板鋼材受到低價鋼材進口之影響，價格仍呈下跌走勢。</w:t>
      </w:r>
    </w:p>
    <w:p w:rsidR="00F279F7" w:rsidRPr="00131B9D" w:rsidRDefault="00F279F7" w:rsidP="00F279F7">
      <w:pPr>
        <w:pStyle w:val="-"/>
        <w:spacing w:before="72" w:after="72"/>
        <w:ind w:firstLine="560"/>
      </w:pPr>
      <w:r w:rsidRPr="00131B9D">
        <w:t>中國大陸方面，</w:t>
      </w:r>
      <w:r w:rsidR="002D4FDF" w:rsidRPr="00131B9D">
        <w:t>根據世界鋼鐵協會（</w:t>
      </w:r>
      <w:r w:rsidR="002D4FDF" w:rsidRPr="00131B9D">
        <w:t>World Steel Association</w:t>
      </w:r>
      <w:r w:rsidR="002D4FDF" w:rsidRPr="00131B9D">
        <w:t>）</w:t>
      </w:r>
      <w:r w:rsidR="002D4FDF" w:rsidRPr="00131B9D">
        <w:t>10</w:t>
      </w:r>
      <w:r w:rsidR="002D4FDF" w:rsidRPr="00131B9D">
        <w:t>月</w:t>
      </w:r>
      <w:r w:rsidR="002D4FDF" w:rsidRPr="00131B9D">
        <w:t>12</w:t>
      </w:r>
      <w:r w:rsidR="002D4FDF" w:rsidRPr="00131B9D">
        <w:t>日公佈之數據，</w:t>
      </w:r>
      <w:r w:rsidR="002D4FDF" w:rsidRPr="00131B9D">
        <w:t>2014</w:t>
      </w:r>
      <w:r w:rsidR="002D4FDF" w:rsidRPr="00131B9D">
        <w:t>年中國大陸的鋼鐵需求量減少</w:t>
      </w:r>
      <w:r w:rsidR="002D4FDF" w:rsidRPr="00131B9D">
        <w:t>3.3%</w:t>
      </w:r>
      <w:r w:rsidR="002D4FDF" w:rsidRPr="00131B9D">
        <w:t>，而且預計</w:t>
      </w:r>
      <w:r w:rsidR="002D4FDF" w:rsidRPr="00131B9D">
        <w:t>2015</w:t>
      </w:r>
      <w:r w:rsidR="002D4FDF" w:rsidRPr="00131B9D">
        <w:t>年需求量衰退幅度進一步擴大至</w:t>
      </w:r>
      <w:r w:rsidR="002D4FDF" w:rsidRPr="00131B9D">
        <w:t>3.5%</w:t>
      </w:r>
      <w:r w:rsidR="002D4FDF" w:rsidRPr="00131B9D">
        <w:t>。</w:t>
      </w:r>
      <w:r w:rsidRPr="00131B9D">
        <w:t>由於國內外市場需求不振，鋼廠為了獲得訂單只能降價求售，中國大陸鋼鐵產品一向以低價佔領市場，而出口量持續增長係因價格一再壓低，</w:t>
      </w:r>
      <w:r w:rsidRPr="00131B9D">
        <w:t>3</w:t>
      </w:r>
      <w:r w:rsidRPr="00131B9D">
        <w:t>月下旬中國大陸的熱軋鋼價格比美國國產品要低近</w:t>
      </w:r>
      <w:r w:rsidRPr="00131B9D">
        <w:t>200</w:t>
      </w:r>
      <w:r w:rsidRPr="00131B9D">
        <w:t>美元</w:t>
      </w:r>
      <w:r w:rsidRPr="00131B9D">
        <w:t>/</w:t>
      </w:r>
      <w:r w:rsidRPr="00131B9D">
        <w:t>噸。此外，鐵礦石價格疲軟、貿易商冬儲不積極造成鋼廠庫存增加，以及自俄羅斯鋼材的競爭都對平板鋼材價格造成下降壓力。中國大陸經濟持續走弱，內需不足造成中國大陸熱軋鋼捲價格直落，</w:t>
      </w:r>
      <w:r w:rsidRPr="00131B9D">
        <w:t>6</w:t>
      </w:r>
      <w:r w:rsidRPr="00131B9D">
        <w:t>月</w:t>
      </w:r>
      <w:r w:rsidRPr="00131B9D">
        <w:t>12</w:t>
      </w:r>
      <w:r w:rsidRPr="00131B9D">
        <w:t>日每噸報價來到人民幣</w:t>
      </w:r>
      <w:r w:rsidRPr="00131B9D">
        <w:t>2,326</w:t>
      </w:r>
      <w:r w:rsidRPr="00131B9D">
        <w:t>元，累計今年以來跌幅已逾</w:t>
      </w:r>
      <w:r w:rsidRPr="00131B9D">
        <w:t>15%</w:t>
      </w:r>
      <w:r w:rsidRPr="00131B9D">
        <w:t>，惟價格下滑並未抑制產量。</w:t>
      </w:r>
      <w:r w:rsidRPr="00131B9D">
        <w:t>4</w:t>
      </w:r>
      <w:r w:rsidRPr="00131B9D">
        <w:t>月份中國大陸熱軋鋼捲產量約</w:t>
      </w:r>
      <w:r w:rsidRPr="00131B9D">
        <w:t>68</w:t>
      </w:r>
      <w:r w:rsidRPr="00131B9D">
        <w:t>萬噸，月增</w:t>
      </w:r>
      <w:r w:rsidRPr="00131B9D">
        <w:t>2.56%</w:t>
      </w:r>
      <w:r w:rsidRPr="00131B9D">
        <w:t>，年增</w:t>
      </w:r>
      <w:r w:rsidRPr="00131B9D">
        <w:t>33.79%</w:t>
      </w:r>
      <w:r w:rsidRPr="00131B9D">
        <w:t>，</w:t>
      </w:r>
      <w:r w:rsidRPr="00131B9D">
        <w:t>1-4</w:t>
      </w:r>
      <w:r w:rsidRPr="00131B9D">
        <w:t>月累計產出</w:t>
      </w:r>
      <w:r w:rsidRPr="00131B9D">
        <w:t>257</w:t>
      </w:r>
      <w:r w:rsidRPr="00131B9D">
        <w:t>萬噸，較</w:t>
      </w:r>
      <w:r w:rsidRPr="00131B9D">
        <w:t>2014</w:t>
      </w:r>
      <w:r w:rsidRPr="00131B9D">
        <w:t>年同期成長</w:t>
      </w:r>
      <w:r w:rsidRPr="00131B9D">
        <w:t>17.5%</w:t>
      </w:r>
      <w:r w:rsidRPr="00131B9D">
        <w:t>。海外需求疲弱加上俄羅斯低價鋼材的競爭，且歐盟</w:t>
      </w:r>
      <w:r w:rsidRPr="00131B9D">
        <w:t>5</w:t>
      </w:r>
      <w:r w:rsidRPr="00131B9D">
        <w:t>月</w:t>
      </w:r>
      <w:r w:rsidRPr="00131B9D">
        <w:t>14</w:t>
      </w:r>
      <w:r w:rsidRPr="00131B9D">
        <w:t>日展開中國大陸與俄羅斯冷軋鋼捲的反傾銷調查，美國也在</w:t>
      </w:r>
      <w:r w:rsidRPr="00131B9D">
        <w:t>6</w:t>
      </w:r>
      <w:r w:rsidRPr="00131B9D">
        <w:t>月對中國大陸、印度、義大利、韓國和臺灣，針對熱鍍鋅、鋁及熱鍍鋅鋁合金薄板鋼材等，塗鍍有耐腐蝕或耐熱金屬的鋼材進行反傾銷調查，可能對亞洲鋼材價格與出口造成打擊。此外，中國大陸汽車與營建需求雙雙放緩，鋼材庫存堆高，供過於求仍未改善，鋼材價格持續下滑，鋼廠</w:t>
      </w:r>
      <w:r w:rsidRPr="00131B9D">
        <w:t>8</w:t>
      </w:r>
      <w:r w:rsidRPr="00131B9D">
        <w:t>月盤價多數下調，</w:t>
      </w:r>
      <w:r w:rsidRPr="00131B9D">
        <w:t>9</w:t>
      </w:r>
      <w:r w:rsidRPr="00131B9D">
        <w:t>月後華北因閱兵而停產之鋼廠逐漸恢復生產，鋼材需求因季節因素受到壓抑，供需失衡之情形加大，價格呈下跌趨勢。中國大陸透過出口退稅補貼政策，大量出口低價鋼材，同時，東亞鋼廠也加入削價搶單行列，加上</w:t>
      </w:r>
      <w:r w:rsidRPr="00131B9D">
        <w:t>7</w:t>
      </w:r>
      <w:r w:rsidRPr="00131B9D">
        <w:t>月初鐵礦石價格暴跌，以致銷台價格大幅滑落，打壓台灣鋼材價格，中鋼</w:t>
      </w:r>
      <w:r w:rsidRPr="00131B9D">
        <w:t>7</w:t>
      </w:r>
      <w:r w:rsidRPr="00131B9D">
        <w:t>月中旬召開的</w:t>
      </w:r>
      <w:r w:rsidRPr="00131B9D">
        <w:t>9</w:t>
      </w:r>
      <w:r w:rsidRPr="00131B9D">
        <w:t>月內銷鋼品訂價廠盤會議，七大鋼品價格全數重挫，其中熱軋鋼品價格下調</w:t>
      </w:r>
      <w:r w:rsidRPr="00131B9D">
        <w:t>1,140</w:t>
      </w:r>
      <w:r w:rsidRPr="00131B9D">
        <w:t>元</w:t>
      </w:r>
      <w:r w:rsidRPr="00131B9D">
        <w:t>/</w:t>
      </w:r>
      <w:r w:rsidRPr="00131B9D">
        <w:t>噸、冷軋鋼品下調</w:t>
      </w:r>
      <w:r w:rsidRPr="00131B9D">
        <w:t>729</w:t>
      </w:r>
      <w:r w:rsidRPr="00131B9D">
        <w:t>元</w:t>
      </w:r>
      <w:r w:rsidRPr="00131B9D">
        <w:t>/</w:t>
      </w:r>
      <w:r w:rsidRPr="00131B9D">
        <w:t>噸、熱浸鍍鋅鋼捲下調</w:t>
      </w:r>
      <w:r w:rsidRPr="00131B9D">
        <w:t>732</w:t>
      </w:r>
      <w:r w:rsidRPr="00131B9D">
        <w:t>元</w:t>
      </w:r>
      <w:r w:rsidRPr="00131B9D">
        <w:t>/</w:t>
      </w:r>
      <w:r w:rsidRPr="00131B9D">
        <w:t>噸。</w:t>
      </w:r>
      <w:r w:rsidRPr="00131B9D">
        <w:t>8</w:t>
      </w:r>
      <w:r w:rsidRPr="00131B9D">
        <w:t>月新台幣貶值，中國大陸過剩鋼材問題雖仍存在，惟近期減產已帶動部分地區行情反彈，考量目前國際鋼價跌勢趨緩，中鋼</w:t>
      </w:r>
      <w:r w:rsidRPr="00131B9D">
        <w:t>10~11</w:t>
      </w:r>
      <w:r w:rsidRPr="00131B9D">
        <w:t>月各類鋼品內銷價格降幅縮</w:t>
      </w:r>
      <w:r w:rsidRPr="00131B9D">
        <w:lastRenderedPageBreak/>
        <w:t>小，其中熱軋鋼品調降</w:t>
      </w:r>
      <w:r w:rsidRPr="00131B9D">
        <w:t>35</w:t>
      </w:r>
      <w:r w:rsidRPr="00131B9D">
        <w:t>元</w:t>
      </w:r>
      <w:r w:rsidRPr="00131B9D">
        <w:t>/</w:t>
      </w:r>
      <w:r w:rsidRPr="00131B9D">
        <w:t>噸，冷軋鋼品調降</w:t>
      </w:r>
      <w:r w:rsidRPr="00131B9D">
        <w:t>213</w:t>
      </w:r>
      <w:r w:rsidRPr="00131B9D">
        <w:t>元</w:t>
      </w:r>
      <w:r w:rsidRPr="00131B9D">
        <w:t>/</w:t>
      </w:r>
      <w:r w:rsidRPr="00131B9D">
        <w:t>公噸、鍍鋅鋼捲維持平盤。第</w:t>
      </w:r>
      <w:r w:rsidRPr="00131B9D">
        <w:t>4</w:t>
      </w:r>
      <w:r w:rsidRPr="00131B9D">
        <w:t>季，中國大陸因終端需求下滑致低價出口搶單，但遇歐美貿易壁壘，鋼材過剩壓力仍大。中鋼考量在十一長假過後，中國大陸許多鋼廠相繼以平盤開出</w:t>
      </w:r>
      <w:r w:rsidRPr="00131B9D">
        <w:t>11</w:t>
      </w:r>
      <w:r w:rsidRPr="00131B9D">
        <w:t>月盤價，故中鋼</w:t>
      </w:r>
      <w:r w:rsidRPr="00131B9D">
        <w:t>12</w:t>
      </w:r>
      <w:r w:rsidRPr="00131B9D">
        <w:t>月各類鋼價全面維持平盤</w:t>
      </w:r>
      <w:r w:rsidR="00160782" w:rsidRPr="00131B9D">
        <w:t>（如圖</w:t>
      </w:r>
      <w:r w:rsidR="00160782" w:rsidRPr="00131B9D">
        <w:t>3-21</w:t>
      </w:r>
      <w:r w:rsidR="00160782" w:rsidRPr="00131B9D">
        <w:t>、圖</w:t>
      </w:r>
      <w:r w:rsidR="00160782" w:rsidRPr="00131B9D">
        <w:t>3-22</w:t>
      </w:r>
      <w:r w:rsidR="00160782" w:rsidRPr="00131B9D">
        <w:t>及圖</w:t>
      </w:r>
      <w:r w:rsidR="00160782" w:rsidRPr="00131B9D">
        <w:t>3-23</w:t>
      </w:r>
      <w:r w:rsidR="00160782" w:rsidRPr="00131B9D">
        <w:t>）</w:t>
      </w:r>
      <w:r w:rsidRPr="00131B9D">
        <w:t>。</w:t>
      </w:r>
    </w:p>
    <w:p w:rsidR="00F279F7" w:rsidRPr="00131B9D" w:rsidRDefault="00F279F7" w:rsidP="00F279F7">
      <w:pPr>
        <w:pStyle w:val="-"/>
        <w:spacing w:before="72" w:after="72"/>
        <w:ind w:firstLine="560"/>
      </w:pPr>
      <w:r w:rsidRPr="00131B9D">
        <w:rPr>
          <w:kern w:val="0"/>
        </w:rPr>
        <w:t>展望後市，高盛表示，中國大陸舊經濟自從在</w:t>
      </w:r>
      <w:r w:rsidRPr="00131B9D">
        <w:rPr>
          <w:kern w:val="0"/>
        </w:rPr>
        <w:t xml:space="preserve"> 2015 </w:t>
      </w:r>
      <w:r w:rsidRPr="00131B9D">
        <w:rPr>
          <w:kern w:val="0"/>
        </w:rPr>
        <w:t>年第一季崩潰之後，市況就一直沒有顯著改善，其中，家電、汽車的庫存去化速度趨緩，特別讓人憂心，同時中國大陸國內鋼鐵庫存龐大，因此未來平板鋼價恐難有改善。臺灣上市鋼廠表示，中鋼今年第四季二次開盤都以平盤為基調，但盤後行情還是一直跌，開盤失準導致鋼廠成本偏高，內外銷接單量驟減，上下游營運壓力沈重，未來中鋼牌價每公噸有降價</w:t>
      </w:r>
      <w:r w:rsidRPr="00131B9D">
        <w:rPr>
          <w:kern w:val="0"/>
        </w:rPr>
        <w:t>1,000</w:t>
      </w:r>
      <w:r w:rsidRPr="00131B9D">
        <w:rPr>
          <w:kern w:val="0"/>
        </w:rPr>
        <w:t>元至</w:t>
      </w:r>
      <w:r w:rsidRPr="00131B9D">
        <w:rPr>
          <w:kern w:val="0"/>
        </w:rPr>
        <w:t>1,500</w:t>
      </w:r>
      <w:r w:rsidRPr="00131B9D">
        <w:rPr>
          <w:kern w:val="0"/>
        </w:rPr>
        <w:t>元空間。</w:t>
      </w:r>
    </w:p>
    <w:p w:rsidR="00F279F7" w:rsidRPr="00131B9D" w:rsidRDefault="00F279F7" w:rsidP="00F279F7"/>
    <w:p w:rsidR="00F279F7" w:rsidRPr="00131B9D" w:rsidRDefault="00F279F7" w:rsidP="00F279F7">
      <w:pPr>
        <w:pStyle w:val="-"/>
        <w:spacing w:beforeLines="100" w:before="360" w:afterLines="0" w:line="240" w:lineRule="auto"/>
        <w:ind w:firstLineChars="0" w:firstLine="0"/>
        <w:jc w:val="center"/>
        <w:rPr>
          <w:noProof/>
        </w:rPr>
      </w:pPr>
      <w:r w:rsidRPr="00131B9D">
        <w:rPr>
          <w:noProof/>
        </w:rPr>
        <w:drawing>
          <wp:inline distT="0" distB="0" distL="0" distR="0" wp14:anchorId="51A789FD" wp14:editId="23658C46">
            <wp:extent cx="5252400" cy="3189600"/>
            <wp:effectExtent l="19050" t="0" r="24450" b="0"/>
            <wp:docPr id="65" name="圖表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F279F7" w:rsidRPr="00131B9D" w:rsidRDefault="00F279F7" w:rsidP="00F279F7">
      <w:pPr>
        <w:spacing w:after="100" w:afterAutospacing="1" w:line="240" w:lineRule="exact"/>
        <w:rPr>
          <w:rFonts w:eastAsia="標楷體"/>
          <w:kern w:val="0"/>
        </w:rPr>
      </w:pPr>
      <w:r w:rsidRPr="00131B9D">
        <w:rPr>
          <w:rFonts w:eastAsia="標楷體"/>
          <w:kern w:val="0"/>
          <w:sz w:val="20"/>
          <w:szCs w:val="20"/>
        </w:rPr>
        <w:t xml:space="preserve"> </w:t>
      </w:r>
      <w:r w:rsidRPr="00131B9D">
        <w:rPr>
          <w:rFonts w:eastAsia="標楷體"/>
          <w:kern w:val="0"/>
        </w:rPr>
        <w:t>資料來源：情報贏家，</w:t>
      </w:r>
      <w:r w:rsidRPr="00131B9D">
        <w:rPr>
          <w:rFonts w:eastAsia="標楷體"/>
          <w:kern w:val="0"/>
        </w:rPr>
        <w:t>2015</w:t>
      </w:r>
      <w:r w:rsidRPr="00131B9D">
        <w:rPr>
          <w:rFonts w:eastAsia="標楷體"/>
          <w:kern w:val="0"/>
        </w:rPr>
        <w:t>年</w:t>
      </w:r>
      <w:r w:rsidRPr="00131B9D">
        <w:rPr>
          <w:rFonts w:eastAsia="標楷體"/>
          <w:kern w:val="0"/>
        </w:rPr>
        <w:t>11</w:t>
      </w:r>
      <w:r w:rsidRPr="00131B9D">
        <w:rPr>
          <w:rFonts w:eastAsia="標楷體"/>
          <w:kern w:val="0"/>
        </w:rPr>
        <w:t>月</w:t>
      </w:r>
    </w:p>
    <w:p w:rsidR="00F279F7" w:rsidRPr="00131B9D" w:rsidRDefault="00F279F7" w:rsidP="00F279F7">
      <w:pPr>
        <w:pStyle w:val="afff5"/>
        <w:spacing w:line="0" w:lineRule="atLeast"/>
        <w:jc w:val="center"/>
        <w:rPr>
          <w:rFonts w:eastAsia="標楷體"/>
          <w:b/>
          <w:bCs/>
          <w:kern w:val="52"/>
          <w:sz w:val="28"/>
          <w:szCs w:val="28"/>
        </w:rPr>
      </w:pPr>
      <w:bookmarkStart w:id="234" w:name="_Toc438223355"/>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21</w:t>
      </w:r>
      <w:r w:rsidRPr="00131B9D">
        <w:rPr>
          <w:rFonts w:eastAsia="標楷體"/>
          <w:b/>
          <w:bCs/>
          <w:kern w:val="52"/>
          <w:sz w:val="28"/>
          <w:szCs w:val="28"/>
        </w:rPr>
        <w:fldChar w:fldCharType="end"/>
      </w:r>
      <w:r w:rsidRPr="00131B9D">
        <w:rPr>
          <w:rFonts w:eastAsia="標楷體"/>
          <w:b/>
          <w:bCs/>
          <w:kern w:val="52"/>
          <w:sz w:val="28"/>
          <w:szCs w:val="28"/>
        </w:rPr>
        <w:t xml:space="preserve">　熱軋鋼捲近一年價格走勢圖</w:t>
      </w:r>
      <w:bookmarkEnd w:id="234"/>
    </w:p>
    <w:p w:rsidR="003B29E8" w:rsidRPr="00131B9D" w:rsidRDefault="003B29E8" w:rsidP="003B29E8">
      <w:pPr>
        <w:sectPr w:rsidR="003B29E8"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spacing w:line="360" w:lineRule="auto"/>
        <w:jc w:val="center"/>
        <w:rPr>
          <w:noProof/>
        </w:rPr>
      </w:pPr>
      <w:r w:rsidRPr="00131B9D">
        <w:rPr>
          <w:noProof/>
        </w:rPr>
        <w:lastRenderedPageBreak/>
        <w:drawing>
          <wp:inline distT="0" distB="0" distL="0" distR="0" wp14:anchorId="09C31959" wp14:editId="1CB01C7D">
            <wp:extent cx="5252400" cy="3189767"/>
            <wp:effectExtent l="19050" t="0" r="24450" b="0"/>
            <wp:docPr id="72" name="圖表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F279F7" w:rsidRPr="00131B9D" w:rsidRDefault="00F279F7" w:rsidP="00F279F7">
      <w:pPr>
        <w:spacing w:line="240" w:lineRule="exact"/>
        <w:ind w:firstLineChars="71" w:firstLine="170"/>
        <w:rPr>
          <w:rFonts w:eastAsia="標楷體"/>
          <w:kern w:val="0"/>
        </w:rPr>
      </w:pPr>
      <w:r w:rsidRPr="00131B9D">
        <w:rPr>
          <w:rFonts w:eastAsia="標楷體"/>
          <w:kern w:val="0"/>
        </w:rPr>
        <w:t>資料來源：情報贏家，</w:t>
      </w:r>
      <w:r w:rsidRPr="00131B9D">
        <w:rPr>
          <w:rFonts w:eastAsia="標楷體"/>
          <w:kern w:val="0"/>
        </w:rPr>
        <w:t>2015</w:t>
      </w:r>
      <w:r w:rsidRPr="00131B9D">
        <w:rPr>
          <w:rFonts w:eastAsia="標楷體"/>
          <w:kern w:val="0"/>
        </w:rPr>
        <w:t>年</w:t>
      </w:r>
      <w:r w:rsidRPr="00131B9D">
        <w:rPr>
          <w:rFonts w:eastAsia="標楷體"/>
          <w:kern w:val="0"/>
        </w:rPr>
        <w:t>11</w:t>
      </w:r>
      <w:r w:rsidRPr="00131B9D">
        <w:rPr>
          <w:rFonts w:eastAsia="標楷體"/>
          <w:kern w:val="0"/>
        </w:rPr>
        <w:t>月</w:t>
      </w:r>
    </w:p>
    <w:p w:rsidR="00F279F7" w:rsidRPr="00131B9D" w:rsidRDefault="00F279F7" w:rsidP="00F279F7">
      <w:pPr>
        <w:pStyle w:val="afff5"/>
        <w:spacing w:line="0" w:lineRule="atLeast"/>
        <w:jc w:val="center"/>
        <w:rPr>
          <w:rFonts w:eastAsia="標楷體"/>
          <w:b/>
          <w:bCs/>
          <w:kern w:val="52"/>
          <w:sz w:val="28"/>
          <w:szCs w:val="28"/>
        </w:rPr>
      </w:pPr>
      <w:bookmarkStart w:id="235" w:name="_Toc438223356"/>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22</w:t>
      </w:r>
      <w:r w:rsidRPr="00131B9D">
        <w:rPr>
          <w:rFonts w:eastAsia="標楷體"/>
          <w:b/>
          <w:bCs/>
          <w:kern w:val="52"/>
          <w:sz w:val="28"/>
          <w:szCs w:val="28"/>
        </w:rPr>
        <w:fldChar w:fldCharType="end"/>
      </w:r>
      <w:r w:rsidRPr="00131B9D">
        <w:rPr>
          <w:rFonts w:eastAsia="標楷體"/>
          <w:b/>
          <w:bCs/>
          <w:kern w:val="52"/>
          <w:sz w:val="28"/>
          <w:szCs w:val="28"/>
        </w:rPr>
        <w:t xml:space="preserve">　冷軋鋼捲近一年價格走勢圖</w:t>
      </w:r>
      <w:bookmarkEnd w:id="235"/>
    </w:p>
    <w:p w:rsidR="00F279F7" w:rsidRPr="00131B9D" w:rsidRDefault="00F279F7" w:rsidP="00F279F7"/>
    <w:p w:rsidR="00F279F7" w:rsidRPr="00131B9D" w:rsidRDefault="00F279F7" w:rsidP="00F279F7">
      <w:pPr>
        <w:rPr>
          <w:rFonts w:eastAsia="標楷體"/>
          <w:noProof/>
        </w:rPr>
      </w:pPr>
      <w:r w:rsidRPr="00131B9D">
        <w:rPr>
          <w:noProof/>
        </w:rPr>
        <w:drawing>
          <wp:inline distT="0" distB="0" distL="0" distR="0" wp14:anchorId="2B41A0E2" wp14:editId="0FC5BDCB">
            <wp:extent cx="5252400" cy="3189767"/>
            <wp:effectExtent l="19050" t="0" r="24450" b="0"/>
            <wp:docPr id="77" name="圖表 77"/>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F279F7" w:rsidRPr="00131B9D" w:rsidRDefault="00F279F7" w:rsidP="00F279F7">
      <w:pPr>
        <w:spacing w:line="240" w:lineRule="exact"/>
        <w:ind w:firstLineChars="71" w:firstLine="170"/>
        <w:rPr>
          <w:rFonts w:eastAsia="標楷體"/>
          <w:kern w:val="0"/>
        </w:rPr>
      </w:pPr>
      <w:r w:rsidRPr="00131B9D">
        <w:rPr>
          <w:rFonts w:eastAsia="標楷體"/>
          <w:kern w:val="0"/>
        </w:rPr>
        <w:t>資料來源：情報贏家，</w:t>
      </w:r>
      <w:r w:rsidRPr="00131B9D">
        <w:rPr>
          <w:rFonts w:eastAsia="標楷體"/>
          <w:kern w:val="0"/>
        </w:rPr>
        <w:t>2015</w:t>
      </w:r>
      <w:r w:rsidRPr="00131B9D">
        <w:rPr>
          <w:rFonts w:eastAsia="標楷體"/>
          <w:kern w:val="0"/>
        </w:rPr>
        <w:t>年</w:t>
      </w:r>
      <w:r w:rsidRPr="00131B9D">
        <w:rPr>
          <w:rFonts w:eastAsia="標楷體"/>
          <w:kern w:val="0"/>
        </w:rPr>
        <w:t>11</w:t>
      </w:r>
      <w:r w:rsidRPr="00131B9D">
        <w:rPr>
          <w:rFonts w:eastAsia="標楷體"/>
          <w:kern w:val="0"/>
        </w:rPr>
        <w:t>月</w:t>
      </w:r>
    </w:p>
    <w:p w:rsidR="00F279F7" w:rsidRPr="00131B9D" w:rsidRDefault="00F279F7" w:rsidP="00F279F7">
      <w:pPr>
        <w:pStyle w:val="afff5"/>
        <w:spacing w:line="0" w:lineRule="atLeast"/>
        <w:jc w:val="center"/>
        <w:rPr>
          <w:rFonts w:eastAsia="標楷體"/>
          <w:b/>
          <w:bCs/>
          <w:kern w:val="52"/>
          <w:sz w:val="28"/>
          <w:szCs w:val="28"/>
        </w:rPr>
      </w:pPr>
      <w:bookmarkStart w:id="236" w:name="_Toc438223357"/>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23</w:t>
      </w:r>
      <w:r w:rsidRPr="00131B9D">
        <w:rPr>
          <w:rFonts w:eastAsia="標楷體"/>
          <w:b/>
          <w:bCs/>
          <w:kern w:val="52"/>
          <w:sz w:val="28"/>
          <w:szCs w:val="28"/>
        </w:rPr>
        <w:fldChar w:fldCharType="end"/>
      </w:r>
      <w:r w:rsidRPr="00131B9D">
        <w:rPr>
          <w:rFonts w:eastAsia="標楷體"/>
          <w:b/>
          <w:bCs/>
          <w:kern w:val="52"/>
          <w:sz w:val="28"/>
          <w:szCs w:val="28"/>
        </w:rPr>
        <w:t xml:space="preserve">　鍍鋅鋼捲近一年價格走勢圖</w:t>
      </w:r>
      <w:bookmarkEnd w:id="236"/>
    </w:p>
    <w:p w:rsidR="00F279F7" w:rsidRPr="00131B9D" w:rsidRDefault="00F279F7" w:rsidP="00F279F7">
      <w:bookmarkStart w:id="237" w:name="_Toc322706960"/>
      <w:bookmarkEnd w:id="230"/>
      <w:bookmarkEnd w:id="231"/>
      <w:bookmarkEnd w:id="232"/>
      <w:bookmarkEnd w:id="233"/>
    </w:p>
    <w:p w:rsidR="00F279F7" w:rsidRPr="00131B9D" w:rsidRDefault="00F279F7" w:rsidP="00F279F7">
      <w:pPr>
        <w:pStyle w:val="3"/>
        <w:rPr>
          <w:rFonts w:ascii="Times New Roman" w:hAnsi="Times New Roman"/>
        </w:rPr>
      </w:pPr>
      <w:r w:rsidRPr="00131B9D">
        <w:rPr>
          <w:rFonts w:ascii="Times New Roman" w:hAnsi="Times New Roman"/>
        </w:rPr>
        <w:t>（四）長條鋼類（包含鋼筋及型鋼）</w:t>
      </w:r>
      <w:bookmarkEnd w:id="237"/>
    </w:p>
    <w:p w:rsidR="00F279F7" w:rsidRPr="00131B9D" w:rsidRDefault="00F279F7" w:rsidP="00F279F7">
      <w:pPr>
        <w:pStyle w:val="-"/>
        <w:spacing w:before="72" w:after="72"/>
        <w:ind w:firstLine="560"/>
      </w:pPr>
      <w:r w:rsidRPr="00131B9D">
        <w:t>美國方面，</w:t>
      </w:r>
      <w:r w:rsidRPr="00131B9D">
        <w:t>1</w:t>
      </w:r>
      <w:r w:rsidRPr="00131B9D">
        <w:t>月份歐元對美元匯率創</w:t>
      </w:r>
      <w:r w:rsidRPr="00131B9D">
        <w:t>11</w:t>
      </w:r>
      <w:r w:rsidRPr="00131B9D">
        <w:t>年新低，第</w:t>
      </w:r>
      <w:r w:rsidRPr="00131B9D">
        <w:t>1</w:t>
      </w:r>
      <w:r w:rsidRPr="00131B9D">
        <w:t>季受到來自土耳其、日本、秘魯、葡萄牙、臺灣、西班牙等進口鋼材之衝擊與</w:t>
      </w:r>
      <w:r w:rsidRPr="00131B9D">
        <w:lastRenderedPageBreak/>
        <w:t>廢鋼價格下跌造成美國長條鋼材價格連續下跌。直到</w:t>
      </w:r>
      <w:r w:rsidRPr="00131B9D">
        <w:t>3</w:t>
      </w:r>
      <w:r w:rsidRPr="00131B9D">
        <w:t>月中旬，隨著氣溫回暖、建築業鋼筋需求增加，加上</w:t>
      </w:r>
      <w:r w:rsidRPr="00131B9D">
        <w:t>3</w:t>
      </w:r>
      <w:r w:rsidRPr="00131B9D">
        <w:t>月廢鋼價格回穩，因此鋼筋價格止跌。其次，第</w:t>
      </w:r>
      <w:r w:rsidRPr="00131B9D">
        <w:t>2</w:t>
      </w:r>
      <w:r w:rsidRPr="00131B9D">
        <w:t>季初受到廢鋼成本提高使得土耳其鋼廠提高鋼筋價格，至</w:t>
      </w:r>
      <w:r w:rsidRPr="00131B9D">
        <w:t>460-465</w:t>
      </w:r>
      <w:r w:rsidRPr="00131B9D">
        <w:t>美元</w:t>
      </w:r>
      <w:r w:rsidRPr="00131B9D">
        <w:t>/</w:t>
      </w:r>
      <w:r w:rsidRPr="00131B9D">
        <w:t>短噸，但美國買主不願接受提價，因此</w:t>
      </w:r>
      <w:r w:rsidRPr="00131B9D">
        <w:t>4</w:t>
      </w:r>
      <w:r w:rsidRPr="00131B9D">
        <w:t>月中旬美國鋼筋進口價仍維持在</w:t>
      </w:r>
      <w:r w:rsidRPr="00131B9D">
        <w:t>410-420</w:t>
      </w:r>
      <w:r w:rsidRPr="00131B9D">
        <w:t>美元</w:t>
      </w:r>
      <w:r w:rsidRPr="00131B9D">
        <w:t>/</w:t>
      </w:r>
      <w:r w:rsidRPr="00131B9D">
        <w:t>短噸。其後受到美國廢鋼價格上升等影響，多家鋼廠提高</w:t>
      </w:r>
      <w:r w:rsidRPr="00131B9D">
        <w:t>6</w:t>
      </w:r>
      <w:r w:rsidRPr="00131B9D">
        <w:t>月發貨的盤元線材價格，且安米公司關閉位於喬治城的盤元線材廠，也有助於盤元線材價格上升。型鋼則因</w:t>
      </w:r>
      <w:r w:rsidRPr="00131B9D">
        <w:t>5</w:t>
      </w:r>
      <w:r w:rsidRPr="00131B9D">
        <w:t>月需求下滑，鋼廠庫存增加，市場依舊存在</w:t>
      </w:r>
      <w:r w:rsidRPr="00131B9D">
        <w:t>20-30</w:t>
      </w:r>
      <w:r w:rsidRPr="00131B9D">
        <w:t>美元</w:t>
      </w:r>
      <w:r w:rsidRPr="00131B9D">
        <w:t>/</w:t>
      </w:r>
      <w:r w:rsidRPr="00131B9D">
        <w:t>短噸的折扣，而且低價進口資源也繼續衝擊著國內市場，因此提價面臨重重困難。第</w:t>
      </w:r>
      <w:r w:rsidRPr="00131B9D">
        <w:t>3</w:t>
      </w:r>
      <w:r w:rsidRPr="00131B9D">
        <w:t>季美國雖受到土耳其、烏克蘭等國廉價鋼材衝擊，但因農業及機械製造業方面需求支撐，</w:t>
      </w:r>
      <w:r w:rsidRPr="00131B9D">
        <w:t>7</w:t>
      </w:r>
      <w:r w:rsidRPr="00131B9D">
        <w:t>月前半月鋼價格走勢平穩，惟隨著與外國鋼材價格拉大，廢鋼價格下跌等因素，造成</w:t>
      </w:r>
      <w:r w:rsidRPr="00131B9D">
        <w:t>7</w:t>
      </w:r>
      <w:r w:rsidRPr="00131B9D">
        <w:t>月下半至</w:t>
      </w:r>
      <w:r w:rsidRPr="00131B9D">
        <w:t>9</w:t>
      </w:r>
      <w:r w:rsidRPr="00131B9D">
        <w:t>月鋼筋價格下跌。進入第</w:t>
      </w:r>
      <w:r w:rsidRPr="00131B9D">
        <w:t>4</w:t>
      </w:r>
      <w:r w:rsidRPr="00131B9D">
        <w:t>季，</w:t>
      </w:r>
      <w:r w:rsidRPr="00131B9D">
        <w:t>10</w:t>
      </w:r>
      <w:r w:rsidRPr="00131B9D">
        <w:t>月廢鋼價格下降，市場需求未有改善，且年末到港之鋼材有價格優勢，故長條鋼材價格持續下跌。</w:t>
      </w:r>
      <w:r w:rsidRPr="00131B9D">
        <w:t>11</w:t>
      </w:r>
      <w:r w:rsidRPr="00131B9D">
        <w:t>月後因廢鋼價格止跌回升，且土耳其鋼筋價格止跌，而對價格帶來支撐。</w:t>
      </w:r>
    </w:p>
    <w:p w:rsidR="00F279F7" w:rsidRPr="00131B9D" w:rsidRDefault="00F279F7" w:rsidP="00F279F7">
      <w:pPr>
        <w:pStyle w:val="-"/>
        <w:spacing w:before="72" w:after="72"/>
        <w:ind w:firstLine="560"/>
        <w:rPr>
          <w:kern w:val="0"/>
        </w:rPr>
      </w:pPr>
      <w:r w:rsidRPr="00131B9D">
        <w:t>此外，由於鐵礦石價格持續走弱，但中國大陸庫存仍高，鋼鐵業者資金緊俏，資金回收壓力仍大，鋼市在第</w:t>
      </w:r>
      <w:r w:rsidRPr="00131B9D">
        <w:t>1</w:t>
      </w:r>
      <w:r w:rsidRPr="00131B9D">
        <w:t>季大多呈現低迷狀態，臺灣盤商表示，農曆新年長假結束後，鋼筋流通市價從每公噸新台幣</w:t>
      </w:r>
      <w:r w:rsidRPr="00131B9D">
        <w:t>1.41</w:t>
      </w:r>
      <w:r w:rsidRPr="00131B9D">
        <w:t>萬元至</w:t>
      </w:r>
      <w:r w:rsidRPr="00131B9D">
        <w:t>1.43</w:t>
      </w:r>
      <w:r w:rsidRPr="00131B9D">
        <w:t>萬元，再降到</w:t>
      </w:r>
      <w:r w:rsidRPr="00131B9D">
        <w:t>1.4</w:t>
      </w:r>
      <w:r w:rsidRPr="00131B9D">
        <w:t>萬元，期待藉以刺激買氣釋出訂單，由於不少盤商採取先賣再買的放空手法，使價格跌破</w:t>
      </w:r>
      <w:r w:rsidRPr="00131B9D">
        <w:t>1.4</w:t>
      </w:r>
      <w:r w:rsidRPr="00131B9D">
        <w:t>萬元。且在不看好後市的情況下，部分鋼筋廠為求存貨快速脫手，跟進大打低價策略，造成市場惡性循環。受到國際市場需求不振影響，</w:t>
      </w:r>
      <w:r w:rsidRPr="00131B9D">
        <w:t>4</w:t>
      </w:r>
      <w:r w:rsidRPr="00131B9D">
        <w:t>月初中國大陸長條鋼材價格略降，但受到印度政府可能重啟部分陷入停滯的基礎建設專案，造成鋼筋價格出現歷經</w:t>
      </w:r>
      <w:r w:rsidRPr="00131B9D">
        <w:t>6</w:t>
      </w:r>
      <w:r w:rsidRPr="00131B9D">
        <w:t>個月下跌後的首次上漲。</w:t>
      </w:r>
      <w:r w:rsidRPr="00131B9D">
        <w:t>5</w:t>
      </w:r>
      <w:r w:rsidRPr="00131B9D">
        <w:t>月中旬受到原料及國際市場下跌之影響，中國大陸長條鋼材價格再次出現小幅下滑，其中鋼筋出口報價為</w:t>
      </w:r>
      <w:r w:rsidRPr="00131B9D">
        <w:t>350-355</w:t>
      </w:r>
      <w:r w:rsidRPr="00131B9D">
        <w:t>美元</w:t>
      </w:r>
      <w:r w:rsidRPr="00131B9D">
        <w:t>/</w:t>
      </w:r>
      <w:r w:rsidRPr="00131B9D">
        <w:t>噸（</w:t>
      </w:r>
      <w:r w:rsidRPr="00131B9D">
        <w:t>FOB</w:t>
      </w:r>
      <w:r w:rsidRPr="00131B9D">
        <w:t>），含鉻網用線材，出口報價為</w:t>
      </w:r>
      <w:r w:rsidRPr="00131B9D">
        <w:t>350-355</w:t>
      </w:r>
      <w:r w:rsidRPr="00131B9D">
        <w:t>美元</w:t>
      </w:r>
      <w:r w:rsidRPr="00131B9D">
        <w:t>/</w:t>
      </w:r>
      <w:r w:rsidRPr="00131B9D">
        <w:t>噸。</w:t>
      </w:r>
      <w:r w:rsidRPr="00131B9D">
        <w:t>5</w:t>
      </w:r>
      <w:r w:rsidRPr="00131B9D">
        <w:t>月底到</w:t>
      </w:r>
      <w:r w:rsidRPr="00131B9D">
        <w:t>6</w:t>
      </w:r>
      <w:r w:rsidRPr="00131B9D">
        <w:t>月，中國大陸長條</w:t>
      </w:r>
      <w:r w:rsidRPr="00131B9D">
        <w:lastRenderedPageBreak/>
        <w:t>鋼市場因出口市場保持疲軟，且鐵礦石價格下跌造成價格持續下跌。</w:t>
      </w:r>
      <w:r w:rsidRPr="00131B9D">
        <w:rPr>
          <w:kern w:val="0"/>
        </w:rPr>
        <w:t>7</w:t>
      </w:r>
      <w:r w:rsidRPr="00131B9D">
        <w:rPr>
          <w:kern w:val="0"/>
        </w:rPr>
        <w:t>月因月初鐵礦砂價格驟跌，廢鋼價格持續不振，中國大陸鋼胚價格也下滑，同時，房市降溫，建材與工資都暴跌，讓鋼筋價格雪上加霜，截至</w:t>
      </w:r>
      <w:r w:rsidRPr="00131B9D">
        <w:rPr>
          <w:kern w:val="0"/>
        </w:rPr>
        <w:t>7</w:t>
      </w:r>
      <w:r w:rsidRPr="00131B9D">
        <w:rPr>
          <w:kern w:val="0"/>
        </w:rPr>
        <w:t>月底，豐興鋼筋連續</w:t>
      </w:r>
      <w:r w:rsidRPr="00131B9D">
        <w:rPr>
          <w:kern w:val="0"/>
        </w:rPr>
        <w:t>7</w:t>
      </w:r>
      <w:r w:rsidRPr="00131B9D">
        <w:rPr>
          <w:kern w:val="0"/>
        </w:rPr>
        <w:t>次下調盤價，跌破</w:t>
      </w:r>
      <w:r w:rsidRPr="00131B9D">
        <w:rPr>
          <w:kern w:val="0"/>
        </w:rPr>
        <w:t>2009</w:t>
      </w:r>
      <w:r w:rsidRPr="00131B9D">
        <w:rPr>
          <w:kern w:val="0"/>
        </w:rPr>
        <w:t>年金融海嘯時的價位。</w:t>
      </w:r>
      <w:r w:rsidRPr="00131B9D">
        <w:rPr>
          <w:kern w:val="0"/>
        </w:rPr>
        <w:t>8</w:t>
      </w:r>
      <w:r w:rsidRPr="00131B9D">
        <w:rPr>
          <w:kern w:val="0"/>
        </w:rPr>
        <w:t>月鐵礦石及廢鋼價格雙雙回溫，</w:t>
      </w:r>
      <w:r w:rsidRPr="00131B9D">
        <w:rPr>
          <w:kern w:val="0"/>
        </w:rPr>
        <w:t>8</w:t>
      </w:r>
      <w:r w:rsidRPr="00131B9D">
        <w:rPr>
          <w:kern w:val="0"/>
        </w:rPr>
        <w:t>月中旬，中颱蘇迪勒重創電爐大廠豐興部分廠房，造成一條煉鋼產線被迫停產，導致鋼胚供應吃緊，再加上北部部分地區災後重建需求效應浮現，帶動鋼筋價格連兩週反彈，</w:t>
      </w:r>
      <w:r w:rsidRPr="00131B9D">
        <w:rPr>
          <w:kern w:val="0"/>
        </w:rPr>
        <w:t>9</w:t>
      </w:r>
      <w:r w:rsidRPr="00131B9D">
        <w:rPr>
          <w:kern w:val="0"/>
        </w:rPr>
        <w:t>月廢鋼價格跌勢再起，加上中國大陸小鋼胚報價下探新低，至</w:t>
      </w:r>
      <w:r w:rsidRPr="00131B9D">
        <w:rPr>
          <w:kern w:val="0"/>
        </w:rPr>
        <w:t>9</w:t>
      </w:r>
      <w:r w:rsidRPr="00131B9D">
        <w:rPr>
          <w:kern w:val="0"/>
        </w:rPr>
        <w:t>月底豐興建築用鋼跌回</w:t>
      </w:r>
      <w:r w:rsidRPr="00131B9D">
        <w:rPr>
          <w:kern w:val="0"/>
        </w:rPr>
        <w:t>7</w:t>
      </w:r>
      <w:r w:rsidRPr="00131B9D">
        <w:rPr>
          <w:kern w:val="0"/>
        </w:rPr>
        <w:t>月水準，創</w:t>
      </w:r>
      <w:r w:rsidRPr="00131B9D">
        <w:rPr>
          <w:kern w:val="0"/>
        </w:rPr>
        <w:t>7</w:t>
      </w:r>
      <w:r w:rsidRPr="00131B9D">
        <w:rPr>
          <w:kern w:val="0"/>
        </w:rPr>
        <w:t>年新低。進入第</w:t>
      </w:r>
      <w:r w:rsidRPr="00131B9D">
        <w:rPr>
          <w:kern w:val="0"/>
        </w:rPr>
        <w:t>4</w:t>
      </w:r>
      <w:r w:rsidRPr="00131B9D">
        <w:rPr>
          <w:kern w:val="0"/>
        </w:rPr>
        <w:t>季，</w:t>
      </w:r>
      <w:r w:rsidRPr="00131B9D">
        <w:rPr>
          <w:kern w:val="0"/>
        </w:rPr>
        <w:t>10</w:t>
      </w:r>
      <w:r w:rsidRPr="00131B9D">
        <w:rPr>
          <w:kern w:val="0"/>
        </w:rPr>
        <w:t>月受國際廢鋼價則走跌，豐興連續調降鋼筋價格，</w:t>
      </w:r>
      <w:r w:rsidRPr="00131B9D">
        <w:rPr>
          <w:kern w:val="0"/>
        </w:rPr>
        <w:t>10</w:t>
      </w:r>
      <w:r w:rsidRPr="00131B9D">
        <w:rPr>
          <w:kern w:val="0"/>
        </w:rPr>
        <w:t>月上旬合計兩周跌價達</w:t>
      </w:r>
      <w:r w:rsidRPr="00131B9D">
        <w:rPr>
          <w:kern w:val="0"/>
        </w:rPr>
        <w:t>900</w:t>
      </w:r>
      <w:r w:rsidRPr="00131B9D">
        <w:rPr>
          <w:kern w:val="0"/>
        </w:rPr>
        <w:t>元，</w:t>
      </w:r>
      <w:r w:rsidRPr="00131B9D">
        <w:rPr>
          <w:kern w:val="0"/>
        </w:rPr>
        <w:t>10</w:t>
      </w:r>
      <w:r w:rsidRPr="00131B9D">
        <w:rPr>
          <w:kern w:val="0"/>
        </w:rPr>
        <w:t>月中旬後，隨著廢鋼價格反彈，鋼筋價格轉趨平穩，並在</w:t>
      </w:r>
      <w:r w:rsidRPr="00131B9D">
        <w:rPr>
          <w:kern w:val="0"/>
        </w:rPr>
        <w:t>11</w:t>
      </w:r>
      <w:r w:rsidRPr="00131B9D">
        <w:rPr>
          <w:kern w:val="0"/>
        </w:rPr>
        <w:t>月後向上攀升</w:t>
      </w:r>
      <w:r w:rsidR="00160782" w:rsidRPr="00131B9D">
        <w:rPr>
          <w:kern w:val="0"/>
        </w:rPr>
        <w:t>（如</w:t>
      </w:r>
      <w:r w:rsidR="00160782" w:rsidRPr="00131B9D">
        <w:t>圖</w:t>
      </w:r>
      <w:r w:rsidR="00160782" w:rsidRPr="00131B9D">
        <w:t>3-24</w:t>
      </w:r>
      <w:r w:rsidR="00160782" w:rsidRPr="00131B9D">
        <w:rPr>
          <w:kern w:val="0"/>
        </w:rPr>
        <w:t>及</w:t>
      </w:r>
      <w:r w:rsidR="00160782" w:rsidRPr="00131B9D">
        <w:t>圖</w:t>
      </w:r>
      <w:r w:rsidR="00160782" w:rsidRPr="00131B9D">
        <w:t>3-25</w:t>
      </w:r>
      <w:r w:rsidR="00160782" w:rsidRPr="00131B9D">
        <w:rPr>
          <w:kern w:val="0"/>
        </w:rPr>
        <w:t>）</w:t>
      </w:r>
      <w:r w:rsidRPr="00131B9D">
        <w:rPr>
          <w:kern w:val="0"/>
        </w:rPr>
        <w:t>。</w:t>
      </w:r>
    </w:p>
    <w:p w:rsidR="00F279F7" w:rsidRPr="00131B9D" w:rsidRDefault="00F279F7" w:rsidP="00F279F7">
      <w:pPr>
        <w:pStyle w:val="-"/>
        <w:spacing w:before="72" w:after="72"/>
        <w:ind w:firstLine="560"/>
      </w:pPr>
      <w:r w:rsidRPr="00131B9D">
        <w:rPr>
          <w:kern w:val="0"/>
        </w:rPr>
        <w:t>東鋼營業主管分析，國內的房市、公共工程、電子業擴產，統統停滯，導致條鋼需求量低迷，但長條鋼材價格下跌最重要的因素還是中國大陸生產過剩，鋼價未止跌，廠商的庫存虧損不會停止，但鋼價決定不在於原料廢鐵，而是中國大陸的半成品，中國大陸未來鋼價仍然偏空，因此預期長條鋼材價格難有改善。</w:t>
      </w:r>
    </w:p>
    <w:p w:rsidR="00F279F7" w:rsidRPr="00131B9D" w:rsidRDefault="00F279F7" w:rsidP="003B29E8"/>
    <w:p w:rsidR="00F279F7" w:rsidRPr="00131B9D" w:rsidRDefault="00F279F7" w:rsidP="003B29E8">
      <w:pPr>
        <w:spacing w:line="0" w:lineRule="atLeast"/>
        <w:jc w:val="center"/>
        <w:rPr>
          <w:rFonts w:eastAsia="標楷體"/>
        </w:rPr>
      </w:pPr>
      <w:r w:rsidRPr="00131B9D">
        <w:rPr>
          <w:noProof/>
        </w:rPr>
        <w:drawing>
          <wp:inline distT="0" distB="0" distL="0" distR="0" wp14:anchorId="300ED75C" wp14:editId="4468AA41">
            <wp:extent cx="5252085" cy="2781300"/>
            <wp:effectExtent l="0" t="0" r="5715" b="0"/>
            <wp:docPr id="82" name="圖表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F279F7" w:rsidRPr="00131B9D" w:rsidRDefault="00F279F7" w:rsidP="003B29E8">
      <w:pPr>
        <w:spacing w:line="0" w:lineRule="atLeast"/>
        <w:ind w:firstLineChars="100" w:firstLine="200"/>
        <w:jc w:val="both"/>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3B29E8">
      <w:pPr>
        <w:pStyle w:val="afff5"/>
        <w:spacing w:line="0" w:lineRule="atLeast"/>
        <w:jc w:val="center"/>
        <w:rPr>
          <w:rFonts w:eastAsia="標楷體"/>
          <w:b/>
          <w:bCs/>
          <w:kern w:val="52"/>
          <w:sz w:val="28"/>
          <w:szCs w:val="28"/>
        </w:rPr>
      </w:pPr>
      <w:bookmarkStart w:id="238" w:name="_Toc398882657"/>
      <w:bookmarkStart w:id="239" w:name="_Toc438223358"/>
      <w:bookmarkStart w:id="240" w:name="_Toc322706961"/>
      <w:bookmarkStart w:id="241" w:name="_Toc365017349"/>
      <w:bookmarkStart w:id="242" w:name="_Toc373423068"/>
      <w:bookmarkStart w:id="243" w:name="_Toc373682453"/>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24</w:t>
      </w:r>
      <w:r w:rsidRPr="00131B9D">
        <w:rPr>
          <w:rFonts w:eastAsia="標楷體"/>
          <w:b/>
          <w:bCs/>
          <w:kern w:val="52"/>
          <w:sz w:val="28"/>
          <w:szCs w:val="28"/>
        </w:rPr>
        <w:fldChar w:fldCharType="end"/>
      </w:r>
      <w:r w:rsidRPr="00131B9D">
        <w:rPr>
          <w:rFonts w:eastAsia="標楷體"/>
          <w:b/>
          <w:bCs/>
          <w:kern w:val="52"/>
          <w:sz w:val="28"/>
          <w:szCs w:val="28"/>
        </w:rPr>
        <w:t xml:space="preserve">　鋼筋近一年價格走勢圖</w:t>
      </w:r>
      <w:bookmarkEnd w:id="238"/>
      <w:bookmarkEnd w:id="239"/>
    </w:p>
    <w:p w:rsidR="003B29E8" w:rsidRPr="00131B9D" w:rsidRDefault="003B29E8" w:rsidP="003B29E8">
      <w:pPr>
        <w:sectPr w:rsidR="003B29E8" w:rsidRPr="00131B9D" w:rsidSect="00097B8D">
          <w:pgSz w:w="11906" w:h="16838"/>
          <w:pgMar w:top="1440" w:right="1800" w:bottom="1440" w:left="1800" w:header="851" w:footer="992" w:gutter="0"/>
          <w:cols w:space="425"/>
          <w:docGrid w:type="lines" w:linePitch="360"/>
        </w:sectPr>
      </w:pPr>
    </w:p>
    <w:bookmarkEnd w:id="240"/>
    <w:bookmarkEnd w:id="241"/>
    <w:bookmarkEnd w:id="242"/>
    <w:bookmarkEnd w:id="243"/>
    <w:p w:rsidR="00F279F7" w:rsidRPr="00131B9D" w:rsidRDefault="00F279F7" w:rsidP="00F279F7">
      <w:pPr>
        <w:spacing w:beforeLines="100" w:before="360"/>
        <w:jc w:val="center"/>
        <w:rPr>
          <w:rFonts w:eastAsia="標楷體"/>
        </w:rPr>
      </w:pPr>
      <w:r w:rsidRPr="00131B9D">
        <w:rPr>
          <w:noProof/>
        </w:rPr>
        <w:lastRenderedPageBreak/>
        <w:drawing>
          <wp:inline distT="0" distB="0" distL="0" distR="0" wp14:anchorId="7E58648A" wp14:editId="2015F5AD">
            <wp:extent cx="5252400" cy="3189767"/>
            <wp:effectExtent l="19050" t="0" r="24450" b="0"/>
            <wp:docPr id="87" name="圖表 87"/>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F279F7" w:rsidRPr="00131B9D" w:rsidRDefault="00F279F7" w:rsidP="00F279F7">
      <w:pPr>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44" w:name="_Toc398882658"/>
      <w:bookmarkStart w:id="245" w:name="_Toc438223359"/>
      <w:bookmarkStart w:id="246" w:name="_Toc322706962"/>
      <w:bookmarkStart w:id="247" w:name="_Toc365017350"/>
      <w:bookmarkStart w:id="248" w:name="_Toc373423069"/>
      <w:bookmarkStart w:id="249" w:name="_Toc373682454"/>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25</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H</w:t>
      </w:r>
      <w:r w:rsidRPr="00131B9D">
        <w:rPr>
          <w:rFonts w:eastAsia="標楷體"/>
          <w:b/>
          <w:bCs/>
          <w:kern w:val="52"/>
          <w:sz w:val="28"/>
          <w:szCs w:val="28"/>
        </w:rPr>
        <w:t>型鋼近一年價格走勢圖</w:t>
      </w:r>
      <w:bookmarkEnd w:id="244"/>
      <w:bookmarkEnd w:id="245"/>
    </w:p>
    <w:p w:rsidR="00F279F7" w:rsidRPr="00131B9D" w:rsidRDefault="00F279F7" w:rsidP="00F279F7"/>
    <w:p w:rsidR="00F279F7" w:rsidRPr="00131B9D" w:rsidRDefault="00F279F7" w:rsidP="00F279F7">
      <w:pPr>
        <w:pStyle w:val="2"/>
        <w:spacing w:before="108" w:after="108"/>
        <w:rPr>
          <w:rFonts w:ascii="Times New Roman" w:hAnsi="Times New Roman"/>
        </w:rPr>
      </w:pPr>
      <w:bookmarkStart w:id="250" w:name="_Toc439162955"/>
      <w:bookmarkStart w:id="251" w:name="_Toc322706987"/>
      <w:bookmarkStart w:id="252" w:name="_Toc373760886"/>
      <w:bookmarkStart w:id="253" w:name="_Toc373761943"/>
      <w:bookmarkEnd w:id="210"/>
      <w:bookmarkEnd w:id="211"/>
      <w:bookmarkEnd w:id="212"/>
      <w:bookmarkEnd w:id="246"/>
      <w:bookmarkEnd w:id="247"/>
      <w:bookmarkEnd w:id="248"/>
      <w:bookmarkEnd w:id="249"/>
      <w:r w:rsidRPr="00131B9D">
        <w:rPr>
          <w:rFonts w:ascii="Times New Roman" w:hAnsi="Times New Roman"/>
        </w:rPr>
        <w:t>五、石化</w:t>
      </w:r>
      <w:bookmarkEnd w:id="250"/>
    </w:p>
    <w:p w:rsidR="00160782" w:rsidRPr="00131B9D" w:rsidRDefault="00F279F7" w:rsidP="00F279F7">
      <w:pPr>
        <w:pStyle w:val="-"/>
        <w:spacing w:before="72" w:after="72"/>
        <w:ind w:firstLine="560"/>
      </w:pPr>
      <w:bookmarkStart w:id="254" w:name="_Toc322706972"/>
      <w:r w:rsidRPr="00131B9D">
        <w:t>2015</w:t>
      </w:r>
      <w:r w:rsidRPr="00131B9D">
        <w:t>年初，由於美國國內的原油產量大幅增長，</w:t>
      </w:r>
      <w:r w:rsidRPr="00131B9D">
        <w:t xml:space="preserve">OPEC </w:t>
      </w:r>
      <w:r w:rsidRPr="00131B9D">
        <w:t>無意透過產量調節減緩基本面對油價的下降力道，和伊拉克、俄羅斯及墨西哥等地持續增加原油供應，加上全球經濟再度陷入低潮，對用油需求構成明顯壓抑，而歐洲央行寬鬆政策及美元強勢升值，對油價更形不利。但隨著美元走貶與美國頁岩油鑽井數量急遽減少及中東政局動盪等利多因素加持下，</w:t>
      </w:r>
      <w:r w:rsidRPr="00131B9D">
        <w:t>2</w:t>
      </w:r>
      <w:r w:rsidRPr="00131B9D">
        <w:t>、</w:t>
      </w:r>
      <w:r w:rsidRPr="00131B9D">
        <w:t>3</w:t>
      </w:r>
      <w:r w:rsidRPr="00131B9D">
        <w:t>月國際油價開始呈現跌深反彈格局，但因北半球煉油業陸續進入檢修期，油價轉而在</w:t>
      </w:r>
      <w:r w:rsidRPr="00131B9D">
        <w:t>3</w:t>
      </w:r>
      <w:r w:rsidRPr="00131B9D">
        <w:t>月向下修正。邁入第</w:t>
      </w:r>
      <w:r w:rsidRPr="00131B9D">
        <w:t>2</w:t>
      </w:r>
      <w:r w:rsidRPr="00131B9D">
        <w:t>季後，因美國呈現鑽油平台數目持續減少、夏季用油增加、原油庫存下降的情勢，和歐洲、美國與東北亞地區煉油廠完成歲修作業恢復運轉，加上葉門局勢惡化與地緣動亂等因素，和中國大陸配合戰備儲油建置帶動原油進口需求暢旺，使布蘭特原油價格有所提振；但油價仍存在供過於求的基本面因素，如美國原油產量續創新高、</w:t>
      </w:r>
      <w:r w:rsidRPr="00131B9D">
        <w:t>OPEC 1-6</w:t>
      </w:r>
      <w:r w:rsidRPr="00131B9D">
        <w:t>月產量皆超過</w:t>
      </w:r>
      <w:r w:rsidRPr="00131B9D">
        <w:t>3,000</w:t>
      </w:r>
      <w:r w:rsidRPr="00131B9D">
        <w:t>萬桶</w:t>
      </w:r>
      <w:r w:rsidRPr="00131B9D">
        <w:t>/</w:t>
      </w:r>
      <w:r w:rsidRPr="00131B9D">
        <w:t>日之配額，且產油量持續增加，</w:t>
      </w:r>
      <w:r w:rsidRPr="00131B9D">
        <w:t>6</w:t>
      </w:r>
      <w:r w:rsidRPr="00131B9D">
        <w:t>月原油</w:t>
      </w:r>
      <w:r w:rsidRPr="00131B9D">
        <w:t>OPEC</w:t>
      </w:r>
      <w:r w:rsidRPr="00131B9D">
        <w:t>產量達創近三年新高，其中，沙烏地阿拉伯油產更於</w:t>
      </w:r>
      <w:r w:rsidRPr="00131B9D">
        <w:t>5</w:t>
      </w:r>
      <w:r w:rsidRPr="00131B9D">
        <w:t>、</w:t>
      </w:r>
      <w:r w:rsidRPr="00131B9D">
        <w:t>6</w:t>
      </w:r>
      <w:r w:rsidRPr="00131B9D">
        <w:t>兩</w:t>
      </w:r>
      <w:r w:rsidRPr="00131B9D">
        <w:lastRenderedPageBreak/>
        <w:t>月連續創新高，並在</w:t>
      </w:r>
      <w:r w:rsidRPr="00131B9D">
        <w:t>OPEC</w:t>
      </w:r>
      <w:r w:rsidRPr="00131B9D">
        <w:t>例會中維持產量不變決議。</w:t>
      </w:r>
      <w:r w:rsidRPr="00131B9D">
        <w:t>7</w:t>
      </w:r>
      <w:r w:rsidRPr="00131B9D">
        <w:t>月初因希臘財政危機加劇，使得油價重挫，並刺激美元走強，而壓低油價，且伊拉克及沙烏地阿拉伯持續增產，加上伊朗在</w:t>
      </w:r>
      <w:r w:rsidRPr="00131B9D">
        <w:t>7</w:t>
      </w:r>
      <w:r w:rsidRPr="00131B9D">
        <w:t>月中旬與六國達成核武協議，未來解除制裁後原油出口恐大增，同時中國大陸的經濟</w:t>
      </w:r>
      <w:r w:rsidR="00BA424F" w:rsidRPr="00131B9D">
        <w:t>增加速度</w:t>
      </w:r>
      <w:r w:rsidRPr="00131B9D">
        <w:t>減緩使市場看壞需求前景，在供需皆不利的情況下拖累油市轉趨悲觀，油價重回跌勢，連帶牽動布蘭特原油價格失守每桶</w:t>
      </w:r>
      <w:r w:rsidRPr="00131B9D">
        <w:t>60</w:t>
      </w:r>
      <w:r w:rsidRPr="00131B9D">
        <w:t>美元關卡。此外，中國大陸繼月初股市暴跌，</w:t>
      </w:r>
      <w:r w:rsidRPr="00131B9D">
        <w:t>7</w:t>
      </w:r>
      <w:r w:rsidRPr="00131B9D">
        <w:t>月底中國大陸公布之</w:t>
      </w:r>
      <w:r w:rsidRPr="00131B9D">
        <w:t>PMI</w:t>
      </w:r>
      <w:r w:rsidRPr="00131B9D">
        <w:t>指數創</w:t>
      </w:r>
      <w:r w:rsidRPr="00131B9D">
        <w:t>15</w:t>
      </w:r>
      <w:r w:rsidRPr="00131B9D">
        <w:t>個月新低，更加深對其經濟放緩之憂慮而使油市更趨悲觀。</w:t>
      </w:r>
      <w:r w:rsidRPr="00131B9D">
        <w:t>8</w:t>
      </w:r>
      <w:r w:rsidRPr="00131B9D">
        <w:t>月後原油夏季需求越過高峰開始轉弱，雖一度因中國大陸原油進口量創新高使布蘭特原油漲回</w:t>
      </w:r>
      <w:r w:rsidRPr="00131B9D">
        <w:t>50</w:t>
      </w:r>
      <w:r w:rsidRPr="00131B9D">
        <w:t>美元</w:t>
      </w:r>
      <w:r w:rsidRPr="00131B9D">
        <w:t>/</w:t>
      </w:r>
      <w:r w:rsidRPr="00131B9D">
        <w:t>桶大關，然</w:t>
      </w:r>
      <w:r w:rsidRPr="00131B9D">
        <w:t>8</w:t>
      </w:r>
      <w:r w:rsidRPr="00131B9D">
        <w:t>月</w:t>
      </w:r>
      <w:r w:rsidRPr="00131B9D">
        <w:t>OPEC</w:t>
      </w:r>
      <w:r w:rsidRPr="00131B9D">
        <w:t>月報顯示該組織</w:t>
      </w:r>
      <w:r w:rsidRPr="00131B9D">
        <w:t>7</w:t>
      </w:r>
      <w:r w:rsidRPr="00131B9D">
        <w:t>月油產創</w:t>
      </w:r>
      <w:r w:rsidRPr="00131B9D">
        <w:t>3</w:t>
      </w:r>
      <w:r w:rsidRPr="00131B9D">
        <w:t>年新高，同時美國鑽油平台數目持續上升，皆對國際油價帶來沈重走跌壓力。</w:t>
      </w:r>
      <w:r w:rsidRPr="00131B9D">
        <w:t>8</w:t>
      </w:r>
      <w:r w:rsidRPr="00131B9D">
        <w:t>月下旬中國大陸股市再度暴跌，連帶引起全球股市震盪，日本經濟表現也未如預期，拖累西德州原油期貨價跌破</w:t>
      </w:r>
      <w:r w:rsidRPr="00131B9D">
        <w:t>40</w:t>
      </w:r>
      <w:r w:rsidRPr="00131B9D">
        <w:t>美元</w:t>
      </w:r>
      <w:r w:rsidRPr="00131B9D">
        <w:t>/</w:t>
      </w:r>
      <w:r w:rsidRPr="00131B9D">
        <w:t>桶關卡，隨後因美國上修</w:t>
      </w:r>
      <w:r w:rsidRPr="00131B9D">
        <w:t>GDP</w:t>
      </w:r>
      <w:r w:rsidRPr="00131B9D">
        <w:t>成長率、</w:t>
      </w:r>
      <w:r w:rsidRPr="00131B9D">
        <w:t>EIA</w:t>
      </w:r>
      <w:r w:rsidRPr="00131B9D">
        <w:t>下調美國原油產量，加上市場傳言</w:t>
      </w:r>
      <w:r w:rsidRPr="00131B9D">
        <w:t>OPEC</w:t>
      </w:r>
      <w:r w:rsidRPr="00131B9D">
        <w:t>或考慮減產，使布蘭特原油期貨價連三天大漲，上漲幅度達</w:t>
      </w:r>
      <w:r w:rsidRPr="00131B9D">
        <w:t>25.5%</w:t>
      </w:r>
      <w:r w:rsidRPr="00131B9D">
        <w:t>，創下</w:t>
      </w:r>
      <w:r w:rsidRPr="00131B9D">
        <w:t>1990</w:t>
      </w:r>
      <w:r w:rsidRPr="00131B9D">
        <w:t>年伊拉克入侵科威特以來最高三日漲幅。惟其後又因美國股市下跌、中國大陸下修</w:t>
      </w:r>
      <w:r w:rsidRPr="00131B9D">
        <w:t>2014</w:t>
      </w:r>
      <w:r w:rsidRPr="00131B9D">
        <w:t>年經濟成長率造成油價重挫。</w:t>
      </w:r>
      <w:r w:rsidRPr="00131B9D">
        <w:t>9</w:t>
      </w:r>
      <w:r w:rsidRPr="00131B9D">
        <w:t>月油價利空交錯，其中美國鑽油平台數量自</w:t>
      </w:r>
      <w:r w:rsidRPr="00131B9D">
        <w:t>9</w:t>
      </w:r>
      <w:r w:rsidRPr="00131B9D">
        <w:t>月初開始連續下跌有助於支撐油價；</w:t>
      </w:r>
      <w:r w:rsidRPr="00131B9D">
        <w:t>IMF</w:t>
      </w:r>
      <w:r w:rsidRPr="00131B9D">
        <w:t>下調今年及明年全球經濟成長與</w:t>
      </w:r>
      <w:r w:rsidRPr="00131B9D">
        <w:t>9</w:t>
      </w:r>
      <w:r w:rsidRPr="00131B9D">
        <w:t>月底中國大陸</w:t>
      </w:r>
      <w:r w:rsidRPr="00131B9D">
        <w:t>PMI</w:t>
      </w:r>
      <w:r w:rsidRPr="00131B9D">
        <w:t>指數創</w:t>
      </w:r>
      <w:r w:rsidRPr="00131B9D">
        <w:t>6</w:t>
      </w:r>
      <w:r w:rsidRPr="00131B9D">
        <w:t>年新低則對油價形成壓力，布蘭特原油價格大約在</w:t>
      </w:r>
      <w:r w:rsidRPr="00131B9D">
        <w:t>45-50</w:t>
      </w:r>
      <w:r w:rsidRPr="00131B9D">
        <w:t>美元間震盪。進入第</w:t>
      </w:r>
      <w:r w:rsidRPr="00131B9D">
        <w:t>4</w:t>
      </w:r>
      <w:r w:rsidRPr="00131B9D">
        <w:t>季，</w:t>
      </w:r>
      <w:r w:rsidRPr="00131B9D">
        <w:t>10</w:t>
      </w:r>
      <w:r w:rsidRPr="00131B9D">
        <w:t>月初因俄羅斯空襲敘利亞，</w:t>
      </w:r>
      <w:r w:rsidRPr="00131B9D">
        <w:t>OPEC</w:t>
      </w:r>
      <w:r w:rsidRPr="00131B9D">
        <w:t>秘書長表示</w:t>
      </w:r>
      <w:r w:rsidRPr="00131B9D">
        <w:t>OPEC</w:t>
      </w:r>
      <w:r w:rsidRPr="00131B9D">
        <w:t>組織預計降低全球原油設備投資，而抬升油價，惟隨後</w:t>
      </w:r>
      <w:r w:rsidRPr="00131B9D">
        <w:t>OPEC</w:t>
      </w:r>
      <w:r w:rsidRPr="00131B9D">
        <w:t>月報顯示，其</w:t>
      </w:r>
      <w:r w:rsidRPr="00131B9D">
        <w:t>9</w:t>
      </w:r>
      <w:r w:rsidRPr="00131B9D">
        <w:t>月油產創</w:t>
      </w:r>
      <w:r w:rsidRPr="00131B9D">
        <w:t>3</w:t>
      </w:r>
      <w:r w:rsidRPr="00131B9D">
        <w:t>年新高；俄羅斯</w:t>
      </w:r>
      <w:r w:rsidRPr="00131B9D">
        <w:t>11</w:t>
      </w:r>
      <w:r w:rsidRPr="00131B9D">
        <w:t>月發布之報告顯示該國</w:t>
      </w:r>
      <w:r w:rsidRPr="00131B9D">
        <w:t>10</w:t>
      </w:r>
      <w:r w:rsidRPr="00131B9D">
        <w:t>月油產量創歷史新高；美國方面也因煉油廠季度維修，使其原油庫存逼近歷史新高，且美國</w:t>
      </w:r>
      <w:r w:rsidRPr="00131B9D">
        <w:t>10</w:t>
      </w:r>
      <w:r w:rsidRPr="00131B9D">
        <w:t>月份非農就業情況好於預期，加深</w:t>
      </w:r>
      <w:r w:rsidRPr="00131B9D">
        <w:t>FED</w:t>
      </w:r>
      <w:r w:rsidRPr="00131B9D">
        <w:t>於</w:t>
      </w:r>
      <w:r w:rsidRPr="00131B9D">
        <w:t>12</w:t>
      </w:r>
      <w:r w:rsidRPr="00131B9D">
        <w:t>月升息之可能性，造成原油價格回落。</w:t>
      </w:r>
      <w:r w:rsidRPr="00131B9D">
        <w:t>11</w:t>
      </w:r>
      <w:r w:rsidRPr="00131B9D">
        <w:t>月初，巴西鑽油平台工人罷工、利比亞出口港封閉以及德州豪雨致使輸油管線停輸等因素，造成油價上漲，惟中國大陸經濟持續疲軟，美國原油庫存不斷提高，沙烏地阿拉伯不斷宣示不減產之石</w:t>
      </w:r>
      <w:r w:rsidRPr="00131B9D">
        <w:lastRenderedPageBreak/>
        <w:t>油政策，伊朗也準備在解除制裁後大量出口原油，造成油價持續下跌</w:t>
      </w:r>
      <w:r w:rsidR="00160782" w:rsidRPr="00131B9D">
        <w:t>（如圖</w:t>
      </w:r>
      <w:r w:rsidR="00160782" w:rsidRPr="00131B9D">
        <w:t>3-26</w:t>
      </w:r>
      <w:r w:rsidR="00160782" w:rsidRPr="00131B9D">
        <w:t>）</w:t>
      </w:r>
      <w:r w:rsidRPr="00131B9D">
        <w:t>。</w:t>
      </w:r>
    </w:p>
    <w:p w:rsidR="00F279F7" w:rsidRPr="00131B9D" w:rsidRDefault="00377B4E" w:rsidP="00F279F7">
      <w:pPr>
        <w:pStyle w:val="-"/>
        <w:spacing w:before="72" w:after="72"/>
        <w:ind w:firstLine="560"/>
      </w:pPr>
      <w:r w:rsidRPr="00131B9D">
        <w:t>展望</w:t>
      </w:r>
      <w:r w:rsidRPr="00131B9D">
        <w:t>2016</w:t>
      </w:r>
      <w:r w:rsidRPr="00131B9D">
        <w:t>年，原油需求面持續疲弱，中國大陸經濟持續疲緩，且有鑑於新興市場經濟成長表現不佳，</w:t>
      </w:r>
      <w:r w:rsidRPr="00131B9D">
        <w:t>IMF</w:t>
      </w:r>
      <w:r w:rsidRPr="00131B9D">
        <w:t>與</w:t>
      </w:r>
      <w:r w:rsidRPr="00131B9D">
        <w:t>OECD</w:t>
      </w:r>
      <w:r w:rsidRPr="00131B9D">
        <w:t>皆下修</w:t>
      </w:r>
      <w:r w:rsidRPr="00131B9D">
        <w:t>2016</w:t>
      </w:r>
      <w:r w:rsidRPr="00131B9D">
        <w:t>年經濟成長率；供給方面，沙烏地阿拉伯仍表達不減產之決心，</w:t>
      </w:r>
      <w:r w:rsidR="00BB2F1F" w:rsidRPr="00131B9D">
        <w:t>且</w:t>
      </w:r>
      <w:r w:rsidR="00BB2F1F" w:rsidRPr="00131B9D">
        <w:t>12</w:t>
      </w:r>
      <w:r w:rsidR="00BB2F1F" w:rsidRPr="00131B9D">
        <w:t>月</w:t>
      </w:r>
      <w:r w:rsidR="00BB2F1F" w:rsidRPr="00131B9D">
        <w:t>OPEC</w:t>
      </w:r>
      <w:r w:rsidR="00BB2F1F" w:rsidRPr="00131B9D">
        <w:t>召開之會議未制定原油產量配額，</w:t>
      </w:r>
      <w:r w:rsidRPr="00131B9D">
        <w:t>同時伊朗與六國已達成核武決議，正逐漸解除制裁，將大量出口原油，因此預期未來油價將持續承壓，惟持續的低油價將對美國頁岩油生產造成壓力，</w:t>
      </w:r>
      <w:r w:rsidRPr="00131B9D">
        <w:t>EIA</w:t>
      </w:r>
      <w:r w:rsidRPr="00131B9D">
        <w:t>預估美國</w:t>
      </w:r>
      <w:r w:rsidRPr="00131B9D">
        <w:t>2016</w:t>
      </w:r>
      <w:r w:rsidRPr="00131B9D">
        <w:t>年原油產量將下滑</w:t>
      </w:r>
      <w:r w:rsidRPr="00131B9D">
        <w:t>5%</w:t>
      </w:r>
      <w:r w:rsidRPr="00131B9D">
        <w:t>至</w:t>
      </w:r>
      <w:r w:rsidRPr="00131B9D">
        <w:t>877</w:t>
      </w:r>
      <w:r w:rsidRPr="00131B9D">
        <w:t>萬桶</w:t>
      </w:r>
      <w:r w:rsidRPr="00131B9D">
        <w:t>/</w:t>
      </w:r>
      <w:r w:rsidRPr="00131B9D">
        <w:t>日，有利於避免油價崩跌。</w:t>
      </w:r>
    </w:p>
    <w:p w:rsidR="00F279F7" w:rsidRPr="00131B9D" w:rsidRDefault="00F279F7" w:rsidP="003B29E8"/>
    <w:p w:rsidR="00F279F7" w:rsidRPr="00131B9D" w:rsidRDefault="00F279F7" w:rsidP="00F279F7">
      <w:pPr>
        <w:spacing w:beforeLines="100" w:before="360"/>
        <w:jc w:val="center"/>
        <w:rPr>
          <w:rFonts w:eastAsia="標楷體"/>
          <w:noProof/>
        </w:rPr>
      </w:pPr>
      <w:r w:rsidRPr="00131B9D">
        <w:rPr>
          <w:noProof/>
        </w:rPr>
        <w:drawing>
          <wp:inline distT="0" distB="0" distL="0" distR="0" wp14:anchorId="057EA4ED" wp14:editId="6689B89D">
            <wp:extent cx="5274310" cy="4284345"/>
            <wp:effectExtent l="0" t="0" r="21590" b="20955"/>
            <wp:docPr id="92" name="圖表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55" w:name="_Toc398882659"/>
      <w:bookmarkStart w:id="256" w:name="_Toc438223360"/>
      <w:bookmarkStart w:id="257" w:name="_Toc365017351"/>
      <w:bookmarkStart w:id="258" w:name="_Toc322706964"/>
      <w:bookmarkStart w:id="259" w:name="_Toc373423070"/>
      <w:bookmarkStart w:id="260" w:name="_Toc373682455"/>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26</w:t>
      </w:r>
      <w:r w:rsidRPr="00131B9D">
        <w:rPr>
          <w:rFonts w:eastAsia="標楷體"/>
          <w:b/>
          <w:bCs/>
          <w:kern w:val="52"/>
          <w:sz w:val="28"/>
          <w:szCs w:val="28"/>
        </w:rPr>
        <w:fldChar w:fldCharType="end"/>
      </w:r>
      <w:r w:rsidRPr="00131B9D">
        <w:rPr>
          <w:rFonts w:eastAsia="標楷體"/>
          <w:b/>
          <w:bCs/>
          <w:kern w:val="52"/>
          <w:sz w:val="28"/>
          <w:szCs w:val="28"/>
        </w:rPr>
        <w:t xml:space="preserve">　近一年國際原油價格趨勢</w:t>
      </w:r>
      <w:bookmarkEnd w:id="255"/>
      <w:bookmarkEnd w:id="256"/>
    </w:p>
    <w:p w:rsidR="00F279F7" w:rsidRPr="00131B9D" w:rsidRDefault="00F279F7" w:rsidP="00F279F7"/>
    <w:p w:rsidR="00F279F7" w:rsidRPr="00131B9D" w:rsidRDefault="00F279F7" w:rsidP="00F279F7">
      <w:r w:rsidRPr="00131B9D">
        <w:rPr>
          <w:noProof/>
        </w:rPr>
        <w:lastRenderedPageBreak/>
        <w:drawing>
          <wp:inline distT="0" distB="0" distL="0" distR="0" wp14:anchorId="4C7C58CB" wp14:editId="596743F4">
            <wp:extent cx="5274310" cy="3660140"/>
            <wp:effectExtent l="19050" t="19050" r="21590" b="16510"/>
            <wp:docPr id="10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9"/>
                    <a:srcRect/>
                    <a:stretch>
                      <a:fillRect/>
                    </a:stretch>
                  </pic:blipFill>
                  <pic:spPr bwMode="auto">
                    <a:xfrm>
                      <a:off x="0" y="0"/>
                      <a:ext cx="5274310" cy="3660140"/>
                    </a:xfrm>
                    <a:prstGeom prst="rect">
                      <a:avLst/>
                    </a:prstGeom>
                    <a:noFill/>
                    <a:ln w="6350" cmpd="sng">
                      <a:solidFill>
                        <a:srgbClr val="000000"/>
                      </a:solidFill>
                      <a:miter lim="800000"/>
                      <a:headEnd/>
                      <a:tailEnd/>
                    </a:ln>
                    <a:effectLst/>
                  </pic:spPr>
                </pic:pic>
              </a:graphicData>
            </a:graphic>
          </wp:inline>
        </w:drawing>
      </w:r>
    </w:p>
    <w:p w:rsidR="00F279F7" w:rsidRPr="00131B9D" w:rsidRDefault="00F279F7" w:rsidP="00F279F7">
      <w:pPr>
        <w:adjustRightInd w:val="0"/>
        <w:snapToGrid w:val="0"/>
        <w:rPr>
          <w:rFonts w:eastAsia="標楷體"/>
          <w:kern w:val="0"/>
        </w:rPr>
      </w:pPr>
      <w:r w:rsidRPr="00131B9D">
        <w:rPr>
          <w:rFonts w:eastAsia="標楷體"/>
          <w:kern w:val="0"/>
        </w:rPr>
        <w:t>資料來源：本研究整理。</w:t>
      </w:r>
    </w:p>
    <w:p w:rsidR="00F279F7" w:rsidRPr="00131B9D" w:rsidRDefault="00F279F7" w:rsidP="00F279F7">
      <w:pPr>
        <w:pStyle w:val="afff5"/>
        <w:spacing w:line="0" w:lineRule="atLeast"/>
        <w:jc w:val="center"/>
        <w:rPr>
          <w:rFonts w:eastAsia="標楷體"/>
          <w:b/>
          <w:bCs/>
          <w:kern w:val="52"/>
          <w:sz w:val="28"/>
          <w:szCs w:val="28"/>
        </w:rPr>
      </w:pPr>
      <w:bookmarkStart w:id="261" w:name="_Toc438223361"/>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27</w:t>
      </w:r>
      <w:r w:rsidRPr="00131B9D">
        <w:rPr>
          <w:rFonts w:eastAsia="標楷體"/>
          <w:b/>
          <w:bCs/>
          <w:kern w:val="52"/>
          <w:sz w:val="28"/>
          <w:szCs w:val="28"/>
        </w:rPr>
        <w:fldChar w:fldCharType="end"/>
      </w:r>
      <w:r w:rsidRPr="00131B9D">
        <w:rPr>
          <w:rFonts w:eastAsia="標楷體"/>
          <w:b/>
          <w:bCs/>
          <w:kern w:val="52"/>
          <w:sz w:val="28"/>
          <w:szCs w:val="28"/>
        </w:rPr>
        <w:t xml:space="preserve">　石化產業關聯圖</w:t>
      </w:r>
      <w:bookmarkEnd w:id="261"/>
    </w:p>
    <w:p w:rsidR="00F279F7" w:rsidRPr="00131B9D" w:rsidRDefault="00F279F7" w:rsidP="00F279F7"/>
    <w:p w:rsidR="00F279F7" w:rsidRPr="00131B9D" w:rsidRDefault="00F279F7" w:rsidP="00F279F7">
      <w:pPr>
        <w:pStyle w:val="3"/>
        <w:rPr>
          <w:rFonts w:ascii="Times New Roman" w:hAnsi="Times New Roman"/>
        </w:rPr>
      </w:pPr>
      <w:bookmarkStart w:id="262" w:name="_Toc322706966"/>
      <w:bookmarkEnd w:id="257"/>
      <w:bookmarkEnd w:id="258"/>
      <w:bookmarkEnd w:id="259"/>
      <w:bookmarkEnd w:id="260"/>
      <w:r w:rsidRPr="00131B9D">
        <w:rPr>
          <w:rFonts w:ascii="Times New Roman" w:hAnsi="Times New Roman"/>
        </w:rPr>
        <w:t>（一）乙烯</w:t>
      </w:r>
      <w:bookmarkEnd w:id="262"/>
    </w:p>
    <w:p w:rsidR="00F279F7" w:rsidRPr="00131B9D" w:rsidRDefault="00F279F7" w:rsidP="00F279F7">
      <w:pPr>
        <w:pStyle w:val="-"/>
        <w:spacing w:before="72" w:after="72"/>
        <w:ind w:firstLine="560"/>
      </w:pPr>
      <w:r w:rsidRPr="00131B9D">
        <w:t>石化上游原料石油腦價格快速走揚，由</w:t>
      </w:r>
      <w:r w:rsidRPr="00131B9D">
        <w:t>1</w:t>
      </w:r>
      <w:r w:rsidRPr="00131B9D">
        <w:t>月底的</w:t>
      </w:r>
      <w:r w:rsidRPr="00131B9D">
        <w:t>434</w:t>
      </w:r>
      <w:r w:rsidRPr="00131B9D">
        <w:t>美元</w:t>
      </w:r>
      <w:r w:rsidRPr="00131B9D">
        <w:t>/</w:t>
      </w:r>
      <w:r w:rsidRPr="00131B9D">
        <w:t>公噸，上揚至</w:t>
      </w:r>
      <w:r w:rsidRPr="00131B9D">
        <w:t>2</w:t>
      </w:r>
      <w:r w:rsidRPr="00131B9D">
        <w:t>月的</w:t>
      </w:r>
      <w:r w:rsidRPr="00131B9D">
        <w:t>544</w:t>
      </w:r>
      <w:r w:rsidRPr="00131B9D">
        <w:t>美元</w:t>
      </w:r>
      <w:r w:rsidRPr="00131B9D">
        <w:t>/</w:t>
      </w:r>
      <w:r w:rsidRPr="00131B9D">
        <w:t>公噸，漲幅高達</w:t>
      </w:r>
      <w:r w:rsidRPr="00131B9D">
        <w:t>25%</w:t>
      </w:r>
      <w:r w:rsidRPr="00131B9D">
        <w:t>。其次，輕裂廠所產出的基本原料價格普遍走高，乙烯現貨由</w:t>
      </w:r>
      <w:r w:rsidRPr="00131B9D">
        <w:t>870</w:t>
      </w:r>
      <w:r w:rsidRPr="00131B9D">
        <w:t>美元</w:t>
      </w:r>
      <w:r w:rsidRPr="00131B9D">
        <w:t>/</w:t>
      </w:r>
      <w:r w:rsidRPr="00131B9D">
        <w:t>噸漲至</w:t>
      </w:r>
      <w:r w:rsidRPr="00131B9D">
        <w:t>950</w:t>
      </w:r>
      <w:r w:rsidRPr="00131B9D">
        <w:t>美元</w:t>
      </w:r>
      <w:r w:rsidRPr="00131B9D">
        <w:t>/</w:t>
      </w:r>
      <w:r w:rsidRPr="00131B9D">
        <w:t>噸，漲幅</w:t>
      </w:r>
      <w:r w:rsidRPr="00131B9D">
        <w:t>9%</w:t>
      </w:r>
      <w:r w:rsidRPr="00131B9D">
        <w:t>。第</w:t>
      </w:r>
      <w:r w:rsidRPr="00131B9D">
        <w:t>2</w:t>
      </w:r>
      <w:r w:rsidRPr="00131B9D">
        <w:t>季進入亞洲輕裂廠歲修旺季，中國大陸、南韓、台灣、日本、新加坡等國家皆有輕裂廠停工歲修，在供應緊縮之情況下，乙烯價格隨之上揚，按各輕裂廠停工時程來看，雖然</w:t>
      </w:r>
      <w:r w:rsidRPr="00131B9D">
        <w:t>4</w:t>
      </w:r>
      <w:r w:rsidRPr="00131B9D">
        <w:t>月歲修廠陸續復工，但接續有業者加入停供，讓原料供應持續緊縮。整體而言，第</w:t>
      </w:r>
      <w:r w:rsidRPr="00131B9D">
        <w:t>2</w:t>
      </w:r>
      <w:r w:rsidRPr="00131B9D">
        <w:t>季乙烯遠東區</w:t>
      </w:r>
      <w:r w:rsidRPr="00131B9D">
        <w:t>CFR</w:t>
      </w:r>
      <w:r w:rsidRPr="00131B9D">
        <w:t>價格大約維持在</w:t>
      </w:r>
      <w:r w:rsidRPr="00131B9D">
        <w:t>1400</w:t>
      </w:r>
      <w:r w:rsidRPr="00131B9D">
        <w:t>美元</w:t>
      </w:r>
      <w:r w:rsidRPr="00131B9D">
        <w:t>/</w:t>
      </w:r>
      <w:r w:rsidRPr="00131B9D">
        <w:t>噸。同時，美國因頁岩油開發成功之故，以頁岩氣產出乙烷當作進料的乙烯成本低廉，每公噸不到</w:t>
      </w:r>
      <w:r w:rsidRPr="00131B9D">
        <w:t>800</w:t>
      </w:r>
      <w:r w:rsidRPr="00131B9D">
        <w:t>美元，美、亞兩地乙烯價差高達每公噸</w:t>
      </w:r>
      <w:r w:rsidRPr="00131B9D">
        <w:t>600</w:t>
      </w:r>
      <w:r w:rsidRPr="00131B9D">
        <w:t>美元，開始有美國套利料源進入亞洲市場。進入第</w:t>
      </w:r>
      <w:r w:rsidRPr="00131B9D">
        <w:t>3</w:t>
      </w:r>
      <w:r w:rsidRPr="00131B9D">
        <w:t>季後，美國方面，受能源價格低迷以及供應和庫存增加的影響，</w:t>
      </w:r>
      <w:r w:rsidRPr="00131B9D">
        <w:t>8</w:t>
      </w:r>
      <w:r w:rsidRPr="00131B9D">
        <w:t>月份交付的乙烯現貨價格降至</w:t>
      </w:r>
      <w:r w:rsidRPr="00131B9D">
        <w:lastRenderedPageBreak/>
        <w:t>23.75-24.25</w:t>
      </w:r>
      <w:r w:rsidRPr="00131B9D">
        <w:t>美分</w:t>
      </w:r>
      <w:r w:rsidRPr="00131B9D">
        <w:t>/</w:t>
      </w:r>
      <w:r w:rsidRPr="00131B9D">
        <w:t>磅，創</w:t>
      </w:r>
      <w:r w:rsidRPr="00131B9D">
        <w:t>6</w:t>
      </w:r>
      <w:r w:rsidRPr="00131B9D">
        <w:t>年新低。到了</w:t>
      </w:r>
      <w:r w:rsidR="00BB2F1F" w:rsidRPr="00131B9D">
        <w:t>9</w:t>
      </w:r>
      <w:r w:rsidR="00BB2F1F" w:rsidRPr="00131B9D">
        <w:t>月</w:t>
      </w:r>
      <w:r w:rsidRPr="00131B9D">
        <w:t>，由於供給過剩情況未有改善，產量與產能皆高於去年同期，同時下游</w:t>
      </w:r>
      <w:r w:rsidRPr="00131B9D">
        <w:t>PVC</w:t>
      </w:r>
      <w:r w:rsidRPr="00131B9D">
        <w:t>廠停機維護，國內需求疲弱，因此</w:t>
      </w:r>
      <w:r w:rsidRPr="00131B9D">
        <w:t>9</w:t>
      </w:r>
      <w:r w:rsidRPr="00131B9D">
        <w:t>月乙烯合約價下降</w:t>
      </w:r>
      <w:r w:rsidRPr="00131B9D">
        <w:t>1</w:t>
      </w:r>
      <w:r w:rsidRPr="00131B9D">
        <w:t>美分</w:t>
      </w:r>
      <w:r w:rsidRPr="00131B9D">
        <w:t>/</w:t>
      </w:r>
      <w:r w:rsidRPr="00131B9D">
        <w:t>磅，跌至</w:t>
      </w:r>
      <w:r w:rsidRPr="00131B9D">
        <w:t>2009</w:t>
      </w:r>
      <w:r w:rsidRPr="00131B9D">
        <w:t>年</w:t>
      </w:r>
      <w:r w:rsidRPr="00131B9D">
        <w:t>12</w:t>
      </w:r>
      <w:r w:rsidRPr="00131B9D">
        <w:t>月以來新低。</w:t>
      </w:r>
      <w:r w:rsidRPr="00131B9D">
        <w:t>10</w:t>
      </w:r>
      <w:r w:rsidRPr="00131B9D">
        <w:t>月</w:t>
      </w:r>
      <w:r w:rsidRPr="00131B9D">
        <w:t>6</w:t>
      </w:r>
      <w:r w:rsidRPr="00131B9D">
        <w:t>日乙烯現貨價跌至</w:t>
      </w:r>
      <w:r w:rsidRPr="00131B9D">
        <w:t>2008</w:t>
      </w:r>
      <w:r w:rsidRPr="00131B9D">
        <w:t>年</w:t>
      </w:r>
      <w:r w:rsidRPr="00131B9D">
        <w:t>12</w:t>
      </w:r>
      <w:r w:rsidRPr="00131B9D">
        <w:t>月以來新低。亞洲方面，因輕油裂解廠歲修高峰期結束，先前停產的輕裂廠陸續復工，且美國乙烯套利料源進入市場，造成乙烯供給增加，同時中國大陸景氣疲弱，下游需求疲軟，使得乙烯價格開始回落，</w:t>
      </w:r>
      <w:r w:rsidRPr="00131B9D">
        <w:t>8</w:t>
      </w:r>
      <w:r w:rsidRPr="00131B9D">
        <w:t>月原油價格快速下滑，更加深乙烯跌勢。以乙烯遠東區報價為例，</w:t>
      </w:r>
      <w:r w:rsidRPr="00131B9D">
        <w:t>8</w:t>
      </w:r>
      <w:r w:rsidRPr="00131B9D">
        <w:t>月中旬乙烯現貨價已跌破千美元大關，回到今年</w:t>
      </w:r>
      <w:r w:rsidRPr="00131B9D">
        <w:t>2</w:t>
      </w:r>
      <w:r w:rsidRPr="00131B9D">
        <w:t>月低檔水位</w:t>
      </w:r>
      <w:r w:rsidR="00BB2F1F" w:rsidRPr="00131B9D">
        <w:t>，隨著亞洲乙烯價格下跌，美、亞兩地之乙烯價差大幅萎縮。</w:t>
      </w:r>
      <w:r w:rsidRPr="00131B9D">
        <w:t>中油指出，輕油與丙烯早在</w:t>
      </w:r>
      <w:r w:rsidRPr="00131B9D">
        <w:t>6</w:t>
      </w:r>
      <w:r w:rsidRPr="00131B9D">
        <w:t>、</w:t>
      </w:r>
      <w:r w:rsidRPr="00131B9D">
        <w:t>7</w:t>
      </w:r>
      <w:r w:rsidRPr="00131B9D">
        <w:t>月就開始反映塑化原料價格下跌走勢，而當時乙烯價格持穩，</w:t>
      </w:r>
      <w:r w:rsidRPr="00131B9D">
        <w:t>8</w:t>
      </w:r>
      <w:r w:rsidRPr="00131B9D">
        <w:t>月進入補跌行情，走跌趨勢明顯。進入第</w:t>
      </w:r>
      <w:r w:rsidRPr="00131B9D">
        <w:t>4</w:t>
      </w:r>
      <w:r w:rsidRPr="00131B9D">
        <w:t>季，由於</w:t>
      </w:r>
      <w:r w:rsidRPr="00131B9D">
        <w:t>9</w:t>
      </w:r>
      <w:r w:rsidRPr="00131B9D">
        <w:t>月底再度進入輕油裂解廠密集歲修期，印尼</w:t>
      </w:r>
      <w:r w:rsidRPr="00131B9D">
        <w:t>Chandra Asri</w:t>
      </w:r>
      <w:r w:rsidRPr="00131B9D">
        <w:t>一套年產</w:t>
      </w:r>
      <w:r w:rsidRPr="00131B9D">
        <w:t>60</w:t>
      </w:r>
      <w:r w:rsidRPr="00131B9D">
        <w:t>萬公噸的乙烯廠停工</w:t>
      </w:r>
      <w:r w:rsidRPr="00131B9D">
        <w:t>3</w:t>
      </w:r>
      <w:r w:rsidRPr="00131B9D">
        <w:t>個月外，</w:t>
      </w:r>
      <w:r w:rsidRPr="00131B9D">
        <w:t>10</w:t>
      </w:r>
      <w:r w:rsidRPr="00131B9D">
        <w:t>月東北亞有</w:t>
      </w:r>
      <w:r w:rsidRPr="00131B9D">
        <w:t>2</w:t>
      </w:r>
      <w:r w:rsidRPr="00131B9D">
        <w:t>套年產</w:t>
      </w:r>
      <w:r w:rsidRPr="00131B9D">
        <w:t>100</w:t>
      </w:r>
      <w:r w:rsidRPr="00131B9D">
        <w:t>萬公噸的輕裂廠歲修；中東則有</w:t>
      </w:r>
      <w:r w:rsidRPr="00131B9D">
        <w:t>1</w:t>
      </w:r>
      <w:r w:rsidRPr="00131B9D">
        <w:t>套</w:t>
      </w:r>
      <w:r w:rsidRPr="00131B9D">
        <w:t>130</w:t>
      </w:r>
      <w:r w:rsidRPr="00131B9D">
        <w:t>萬公噸乙烯廠檢修。下游因應美國聖誕節及中國大陸明年新年消費檔期到來，需求增加，因此第</w:t>
      </w:r>
      <w:r w:rsidRPr="00131B9D">
        <w:t>4</w:t>
      </w:r>
      <w:r w:rsidRPr="00131B9D">
        <w:t>季價格呈上揚走勢，截至</w:t>
      </w:r>
      <w:r w:rsidRPr="00131B9D">
        <w:t>11</w:t>
      </w:r>
      <w:r w:rsidRPr="00131B9D">
        <w:t>月中旬，乙烯價格</w:t>
      </w:r>
      <w:r w:rsidRPr="00131B9D">
        <w:t>1,025</w:t>
      </w:r>
      <w:r w:rsidRPr="00131B9D">
        <w:t>美元</w:t>
      </w:r>
      <w:r w:rsidRPr="00131B9D">
        <w:t>/</w:t>
      </w:r>
      <w:r w:rsidRPr="00131B9D">
        <w:t>噸，創</w:t>
      </w:r>
      <w:r w:rsidRPr="00131B9D">
        <w:t>4</w:t>
      </w:r>
      <w:r w:rsidRPr="00131B9D">
        <w:t>個月新高。美國也因許多下游工廠重啟運作，且乙烯衍生產品出口情況有所好轉，加上鄰近</w:t>
      </w:r>
      <w:r w:rsidRPr="00131B9D">
        <w:t>2016</w:t>
      </w:r>
      <w:r w:rsidRPr="00131B9D">
        <w:t>年第</w:t>
      </w:r>
      <w:r w:rsidRPr="00131B9D">
        <w:t>1</w:t>
      </w:r>
      <w:r w:rsidRPr="00131B9D">
        <w:t>季歲休潮，廠商補充庫存，而支撐乙烯價格向上攀升，惟</w:t>
      </w:r>
      <w:r w:rsidRPr="00131B9D">
        <w:t>11</w:t>
      </w:r>
      <w:r w:rsidRPr="00131B9D">
        <w:t>月初因天然氣價格下降，造成乙烯價格呈壓</w:t>
      </w:r>
      <w:r w:rsidR="00160782" w:rsidRPr="00131B9D">
        <w:t>（如圖</w:t>
      </w:r>
      <w:r w:rsidR="00160782" w:rsidRPr="00131B9D">
        <w:t>3-28</w:t>
      </w:r>
      <w:r w:rsidR="00160782" w:rsidRPr="00131B9D">
        <w:t>）</w:t>
      </w:r>
      <w:r w:rsidRPr="00131B9D">
        <w:t>。</w:t>
      </w:r>
    </w:p>
    <w:p w:rsidR="00F279F7" w:rsidRPr="00131B9D" w:rsidRDefault="00F279F7" w:rsidP="00F279F7">
      <w:pPr>
        <w:pStyle w:val="-"/>
        <w:spacing w:before="72" w:after="72"/>
        <w:ind w:firstLine="560"/>
      </w:pPr>
      <w:r w:rsidRPr="00131B9D">
        <w:t>展望未來一年，預計下半年原油價格仍將疲弱，新興市場經濟成長放緩之際，對大宗物資需求放緩，預計乙烯下游產品之需求也將受影響，因此明年乙烯價格可能仍舊</w:t>
      </w:r>
      <w:r w:rsidR="00BB2F1F" w:rsidRPr="00131B9D">
        <w:t>疲軟，惟低油價雖壓抑我國石化產品報價能力，但可能提升原油與乙烯間之利差，或有助於我國廠商獲利。</w:t>
      </w:r>
    </w:p>
    <w:p w:rsidR="00160782" w:rsidRPr="00131B9D" w:rsidRDefault="00160782" w:rsidP="00160782">
      <w:pPr>
        <w:sectPr w:rsidR="00160782" w:rsidRPr="00131B9D" w:rsidSect="00097B8D">
          <w:pgSz w:w="11906" w:h="16838"/>
          <w:pgMar w:top="1440" w:right="1800" w:bottom="1440" w:left="1800" w:header="851" w:footer="992" w:gutter="0"/>
          <w:cols w:space="425"/>
          <w:docGrid w:type="lines" w:linePitch="360"/>
        </w:sectPr>
      </w:pPr>
    </w:p>
    <w:p w:rsidR="00F279F7" w:rsidRPr="00131B9D" w:rsidRDefault="00F279F7" w:rsidP="00F279F7">
      <w:r w:rsidRPr="00131B9D">
        <w:rPr>
          <w:noProof/>
        </w:rPr>
        <w:lastRenderedPageBreak/>
        <w:drawing>
          <wp:inline distT="0" distB="0" distL="0" distR="0" wp14:anchorId="69A6CA2B" wp14:editId="3EA6CE5B">
            <wp:extent cx="5252400" cy="3189768"/>
            <wp:effectExtent l="19050" t="0" r="24450" b="0"/>
            <wp:docPr id="103" name="圖表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w:t>
      </w:r>
      <w:r w:rsidRPr="00131B9D">
        <w:rPr>
          <w:rFonts w:eastAsia="標楷體"/>
          <w:sz w:val="20"/>
          <w:szCs w:val="20"/>
        </w:rPr>
        <w:t>:</w:t>
      </w:r>
      <w:r w:rsidRPr="00131B9D">
        <w:rPr>
          <w:rFonts w:eastAsia="標楷體"/>
          <w:sz w:val="20"/>
          <w:szCs w:val="20"/>
        </w:rPr>
        <w:t>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63" w:name="_Toc398882660"/>
      <w:bookmarkStart w:id="264" w:name="_Toc438223362"/>
      <w:bookmarkStart w:id="265" w:name="_Toc322706967"/>
      <w:bookmarkStart w:id="266" w:name="_Toc365017353"/>
      <w:bookmarkStart w:id="267" w:name="_Toc373423071"/>
      <w:bookmarkStart w:id="268" w:name="_Toc373682456"/>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28</w:t>
      </w:r>
      <w:r w:rsidRPr="00131B9D">
        <w:rPr>
          <w:rFonts w:eastAsia="標楷體"/>
          <w:b/>
          <w:bCs/>
          <w:kern w:val="52"/>
          <w:sz w:val="28"/>
          <w:szCs w:val="28"/>
        </w:rPr>
        <w:fldChar w:fldCharType="end"/>
      </w:r>
      <w:r w:rsidRPr="00131B9D">
        <w:rPr>
          <w:rFonts w:eastAsia="標楷體"/>
          <w:b/>
          <w:bCs/>
          <w:kern w:val="52"/>
          <w:sz w:val="28"/>
          <w:szCs w:val="28"/>
        </w:rPr>
        <w:t xml:space="preserve">　乙烯近一年價格走勢圖</w:t>
      </w:r>
      <w:bookmarkEnd w:id="263"/>
      <w:bookmarkEnd w:id="264"/>
    </w:p>
    <w:p w:rsidR="00F279F7" w:rsidRPr="00131B9D" w:rsidRDefault="00F279F7" w:rsidP="003B29E8"/>
    <w:p w:rsidR="00F279F7" w:rsidRPr="00131B9D" w:rsidRDefault="00F279F7" w:rsidP="00F279F7">
      <w:pPr>
        <w:pStyle w:val="3"/>
        <w:rPr>
          <w:rFonts w:ascii="Times New Roman" w:hAnsi="Times New Roman"/>
        </w:rPr>
      </w:pPr>
      <w:bookmarkStart w:id="269" w:name="_Toc322706968"/>
      <w:bookmarkEnd w:id="265"/>
      <w:bookmarkEnd w:id="266"/>
      <w:bookmarkEnd w:id="267"/>
      <w:bookmarkEnd w:id="268"/>
      <w:r w:rsidRPr="00131B9D">
        <w:rPr>
          <w:rFonts w:ascii="Times New Roman" w:hAnsi="Times New Roman"/>
        </w:rPr>
        <w:t>（二）丙烯</w:t>
      </w:r>
      <w:bookmarkEnd w:id="269"/>
    </w:p>
    <w:p w:rsidR="00F279F7" w:rsidRPr="00131B9D" w:rsidRDefault="00F279F7" w:rsidP="00F279F7">
      <w:pPr>
        <w:pStyle w:val="-"/>
        <w:spacing w:before="72" w:after="72"/>
        <w:ind w:firstLine="560"/>
      </w:pPr>
      <w:r w:rsidRPr="00131B9D">
        <w:t>石油腦價格快速走揚，由</w:t>
      </w:r>
      <w:r w:rsidRPr="00131B9D">
        <w:t>1</w:t>
      </w:r>
      <w:r w:rsidRPr="00131B9D">
        <w:t>月底的</w:t>
      </w:r>
      <w:r w:rsidRPr="00131B9D">
        <w:t>434</w:t>
      </w:r>
      <w:r w:rsidRPr="00131B9D">
        <w:t>美元</w:t>
      </w:r>
      <w:r w:rsidRPr="00131B9D">
        <w:t>/</w:t>
      </w:r>
      <w:r w:rsidRPr="00131B9D">
        <w:t>公噸，上揚至</w:t>
      </w:r>
      <w:r w:rsidRPr="00131B9D">
        <w:t>2</w:t>
      </w:r>
      <w:r w:rsidRPr="00131B9D">
        <w:t>月的</w:t>
      </w:r>
      <w:r w:rsidRPr="00131B9D">
        <w:t>544</w:t>
      </w:r>
      <w:r w:rsidRPr="00131B9D">
        <w:t>美元</w:t>
      </w:r>
      <w:r w:rsidRPr="00131B9D">
        <w:t>/</w:t>
      </w:r>
      <w:r w:rsidRPr="00131B9D">
        <w:t>公噸，漲幅高達</w:t>
      </w:r>
      <w:r w:rsidRPr="00131B9D">
        <w:t>25%</w:t>
      </w:r>
      <w:r w:rsidRPr="00131B9D">
        <w:t>，造成丙烯現貨由</w:t>
      </w:r>
      <w:r w:rsidRPr="00131B9D">
        <w:t>800</w:t>
      </w:r>
      <w:r w:rsidRPr="00131B9D">
        <w:t>美元</w:t>
      </w:r>
      <w:r w:rsidRPr="00131B9D">
        <w:t>/</w:t>
      </w:r>
      <w:r w:rsidRPr="00131B9D">
        <w:t>噸漲至</w:t>
      </w:r>
      <w:r w:rsidRPr="00131B9D">
        <w:t>855</w:t>
      </w:r>
      <w:r w:rsidRPr="00131B9D">
        <w:t>美元</w:t>
      </w:r>
      <w:r w:rsidRPr="00131B9D">
        <w:t>/</w:t>
      </w:r>
      <w:r w:rsidRPr="00131B9D">
        <w:t>噸，漲幅近</w:t>
      </w:r>
      <w:r w:rsidRPr="00131B9D">
        <w:t>7%</w:t>
      </w:r>
      <w:r w:rsidRPr="00131B9D">
        <w:t>。第</w:t>
      </w:r>
      <w:r w:rsidRPr="00131B9D">
        <w:t>1</w:t>
      </w:r>
      <w:r w:rsidRPr="00131B9D">
        <w:t>季後期，受到亞洲地區掀起輕裂廠歲修潮刺激，丙烯現貨行情持續拉高，</w:t>
      </w:r>
      <w:r w:rsidRPr="00131B9D">
        <w:t>3</w:t>
      </w:r>
      <w:r w:rsidRPr="00131B9D">
        <w:t>月丙烯價格呈現高位震盪，至</w:t>
      </w:r>
      <w:r w:rsidRPr="00131B9D">
        <w:t>3</w:t>
      </w:r>
      <w:r w:rsidRPr="00131B9D">
        <w:t>月</w:t>
      </w:r>
      <w:r w:rsidRPr="00131B9D">
        <w:t>31</w:t>
      </w:r>
      <w:r w:rsidRPr="00131B9D">
        <w:t>日，丙烯</w:t>
      </w:r>
      <w:r w:rsidRPr="00131B9D">
        <w:t>FOB</w:t>
      </w:r>
      <w:r w:rsidRPr="00131B9D">
        <w:t>韓國漲至</w:t>
      </w:r>
      <w:r w:rsidRPr="00131B9D">
        <w:t>990</w:t>
      </w:r>
      <w:r w:rsidRPr="00131B9D">
        <w:t>美元</w:t>
      </w:r>
      <w:r w:rsidRPr="00131B9D">
        <w:t>/</w:t>
      </w:r>
      <w:r w:rsidRPr="00131B9D">
        <w:t>噸，上漲了</w:t>
      </w:r>
      <w:r w:rsidRPr="00131B9D">
        <w:t>75</w:t>
      </w:r>
      <w:r w:rsidRPr="00131B9D">
        <w:t>美元</w:t>
      </w:r>
      <w:r w:rsidRPr="00131B9D">
        <w:t>/</w:t>
      </w:r>
      <w:r w:rsidRPr="00131B9D">
        <w:t>噸。進入第</w:t>
      </w:r>
      <w:r w:rsidRPr="00131B9D">
        <w:t>2</w:t>
      </w:r>
      <w:r w:rsidRPr="00131B9D">
        <w:t>季，除輕油裂解廠歲修因素外，國際原油價格回升也是丙烯價格居高不下之原因之一，西德州及布蘭特原油價格漲幅皆超過</w:t>
      </w:r>
      <w:r w:rsidRPr="00131B9D">
        <w:t>15%</w:t>
      </w:r>
      <w:r w:rsidRPr="00131B9D">
        <w:t>，因丙烯與原油走勢高度相關，原油價格回彈直接拉升丙烯價格。</w:t>
      </w:r>
      <w:r w:rsidRPr="00131B9D">
        <w:t>7</w:t>
      </w:r>
      <w:r w:rsidRPr="00131B9D">
        <w:t>月受到伊朗即將恢復原油出口以及中國大陸經濟成長放緩市場擔憂供過於求情況加重等影響，油價再掀跌勢，下跌走勢一直延續到</w:t>
      </w:r>
      <w:r w:rsidRPr="00131B9D">
        <w:t>8</w:t>
      </w:r>
      <w:r w:rsidRPr="00131B9D">
        <w:t>月底，造成丙烯上游原料石油腦價格下跌。此外，第</w:t>
      </w:r>
      <w:r w:rsidRPr="00131B9D">
        <w:t>3</w:t>
      </w:r>
      <w:r w:rsidRPr="00131B9D">
        <w:t>季後亞洲輕油裂解廠歲修旺季結束，包括日本、南韓、中國大陸及台灣的歲修輕裂廠陸續復工，且中國大陸與韓國皆有新生產裝置投入市場，包括萬華化學公司</w:t>
      </w:r>
      <w:r w:rsidRPr="00131B9D">
        <w:t>75</w:t>
      </w:r>
      <w:r w:rsidRPr="00131B9D">
        <w:t>萬噸</w:t>
      </w:r>
      <w:r w:rsidRPr="00131B9D">
        <w:t>/</w:t>
      </w:r>
      <w:r w:rsidRPr="00131B9D">
        <w:t>年、韓國曉星</w:t>
      </w:r>
      <w:r w:rsidRPr="00131B9D">
        <w:t>30</w:t>
      </w:r>
      <w:r w:rsidRPr="00131B9D">
        <w:t>萬公噸</w:t>
      </w:r>
      <w:r w:rsidRPr="00131B9D">
        <w:t>/</w:t>
      </w:r>
      <w:r w:rsidRPr="00131B9D">
        <w:t>年等，整體丙烯供應趨於寬鬆，同時丙烯下游製品如聚丙烯（</w:t>
      </w:r>
      <w:r w:rsidRPr="00131B9D">
        <w:t>PP</w:t>
      </w:r>
      <w:r w:rsidRPr="00131B9D">
        <w:t>）、環氧丙烷（</w:t>
      </w:r>
      <w:r w:rsidRPr="00131B9D">
        <w:t>PO</w:t>
      </w:r>
      <w:r w:rsidRPr="00131B9D">
        <w:t>）等需求持續低迷，</w:t>
      </w:r>
      <w:r w:rsidRPr="00131B9D">
        <w:lastRenderedPageBreak/>
        <w:t>因而打壓丙烯價格。東南亞丙烯</w:t>
      </w:r>
      <w:r w:rsidRPr="00131B9D">
        <w:t>CFR</w:t>
      </w:r>
      <w:r w:rsidRPr="00131B9D">
        <w:t>價格自</w:t>
      </w:r>
      <w:r w:rsidRPr="00131B9D">
        <w:t>7</w:t>
      </w:r>
      <w:r w:rsidRPr="00131B9D">
        <w:t>月的初</w:t>
      </w:r>
      <w:r w:rsidRPr="00131B9D">
        <w:t>955</w:t>
      </w:r>
      <w:r w:rsidRPr="00131B9D">
        <w:t>美元</w:t>
      </w:r>
      <w:r w:rsidRPr="00131B9D">
        <w:t>/</w:t>
      </w:r>
      <w:r w:rsidRPr="00131B9D">
        <w:t>噸下跌至</w:t>
      </w:r>
      <w:r w:rsidRPr="00131B9D">
        <w:t>9</w:t>
      </w:r>
      <w:r w:rsidRPr="00131B9D">
        <w:t>月中旬的</w:t>
      </w:r>
      <w:r w:rsidRPr="00131B9D">
        <w:t>645</w:t>
      </w:r>
      <w:r w:rsidRPr="00131B9D">
        <w:t>美元</w:t>
      </w:r>
      <w:r w:rsidRPr="00131B9D">
        <w:t>/</w:t>
      </w:r>
      <w:r w:rsidRPr="00131B9D">
        <w:t>噸。下跌</w:t>
      </w:r>
      <w:r w:rsidRPr="00131B9D">
        <w:t>310</w:t>
      </w:r>
      <w:r w:rsidRPr="00131B9D">
        <w:t>美元</w:t>
      </w:r>
      <w:r w:rsidRPr="00131B9D">
        <w:t>/</w:t>
      </w:r>
      <w:r w:rsidRPr="00131B9D">
        <w:t>噸，跌幅超過</w:t>
      </w:r>
      <w:r w:rsidRPr="00131B9D">
        <w:t>30%</w:t>
      </w:r>
      <w:r w:rsidRPr="00131B9D">
        <w:t>。</w:t>
      </w:r>
      <w:r w:rsidRPr="00131B9D">
        <w:t>9</w:t>
      </w:r>
      <w:r w:rsidRPr="00131B9D">
        <w:t>月傳出丙烯將有近百萬噸年產能將開出，加上中國大陸十一長假即將展開，而造成丙烯價格重挫。</w:t>
      </w:r>
      <w:r w:rsidRPr="00131B9D">
        <w:t>10</w:t>
      </w:r>
      <w:r w:rsidRPr="00131B9D">
        <w:t>月上旬仍丙烯供應充足，價格持續下跌，</w:t>
      </w:r>
      <w:r w:rsidRPr="00131B9D">
        <w:t>10</w:t>
      </w:r>
      <w:r w:rsidRPr="00131B9D">
        <w:t>月中旬在觸及</w:t>
      </w:r>
      <w:r w:rsidRPr="00131B9D">
        <w:t>6</w:t>
      </w:r>
      <w:r w:rsidRPr="00131B9D">
        <w:t>年低點後，因需求轉強，且因中東供應量減少，造成供給緊縮，加上大陸</w:t>
      </w:r>
      <w:r w:rsidRPr="00131B9D">
        <w:t>PDH</w:t>
      </w:r>
      <w:r w:rsidRPr="00131B9D">
        <w:t>工廠為避免行情下挫，近期採取削減開工率動作，帶動丙烯價格出現反彈，此外，</w:t>
      </w:r>
      <w:r w:rsidRPr="00131B9D">
        <w:t>11</w:t>
      </w:r>
      <w:r w:rsidRPr="00131B9D">
        <w:t>月中油重油轉化工場（</w:t>
      </w:r>
      <w:r w:rsidRPr="00131B9D">
        <w:t>RFCC</w:t>
      </w:r>
      <w:r w:rsidRPr="00131B9D">
        <w:t>）發生火警意外，也有利於價上漲</w:t>
      </w:r>
      <w:r w:rsidR="00160782" w:rsidRPr="00131B9D">
        <w:t>（如圖</w:t>
      </w:r>
      <w:r w:rsidR="00160782" w:rsidRPr="00131B9D">
        <w:t>3-29</w:t>
      </w:r>
      <w:r w:rsidR="00160782" w:rsidRPr="00131B9D">
        <w:t>）</w:t>
      </w:r>
      <w:r w:rsidRPr="00131B9D">
        <w:t>。</w:t>
      </w:r>
    </w:p>
    <w:p w:rsidR="00F279F7" w:rsidRPr="00131B9D" w:rsidRDefault="00F279F7" w:rsidP="00F279F7">
      <w:pPr>
        <w:pStyle w:val="-"/>
        <w:spacing w:before="72" w:after="72"/>
        <w:ind w:firstLine="560"/>
      </w:pPr>
      <w:r w:rsidRPr="00131B9D">
        <w:t>展望</w:t>
      </w:r>
      <w:r w:rsidRPr="00131B9D">
        <w:t>2016</w:t>
      </w:r>
      <w:r w:rsidRPr="00131B9D">
        <w:t>年，</w:t>
      </w:r>
      <w:r w:rsidRPr="00131B9D">
        <w:t>Platts</w:t>
      </w:r>
      <w:r w:rsidRPr="00131B9D">
        <w:t>報導因區域供給增加，</w:t>
      </w:r>
      <w:r w:rsidRPr="00131B9D">
        <w:t>2016</w:t>
      </w:r>
      <w:r w:rsidRPr="00131B9D">
        <w:t>年亞洲丙烯合約價可能繼續下降，南韓生產者預測，</w:t>
      </w:r>
      <w:r w:rsidRPr="00131B9D">
        <w:t>2016</w:t>
      </w:r>
      <w:r w:rsidRPr="00131B9D">
        <w:t>年丙烯合約價將下降</w:t>
      </w:r>
      <w:r w:rsidRPr="00131B9D">
        <w:t>10-15</w:t>
      </w:r>
      <w:r w:rsidRPr="00131B9D">
        <w:t>美元</w:t>
      </w:r>
      <w:r w:rsidRPr="00131B9D">
        <w:t>/</w:t>
      </w:r>
      <w:r w:rsidRPr="00131B9D">
        <w:t>公噸，也有人預測下降幅度約為</w:t>
      </w:r>
      <w:r w:rsidRPr="00131B9D">
        <w:t>9-20</w:t>
      </w:r>
      <w:r w:rsidRPr="00131B9D">
        <w:t>美元</w:t>
      </w:r>
      <w:r w:rsidRPr="00131B9D">
        <w:t>/</w:t>
      </w:r>
      <w:r w:rsidRPr="00131B9D">
        <w:t>公噸。</w:t>
      </w:r>
    </w:p>
    <w:p w:rsidR="00F279F7" w:rsidRPr="00131B9D" w:rsidRDefault="00F279F7" w:rsidP="00F279F7"/>
    <w:p w:rsidR="00F279F7" w:rsidRPr="00131B9D" w:rsidRDefault="00F279F7" w:rsidP="00F279F7">
      <w:r w:rsidRPr="00131B9D">
        <w:rPr>
          <w:noProof/>
        </w:rPr>
        <w:drawing>
          <wp:inline distT="0" distB="0" distL="0" distR="0" wp14:anchorId="204740C4" wp14:editId="688C7285">
            <wp:extent cx="5252400" cy="3189768"/>
            <wp:effectExtent l="0" t="0" r="5715" b="10795"/>
            <wp:docPr id="106" name="圖表 106"/>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w:t>
      </w:r>
      <w:r w:rsidRPr="00131B9D">
        <w:rPr>
          <w:rFonts w:eastAsia="標楷體"/>
          <w:sz w:val="20"/>
          <w:szCs w:val="20"/>
        </w:rPr>
        <w:t>:</w:t>
      </w:r>
      <w:r w:rsidRPr="00131B9D">
        <w:rPr>
          <w:rFonts w:eastAsia="標楷體"/>
          <w:sz w:val="20"/>
          <w:szCs w:val="20"/>
        </w:rPr>
        <w:t>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70" w:name="_Toc398882661"/>
      <w:bookmarkStart w:id="271" w:name="_Toc438223363"/>
      <w:bookmarkStart w:id="272" w:name="_Toc322706969"/>
      <w:bookmarkStart w:id="273" w:name="_Toc365017354"/>
      <w:bookmarkStart w:id="274" w:name="_Toc373423072"/>
      <w:bookmarkStart w:id="275" w:name="_Toc373682457"/>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29</w:t>
      </w:r>
      <w:r w:rsidRPr="00131B9D">
        <w:rPr>
          <w:rFonts w:eastAsia="標楷體"/>
          <w:b/>
          <w:bCs/>
          <w:kern w:val="52"/>
          <w:sz w:val="28"/>
          <w:szCs w:val="28"/>
        </w:rPr>
        <w:fldChar w:fldCharType="end"/>
      </w:r>
      <w:r w:rsidRPr="00131B9D">
        <w:rPr>
          <w:rFonts w:eastAsia="標楷體"/>
          <w:b/>
          <w:bCs/>
          <w:kern w:val="52"/>
          <w:sz w:val="28"/>
          <w:szCs w:val="28"/>
        </w:rPr>
        <w:t xml:space="preserve">　丙烯近一年價格走勢圖</w:t>
      </w:r>
      <w:bookmarkEnd w:id="270"/>
      <w:bookmarkEnd w:id="271"/>
    </w:p>
    <w:p w:rsidR="00F279F7" w:rsidRPr="00131B9D" w:rsidRDefault="00F279F7" w:rsidP="00F279F7"/>
    <w:p w:rsidR="00F279F7" w:rsidRPr="00131B9D" w:rsidRDefault="00F279F7" w:rsidP="00F279F7">
      <w:pPr>
        <w:pStyle w:val="3"/>
        <w:rPr>
          <w:rFonts w:ascii="Times New Roman" w:hAnsi="Times New Roman"/>
        </w:rPr>
      </w:pPr>
      <w:bookmarkStart w:id="276" w:name="_Toc322706970"/>
      <w:bookmarkEnd w:id="272"/>
      <w:bookmarkEnd w:id="273"/>
      <w:bookmarkEnd w:id="274"/>
      <w:bookmarkEnd w:id="275"/>
      <w:r w:rsidRPr="00131B9D">
        <w:rPr>
          <w:rFonts w:ascii="Times New Roman" w:hAnsi="Times New Roman"/>
        </w:rPr>
        <w:t>（三）苯</w:t>
      </w:r>
      <w:bookmarkEnd w:id="276"/>
    </w:p>
    <w:p w:rsidR="00160782" w:rsidRPr="00131B9D" w:rsidRDefault="00F279F7" w:rsidP="00F279F7">
      <w:pPr>
        <w:pStyle w:val="-"/>
        <w:spacing w:before="72" w:after="72"/>
        <w:ind w:firstLine="560"/>
      </w:pPr>
      <w:r w:rsidRPr="00131B9D">
        <w:t>根據</w:t>
      </w:r>
      <w:r w:rsidRPr="00131B9D">
        <w:t>ICIS 3</w:t>
      </w:r>
      <w:r w:rsidRPr="00131B9D">
        <w:t>月</w:t>
      </w:r>
      <w:r w:rsidRPr="00131B9D">
        <w:t>24</w:t>
      </w:r>
      <w:r w:rsidRPr="00131B9D">
        <w:t>日的報導，由於美國苯價較高，歐洲在</w:t>
      </w:r>
      <w:r w:rsidRPr="00131B9D">
        <w:t>3</w:t>
      </w:r>
      <w:r w:rsidRPr="00131B9D">
        <w:t>月份持續出口苯到該地區，推升了歐洲苯的現金價格。此外，美國</w:t>
      </w:r>
      <w:r w:rsidRPr="00131B9D">
        <w:t>4</w:t>
      </w:r>
      <w:r w:rsidRPr="00131B9D">
        <w:t>月的苯合約價格，每加侖上升</w:t>
      </w:r>
      <w:r w:rsidRPr="00131B9D">
        <w:t>2.6</w:t>
      </w:r>
      <w:r w:rsidRPr="00131B9D">
        <w:t>美元，且美國墨西哥灣地區限制亞洲苯</w:t>
      </w:r>
      <w:r w:rsidRPr="00131B9D">
        <w:lastRenderedPageBreak/>
        <w:t>的進口，以及受下游需求強勁之雙重影響下，使</w:t>
      </w:r>
      <w:r w:rsidRPr="00131B9D">
        <w:t>3</w:t>
      </w:r>
      <w:r w:rsidRPr="00131B9D">
        <w:t>月底價格持續上升。西北歐苯</w:t>
      </w:r>
      <w:r w:rsidRPr="00131B9D">
        <w:t>3</w:t>
      </w:r>
      <w:r w:rsidRPr="00131B9D">
        <w:t>月合約價格為每噸</w:t>
      </w:r>
      <w:r w:rsidRPr="00131B9D">
        <w:t>611</w:t>
      </w:r>
      <w:r w:rsidRPr="00131B9D">
        <w:t>美元，</w:t>
      </w:r>
      <w:r w:rsidRPr="00131B9D">
        <w:t>4</w:t>
      </w:r>
      <w:r w:rsidRPr="00131B9D">
        <w:t>月投標價格為每噸</w:t>
      </w:r>
      <w:r w:rsidRPr="00131B9D">
        <w:t>730-750</w:t>
      </w:r>
      <w:r w:rsidRPr="00131B9D">
        <w:t>美元（</w:t>
      </w:r>
      <w:r w:rsidRPr="00131B9D">
        <w:t>FOB</w:t>
      </w:r>
      <w:r w:rsidRPr="00131B9D">
        <w:t>）。到了</w:t>
      </w:r>
      <w:r w:rsidRPr="00131B9D">
        <w:t>4</w:t>
      </w:r>
      <w:r w:rsidRPr="00131B9D">
        <w:t>月份，苯價已連續</w:t>
      </w:r>
      <w:r w:rsidRPr="00131B9D">
        <w:t>3</w:t>
      </w:r>
      <w:r w:rsidRPr="00131B9D">
        <w:t>個月全域性跳升，在歐洲出現最大的漲幅。亞洲因下游產品苯乙烯及甲苯市場需求增強，與美國經濟數據提升，造成苯價上升，其中韓國</w:t>
      </w:r>
      <w:r w:rsidRPr="00131B9D">
        <w:t>FOB</w:t>
      </w:r>
      <w:r w:rsidRPr="00131B9D">
        <w:t>苯價</w:t>
      </w:r>
      <w:r w:rsidRPr="00131B9D">
        <w:t>4</w:t>
      </w:r>
      <w:r w:rsidRPr="00131B9D">
        <w:t>月份上升</w:t>
      </w:r>
      <w:r w:rsidRPr="00131B9D">
        <w:t>8%</w:t>
      </w:r>
      <w:r w:rsidRPr="00131B9D">
        <w:t>。</w:t>
      </w:r>
      <w:r w:rsidRPr="00131B9D">
        <w:t>5</w:t>
      </w:r>
      <w:r w:rsidRPr="00131B9D">
        <w:t>月份，由於下游衍生品的需求顯著減少，苯的價格有所降低。例如歐洲至少</w:t>
      </w:r>
      <w:r w:rsidRPr="00131B9D">
        <w:t>10%</w:t>
      </w:r>
      <w:r w:rsidRPr="00131B9D">
        <w:t>的苯乙烯產能在</w:t>
      </w:r>
      <w:r w:rsidRPr="00131B9D">
        <w:t>6</w:t>
      </w:r>
      <w:r w:rsidRPr="00131B9D">
        <w:t>月份停產，很多生產苯酚的設備都進行計劃性和非計劃性維修，對苯的需求產生影響。隨著</w:t>
      </w:r>
      <w:r w:rsidRPr="00131B9D">
        <w:t>7</w:t>
      </w:r>
      <w:r w:rsidRPr="00131B9D">
        <w:t>月亞洲輕油裂解廠歲修旺季即將結束及國際原油價格走跌加上下游產品苯乙烯（</w:t>
      </w:r>
      <w:r w:rsidRPr="00131B9D">
        <w:t>SM</w:t>
      </w:r>
      <w:r w:rsidRPr="00131B9D">
        <w:t>）價格不振，</w:t>
      </w:r>
      <w:r w:rsidRPr="00131B9D">
        <w:t>7</w:t>
      </w:r>
      <w:r w:rsidRPr="00131B9D">
        <w:t>月臺灣及東南亞苯價皆跌回</w:t>
      </w:r>
      <w:r w:rsidRPr="00131B9D">
        <w:t>800</w:t>
      </w:r>
      <w:r w:rsidRPr="00131B9D">
        <w:t>美元</w:t>
      </w:r>
      <w:r w:rsidRPr="00131B9D">
        <w:t>/</w:t>
      </w:r>
      <w:r w:rsidRPr="00131B9D">
        <w:t>噸，但整體跌幅不大。</w:t>
      </w:r>
      <w:r w:rsidRPr="00131B9D">
        <w:t>8</w:t>
      </w:r>
      <w:r w:rsidRPr="00131B9D">
        <w:t>月苯價延續</w:t>
      </w:r>
      <w:r w:rsidRPr="00131B9D">
        <w:t>7</w:t>
      </w:r>
      <w:r w:rsidRPr="00131B9D">
        <w:t>月之跌勢，且因原油價格大幅下跌加上中國大陸股市暴跌，苯下游產品需求疲軟，加劇苯價下跌幅度，</w:t>
      </w:r>
      <w:r w:rsidRPr="00131B9D">
        <w:t>8</w:t>
      </w:r>
      <w:r w:rsidRPr="00131B9D">
        <w:t>月底東南亞洲苯價自</w:t>
      </w:r>
      <w:r w:rsidRPr="00131B9D">
        <w:t>762</w:t>
      </w:r>
      <w:r w:rsidRPr="00131B9D">
        <w:t>美元</w:t>
      </w:r>
      <w:r w:rsidRPr="00131B9D">
        <w:t>/</w:t>
      </w:r>
      <w:r w:rsidRPr="00131B9D">
        <w:t>噸下跌至</w:t>
      </w:r>
      <w:r w:rsidRPr="00131B9D">
        <w:t>558</w:t>
      </w:r>
      <w:r w:rsidRPr="00131B9D">
        <w:t>美元</w:t>
      </w:r>
      <w:r w:rsidRPr="00131B9D">
        <w:t>/</w:t>
      </w:r>
      <w:r w:rsidRPr="00131B9D">
        <w:t>噸，下跌</w:t>
      </w:r>
      <w:r w:rsidRPr="00131B9D">
        <w:t>204</w:t>
      </w:r>
      <w:r w:rsidRPr="00131B9D">
        <w:t>美元</w:t>
      </w:r>
      <w:r w:rsidRPr="00131B9D">
        <w:t>/</w:t>
      </w:r>
      <w:r w:rsidRPr="00131B9D">
        <w:t>噸，跌幅達</w:t>
      </w:r>
      <w:r w:rsidRPr="00131B9D">
        <w:t>27%</w:t>
      </w:r>
      <w:r w:rsidRPr="00131B9D">
        <w:t>，為今年</w:t>
      </w:r>
      <w:r w:rsidRPr="00131B9D">
        <w:t>1</w:t>
      </w:r>
      <w:r w:rsidRPr="00131B9D">
        <w:t>月以來新低，美國與歐洲苯現貨價則跌至</w:t>
      </w:r>
      <w:r w:rsidRPr="00131B9D">
        <w:t>6</w:t>
      </w:r>
      <w:r w:rsidRPr="00131B9D">
        <w:t>年新低。隨著原油價格反彈，苯價隨之上揚，加上進入苯的傳統旺季，隨著下游需求增加，</w:t>
      </w:r>
      <w:r w:rsidRPr="00131B9D">
        <w:t>9</w:t>
      </w:r>
      <w:r w:rsidRPr="00131B9D">
        <w:t>月苯價較</w:t>
      </w:r>
      <w:r w:rsidRPr="00131B9D">
        <w:t>8</w:t>
      </w:r>
      <w:r w:rsidRPr="00131B9D">
        <w:t>月底微幅上揚，然而供需失衡的憂慮始終絮繞在投資者心頭揮之不去，因而造成</w:t>
      </w:r>
      <w:r w:rsidRPr="00131B9D">
        <w:t>9</w:t>
      </w:r>
      <w:r w:rsidRPr="00131B9D">
        <w:t>月亞洲苯價創</w:t>
      </w:r>
      <w:r w:rsidRPr="00131B9D">
        <w:t>2015</w:t>
      </w:r>
      <w:r w:rsidRPr="00131B9D">
        <w:t>年新低。進入第</w:t>
      </w:r>
      <w:r w:rsidRPr="00131B9D">
        <w:t>4</w:t>
      </w:r>
      <w:r w:rsidRPr="00131B9D">
        <w:t>季後，苯價呈小幅波動。</w:t>
      </w:r>
      <w:r w:rsidRPr="00131B9D">
        <w:t>10</w:t>
      </w:r>
      <w:r w:rsidRPr="00131B9D">
        <w:t>月中旬隨著中國大陸十一國慶結束，油價反彈，帶動苯價小彈，月底因美國需求放緩轉銷亞洲造成苯價小跌，到了</w:t>
      </w:r>
      <w:r w:rsidRPr="00131B9D">
        <w:t>11</w:t>
      </w:r>
      <w:r w:rsidRPr="00131B9D">
        <w:t>月後價格則小幅回升</w:t>
      </w:r>
      <w:r w:rsidR="00160782" w:rsidRPr="00131B9D">
        <w:t>（如圖</w:t>
      </w:r>
      <w:r w:rsidR="00160782" w:rsidRPr="00131B9D">
        <w:t>3- 30</w:t>
      </w:r>
      <w:r w:rsidR="00160782" w:rsidRPr="00131B9D">
        <w:t>）</w:t>
      </w:r>
      <w:r w:rsidRPr="00131B9D">
        <w:t>。</w:t>
      </w:r>
    </w:p>
    <w:p w:rsidR="00F279F7" w:rsidRPr="00131B9D" w:rsidRDefault="00F279F7" w:rsidP="00F279F7">
      <w:pPr>
        <w:pStyle w:val="-"/>
        <w:spacing w:before="72" w:after="72"/>
        <w:ind w:firstLine="560"/>
      </w:pPr>
      <w:r w:rsidRPr="00131B9D">
        <w:t>展望未來一年，苯價仍會受到國際油價走勢的影響，苯作為芳烴產業的龍頭產品，原油期貨走勢對苯行情具有風向標的指引作用，預期未來原油價格將持續疲弱</w:t>
      </w:r>
      <w:r w:rsidR="00BB2F1F" w:rsidRPr="00131B9D">
        <w:t>，因此苯價可能維持低檔，但低油價可能有助於維持原油與苯之間的價差，或可支持我國石化業者維持獲利。</w:t>
      </w:r>
    </w:p>
    <w:p w:rsidR="00160782" w:rsidRPr="00131B9D" w:rsidRDefault="00160782" w:rsidP="00F279F7">
      <w:pPr>
        <w:pStyle w:val="-"/>
        <w:spacing w:before="72" w:after="72"/>
        <w:ind w:firstLine="560"/>
        <w:sectPr w:rsidR="00160782" w:rsidRPr="00131B9D" w:rsidSect="00097B8D">
          <w:pgSz w:w="11906" w:h="16838"/>
          <w:pgMar w:top="1440" w:right="1800" w:bottom="1440" w:left="1800" w:header="851" w:footer="992" w:gutter="0"/>
          <w:cols w:space="425"/>
          <w:docGrid w:type="lines" w:linePitch="360"/>
        </w:sectPr>
      </w:pPr>
    </w:p>
    <w:p w:rsidR="00F279F7" w:rsidRPr="00131B9D" w:rsidRDefault="00F279F7" w:rsidP="00F279F7">
      <w:r w:rsidRPr="00131B9D">
        <w:rPr>
          <w:noProof/>
        </w:rPr>
        <w:lastRenderedPageBreak/>
        <w:drawing>
          <wp:inline distT="0" distB="0" distL="0" distR="0" wp14:anchorId="6F1257EB" wp14:editId="2DC3B906">
            <wp:extent cx="5251834" cy="3189600"/>
            <wp:effectExtent l="0" t="0" r="6350" b="11430"/>
            <wp:docPr id="59" name="圖表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F279F7" w:rsidRPr="00131B9D" w:rsidRDefault="00F279F7" w:rsidP="00F279F7">
      <w:pPr>
        <w:spacing w:line="240" w:lineRule="exact"/>
        <w:ind w:firstLineChars="100" w:firstLine="200"/>
        <w:jc w:val="both"/>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77" w:name="_Toc398882662"/>
      <w:bookmarkStart w:id="278" w:name="_Toc438223364"/>
      <w:bookmarkStart w:id="279" w:name="_Toc322706971"/>
      <w:bookmarkStart w:id="280" w:name="_Toc365017355"/>
      <w:bookmarkStart w:id="281" w:name="_Toc373423073"/>
      <w:bookmarkStart w:id="282" w:name="_Toc373682458"/>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30</w:t>
      </w:r>
      <w:r w:rsidRPr="00131B9D">
        <w:rPr>
          <w:rFonts w:eastAsia="標楷體"/>
          <w:b/>
          <w:bCs/>
          <w:kern w:val="52"/>
          <w:sz w:val="28"/>
          <w:szCs w:val="28"/>
        </w:rPr>
        <w:fldChar w:fldCharType="end"/>
      </w:r>
      <w:r w:rsidRPr="00131B9D">
        <w:rPr>
          <w:rFonts w:eastAsia="標楷體"/>
          <w:b/>
          <w:bCs/>
          <w:kern w:val="52"/>
          <w:sz w:val="28"/>
          <w:szCs w:val="28"/>
        </w:rPr>
        <w:t xml:space="preserve">　苯近一年價格走勢圖</w:t>
      </w:r>
      <w:bookmarkEnd w:id="277"/>
      <w:bookmarkEnd w:id="278"/>
    </w:p>
    <w:p w:rsidR="00F279F7" w:rsidRPr="00131B9D" w:rsidRDefault="00F279F7" w:rsidP="00F279F7"/>
    <w:bookmarkEnd w:id="279"/>
    <w:bookmarkEnd w:id="280"/>
    <w:bookmarkEnd w:id="281"/>
    <w:bookmarkEnd w:id="282"/>
    <w:p w:rsidR="00F279F7" w:rsidRPr="00131B9D" w:rsidRDefault="00F279F7" w:rsidP="00F279F7">
      <w:pPr>
        <w:pStyle w:val="3"/>
        <w:rPr>
          <w:rFonts w:ascii="Times New Roman" w:hAnsi="Times New Roman"/>
        </w:rPr>
      </w:pPr>
      <w:r w:rsidRPr="00131B9D">
        <w:rPr>
          <w:rFonts w:ascii="Times New Roman" w:hAnsi="Times New Roman"/>
        </w:rPr>
        <w:t>（四）聚氯乙烯（</w:t>
      </w:r>
      <w:r w:rsidRPr="00131B9D">
        <w:rPr>
          <w:rFonts w:ascii="Times New Roman" w:hAnsi="Times New Roman"/>
        </w:rPr>
        <w:t>PVC</w:t>
      </w:r>
      <w:r w:rsidRPr="00131B9D">
        <w:rPr>
          <w:rFonts w:ascii="Times New Roman" w:hAnsi="Times New Roman"/>
        </w:rPr>
        <w:t>）</w:t>
      </w:r>
      <w:bookmarkEnd w:id="254"/>
    </w:p>
    <w:p w:rsidR="00F279F7" w:rsidRPr="00131B9D" w:rsidRDefault="00F279F7" w:rsidP="00F279F7">
      <w:pPr>
        <w:pStyle w:val="-"/>
        <w:spacing w:before="72" w:after="72"/>
        <w:ind w:firstLine="560"/>
        <w:rPr>
          <w:color w:val="000000"/>
        </w:rPr>
      </w:pPr>
      <w:r w:rsidRPr="00131B9D">
        <w:rPr>
          <w:color w:val="000000"/>
        </w:rPr>
        <w:t>台塑公司</w:t>
      </w:r>
      <w:r w:rsidRPr="00131B9D">
        <w:rPr>
          <w:color w:val="000000"/>
        </w:rPr>
        <w:t>2</w:t>
      </w:r>
      <w:r w:rsidRPr="00131B9D">
        <w:rPr>
          <w:color w:val="000000"/>
        </w:rPr>
        <w:t>月底指出，由於印度與中國大陸客戶庫存偏低而開始回補庫存，加上油價在低檔，乙烯法</w:t>
      </w:r>
      <w:r w:rsidRPr="00131B9D">
        <w:rPr>
          <w:color w:val="000000"/>
        </w:rPr>
        <w:t>PVC</w:t>
      </w:r>
      <w:r w:rsidRPr="00131B9D">
        <w:rPr>
          <w:color w:val="000000"/>
        </w:rPr>
        <w:t>成本較電石法</w:t>
      </w:r>
      <w:r w:rsidRPr="00131B9D">
        <w:rPr>
          <w:color w:val="000000"/>
        </w:rPr>
        <w:t>PVC</w:t>
      </w:r>
      <w:r w:rsidRPr="00131B9D">
        <w:rPr>
          <w:color w:val="000000"/>
        </w:rPr>
        <w:t>具有優勢，中國大陸客戶轉買乙烯法</w:t>
      </w:r>
      <w:r w:rsidRPr="00131B9D">
        <w:rPr>
          <w:color w:val="000000"/>
        </w:rPr>
        <w:t>PVC</w:t>
      </w:r>
      <w:r w:rsidRPr="00131B9D">
        <w:rPr>
          <w:color w:val="000000"/>
        </w:rPr>
        <w:t>，使得銷售量大增，接單狀況良好，其次，台塑公司針對</w:t>
      </w:r>
      <w:r w:rsidRPr="00131B9D">
        <w:rPr>
          <w:color w:val="000000"/>
        </w:rPr>
        <w:t>PVC</w:t>
      </w:r>
      <w:r w:rsidRPr="00131B9D">
        <w:rPr>
          <w:color w:val="000000"/>
        </w:rPr>
        <w:t>之外銷價格，</w:t>
      </w:r>
      <w:r w:rsidRPr="00131B9D">
        <w:rPr>
          <w:color w:val="000000"/>
        </w:rPr>
        <w:t>2</w:t>
      </w:r>
      <w:r w:rsidRPr="00131B9D">
        <w:rPr>
          <w:color w:val="000000"/>
        </w:rPr>
        <w:t>月已經上漲一波，</w:t>
      </w:r>
      <w:r w:rsidRPr="00131B9D">
        <w:rPr>
          <w:color w:val="000000"/>
        </w:rPr>
        <w:t>3</w:t>
      </w:r>
      <w:r w:rsidRPr="00131B9D">
        <w:rPr>
          <w:color w:val="000000"/>
        </w:rPr>
        <w:t>月再調漲價格。亞洲地區輕裂廠第</w:t>
      </w:r>
      <w:r w:rsidRPr="00131B9D">
        <w:rPr>
          <w:color w:val="000000"/>
        </w:rPr>
        <w:t>2</w:t>
      </w:r>
      <w:r w:rsidRPr="00131B9D">
        <w:rPr>
          <w:color w:val="000000"/>
        </w:rPr>
        <w:t>季密集歲修，造成乙烯供應吃緊推動</w:t>
      </w:r>
      <w:r w:rsidRPr="00131B9D">
        <w:rPr>
          <w:color w:val="000000"/>
        </w:rPr>
        <w:t>PVC</w:t>
      </w:r>
      <w:r w:rsidRPr="00131B9D">
        <w:rPr>
          <w:color w:val="000000"/>
        </w:rPr>
        <w:t>價格上升，加上美國大廠歲修以及中國大陸和印度的需求持續強勁，提振</w:t>
      </w:r>
      <w:r w:rsidRPr="00131B9D">
        <w:rPr>
          <w:color w:val="000000"/>
        </w:rPr>
        <w:t>4</w:t>
      </w:r>
      <w:r w:rsidRPr="00131B9D">
        <w:rPr>
          <w:color w:val="000000"/>
        </w:rPr>
        <w:t>月亞洲</w:t>
      </w:r>
      <w:r w:rsidRPr="00131B9D">
        <w:rPr>
          <w:color w:val="000000"/>
        </w:rPr>
        <w:t>PVC</w:t>
      </w:r>
      <w:r w:rsidRPr="00131B9D">
        <w:rPr>
          <w:color w:val="000000"/>
        </w:rPr>
        <w:t>市場行情向上墊高，展現連</w:t>
      </w:r>
      <w:r w:rsidRPr="00131B9D">
        <w:rPr>
          <w:color w:val="000000"/>
        </w:rPr>
        <w:t>3</w:t>
      </w:r>
      <w:r w:rsidRPr="00131B9D">
        <w:rPr>
          <w:color w:val="000000"/>
        </w:rPr>
        <w:t>個月走揚氣勢。惟隨著檢修旺季近入尾聲，追價買盤縮手，</w:t>
      </w:r>
      <w:r w:rsidRPr="00131B9D">
        <w:rPr>
          <w:color w:val="000000"/>
        </w:rPr>
        <w:t>5</w:t>
      </w:r>
      <w:r w:rsidRPr="00131B9D">
        <w:rPr>
          <w:color w:val="000000"/>
        </w:rPr>
        <w:t>月初</w:t>
      </w:r>
      <w:r w:rsidRPr="00131B9D">
        <w:rPr>
          <w:color w:val="000000"/>
        </w:rPr>
        <w:t>PVC</w:t>
      </w:r>
      <w:r w:rsidRPr="00131B9D">
        <w:rPr>
          <w:color w:val="000000"/>
        </w:rPr>
        <w:t>價格有回落壓力，但因大陸天業和中泰等大廠仍有輪修計劃，下探空間不大。</w:t>
      </w:r>
      <w:r w:rsidRPr="00131B9D">
        <w:rPr>
          <w:color w:val="000000"/>
        </w:rPr>
        <w:t>5</w:t>
      </w:r>
      <w:r w:rsidRPr="00131B9D">
        <w:rPr>
          <w:color w:val="000000"/>
        </w:rPr>
        <w:t>月底及六月，除了旺季進尾聲又受到國際油價漲勢趨緩，印度開始進入雨季，中國大陸回補買盤亦告一段落，造成聚氯乙烯價格下跌。雖然</w:t>
      </w:r>
      <w:r w:rsidRPr="00131B9D">
        <w:rPr>
          <w:color w:val="000000"/>
        </w:rPr>
        <w:t>7</w:t>
      </w:r>
      <w:r w:rsidRPr="00131B9D">
        <w:rPr>
          <w:color w:val="000000"/>
        </w:rPr>
        <w:t>月油價下挫，乙烯由</w:t>
      </w:r>
      <w:r w:rsidRPr="00131B9D">
        <w:rPr>
          <w:color w:val="000000"/>
        </w:rPr>
        <w:t>1,300</w:t>
      </w:r>
      <w:r w:rsidRPr="00131B9D">
        <w:rPr>
          <w:color w:val="000000"/>
        </w:rPr>
        <w:t>美元</w:t>
      </w:r>
      <w:r w:rsidRPr="00131B9D">
        <w:rPr>
          <w:color w:val="000000"/>
        </w:rPr>
        <w:t>/</w:t>
      </w:r>
      <w:r w:rsidRPr="00131B9D">
        <w:rPr>
          <w:color w:val="000000"/>
        </w:rPr>
        <w:t>公噸，跌到</w:t>
      </w:r>
      <w:r w:rsidRPr="00131B9D">
        <w:rPr>
          <w:color w:val="000000"/>
        </w:rPr>
        <w:t>820</w:t>
      </w:r>
      <w:r w:rsidRPr="00131B9D">
        <w:rPr>
          <w:color w:val="000000"/>
        </w:rPr>
        <w:t>美元</w:t>
      </w:r>
      <w:r w:rsidRPr="00131B9D">
        <w:rPr>
          <w:color w:val="000000"/>
        </w:rPr>
        <w:t>/</w:t>
      </w:r>
      <w:r w:rsidRPr="00131B9D">
        <w:rPr>
          <w:color w:val="000000"/>
        </w:rPr>
        <w:t>公噸，但印度需求回溫，且</w:t>
      </w:r>
      <w:r w:rsidRPr="00131B9D">
        <w:rPr>
          <w:color w:val="000000"/>
        </w:rPr>
        <w:t>6-10</w:t>
      </w:r>
      <w:r w:rsidRPr="00131B9D">
        <w:rPr>
          <w:color w:val="000000"/>
        </w:rPr>
        <w:t>月有部分</w:t>
      </w:r>
      <w:r w:rsidRPr="00131B9D">
        <w:rPr>
          <w:color w:val="000000"/>
        </w:rPr>
        <w:t>PVC</w:t>
      </w:r>
      <w:r w:rsidRPr="00131B9D">
        <w:rPr>
          <w:color w:val="000000"/>
        </w:rPr>
        <w:t>廠停產，</w:t>
      </w:r>
      <w:r w:rsidRPr="00131B9D">
        <w:rPr>
          <w:color w:val="000000"/>
        </w:rPr>
        <w:t>PVC</w:t>
      </w:r>
      <w:r w:rsidRPr="00131B9D">
        <w:rPr>
          <w:color w:val="000000"/>
        </w:rPr>
        <w:t>在五大泛用塑膠中價格相對持穩，台塑外銷價自</w:t>
      </w:r>
      <w:r w:rsidRPr="00131B9D">
        <w:rPr>
          <w:color w:val="000000"/>
        </w:rPr>
        <w:t>7</w:t>
      </w:r>
      <w:r w:rsidRPr="00131B9D">
        <w:rPr>
          <w:color w:val="000000"/>
        </w:rPr>
        <w:t>月初到</w:t>
      </w:r>
      <w:r w:rsidRPr="00131B9D">
        <w:rPr>
          <w:color w:val="000000"/>
        </w:rPr>
        <w:t>8</w:t>
      </w:r>
      <w:r w:rsidRPr="00131B9D">
        <w:rPr>
          <w:color w:val="000000"/>
        </w:rPr>
        <w:t>月中旬報價持穩在</w:t>
      </w:r>
      <w:r w:rsidRPr="00131B9D">
        <w:rPr>
          <w:color w:val="000000"/>
        </w:rPr>
        <w:t>840</w:t>
      </w:r>
      <w:r w:rsidRPr="00131B9D">
        <w:rPr>
          <w:color w:val="000000"/>
        </w:rPr>
        <w:t>美元左右，到了</w:t>
      </w:r>
      <w:r w:rsidRPr="00131B9D">
        <w:rPr>
          <w:color w:val="000000"/>
        </w:rPr>
        <w:t>9</w:t>
      </w:r>
      <w:r w:rsidRPr="00131B9D">
        <w:rPr>
          <w:color w:val="000000"/>
        </w:rPr>
        <w:t>月才跌到</w:t>
      </w:r>
      <w:r w:rsidRPr="00131B9D">
        <w:rPr>
          <w:color w:val="000000"/>
        </w:rPr>
        <w:t>800</w:t>
      </w:r>
      <w:r w:rsidRPr="00131B9D">
        <w:rPr>
          <w:color w:val="000000"/>
        </w:rPr>
        <w:t>美元。遠東區</w:t>
      </w:r>
      <w:r w:rsidRPr="00131B9D">
        <w:rPr>
          <w:color w:val="000000"/>
        </w:rPr>
        <w:t>PVC</w:t>
      </w:r>
      <w:r w:rsidRPr="00131B9D">
        <w:rPr>
          <w:color w:val="000000"/>
        </w:rPr>
        <w:t>在</w:t>
      </w:r>
      <w:r w:rsidRPr="00131B9D">
        <w:rPr>
          <w:color w:val="000000"/>
        </w:rPr>
        <w:t xml:space="preserve"> 9</w:t>
      </w:r>
      <w:r w:rsidRPr="00131B9D">
        <w:rPr>
          <w:color w:val="000000"/>
        </w:rPr>
        <w:t>月上旬</w:t>
      </w:r>
      <w:r w:rsidRPr="00131B9D">
        <w:rPr>
          <w:color w:val="000000"/>
        </w:rPr>
        <w:lastRenderedPageBreak/>
        <w:t>隨著原油反彈，印度雨季將結束，</w:t>
      </w:r>
      <w:r w:rsidRPr="00131B9D">
        <w:rPr>
          <w:color w:val="000000"/>
        </w:rPr>
        <w:t>PVC</w:t>
      </w:r>
      <w:r w:rsidRPr="00131B9D">
        <w:rPr>
          <w:color w:val="000000"/>
        </w:rPr>
        <w:t>買盤回籠，帶動報價反彈，惟月底因擔憂中國大陸經濟放緩，且隨著中國大陸十一長假即將開始，買氣下降造成價格回落。進入</w:t>
      </w:r>
      <w:r w:rsidRPr="00131B9D">
        <w:rPr>
          <w:color w:val="000000"/>
        </w:rPr>
        <w:t>10</w:t>
      </w:r>
      <w:r w:rsidRPr="00131B9D">
        <w:rPr>
          <w:color w:val="000000"/>
        </w:rPr>
        <w:t>月，印度、東南亞需求回溫，和中國大陸國慶假期結束開工率回升，加上上游原料乙烯價格攀高，</w:t>
      </w:r>
      <w:r w:rsidRPr="00131B9D">
        <w:rPr>
          <w:color w:val="000000"/>
        </w:rPr>
        <w:t>PVC</w:t>
      </w:r>
      <w:r w:rsidRPr="00131B9D">
        <w:rPr>
          <w:color w:val="000000"/>
        </w:rPr>
        <w:t>價格止跌回升，</w:t>
      </w:r>
      <w:r w:rsidRPr="00131B9D">
        <w:rPr>
          <w:color w:val="000000"/>
        </w:rPr>
        <w:t>10</w:t>
      </w:r>
      <w:r w:rsidRPr="00131B9D">
        <w:rPr>
          <w:color w:val="000000"/>
        </w:rPr>
        <w:t>月上旬大致維持在</w:t>
      </w:r>
      <w:r w:rsidRPr="00131B9D">
        <w:rPr>
          <w:color w:val="000000"/>
        </w:rPr>
        <w:t>800</w:t>
      </w:r>
      <w:r w:rsidRPr="00131B9D">
        <w:rPr>
          <w:color w:val="000000"/>
        </w:rPr>
        <w:t>美元</w:t>
      </w:r>
      <w:r w:rsidRPr="00131B9D">
        <w:rPr>
          <w:color w:val="000000"/>
        </w:rPr>
        <w:t>/</w:t>
      </w:r>
      <w:r w:rsidRPr="00131B9D">
        <w:rPr>
          <w:color w:val="000000"/>
        </w:rPr>
        <w:t>公噸之水準，但</w:t>
      </w:r>
      <w:r w:rsidRPr="00131B9D">
        <w:rPr>
          <w:color w:val="000000"/>
        </w:rPr>
        <w:t>10</w:t>
      </w:r>
      <w:r w:rsidRPr="00131B9D">
        <w:rPr>
          <w:color w:val="000000"/>
        </w:rPr>
        <w:t>月底後因排燈節將至，印度需求放緩，報價因此轉弱，</w:t>
      </w:r>
      <w:r w:rsidRPr="00131B9D">
        <w:rPr>
          <w:color w:val="000000"/>
        </w:rPr>
        <w:t>11</w:t>
      </w:r>
      <w:r w:rsidRPr="00131B9D">
        <w:rPr>
          <w:color w:val="000000"/>
        </w:rPr>
        <w:t>月中旬又因中東</w:t>
      </w:r>
      <w:r w:rsidRPr="00131B9D">
        <w:rPr>
          <w:color w:val="000000"/>
        </w:rPr>
        <w:t>VCM</w:t>
      </w:r>
      <w:r w:rsidRPr="00131B9D">
        <w:rPr>
          <w:color w:val="000000"/>
        </w:rPr>
        <w:t>（氯乙烯單體）產能銷往亞洲，造成</w:t>
      </w:r>
      <w:r w:rsidRPr="00131B9D">
        <w:rPr>
          <w:color w:val="000000"/>
        </w:rPr>
        <w:t>PCV</w:t>
      </w:r>
      <w:r w:rsidRPr="00131B9D">
        <w:rPr>
          <w:color w:val="000000"/>
        </w:rPr>
        <w:t>價格大跌</w:t>
      </w:r>
      <w:r w:rsidRPr="00131B9D">
        <w:rPr>
          <w:color w:val="000000"/>
        </w:rPr>
        <w:t>5%</w:t>
      </w:r>
      <w:r w:rsidRPr="00131B9D">
        <w:rPr>
          <w:color w:val="000000"/>
        </w:rPr>
        <w:t>，報價來到</w:t>
      </w:r>
      <w:r w:rsidRPr="00131B9D">
        <w:rPr>
          <w:color w:val="000000"/>
        </w:rPr>
        <w:t>739-741</w:t>
      </w:r>
      <w:r w:rsidRPr="00131B9D">
        <w:rPr>
          <w:color w:val="000000"/>
        </w:rPr>
        <w:t>美元</w:t>
      </w:r>
      <w:r w:rsidRPr="00131B9D">
        <w:rPr>
          <w:color w:val="000000"/>
        </w:rPr>
        <w:t>/</w:t>
      </w:r>
      <w:r w:rsidRPr="00131B9D">
        <w:rPr>
          <w:color w:val="000000"/>
        </w:rPr>
        <w:t>噸</w:t>
      </w:r>
      <w:r w:rsidR="00160782" w:rsidRPr="00131B9D">
        <w:rPr>
          <w:color w:val="000000"/>
        </w:rPr>
        <w:t>（如圖</w:t>
      </w:r>
      <w:r w:rsidR="00160782" w:rsidRPr="00131B9D">
        <w:rPr>
          <w:color w:val="000000"/>
        </w:rPr>
        <w:t>3- 31</w:t>
      </w:r>
      <w:r w:rsidR="00160782" w:rsidRPr="00131B9D">
        <w:rPr>
          <w:color w:val="000000"/>
        </w:rPr>
        <w:t>）</w:t>
      </w:r>
      <w:r w:rsidRPr="00131B9D">
        <w:rPr>
          <w:color w:val="000000"/>
        </w:rPr>
        <w:t>。</w:t>
      </w:r>
    </w:p>
    <w:p w:rsidR="00F279F7" w:rsidRPr="00131B9D" w:rsidRDefault="00BB2F1F" w:rsidP="00F279F7">
      <w:pPr>
        <w:pStyle w:val="-"/>
        <w:spacing w:before="72" w:after="72"/>
        <w:ind w:firstLine="560"/>
        <w:rPr>
          <w:color w:val="000000"/>
        </w:rPr>
      </w:pPr>
      <w:r w:rsidRPr="00131B9D">
        <w:rPr>
          <w:color w:val="000000"/>
        </w:rPr>
        <w:t>展望未來一年，中國大陸</w:t>
      </w:r>
      <w:r w:rsidRPr="00131B9D">
        <w:rPr>
          <w:color w:val="000000"/>
        </w:rPr>
        <w:t>PVC</w:t>
      </w:r>
      <w:r w:rsidRPr="00131B9D">
        <w:rPr>
          <w:color w:val="000000"/>
        </w:rPr>
        <w:t>產品主要消費領域為房地產與基礎建設，因預期上游原油價格仍持續疲軟，下游房產建築需求疲軟，且未來仍有</w:t>
      </w:r>
      <w:r w:rsidRPr="00131B9D">
        <w:rPr>
          <w:color w:val="000000"/>
        </w:rPr>
        <w:t>PVC</w:t>
      </w:r>
      <w:r w:rsidRPr="00131B9D">
        <w:rPr>
          <w:color w:val="000000"/>
        </w:rPr>
        <w:t>新建產能投入市場，亞洲</w:t>
      </w:r>
      <w:r w:rsidRPr="00131B9D">
        <w:rPr>
          <w:color w:val="000000"/>
        </w:rPr>
        <w:t>PVC</w:t>
      </w:r>
      <w:r w:rsidRPr="00131B9D">
        <w:rPr>
          <w:color w:val="000000"/>
        </w:rPr>
        <w:t>供應將增加。日本經濟產業省</w:t>
      </w:r>
      <w:r w:rsidRPr="00131B9D">
        <w:rPr>
          <w:color w:val="000000"/>
        </w:rPr>
        <w:t>(METI)</w:t>
      </w:r>
      <w:r w:rsidRPr="00131B9D">
        <w:rPr>
          <w:color w:val="000000"/>
        </w:rPr>
        <w:t>表示，</w:t>
      </w:r>
      <w:r w:rsidRPr="00131B9D">
        <w:rPr>
          <w:color w:val="000000"/>
        </w:rPr>
        <w:t>2014</w:t>
      </w:r>
      <w:r w:rsidRPr="00131B9D">
        <w:rPr>
          <w:color w:val="000000"/>
        </w:rPr>
        <w:t>年亞洲</w:t>
      </w:r>
      <w:r w:rsidRPr="00131B9D">
        <w:rPr>
          <w:color w:val="000000"/>
        </w:rPr>
        <w:t>PVC</w:t>
      </w:r>
      <w:r w:rsidRPr="00131B9D">
        <w:rPr>
          <w:color w:val="000000"/>
        </w:rPr>
        <w:t>供應過剩達到</w:t>
      </w:r>
      <w:r w:rsidRPr="00131B9D">
        <w:rPr>
          <w:color w:val="000000"/>
        </w:rPr>
        <w:t>111</w:t>
      </w:r>
      <w:r w:rsidRPr="00131B9D">
        <w:rPr>
          <w:color w:val="000000"/>
        </w:rPr>
        <w:t>萬噸，</w:t>
      </w:r>
      <w:r w:rsidRPr="00131B9D">
        <w:rPr>
          <w:color w:val="000000"/>
        </w:rPr>
        <w:t>2015</w:t>
      </w:r>
      <w:r w:rsidRPr="00131B9D">
        <w:rPr>
          <w:color w:val="000000"/>
        </w:rPr>
        <w:t>年預計增加到</w:t>
      </w:r>
      <w:r w:rsidRPr="00131B9D">
        <w:rPr>
          <w:color w:val="000000"/>
        </w:rPr>
        <w:t>116</w:t>
      </w:r>
      <w:r w:rsidRPr="00131B9D">
        <w:rPr>
          <w:color w:val="000000"/>
        </w:rPr>
        <w:t>萬噸，</w:t>
      </w:r>
      <w:r w:rsidRPr="00131B9D">
        <w:rPr>
          <w:color w:val="000000"/>
        </w:rPr>
        <w:t>2016</w:t>
      </w:r>
      <w:r w:rsidRPr="00131B9D">
        <w:rPr>
          <w:color w:val="000000"/>
        </w:rPr>
        <w:t>年將達到</w:t>
      </w:r>
      <w:r w:rsidRPr="00131B9D">
        <w:rPr>
          <w:color w:val="000000"/>
        </w:rPr>
        <w:t>150</w:t>
      </w:r>
      <w:r w:rsidRPr="00131B9D">
        <w:rPr>
          <w:color w:val="000000"/>
        </w:rPr>
        <w:t>萬噸，因此預期未來價格可能下跌。</w:t>
      </w:r>
    </w:p>
    <w:p w:rsidR="00F279F7" w:rsidRPr="00131B9D" w:rsidRDefault="00F279F7" w:rsidP="00F279F7"/>
    <w:p w:rsidR="00F279F7" w:rsidRPr="00131B9D" w:rsidRDefault="00F279F7" w:rsidP="00F279F7">
      <w:pPr>
        <w:spacing w:line="360" w:lineRule="auto"/>
      </w:pPr>
      <w:r w:rsidRPr="00131B9D">
        <w:rPr>
          <w:noProof/>
        </w:rPr>
        <w:drawing>
          <wp:inline distT="0" distB="0" distL="0" distR="0" wp14:anchorId="489DEF53" wp14:editId="6DF31C51">
            <wp:extent cx="5252400" cy="3189768"/>
            <wp:effectExtent l="19050" t="0" r="24450" b="0"/>
            <wp:docPr id="61" name="圖表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jc w:val="center"/>
        <w:rPr>
          <w:rFonts w:eastAsia="標楷體"/>
          <w:b/>
          <w:bCs/>
          <w:kern w:val="52"/>
          <w:sz w:val="28"/>
          <w:szCs w:val="28"/>
        </w:rPr>
      </w:pPr>
      <w:bookmarkStart w:id="283" w:name="_Toc398882663"/>
      <w:bookmarkStart w:id="284" w:name="_Toc438223365"/>
      <w:bookmarkStart w:id="285" w:name="_Toc322706973"/>
      <w:bookmarkStart w:id="286" w:name="_Toc365017356"/>
      <w:bookmarkStart w:id="287" w:name="_Toc373423074"/>
      <w:bookmarkStart w:id="288" w:name="_Toc373682459"/>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31</w:t>
      </w:r>
      <w:r w:rsidRPr="00131B9D">
        <w:rPr>
          <w:rFonts w:eastAsia="標楷體"/>
          <w:b/>
          <w:bCs/>
          <w:kern w:val="52"/>
          <w:sz w:val="28"/>
          <w:szCs w:val="28"/>
        </w:rPr>
        <w:fldChar w:fldCharType="end"/>
      </w:r>
      <w:r w:rsidRPr="00131B9D">
        <w:rPr>
          <w:rFonts w:eastAsia="標楷體"/>
          <w:b/>
          <w:bCs/>
          <w:kern w:val="52"/>
          <w:sz w:val="28"/>
          <w:szCs w:val="28"/>
        </w:rPr>
        <w:t xml:space="preserve">　聚氯乙烯近一年價格走勢圖</w:t>
      </w:r>
      <w:bookmarkEnd w:id="283"/>
      <w:bookmarkEnd w:id="284"/>
    </w:p>
    <w:p w:rsidR="00F279F7" w:rsidRPr="00131B9D" w:rsidRDefault="00F279F7" w:rsidP="00F279F7"/>
    <w:p w:rsidR="00F279F7" w:rsidRPr="00131B9D" w:rsidRDefault="00F279F7" w:rsidP="00F279F7"/>
    <w:p w:rsidR="00F279F7" w:rsidRPr="00131B9D" w:rsidRDefault="00F279F7" w:rsidP="00F279F7">
      <w:pPr>
        <w:pStyle w:val="3"/>
        <w:rPr>
          <w:rFonts w:ascii="Times New Roman" w:hAnsi="Times New Roman"/>
        </w:rPr>
      </w:pPr>
      <w:bookmarkStart w:id="289" w:name="_Toc322706974"/>
      <w:bookmarkEnd w:id="285"/>
      <w:bookmarkEnd w:id="286"/>
      <w:bookmarkEnd w:id="287"/>
      <w:bookmarkEnd w:id="288"/>
      <w:r w:rsidRPr="00131B9D">
        <w:rPr>
          <w:rFonts w:ascii="Times New Roman" w:hAnsi="Times New Roman"/>
        </w:rPr>
        <w:lastRenderedPageBreak/>
        <w:t>（五）低密度聚乙烯（</w:t>
      </w:r>
      <w:r w:rsidRPr="00131B9D">
        <w:rPr>
          <w:rFonts w:ascii="Times New Roman" w:hAnsi="Times New Roman"/>
        </w:rPr>
        <w:t>LDPE</w:t>
      </w:r>
      <w:r w:rsidRPr="00131B9D">
        <w:rPr>
          <w:rFonts w:ascii="Times New Roman" w:hAnsi="Times New Roman"/>
        </w:rPr>
        <w:t>）及高密度聚乙烯（</w:t>
      </w:r>
      <w:r w:rsidRPr="00131B9D">
        <w:rPr>
          <w:rFonts w:ascii="Times New Roman" w:hAnsi="Times New Roman"/>
        </w:rPr>
        <w:t>HDPE</w:t>
      </w:r>
      <w:r w:rsidRPr="00131B9D">
        <w:rPr>
          <w:rFonts w:ascii="Times New Roman" w:hAnsi="Times New Roman"/>
        </w:rPr>
        <w:t>）</w:t>
      </w:r>
      <w:bookmarkEnd w:id="289"/>
    </w:p>
    <w:p w:rsidR="00F279F7" w:rsidRPr="00131B9D" w:rsidRDefault="00F279F7" w:rsidP="00F279F7">
      <w:pPr>
        <w:pStyle w:val="-"/>
        <w:spacing w:before="72" w:after="72"/>
        <w:ind w:firstLine="560"/>
      </w:pPr>
      <w:r w:rsidRPr="00131B9D">
        <w:t>受歐洲供需關係的影響，中國大陸聚乙烯的出口形勢看漲。</w:t>
      </w:r>
      <w:r w:rsidRPr="00131B9D">
        <w:t>3</w:t>
      </w:r>
      <w:r w:rsidRPr="00131B9D">
        <w:t>月國際油價相對穩定，市場回補意願仍高，根據</w:t>
      </w:r>
      <w:r w:rsidRPr="00131B9D">
        <w:t>Platts</w:t>
      </w:r>
      <w:r w:rsidRPr="00131B9D">
        <w:t>資料顯示，</w:t>
      </w:r>
      <w:r w:rsidRPr="00131B9D">
        <w:t>3</w:t>
      </w:r>
      <w:r w:rsidRPr="00131B9D">
        <w:t>月</w:t>
      </w:r>
      <w:r w:rsidRPr="00131B9D">
        <w:t>23</w:t>
      </w:r>
      <w:r w:rsidRPr="00131B9D">
        <w:t>至</w:t>
      </w:r>
      <w:r w:rsidRPr="00131B9D">
        <w:t>27</w:t>
      </w:r>
      <w:r w:rsidRPr="00131B9D">
        <w:t>當週五大泛用塑膠報價均維持上漲的</w:t>
      </w:r>
      <w:r w:rsidR="00BB2F1F" w:rsidRPr="00131B9D">
        <w:t>局面，</w:t>
      </w:r>
      <w:r w:rsidR="00BB2F1F" w:rsidRPr="00131B9D">
        <w:t xml:space="preserve"> PE</w:t>
      </w:r>
      <w:r w:rsidR="00BB2F1F" w:rsidRPr="00131B9D">
        <w:t>漲幅落在</w:t>
      </w:r>
      <w:r w:rsidR="00BB2F1F" w:rsidRPr="00131B9D">
        <w:t>1%</w:t>
      </w:r>
      <w:r w:rsidR="00BB2F1F" w:rsidRPr="00131B9D">
        <w:t>以上，其中</w:t>
      </w:r>
      <w:r w:rsidR="00BB2F1F" w:rsidRPr="00131B9D">
        <w:t>LDPE</w:t>
      </w:r>
      <w:r w:rsidR="00BB2F1F" w:rsidRPr="00131B9D">
        <w:t>漲</w:t>
      </w:r>
      <w:r w:rsidR="00BB2F1F" w:rsidRPr="00131B9D">
        <w:t>1.44%</w:t>
      </w:r>
      <w:r w:rsidR="00BB2F1F" w:rsidRPr="00131B9D">
        <w:t>，報價</w:t>
      </w:r>
      <w:r w:rsidR="00BB2F1F" w:rsidRPr="00131B9D">
        <w:t>1,269-1,271</w:t>
      </w:r>
      <w:r w:rsidR="00BB2F1F" w:rsidRPr="00131B9D">
        <w:t>美元，報價</w:t>
      </w:r>
      <w:r w:rsidR="00BB2F1F" w:rsidRPr="00131B9D">
        <w:t>1,247-1,249</w:t>
      </w:r>
      <w:r w:rsidR="00BB2F1F" w:rsidRPr="00131B9D">
        <w:t>美元，而</w:t>
      </w:r>
      <w:r w:rsidR="00BB2F1F" w:rsidRPr="00131B9D">
        <w:t>HDPE</w:t>
      </w:r>
      <w:r w:rsidR="00BB2F1F" w:rsidRPr="00131B9D">
        <w:t>漲</w:t>
      </w:r>
      <w:r w:rsidR="00BB2F1F" w:rsidRPr="00131B9D">
        <w:t>1.89%</w:t>
      </w:r>
      <w:r w:rsidR="00BB2F1F" w:rsidRPr="00131B9D">
        <w:t>，報價</w:t>
      </w:r>
      <w:r w:rsidR="00BB2F1F" w:rsidRPr="00131B9D">
        <w:t>1,239-1,241</w:t>
      </w:r>
      <w:r w:rsidR="00BB2F1F" w:rsidRPr="00131B9D">
        <w:t>美元。</w:t>
      </w:r>
    </w:p>
    <w:p w:rsidR="00F279F7" w:rsidRPr="00131B9D" w:rsidRDefault="00F279F7" w:rsidP="00F279F7">
      <w:pPr>
        <w:pStyle w:val="-"/>
        <w:spacing w:before="72" w:after="72"/>
        <w:ind w:firstLine="560"/>
      </w:pPr>
      <w:r w:rsidRPr="00131B9D">
        <w:t>隨著第</w:t>
      </w:r>
      <w:r w:rsidRPr="00131B9D">
        <w:t>2</w:t>
      </w:r>
      <w:r w:rsidRPr="00131B9D">
        <w:t>季亞洲輕油裂解廠進入歲修高峰期，截至</w:t>
      </w:r>
      <w:r w:rsidRPr="00131B9D">
        <w:t>6</w:t>
      </w:r>
      <w:r w:rsidRPr="00131B9D">
        <w:t>月初為止的兩個月以來，共計共有</w:t>
      </w:r>
      <w:r w:rsidRPr="00131B9D">
        <w:t>8</w:t>
      </w:r>
      <w:r w:rsidRPr="00131B9D">
        <w:t>家工廠、</w:t>
      </w:r>
      <w:r w:rsidRPr="00131B9D">
        <w:t>500</w:t>
      </w:r>
      <w:r w:rsidRPr="00131B9D">
        <w:t>多萬公噸乙烯產能陸續停工，造成乙烯價位持續攀升，也帶動乙烯衍生物行情看漲。根據</w:t>
      </w:r>
      <w:r w:rsidRPr="00131B9D">
        <w:t>Platts</w:t>
      </w:r>
      <w:r w:rsidRPr="00131B9D">
        <w:t>資料顯示，</w:t>
      </w:r>
      <w:r w:rsidRPr="00131B9D">
        <w:t>4</w:t>
      </w:r>
      <w:r w:rsidRPr="00131B9D">
        <w:t>月初</w:t>
      </w:r>
      <w:r w:rsidRPr="00131B9D">
        <w:t>HDPE</w:t>
      </w:r>
      <w:r w:rsidRPr="00131B9D">
        <w:t>漲價預期心理濃厚，報價漲幅達</w:t>
      </w:r>
      <w:r w:rsidRPr="00131B9D">
        <w:t>4.03%</w:t>
      </w:r>
      <w:r w:rsidRPr="00131B9D">
        <w:t>，成為漲幅最大者，報價</w:t>
      </w:r>
      <w:r w:rsidRPr="00131B9D">
        <w:t>1,289-1,291</w:t>
      </w:r>
      <w:r w:rsidRPr="00131B9D">
        <w:t>美元；</w:t>
      </w:r>
      <w:r w:rsidRPr="00131B9D">
        <w:t>LDPE</w:t>
      </w:r>
      <w:r w:rsidRPr="00131B9D">
        <w:t>與</w:t>
      </w:r>
      <w:r w:rsidRPr="00131B9D">
        <w:t>LLDPE</w:t>
      </w:r>
      <w:r w:rsidRPr="00131B9D">
        <w:t>之漲幅則為</w:t>
      </w:r>
      <w:r w:rsidRPr="00131B9D">
        <w:t>2-3%</w:t>
      </w:r>
      <w:r w:rsidRPr="00131B9D">
        <w:t>。</w:t>
      </w:r>
      <w:r w:rsidRPr="00131B9D">
        <w:t>4</w:t>
      </w:r>
      <w:r w:rsidRPr="00131B9D">
        <w:t>月份是鞋材的旺季，因此</w:t>
      </w:r>
      <w:r w:rsidRPr="00131B9D">
        <w:t>LDPE</w:t>
      </w:r>
      <w:r w:rsidRPr="00131B9D">
        <w:t>製程轉為生產乙烯醋酸乙烯酯（</w:t>
      </w:r>
      <w:r w:rsidRPr="00131B9D">
        <w:t>EVA</w:t>
      </w:r>
      <w:r w:rsidRPr="00131B9D">
        <w:t>）為主，造成</w:t>
      </w:r>
      <w:r w:rsidRPr="00131B9D">
        <w:t>LDPE</w:t>
      </w:r>
      <w:r w:rsidRPr="00131B9D">
        <w:t>供給量減少，帶動</w:t>
      </w:r>
      <w:r w:rsidRPr="00131B9D">
        <w:t>4</w:t>
      </w:r>
      <w:r w:rsidRPr="00131B9D">
        <w:t>月中旬</w:t>
      </w:r>
      <w:r w:rsidRPr="00131B9D">
        <w:t xml:space="preserve"> LDPE</w:t>
      </w:r>
      <w:r w:rsidRPr="00131B9D">
        <w:t>報價每噸上漲</w:t>
      </w:r>
      <w:r w:rsidRPr="00131B9D">
        <w:t>100</w:t>
      </w:r>
      <w:r w:rsidRPr="00131B9D">
        <w:t>美元，漲幅逾</w:t>
      </w:r>
      <w:r w:rsidRPr="00131B9D">
        <w:t>7%</w:t>
      </w:r>
      <w:r w:rsidRPr="00131B9D">
        <w:t>。</w:t>
      </w:r>
      <w:r w:rsidRPr="00131B9D">
        <w:t>5</w:t>
      </w:r>
      <w:r w:rsidRPr="00131B9D">
        <w:t>月中旬，中國大陸乙烯因到貨增多，對下游成本支撐減弱，又農膜需求旺季逐漸回落，</w:t>
      </w:r>
      <w:r w:rsidRPr="00131B9D">
        <w:t>PE</w:t>
      </w:r>
      <w:r w:rsidRPr="00131B9D">
        <w:t>功能膜需求趨緩，加上中國大陸蒲城清潔能源煤製烯烴項目</w:t>
      </w:r>
      <w:r w:rsidRPr="00131B9D">
        <w:t>30</w:t>
      </w:r>
      <w:r w:rsidRPr="00131B9D">
        <w:t>萬噸</w:t>
      </w:r>
      <w:r w:rsidRPr="00131B9D">
        <w:t>/</w:t>
      </w:r>
      <w:r w:rsidRPr="00131B9D">
        <w:t>年之全密度裝置重新投入生產，上海石化也在</w:t>
      </w:r>
      <w:r w:rsidRPr="00131B9D">
        <w:t>6</w:t>
      </w:r>
      <w:r w:rsidRPr="00131B9D">
        <w:t>月</w:t>
      </w:r>
      <w:r w:rsidRPr="00131B9D">
        <w:t>14</w:t>
      </w:r>
      <w:r w:rsidRPr="00131B9D">
        <w:t>日計畫重啟</w:t>
      </w:r>
      <w:r w:rsidRPr="00131B9D">
        <w:t>10</w:t>
      </w:r>
      <w:r w:rsidRPr="00131B9D">
        <w:t>萬公噸</w:t>
      </w:r>
      <w:r w:rsidRPr="00131B9D">
        <w:t>/</w:t>
      </w:r>
      <w:r w:rsidRPr="00131B9D">
        <w:t>年的</w:t>
      </w:r>
      <w:r w:rsidRPr="00131B9D">
        <w:t>LDPE</w:t>
      </w:r>
      <w:r w:rsidRPr="00131B9D">
        <w:t>生產線，</w:t>
      </w:r>
      <w:r w:rsidRPr="00131B9D">
        <w:t>5</w:t>
      </w:r>
      <w:r w:rsidRPr="00131B9D">
        <w:t>月後期，印度對</w:t>
      </w:r>
      <w:r w:rsidRPr="00131B9D">
        <w:t>LLDPE</w:t>
      </w:r>
      <w:r w:rsidRPr="00131B9D">
        <w:t>轉弱跡象，</w:t>
      </w:r>
      <w:r w:rsidRPr="00131B9D">
        <w:t>6</w:t>
      </w:r>
      <w:r w:rsidRPr="00131B9D">
        <w:t>月中旬進入回教齋戒月，故</w:t>
      </w:r>
      <w:r w:rsidRPr="00131B9D">
        <w:t>5</w:t>
      </w:r>
      <w:r w:rsidRPr="00131B9D">
        <w:t>、</w:t>
      </w:r>
      <w:r w:rsidRPr="00131B9D">
        <w:t>6</w:t>
      </w:r>
      <w:r w:rsidRPr="00131B9D">
        <w:t>月</w:t>
      </w:r>
      <w:r w:rsidRPr="00131B9D">
        <w:t>PE</w:t>
      </w:r>
      <w:r w:rsidRPr="00131B9D">
        <w:t>價格呈下跌趨勢。第</w:t>
      </w:r>
      <w:r w:rsidRPr="00131B9D">
        <w:t>3</w:t>
      </w:r>
      <w:r w:rsidRPr="00131B9D">
        <w:t>季因原油價格下跌，且</w:t>
      </w:r>
      <w:r w:rsidRPr="00131B9D">
        <w:t>6</w:t>
      </w:r>
      <w:r w:rsidRPr="00131B9D">
        <w:t>月上海石化、大慶石化的</w:t>
      </w:r>
      <w:r w:rsidRPr="00131B9D">
        <w:t>HDPE(</w:t>
      </w:r>
      <w:r w:rsidRPr="00131B9D">
        <w:t>高密度聚乙烯</w:t>
      </w:r>
      <w:r w:rsidRPr="00131B9D">
        <w:t>)</w:t>
      </w:r>
      <w:r w:rsidRPr="00131B9D">
        <w:t>歲修，</w:t>
      </w:r>
      <w:r w:rsidRPr="00131B9D">
        <w:t>7</w:t>
      </w:r>
      <w:r w:rsidRPr="00131B9D">
        <w:t>月前期</w:t>
      </w:r>
      <w:r w:rsidRPr="00131B9D">
        <w:t>HDPE</w:t>
      </w:r>
      <w:r w:rsidRPr="00131B9D">
        <w:t>報價持穩在</w:t>
      </w:r>
      <w:r w:rsidRPr="00131B9D">
        <w:t>1,289-1,291</w:t>
      </w:r>
      <w:r w:rsidRPr="00131B9D">
        <w:t>美元，</w:t>
      </w:r>
      <w:r w:rsidRPr="00131B9D">
        <w:t>LDPE(</w:t>
      </w:r>
      <w:r w:rsidRPr="00131B9D">
        <w:t>低密度聚乙烯</w:t>
      </w:r>
      <w:r w:rsidRPr="00131B9D">
        <w:t>)</w:t>
      </w:r>
      <w:r w:rsidRPr="00131B9D">
        <w:t>持平</w:t>
      </w:r>
      <w:r w:rsidRPr="00131B9D">
        <w:t>1,329-1,331</w:t>
      </w:r>
      <w:r w:rsidRPr="00131B9D">
        <w:t>美元，到了月底，市場仍在觀望國際油價何時止跌，加上中國大陸需求不明，旺季需求欠佳，導致五大泛用塑膠報價疲弱，</w:t>
      </w:r>
      <w:r w:rsidRPr="00131B9D">
        <w:t>HDPE(</w:t>
      </w:r>
      <w:r w:rsidRPr="00131B9D">
        <w:t>高密度聚乙烯</w:t>
      </w:r>
      <w:r w:rsidRPr="00131B9D">
        <w:t>)</w:t>
      </w:r>
      <w:r w:rsidRPr="00131B9D">
        <w:t>下跌</w:t>
      </w:r>
      <w:r w:rsidRPr="00131B9D">
        <w:t>6.2%</w:t>
      </w:r>
      <w:r w:rsidRPr="00131B9D">
        <w:t>，報價</w:t>
      </w:r>
      <w:r w:rsidRPr="00131B9D">
        <w:t>1,209-1,211</w:t>
      </w:r>
      <w:r w:rsidRPr="00131B9D">
        <w:t>美元，</w:t>
      </w:r>
      <w:r w:rsidRPr="00131B9D">
        <w:t>LDPE(</w:t>
      </w:r>
      <w:r w:rsidRPr="00131B9D">
        <w:t>低密度聚乙烯</w:t>
      </w:r>
      <w:r w:rsidRPr="00131B9D">
        <w:t>)</w:t>
      </w:r>
      <w:r w:rsidRPr="00131B9D">
        <w:t>下跌</w:t>
      </w:r>
      <w:r w:rsidRPr="00131B9D">
        <w:t>4.14%</w:t>
      </w:r>
      <w:r w:rsidRPr="00131B9D">
        <w:t>。</w:t>
      </w:r>
      <w:r w:rsidRPr="00131B9D">
        <w:t>8</w:t>
      </w:r>
      <w:r w:rsidRPr="00131B9D">
        <w:t>月前期隨著油價暫時止跌，五大泛用樹脂跌勢趨緩，但下半月中國大陸股市暴跌，需求面放緩，報價再次重挫。</w:t>
      </w:r>
      <w:r w:rsidRPr="00131B9D">
        <w:t>9</w:t>
      </w:r>
      <w:r w:rsidRPr="00131B9D">
        <w:t>月後，因油價跌深反彈及農膜需求浮現，支撐</w:t>
      </w:r>
      <w:r w:rsidRPr="00131B9D">
        <w:t>LDPE</w:t>
      </w:r>
      <w:r w:rsidRPr="00131B9D">
        <w:t>及</w:t>
      </w:r>
      <w:r w:rsidRPr="00131B9D">
        <w:t>HDPE</w:t>
      </w:r>
      <w:r w:rsidRPr="00131B9D">
        <w:t>價格反彈，其後雖因觀望美國升息與否及中國大陸</w:t>
      </w:r>
      <w:r w:rsidRPr="00131B9D">
        <w:t>9</w:t>
      </w:r>
      <w:r w:rsidRPr="00131B9D">
        <w:t>月</w:t>
      </w:r>
      <w:r w:rsidRPr="00131B9D">
        <w:t>PMI</w:t>
      </w:r>
      <w:r w:rsidRPr="00131B9D">
        <w:t>數據表現疲弱等因素價格</w:t>
      </w:r>
      <w:r w:rsidRPr="00131B9D">
        <w:lastRenderedPageBreak/>
        <w:t>有所變動，但波動幅度均小，價格以低位震盪為主。</w:t>
      </w:r>
      <w:r w:rsidRPr="00131B9D">
        <w:t>10</w:t>
      </w:r>
      <w:r w:rsidRPr="00131B9D">
        <w:t>月上旬國際油價回升，沙烏地阿拉伯、韓國、泰國等國之</w:t>
      </w:r>
      <w:r w:rsidRPr="00131B9D">
        <w:t>PE</w:t>
      </w:r>
      <w:r w:rsidRPr="00131B9D">
        <w:t>廠</w:t>
      </w:r>
      <w:r w:rsidRPr="00131B9D">
        <w:t>10</w:t>
      </w:r>
      <w:r w:rsidRPr="00131B9D">
        <w:t>月皆有檢修計畫，同時中國大陸</w:t>
      </w:r>
      <w:r w:rsidRPr="00131B9D">
        <w:t>8</w:t>
      </w:r>
      <w:r w:rsidRPr="00131B9D">
        <w:t>月</w:t>
      </w:r>
      <w:r w:rsidRPr="00131B9D">
        <w:t>LDPE</w:t>
      </w:r>
      <w:r w:rsidRPr="00131B9D">
        <w:t>進口量大增</w:t>
      </w:r>
      <w:r w:rsidRPr="00131B9D">
        <w:t>16.9%</w:t>
      </w:r>
      <w:r w:rsidRPr="00131B9D">
        <w:t>，帶動</w:t>
      </w:r>
      <w:r w:rsidRPr="00131B9D">
        <w:t>PE</w:t>
      </w:r>
      <w:r w:rsidRPr="00131B9D">
        <w:t>衍生物價格走強。惟</w:t>
      </w:r>
      <w:r w:rsidRPr="00131B9D">
        <w:t>10</w:t>
      </w:r>
      <w:r w:rsidRPr="00131B9D">
        <w:t>月底受中國烯烴衍生物產能增加，以及泰國</w:t>
      </w:r>
      <w:r w:rsidRPr="00131B9D">
        <w:t>PTT</w:t>
      </w:r>
      <w:r w:rsidRPr="00131B9D">
        <w:t>歲修</w:t>
      </w:r>
      <w:r w:rsidRPr="00131B9D">
        <w:t>PE</w:t>
      </w:r>
      <w:r w:rsidRPr="00131B9D">
        <w:t>系列產線，即將重新投產等因素，造成價格下跌，</w:t>
      </w:r>
      <w:r w:rsidRPr="00131B9D">
        <w:t>11</w:t>
      </w:r>
      <w:r w:rsidRPr="00131B9D">
        <w:t>月後價格持續滑落</w:t>
      </w:r>
      <w:r w:rsidR="00160782" w:rsidRPr="00131B9D">
        <w:t>（如圖</w:t>
      </w:r>
      <w:r w:rsidR="00160782" w:rsidRPr="00131B9D">
        <w:t>3- 32</w:t>
      </w:r>
      <w:r w:rsidR="00160782" w:rsidRPr="00131B9D">
        <w:t>及圖</w:t>
      </w:r>
      <w:r w:rsidR="00160782" w:rsidRPr="00131B9D">
        <w:t>3- 33</w:t>
      </w:r>
      <w:r w:rsidR="00160782" w:rsidRPr="00131B9D">
        <w:t>）</w:t>
      </w:r>
      <w:r w:rsidRPr="00131B9D">
        <w:t>。</w:t>
      </w:r>
    </w:p>
    <w:p w:rsidR="00F279F7" w:rsidRPr="00131B9D" w:rsidRDefault="00F279F7" w:rsidP="00F279F7">
      <w:pPr>
        <w:pStyle w:val="-"/>
        <w:spacing w:before="72" w:after="72"/>
        <w:ind w:firstLine="560"/>
      </w:pPr>
      <w:r w:rsidRPr="00131B9D">
        <w:t>展望未來一年，預期未來原油價格將持續疲軟，同時中國大陸後續有</w:t>
      </w:r>
      <w:r w:rsidRPr="00131B9D">
        <w:t>PE</w:t>
      </w:r>
      <w:r w:rsidRPr="00131B9D">
        <w:t>新增產能投產，預期</w:t>
      </w:r>
      <w:r w:rsidRPr="00131B9D">
        <w:t>2016</w:t>
      </w:r>
      <w:r w:rsidRPr="00131B9D">
        <w:t>年新增產能達到</w:t>
      </w:r>
      <w:r w:rsidRPr="00131B9D">
        <w:t>167</w:t>
      </w:r>
      <w:r w:rsidRPr="00131B9D">
        <w:t>萬噸，</w:t>
      </w:r>
      <w:r w:rsidRPr="00131B9D">
        <w:t>2017</w:t>
      </w:r>
      <w:r w:rsidRPr="00131B9D">
        <w:t>年計畫新增產能達到</w:t>
      </w:r>
      <w:r w:rsidRPr="00131B9D">
        <w:t>242</w:t>
      </w:r>
      <w:r w:rsidRPr="00131B9D">
        <w:t>萬噸，</w:t>
      </w:r>
      <w:r w:rsidR="00BB2F1F" w:rsidRPr="00131B9D">
        <w:t>因此未來價格恐下跌。</w:t>
      </w:r>
    </w:p>
    <w:p w:rsidR="00F279F7" w:rsidRPr="00131B9D" w:rsidRDefault="00F279F7" w:rsidP="00F279F7"/>
    <w:p w:rsidR="00F279F7" w:rsidRPr="00131B9D" w:rsidRDefault="00F279F7" w:rsidP="00F279F7">
      <w:r w:rsidRPr="00131B9D">
        <w:rPr>
          <w:noProof/>
        </w:rPr>
        <w:drawing>
          <wp:inline distT="0" distB="0" distL="0" distR="0" wp14:anchorId="22922F1D" wp14:editId="5D261D5C">
            <wp:extent cx="5252400" cy="3189768"/>
            <wp:effectExtent l="0" t="0" r="24765" b="10795"/>
            <wp:docPr id="63" name="圖表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90" w:name="_Toc398882664"/>
      <w:bookmarkStart w:id="291" w:name="_Toc438223366"/>
      <w:bookmarkStart w:id="292" w:name="_Toc322706975"/>
      <w:bookmarkStart w:id="293" w:name="_Toc365017357"/>
      <w:bookmarkStart w:id="294" w:name="_Toc373423075"/>
      <w:bookmarkStart w:id="295" w:name="_Toc373682460"/>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32</w:t>
      </w:r>
      <w:r w:rsidRPr="00131B9D">
        <w:rPr>
          <w:rFonts w:eastAsia="標楷體"/>
          <w:b/>
          <w:bCs/>
          <w:kern w:val="52"/>
          <w:sz w:val="28"/>
          <w:szCs w:val="28"/>
        </w:rPr>
        <w:fldChar w:fldCharType="end"/>
      </w:r>
      <w:r w:rsidRPr="00131B9D">
        <w:rPr>
          <w:rFonts w:eastAsia="標楷體"/>
          <w:b/>
          <w:bCs/>
          <w:kern w:val="52"/>
          <w:sz w:val="28"/>
          <w:szCs w:val="28"/>
        </w:rPr>
        <w:t xml:space="preserve">　低密度聚乙烯近一年價格走勢圖</w:t>
      </w:r>
      <w:bookmarkEnd w:id="290"/>
      <w:bookmarkEnd w:id="291"/>
    </w:p>
    <w:p w:rsidR="00F279F7" w:rsidRPr="00131B9D" w:rsidRDefault="00F279F7" w:rsidP="00F279F7"/>
    <w:p w:rsidR="003B29E8" w:rsidRPr="00131B9D" w:rsidRDefault="003B29E8" w:rsidP="003B29E8">
      <w:pPr>
        <w:sectPr w:rsidR="003B29E8" w:rsidRPr="00131B9D" w:rsidSect="00097B8D">
          <w:pgSz w:w="11906" w:h="16838"/>
          <w:pgMar w:top="1440" w:right="1800" w:bottom="1440" w:left="1800" w:header="851" w:footer="992" w:gutter="0"/>
          <w:cols w:space="425"/>
          <w:docGrid w:type="lines" w:linePitch="360"/>
        </w:sectPr>
      </w:pPr>
    </w:p>
    <w:bookmarkEnd w:id="292"/>
    <w:bookmarkEnd w:id="293"/>
    <w:bookmarkEnd w:id="294"/>
    <w:bookmarkEnd w:id="295"/>
    <w:p w:rsidR="00F279F7" w:rsidRPr="00131B9D" w:rsidRDefault="00F279F7" w:rsidP="00F279F7">
      <w:pPr>
        <w:spacing w:line="360" w:lineRule="auto"/>
      </w:pPr>
      <w:r w:rsidRPr="00131B9D">
        <w:rPr>
          <w:noProof/>
        </w:rPr>
        <w:lastRenderedPageBreak/>
        <w:drawing>
          <wp:inline distT="0" distB="0" distL="0" distR="0" wp14:anchorId="1A414A9C" wp14:editId="55D803A2">
            <wp:extent cx="5163450" cy="3189600"/>
            <wp:effectExtent l="19050" t="0" r="18150" b="0"/>
            <wp:docPr id="111" name="圖表 11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F279F7" w:rsidRPr="00131B9D" w:rsidRDefault="00F279F7" w:rsidP="00F279F7">
      <w:pPr>
        <w:adjustRightInd w:val="0"/>
        <w:snapToGrid w:val="0"/>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296" w:name="_Toc398882665"/>
      <w:bookmarkStart w:id="297" w:name="_Toc438223367"/>
      <w:bookmarkStart w:id="298" w:name="_Toc322706976"/>
      <w:bookmarkStart w:id="299" w:name="_Toc365017358"/>
      <w:bookmarkStart w:id="300" w:name="_Toc373423076"/>
      <w:bookmarkStart w:id="301" w:name="_Toc373682461"/>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33</w:t>
      </w:r>
      <w:r w:rsidRPr="00131B9D">
        <w:rPr>
          <w:rFonts w:eastAsia="標楷體"/>
          <w:b/>
          <w:bCs/>
          <w:kern w:val="52"/>
          <w:sz w:val="28"/>
          <w:szCs w:val="28"/>
        </w:rPr>
        <w:fldChar w:fldCharType="end"/>
      </w:r>
      <w:r w:rsidRPr="00131B9D">
        <w:rPr>
          <w:rFonts w:eastAsia="標楷體"/>
          <w:b/>
          <w:bCs/>
          <w:kern w:val="52"/>
          <w:sz w:val="28"/>
          <w:szCs w:val="28"/>
        </w:rPr>
        <w:t xml:space="preserve">　高密度聚乙烯近一年價格走勢圖</w:t>
      </w:r>
      <w:bookmarkEnd w:id="296"/>
      <w:bookmarkEnd w:id="297"/>
    </w:p>
    <w:p w:rsidR="00F279F7" w:rsidRPr="00131B9D" w:rsidRDefault="00F279F7" w:rsidP="003B29E8"/>
    <w:p w:rsidR="00F279F7" w:rsidRPr="00131B9D" w:rsidRDefault="00F279F7" w:rsidP="00F279F7">
      <w:pPr>
        <w:pStyle w:val="3"/>
        <w:rPr>
          <w:rFonts w:ascii="Times New Roman" w:hAnsi="Times New Roman"/>
        </w:rPr>
      </w:pPr>
      <w:bookmarkStart w:id="302" w:name="_Toc322706977"/>
      <w:bookmarkEnd w:id="298"/>
      <w:bookmarkEnd w:id="299"/>
      <w:bookmarkEnd w:id="300"/>
      <w:bookmarkEnd w:id="301"/>
      <w:r w:rsidRPr="00131B9D">
        <w:rPr>
          <w:rFonts w:ascii="Times New Roman" w:hAnsi="Times New Roman"/>
        </w:rPr>
        <w:t>（六）聚苯乙烯（</w:t>
      </w:r>
      <w:r w:rsidRPr="00131B9D">
        <w:rPr>
          <w:rFonts w:ascii="Times New Roman" w:hAnsi="Times New Roman"/>
        </w:rPr>
        <w:t>PS</w:t>
      </w:r>
      <w:r w:rsidRPr="00131B9D">
        <w:rPr>
          <w:rFonts w:ascii="Times New Roman" w:hAnsi="Times New Roman"/>
        </w:rPr>
        <w:t>）</w:t>
      </w:r>
      <w:bookmarkEnd w:id="302"/>
    </w:p>
    <w:p w:rsidR="00F279F7" w:rsidRPr="00131B9D" w:rsidRDefault="00F279F7" w:rsidP="00F279F7">
      <w:pPr>
        <w:pStyle w:val="-"/>
        <w:spacing w:before="72" w:after="72"/>
        <w:ind w:firstLine="560"/>
      </w:pPr>
      <w:r w:rsidRPr="00131B9D">
        <w:t>第</w:t>
      </w:r>
      <w:r w:rsidRPr="00131B9D">
        <w:t>1</w:t>
      </w:r>
      <w:r w:rsidRPr="00131B9D">
        <w:t>季一開始延續</w:t>
      </w:r>
      <w:r w:rsidRPr="00131B9D">
        <w:t>2014</w:t>
      </w:r>
      <w:r w:rsidRPr="00131B9D">
        <w:t>年後半年的聚苯乙烯（</w:t>
      </w:r>
      <w:r w:rsidRPr="00131B9D">
        <w:t>PS</w:t>
      </w:r>
      <w:r w:rsidRPr="00131B9D">
        <w:t>）價格跌勢，</w:t>
      </w:r>
      <w:r w:rsidRPr="00131B9D">
        <w:rPr>
          <w:color w:val="000000"/>
        </w:rPr>
        <w:t>由於全球及美國原油價格下滑，但到了第</w:t>
      </w:r>
      <w:r w:rsidRPr="00131B9D">
        <w:rPr>
          <w:color w:val="000000"/>
        </w:rPr>
        <w:t>1</w:t>
      </w:r>
      <w:r w:rsidRPr="00131B9D">
        <w:rPr>
          <w:color w:val="000000"/>
        </w:rPr>
        <w:t>季後期，在美國經濟持穩復甦，以及歐盟、日本及中國大陸祭出降息、貨幣寬鬆政策下，吸引以中國大陸、印度為首的亞洲泛用樹脂下游展開回補原料庫存行動。跨入第</w:t>
      </w:r>
      <w:r w:rsidRPr="00131B9D">
        <w:rPr>
          <w:color w:val="000000"/>
        </w:rPr>
        <w:t>2</w:t>
      </w:r>
      <w:r w:rsidRPr="00131B9D">
        <w:rPr>
          <w:color w:val="000000"/>
        </w:rPr>
        <w:t>季，亞洲泛用樹脂拉貨潮持續延燒，首週低密度聚乙烯（</w:t>
      </w:r>
      <w:r w:rsidRPr="00131B9D">
        <w:rPr>
          <w:color w:val="000000"/>
        </w:rPr>
        <w:t>LDPE</w:t>
      </w:r>
      <w:r w:rsidRPr="00131B9D">
        <w:rPr>
          <w:color w:val="000000"/>
        </w:rPr>
        <w:t>）領頭大漲</w:t>
      </w:r>
      <w:r w:rsidRPr="00131B9D">
        <w:rPr>
          <w:color w:val="000000"/>
        </w:rPr>
        <w:t>4%</w:t>
      </w:r>
      <w:r w:rsidRPr="00131B9D">
        <w:rPr>
          <w:color w:val="000000"/>
        </w:rPr>
        <w:t>，其他如聚丙烯（</w:t>
      </w:r>
      <w:r w:rsidRPr="00131B9D">
        <w:rPr>
          <w:color w:val="000000"/>
        </w:rPr>
        <w:t>PP</w:t>
      </w:r>
      <w:r w:rsidRPr="00131B9D">
        <w:rPr>
          <w:color w:val="000000"/>
        </w:rPr>
        <w:t>）、聚苯乙烯（</w:t>
      </w:r>
      <w:r w:rsidRPr="00131B9D">
        <w:rPr>
          <w:color w:val="000000"/>
        </w:rPr>
        <w:t>PS</w:t>
      </w:r>
      <w:r w:rsidRPr="00131B9D">
        <w:rPr>
          <w:color w:val="000000"/>
        </w:rPr>
        <w:t>）及</w:t>
      </w:r>
      <w:r w:rsidRPr="00131B9D">
        <w:rPr>
          <w:color w:val="000000"/>
        </w:rPr>
        <w:t>ABS</w:t>
      </w:r>
      <w:r w:rsidRPr="00131B9D">
        <w:rPr>
          <w:color w:val="000000"/>
        </w:rPr>
        <w:t>樹脂等各有</w:t>
      </w:r>
      <w:r w:rsidRPr="00131B9D">
        <w:rPr>
          <w:color w:val="000000"/>
        </w:rPr>
        <w:t>2%</w:t>
      </w:r>
      <w:r w:rsidRPr="00131B9D">
        <w:rPr>
          <w:color w:val="000000"/>
        </w:rPr>
        <w:t>至</w:t>
      </w:r>
      <w:r w:rsidRPr="00131B9D">
        <w:rPr>
          <w:color w:val="000000"/>
        </w:rPr>
        <w:t>2.4%</w:t>
      </w:r>
      <w:r w:rsidRPr="00131B9D">
        <w:rPr>
          <w:color w:val="000000"/>
        </w:rPr>
        <w:t>漲幅。因亞洲</w:t>
      </w:r>
      <w:r w:rsidRPr="00131B9D">
        <w:rPr>
          <w:color w:val="000000"/>
        </w:rPr>
        <w:t>SM</w:t>
      </w:r>
      <w:r w:rsidRPr="00131B9D">
        <w:rPr>
          <w:color w:val="000000"/>
        </w:rPr>
        <w:t>廠</w:t>
      </w:r>
      <w:r w:rsidRPr="00131B9D">
        <w:rPr>
          <w:color w:val="000000"/>
        </w:rPr>
        <w:t>3-6</w:t>
      </w:r>
      <w:r w:rsidRPr="00131B9D">
        <w:rPr>
          <w:color w:val="000000"/>
        </w:rPr>
        <w:t>月進入歲修期，減少產能超過</w:t>
      </w:r>
      <w:r w:rsidRPr="00131B9D">
        <w:rPr>
          <w:color w:val="000000"/>
        </w:rPr>
        <w:t>30</w:t>
      </w:r>
      <w:r w:rsidRPr="00131B9D">
        <w:rPr>
          <w:color w:val="000000"/>
        </w:rPr>
        <w:t>萬噸，供給轉為吃緊，且</w:t>
      </w:r>
      <w:r w:rsidRPr="00131B9D">
        <w:rPr>
          <w:color w:val="000000"/>
        </w:rPr>
        <w:t>5</w:t>
      </w:r>
      <w:r w:rsidRPr="00131B9D">
        <w:rPr>
          <w:color w:val="000000"/>
        </w:rPr>
        <w:t>月份許多國際</w:t>
      </w:r>
      <w:r w:rsidRPr="00131B9D">
        <w:rPr>
          <w:color w:val="000000"/>
        </w:rPr>
        <w:t>SM</w:t>
      </w:r>
      <w:r w:rsidRPr="00131B9D">
        <w:rPr>
          <w:color w:val="000000"/>
        </w:rPr>
        <w:t>大廠，包括沙烏地阿拉伯雪佛龍菲力浦斯化工、伊朗</w:t>
      </w:r>
      <w:r w:rsidRPr="00131B9D">
        <w:rPr>
          <w:color w:val="000000"/>
        </w:rPr>
        <w:t>Pars Petrochemical</w:t>
      </w:r>
      <w:r w:rsidRPr="00131B9D">
        <w:rPr>
          <w:color w:val="000000"/>
        </w:rPr>
        <w:t>、</w:t>
      </w:r>
      <w:r w:rsidRPr="00131B9D">
        <w:rPr>
          <w:color w:val="000000"/>
        </w:rPr>
        <w:t>SABIC Sadaf</w:t>
      </w:r>
      <w:r w:rsidRPr="00131B9D">
        <w:rPr>
          <w:color w:val="000000"/>
        </w:rPr>
        <w:t>等，紛紛傳出因意外而停產或是復產不順之訊息，拉抬</w:t>
      </w:r>
      <w:r w:rsidRPr="00131B9D">
        <w:rPr>
          <w:color w:val="000000"/>
        </w:rPr>
        <w:t>SM</w:t>
      </w:r>
      <w:r w:rsidRPr="00131B9D">
        <w:rPr>
          <w:color w:val="000000"/>
        </w:rPr>
        <w:t>最新報價上漲至</w:t>
      </w:r>
      <w:r w:rsidRPr="00131B9D">
        <w:rPr>
          <w:color w:val="000000"/>
        </w:rPr>
        <w:t>1,476</w:t>
      </w:r>
      <w:r w:rsidRPr="00131B9D">
        <w:rPr>
          <w:color w:val="000000"/>
        </w:rPr>
        <w:t>美元，創下</w:t>
      </w:r>
      <w:r w:rsidRPr="00131B9D">
        <w:rPr>
          <w:color w:val="000000"/>
        </w:rPr>
        <w:t>2015</w:t>
      </w:r>
      <w:r w:rsidRPr="00131B9D">
        <w:rPr>
          <w:color w:val="000000"/>
        </w:rPr>
        <w:t>年以來新高紀錄。到了</w:t>
      </w:r>
      <w:r w:rsidRPr="00131B9D">
        <w:rPr>
          <w:color w:val="000000"/>
        </w:rPr>
        <w:t>5</w:t>
      </w:r>
      <w:r w:rsidRPr="00131B9D">
        <w:rPr>
          <w:color w:val="000000"/>
        </w:rPr>
        <w:t>月底</w:t>
      </w:r>
      <w:r w:rsidRPr="00131B9D">
        <w:rPr>
          <w:color w:val="000000"/>
        </w:rPr>
        <w:t>6</w:t>
      </w:r>
      <w:r w:rsidRPr="00131B9D">
        <w:rPr>
          <w:color w:val="000000"/>
        </w:rPr>
        <w:t>月初，由於</w:t>
      </w:r>
      <w:r w:rsidRPr="00131B9D">
        <w:rPr>
          <w:color w:val="000000"/>
        </w:rPr>
        <w:t>SM</w:t>
      </w:r>
      <w:r w:rsidRPr="00131B9D">
        <w:rPr>
          <w:color w:val="000000"/>
        </w:rPr>
        <w:t>價格下修，且穆斯林國家進入齋戒期使需求減少，而距離中國大陸國慶日和耶誕節的接單還有一段時間，故出口和內銷的終端企業訂單回落，造成</w:t>
      </w:r>
      <w:r w:rsidRPr="00131B9D">
        <w:rPr>
          <w:color w:val="000000"/>
        </w:rPr>
        <w:t>PS</w:t>
      </w:r>
      <w:r w:rsidRPr="00131B9D">
        <w:rPr>
          <w:color w:val="000000"/>
        </w:rPr>
        <w:t>價格呈現小跌之情勢。</w:t>
      </w:r>
      <w:r w:rsidRPr="00131B9D">
        <w:t>第</w:t>
      </w:r>
      <w:r w:rsidRPr="00131B9D">
        <w:t>3</w:t>
      </w:r>
      <w:r w:rsidRPr="00131B9D">
        <w:t>季</w:t>
      </w:r>
      <w:r w:rsidRPr="00131B9D">
        <w:t>PS</w:t>
      </w:r>
      <w:r w:rsidRPr="00131B9D">
        <w:t>價格主要呈現震盪走跌趨勢。</w:t>
      </w:r>
      <w:r w:rsidRPr="00131B9D">
        <w:t>7</w:t>
      </w:r>
      <w:r w:rsidRPr="00131B9D">
        <w:t>月初，因上游苯乙烯（</w:t>
      </w:r>
      <w:r w:rsidRPr="00131B9D">
        <w:t>SM</w:t>
      </w:r>
      <w:r w:rsidRPr="00131B9D">
        <w:t>）報價趨</w:t>
      </w:r>
      <w:r w:rsidRPr="00131B9D">
        <w:lastRenderedPageBreak/>
        <w:t>緩，出現補跌、拉回整理，遠東區</w:t>
      </w:r>
      <w:r w:rsidRPr="00131B9D">
        <w:t>PS</w:t>
      </w:r>
      <w:r w:rsidRPr="00131B9D">
        <w:t>報價下滑</w:t>
      </w:r>
      <w:r w:rsidRPr="00131B9D">
        <w:t>10</w:t>
      </w:r>
      <w:r w:rsidRPr="00131B9D">
        <w:t>美元</w:t>
      </w:r>
      <w:r w:rsidRPr="00131B9D">
        <w:t>/</w:t>
      </w:r>
      <w:r w:rsidRPr="00131B9D">
        <w:t>噸。</w:t>
      </w:r>
      <w:r w:rsidRPr="00131B9D">
        <w:t>7</w:t>
      </w:r>
      <w:r w:rsidRPr="00131B9D">
        <w:t>月底油價波動趨緩，石化產品價格反彈，使得</w:t>
      </w:r>
      <w:r w:rsidRPr="00131B9D">
        <w:t>PS</w:t>
      </w:r>
      <w:r w:rsidRPr="00131B9D">
        <w:t>價格上漲</w:t>
      </w:r>
      <w:r w:rsidRPr="00131B9D">
        <w:t>15</w:t>
      </w:r>
      <w:r w:rsidRPr="00131B9D">
        <w:t>美元</w:t>
      </w:r>
      <w:r w:rsidRPr="00131B9D">
        <w:t>/</w:t>
      </w:r>
      <w:r w:rsidRPr="00131B9D">
        <w:t>噸。</w:t>
      </w:r>
      <w:r w:rsidRPr="00131B9D">
        <w:t>8</w:t>
      </w:r>
      <w:r w:rsidRPr="00131B9D">
        <w:t>月中旬，油價暫時止跌，然</w:t>
      </w:r>
      <w:r w:rsidRPr="00131B9D">
        <w:t>SM</w:t>
      </w:r>
      <w:r w:rsidRPr="00131B9D">
        <w:t>價格仍持續下跌，拖累下游</w:t>
      </w:r>
      <w:r w:rsidRPr="00131B9D">
        <w:t>PS</w:t>
      </w:r>
      <w:r w:rsidRPr="00131B9D">
        <w:t>，報價下跌</w:t>
      </w:r>
      <w:r w:rsidRPr="00131B9D">
        <w:t>1.11%</w:t>
      </w:r>
      <w:r w:rsidRPr="00131B9D">
        <w:t>至</w:t>
      </w:r>
      <w:r w:rsidRPr="00131B9D">
        <w:t>1,244-1,246</w:t>
      </w:r>
      <w:r w:rsidRPr="00131B9D">
        <w:t>美元</w:t>
      </w:r>
      <w:r w:rsidRPr="00131B9D">
        <w:t>/</w:t>
      </w:r>
      <w:r w:rsidRPr="00131B9D">
        <w:t>公噸。</w:t>
      </w:r>
      <w:r w:rsidRPr="00131B9D">
        <w:t>8</w:t>
      </w:r>
      <w:r w:rsidRPr="00131B9D">
        <w:t>月底更因中國大陸</w:t>
      </w:r>
      <w:r w:rsidRPr="00131B9D">
        <w:t>SM</w:t>
      </w:r>
      <w:r w:rsidRPr="00131B9D">
        <w:t>庫存暴增</w:t>
      </w:r>
      <w:r w:rsidRPr="00131B9D">
        <w:t>2</w:t>
      </w:r>
      <w:r w:rsidRPr="00131B9D">
        <w:t>萬噸，</w:t>
      </w:r>
      <w:r w:rsidRPr="00131B9D">
        <w:t>PS</w:t>
      </w:r>
      <w:r w:rsidRPr="00131B9D">
        <w:t>需求疲弱，造成價格重跌。</w:t>
      </w:r>
      <w:r w:rsidRPr="00131B9D">
        <w:t>9</w:t>
      </w:r>
      <w:r w:rsidRPr="00131B9D">
        <w:t>月初因油價回穩，造成</w:t>
      </w:r>
      <w:r w:rsidRPr="00131B9D">
        <w:t>PS</w:t>
      </w:r>
      <w:r w:rsidRPr="00131B9D">
        <w:t>小漲</w:t>
      </w:r>
      <w:r w:rsidRPr="00131B9D">
        <w:t>0.96%</w:t>
      </w:r>
      <w:r w:rsidRPr="00131B9D">
        <w:t>，但</w:t>
      </w:r>
      <w:r w:rsidRPr="00131B9D">
        <w:t>9</w:t>
      </w:r>
      <w:r w:rsidRPr="00131B9D">
        <w:t>月中旬後，因反映</w:t>
      </w:r>
      <w:r w:rsidRPr="00131B9D">
        <w:t>SM</w:t>
      </w:r>
      <w:r w:rsidRPr="00131B9D">
        <w:t>跌勢明顯，導致</w:t>
      </w:r>
      <w:r w:rsidRPr="00131B9D">
        <w:t>PS</w:t>
      </w:r>
      <w:r w:rsidRPr="00131B9D">
        <w:t>價格重挫超過</w:t>
      </w:r>
      <w:r w:rsidRPr="00131B9D">
        <w:t>5%</w:t>
      </w:r>
      <w:r w:rsidRPr="00131B9D">
        <w:t>。</w:t>
      </w:r>
      <w:r w:rsidRPr="00131B9D">
        <w:t>10</w:t>
      </w:r>
      <w:r w:rsidRPr="00131B9D">
        <w:t>月中旬，</w:t>
      </w:r>
      <w:r w:rsidRPr="00131B9D">
        <w:t>SM</w:t>
      </w:r>
      <w:r w:rsidRPr="00131B9D">
        <w:t>報價於中國大陸十一長假後順勢反彈，惟</w:t>
      </w:r>
      <w:r w:rsidRPr="00131B9D">
        <w:t>LG</w:t>
      </w:r>
      <w:r w:rsidRPr="00131B9D">
        <w:t>化學大陸廠進行擴產，在預期供應增加下，</w:t>
      </w:r>
      <w:r w:rsidRPr="00131B9D">
        <w:t>PS</w:t>
      </w:r>
      <w:r w:rsidRPr="00131B9D">
        <w:t>報價下跌。其後</w:t>
      </w:r>
      <w:r w:rsidRPr="00131B9D">
        <w:t>10</w:t>
      </w:r>
      <w:r w:rsidRPr="00131B9D">
        <w:t>月底及</w:t>
      </w:r>
      <w:r w:rsidRPr="00131B9D">
        <w:t>11</w:t>
      </w:r>
      <w:r w:rsidRPr="00131B9D">
        <w:t>月</w:t>
      </w:r>
      <w:r w:rsidRPr="00131B9D">
        <w:t>PS</w:t>
      </w:r>
      <w:r w:rsidRPr="00131B9D">
        <w:t>遠東區</w:t>
      </w:r>
      <w:r w:rsidRPr="00131B9D">
        <w:t>CFR</w:t>
      </w:r>
      <w:r w:rsidRPr="00131B9D">
        <w:t>報價皆持穩於</w:t>
      </w:r>
      <w:r w:rsidRPr="00131B9D">
        <w:t>1,058-1,060</w:t>
      </w:r>
      <w:r w:rsidRPr="00131B9D">
        <w:t>美元</w:t>
      </w:r>
      <w:r w:rsidRPr="00131B9D">
        <w:t>/</w:t>
      </w:r>
      <w:r w:rsidRPr="00131B9D">
        <w:t>公噸，直到</w:t>
      </w:r>
      <w:r w:rsidRPr="00131B9D">
        <w:t>11</w:t>
      </w:r>
      <w:r w:rsidRPr="00131B9D">
        <w:t>月下旬，才因需求回溫，</w:t>
      </w:r>
      <w:r w:rsidRPr="00131B9D">
        <w:t>PS</w:t>
      </w:r>
      <w:r w:rsidRPr="00131B9D">
        <w:t>現貨報價反彈</w:t>
      </w:r>
      <w:r w:rsidR="00160782" w:rsidRPr="00131B9D">
        <w:t>（如圖</w:t>
      </w:r>
      <w:r w:rsidR="00160782" w:rsidRPr="00131B9D">
        <w:t>3-34</w:t>
      </w:r>
      <w:r w:rsidR="00160782" w:rsidRPr="00131B9D">
        <w:t>）</w:t>
      </w:r>
      <w:r w:rsidRPr="00131B9D">
        <w:t>。</w:t>
      </w:r>
    </w:p>
    <w:p w:rsidR="00F279F7" w:rsidRPr="00131B9D" w:rsidRDefault="00377B4E" w:rsidP="00F279F7">
      <w:pPr>
        <w:pStyle w:val="-"/>
        <w:spacing w:before="72" w:after="72"/>
        <w:ind w:firstLine="560"/>
        <w:rPr>
          <w:color w:val="000000"/>
        </w:rPr>
      </w:pPr>
      <w:r w:rsidRPr="00131B9D">
        <w:rPr>
          <w:kern w:val="0"/>
        </w:rPr>
        <w:t>展望未來一年，未來原油價格將持續疲弱，且明年預計有</w:t>
      </w:r>
      <w:r w:rsidRPr="00131B9D">
        <w:rPr>
          <w:kern w:val="0"/>
        </w:rPr>
        <w:t>16</w:t>
      </w:r>
      <w:r w:rsidRPr="00131B9D">
        <w:rPr>
          <w:kern w:val="0"/>
        </w:rPr>
        <w:t>萬公噸</w:t>
      </w:r>
      <w:r w:rsidRPr="00131B9D">
        <w:rPr>
          <w:kern w:val="0"/>
        </w:rPr>
        <w:t>/</w:t>
      </w:r>
      <w:r w:rsidRPr="00131B9D">
        <w:rPr>
          <w:kern w:val="0"/>
        </w:rPr>
        <w:t>年之</w:t>
      </w:r>
      <w:r w:rsidRPr="00131B9D">
        <w:rPr>
          <w:kern w:val="0"/>
        </w:rPr>
        <w:t>PS</w:t>
      </w:r>
      <w:r w:rsidRPr="00131B9D">
        <w:rPr>
          <w:kern w:val="0"/>
        </w:rPr>
        <w:t>新增產能開出，此外，聚丙烯（</w:t>
      </w:r>
      <w:r w:rsidRPr="00131B9D">
        <w:rPr>
          <w:kern w:val="0"/>
        </w:rPr>
        <w:t>PP</w:t>
      </w:r>
      <w:r w:rsidRPr="00131B9D">
        <w:rPr>
          <w:kern w:val="0"/>
        </w:rPr>
        <w:t>）可作為聚苯乙烯之替代品，中國大陸煤製烯烴產能大增，</w:t>
      </w:r>
      <w:r w:rsidRPr="00131B9D">
        <w:rPr>
          <w:kern w:val="0"/>
        </w:rPr>
        <w:t>2015</w:t>
      </w:r>
      <w:r w:rsidRPr="00131B9D">
        <w:rPr>
          <w:kern w:val="0"/>
        </w:rPr>
        <w:t>年有</w:t>
      </w:r>
      <w:r w:rsidRPr="00131B9D">
        <w:rPr>
          <w:kern w:val="0"/>
        </w:rPr>
        <w:t>130</w:t>
      </w:r>
      <w:r w:rsidRPr="00131B9D">
        <w:rPr>
          <w:kern w:val="0"/>
        </w:rPr>
        <w:t>公噸</w:t>
      </w:r>
      <w:r w:rsidRPr="00131B9D">
        <w:rPr>
          <w:kern w:val="0"/>
        </w:rPr>
        <w:t xml:space="preserve"> /</w:t>
      </w:r>
      <w:r w:rsidRPr="00131B9D">
        <w:rPr>
          <w:kern w:val="0"/>
        </w:rPr>
        <w:t>年之</w:t>
      </w:r>
      <w:r w:rsidRPr="00131B9D">
        <w:rPr>
          <w:kern w:val="0"/>
        </w:rPr>
        <w:t>PP</w:t>
      </w:r>
      <w:r w:rsidRPr="00131B9D">
        <w:rPr>
          <w:kern w:val="0"/>
        </w:rPr>
        <w:t>新增產能，造成</w:t>
      </w:r>
      <w:r w:rsidRPr="00131B9D">
        <w:rPr>
          <w:kern w:val="0"/>
        </w:rPr>
        <w:t>PP</w:t>
      </w:r>
      <w:r w:rsidRPr="00131B9D">
        <w:rPr>
          <w:kern w:val="0"/>
        </w:rPr>
        <w:t>價格大跌，明年可能還有</w:t>
      </w:r>
      <w:r w:rsidRPr="00131B9D">
        <w:rPr>
          <w:kern w:val="0"/>
        </w:rPr>
        <w:t>130</w:t>
      </w:r>
      <w:r w:rsidRPr="00131B9D">
        <w:rPr>
          <w:kern w:val="0"/>
        </w:rPr>
        <w:t>公噸</w:t>
      </w:r>
      <w:r w:rsidRPr="00131B9D">
        <w:rPr>
          <w:kern w:val="0"/>
        </w:rPr>
        <w:t>/</w:t>
      </w:r>
      <w:r w:rsidRPr="00131B9D">
        <w:rPr>
          <w:kern w:val="0"/>
        </w:rPr>
        <w:t>年的新增產能開出，</w:t>
      </w:r>
      <w:r w:rsidRPr="00131B9D">
        <w:rPr>
          <w:color w:val="000000"/>
        </w:rPr>
        <w:t xml:space="preserve"> </w:t>
      </w:r>
      <w:r w:rsidRPr="00131B9D">
        <w:rPr>
          <w:color w:val="000000"/>
        </w:rPr>
        <w:t>同時中國大陸製造業疲弱，也不利於</w:t>
      </w:r>
      <w:r w:rsidRPr="00131B9D">
        <w:rPr>
          <w:color w:val="000000"/>
        </w:rPr>
        <w:t>PS</w:t>
      </w:r>
      <w:r w:rsidRPr="00131B9D">
        <w:rPr>
          <w:color w:val="000000"/>
        </w:rPr>
        <w:t>需求，因此預期未來</w:t>
      </w:r>
      <w:r w:rsidRPr="00131B9D">
        <w:rPr>
          <w:color w:val="000000"/>
        </w:rPr>
        <w:t>PS</w:t>
      </w:r>
      <w:r w:rsidRPr="00131B9D">
        <w:rPr>
          <w:color w:val="000000"/>
        </w:rPr>
        <w:t>價格下跌可能性較大。</w:t>
      </w:r>
    </w:p>
    <w:p w:rsidR="00F279F7" w:rsidRPr="00131B9D" w:rsidRDefault="00F279F7" w:rsidP="003B29E8"/>
    <w:p w:rsidR="00F279F7" w:rsidRPr="00131B9D" w:rsidRDefault="00F279F7" w:rsidP="00F279F7">
      <w:r w:rsidRPr="00131B9D">
        <w:rPr>
          <w:noProof/>
        </w:rPr>
        <w:drawing>
          <wp:inline distT="0" distB="0" distL="0" distR="0" wp14:anchorId="5B104A32" wp14:editId="1AFB5308">
            <wp:extent cx="5252085" cy="2647950"/>
            <wp:effectExtent l="0" t="0" r="5715" b="0"/>
            <wp:docPr id="18437" name="圖表 18437"/>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F279F7" w:rsidRPr="00131B9D" w:rsidRDefault="00F279F7" w:rsidP="00F279F7">
      <w:pPr>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3B29E8" w:rsidRPr="00131B9D" w:rsidRDefault="00F279F7" w:rsidP="00F279F7">
      <w:pPr>
        <w:pStyle w:val="afff5"/>
        <w:spacing w:line="0" w:lineRule="atLeast"/>
        <w:jc w:val="center"/>
        <w:rPr>
          <w:rFonts w:eastAsia="標楷體"/>
          <w:b/>
          <w:bCs/>
          <w:kern w:val="52"/>
          <w:sz w:val="28"/>
          <w:szCs w:val="28"/>
        </w:rPr>
        <w:sectPr w:rsidR="003B29E8" w:rsidRPr="00131B9D" w:rsidSect="00097B8D">
          <w:pgSz w:w="11906" w:h="16838"/>
          <w:pgMar w:top="1440" w:right="1800" w:bottom="1440" w:left="1800" w:header="851" w:footer="992" w:gutter="0"/>
          <w:cols w:space="425"/>
          <w:docGrid w:type="lines" w:linePitch="360"/>
        </w:sectPr>
      </w:pPr>
      <w:bookmarkStart w:id="303" w:name="_Toc398882666"/>
      <w:bookmarkStart w:id="304" w:name="_Toc438223368"/>
      <w:bookmarkStart w:id="305" w:name="_Toc365017359"/>
      <w:bookmarkStart w:id="306" w:name="_Toc373423077"/>
      <w:bookmarkStart w:id="307" w:name="_Toc373682462"/>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34</w:t>
      </w:r>
      <w:r w:rsidRPr="00131B9D">
        <w:rPr>
          <w:rFonts w:eastAsia="標楷體"/>
          <w:b/>
          <w:bCs/>
          <w:kern w:val="52"/>
          <w:sz w:val="28"/>
          <w:szCs w:val="28"/>
        </w:rPr>
        <w:fldChar w:fldCharType="end"/>
      </w:r>
      <w:r w:rsidRPr="00131B9D">
        <w:rPr>
          <w:rFonts w:eastAsia="標楷體"/>
          <w:b/>
          <w:bCs/>
          <w:kern w:val="52"/>
          <w:sz w:val="28"/>
          <w:szCs w:val="28"/>
        </w:rPr>
        <w:t xml:space="preserve">　聚苯乙烯近一年價格走勢圖</w:t>
      </w:r>
      <w:bookmarkEnd w:id="303"/>
      <w:bookmarkEnd w:id="304"/>
    </w:p>
    <w:p w:rsidR="00F279F7" w:rsidRPr="00131B9D" w:rsidRDefault="00F279F7" w:rsidP="00F279F7">
      <w:pPr>
        <w:pStyle w:val="3"/>
        <w:rPr>
          <w:rFonts w:ascii="Times New Roman" w:hAnsi="Times New Roman"/>
        </w:rPr>
      </w:pPr>
      <w:bookmarkStart w:id="308" w:name="_Toc322706979"/>
      <w:bookmarkEnd w:id="305"/>
      <w:bookmarkEnd w:id="306"/>
      <w:bookmarkEnd w:id="307"/>
      <w:r w:rsidRPr="00131B9D">
        <w:rPr>
          <w:rFonts w:ascii="Times New Roman" w:hAnsi="Times New Roman"/>
        </w:rPr>
        <w:lastRenderedPageBreak/>
        <w:t>（七）</w:t>
      </w:r>
      <w:r w:rsidRPr="00131B9D">
        <w:rPr>
          <w:rFonts w:ascii="Times New Roman" w:hAnsi="Times New Roman"/>
        </w:rPr>
        <w:t>ABS</w:t>
      </w:r>
      <w:r w:rsidRPr="00131B9D">
        <w:rPr>
          <w:rFonts w:ascii="Times New Roman" w:hAnsi="Times New Roman"/>
        </w:rPr>
        <w:t>樹脂</w:t>
      </w:r>
      <w:bookmarkEnd w:id="308"/>
    </w:p>
    <w:p w:rsidR="00F279F7" w:rsidRPr="00131B9D" w:rsidRDefault="00F279F7" w:rsidP="00F279F7">
      <w:pPr>
        <w:pStyle w:val="-"/>
        <w:spacing w:before="72" w:after="72"/>
        <w:ind w:firstLine="560"/>
      </w:pPr>
      <w:r w:rsidRPr="00131B9D">
        <w:t>SM</w:t>
      </w:r>
      <w:r w:rsidRPr="00131B9D">
        <w:t>為</w:t>
      </w:r>
      <w:r w:rsidRPr="00131B9D">
        <w:t>ABS</w:t>
      </w:r>
      <w:r w:rsidRPr="00131B9D">
        <w:t>之主要原料之一。第</w:t>
      </w:r>
      <w:r w:rsidRPr="00131B9D">
        <w:t>1-2</w:t>
      </w:r>
      <w:r w:rsidRPr="00131B9D">
        <w:t>季，南韓</w:t>
      </w:r>
      <w:r w:rsidRPr="00131B9D">
        <w:t>8</w:t>
      </w:r>
      <w:r w:rsidRPr="00131B9D">
        <w:t>條</w:t>
      </w:r>
      <w:r w:rsidRPr="00131B9D">
        <w:t>SM</w:t>
      </w:r>
      <w:r w:rsidRPr="00131B9D">
        <w:t>生產線，有</w:t>
      </w:r>
      <w:r w:rsidRPr="00131B9D">
        <w:t>6</w:t>
      </w:r>
      <w:r w:rsidRPr="00131B9D">
        <w:t>條生產線分別於</w:t>
      </w:r>
      <w:r w:rsidRPr="00131B9D">
        <w:t>3</w:t>
      </w:r>
      <w:r w:rsidRPr="00131B9D">
        <w:t>月到</w:t>
      </w:r>
      <w:r w:rsidRPr="00131B9D">
        <w:t>5</w:t>
      </w:r>
      <w:r w:rsidRPr="00131B9D">
        <w:t>月之間歲修，全亞洲</w:t>
      </w:r>
      <w:r w:rsidRPr="00131B9D">
        <w:t>4</w:t>
      </w:r>
      <w:r w:rsidRPr="00131B9D">
        <w:t>月因歲修減少的產能達</w:t>
      </w:r>
      <w:r w:rsidRPr="00131B9D">
        <w:t>17%</w:t>
      </w:r>
      <w:r w:rsidRPr="00131B9D">
        <w:t>，東北亞地區，特別是中國大陸，供需非常吃緊。第</w:t>
      </w:r>
      <w:r w:rsidRPr="00131B9D">
        <w:t>2</w:t>
      </w:r>
      <w:r w:rsidRPr="00131B9D">
        <w:t>季除了上述輕裂廠歲修外，歐洲</w:t>
      </w:r>
      <w:r w:rsidRPr="00131B9D">
        <w:t>SM</w:t>
      </w:r>
      <w:r w:rsidRPr="00131B9D">
        <w:t>廠歲修，使得美國輸往歐洲的</w:t>
      </w:r>
      <w:r w:rsidRPr="00131B9D">
        <w:t>SM</w:t>
      </w:r>
      <w:r w:rsidRPr="00131B9D">
        <w:t>大增，因而排擠對亞洲之供給，推高</w:t>
      </w:r>
      <w:r w:rsidRPr="00131B9D">
        <w:t>SM</w:t>
      </w:r>
      <w:r w:rsidRPr="00131B9D">
        <w:t>價格。需求方面，受惠中國大陸年初庫存偏低，且</w:t>
      </w:r>
      <w:r w:rsidRPr="00131B9D">
        <w:t>2015</w:t>
      </w:r>
      <w:r w:rsidRPr="00131B9D">
        <w:t>年首季過後</w:t>
      </w:r>
      <w:r w:rsidRPr="00131B9D">
        <w:t>SM</w:t>
      </w:r>
      <w:r w:rsidRPr="00131B9D">
        <w:t>進入傳統旺季，也有利於</w:t>
      </w:r>
      <w:r w:rsidRPr="00131B9D">
        <w:t>SM</w:t>
      </w:r>
      <w:r w:rsidRPr="00131B9D">
        <w:t>價格上漲。</w:t>
      </w:r>
      <w:r w:rsidRPr="00131B9D">
        <w:t>ABS</w:t>
      </w:r>
      <w:r w:rsidRPr="00131B9D">
        <w:t>樹脂上游原料</w:t>
      </w:r>
      <w:r w:rsidRPr="00131B9D">
        <w:t>SM</w:t>
      </w:r>
      <w:r w:rsidRPr="00131B9D">
        <w:t>價格上揚，加上</w:t>
      </w:r>
      <w:r w:rsidRPr="00131B9D">
        <w:t>ABS</w:t>
      </w:r>
      <w:r w:rsidRPr="00131B9D">
        <w:t>樹脂下游需求旺盛，第</w:t>
      </w:r>
      <w:r w:rsidRPr="00131B9D">
        <w:t>2</w:t>
      </w:r>
      <w:r w:rsidRPr="00131B9D">
        <w:t>季</w:t>
      </w:r>
      <w:r w:rsidRPr="00131B9D">
        <w:t>ABS</w:t>
      </w:r>
      <w:r w:rsidRPr="00131B9D">
        <w:t>樹脂價格因而走升。到</w:t>
      </w:r>
      <w:r w:rsidRPr="00131B9D">
        <w:t>5</w:t>
      </w:r>
      <w:r w:rsidRPr="00131B9D">
        <w:t>月底，由於能源價格波動趨緩，加上旺季訂單近尾聲，買盤動能減弱造成</w:t>
      </w:r>
      <w:r w:rsidRPr="00131B9D">
        <w:t>ABS</w:t>
      </w:r>
      <w:r w:rsidRPr="00131B9D">
        <w:t>樹脂價格下跌，且下跌之趨勢延續到</w:t>
      </w:r>
      <w:r w:rsidRPr="00131B9D">
        <w:t>6</w:t>
      </w:r>
      <w:r w:rsidRPr="00131B9D">
        <w:t>月，整體而言，第</w:t>
      </w:r>
      <w:r w:rsidRPr="00131B9D">
        <w:t>2</w:t>
      </w:r>
      <w:r w:rsidRPr="00131B9D">
        <w:t>季</w:t>
      </w:r>
      <w:r w:rsidRPr="00131B9D">
        <w:t>ABS</w:t>
      </w:r>
      <w:r w:rsidRPr="00131B9D">
        <w:t>樹脂受到上游原料價格與下游需求之影響，價格先升後降。第</w:t>
      </w:r>
      <w:r w:rsidRPr="00131B9D">
        <w:t>3</w:t>
      </w:r>
      <w:r w:rsidRPr="00131B9D">
        <w:t>季原油價格持續下跌，加上</w:t>
      </w:r>
      <w:r w:rsidRPr="00131B9D">
        <w:t>7</w:t>
      </w:r>
      <w:r w:rsidRPr="00131B9D">
        <w:t>月份韓國與日本</w:t>
      </w:r>
      <w:r w:rsidRPr="00131B9D">
        <w:t>SM</w:t>
      </w:r>
      <w:r w:rsidRPr="00131B9D">
        <w:t>廠陸續歲修結束，市場預期認為供給增加，</w:t>
      </w:r>
      <w:r w:rsidRPr="00131B9D">
        <w:t>SM</w:t>
      </w:r>
      <w:r w:rsidRPr="00131B9D">
        <w:t>現貨價隨之下滑，且中國大陸</w:t>
      </w:r>
      <w:r w:rsidRPr="00131B9D">
        <w:t>GDP</w:t>
      </w:r>
      <w:r w:rsidRPr="00131B9D">
        <w:t>增速放緩，終端汽車、家電行業發展受到直接影響，銷售量自今年第</w:t>
      </w:r>
      <w:r w:rsidRPr="00131B9D">
        <w:t>2</w:t>
      </w:r>
      <w:r w:rsidRPr="00131B9D">
        <w:t>季起，出現近</w:t>
      </w:r>
      <w:r w:rsidRPr="00131B9D">
        <w:t>3</w:t>
      </w:r>
      <w:r w:rsidRPr="00131B9D">
        <w:t>年來的首次連續萎縮，直接導致</w:t>
      </w:r>
      <w:r w:rsidRPr="00131B9D">
        <w:t>ABS</w:t>
      </w:r>
      <w:r w:rsidRPr="00131B9D">
        <w:t>成品銷售受阻，造成</w:t>
      </w:r>
      <w:r w:rsidRPr="00131B9D">
        <w:t>ABS</w:t>
      </w:r>
      <w:r w:rsidRPr="00131B9D">
        <w:t>樹脂價格呈現連續下跌走勢。遠東區</w:t>
      </w:r>
      <w:r w:rsidRPr="00131B9D">
        <w:t>ABS</w:t>
      </w:r>
      <w:r w:rsidRPr="00131B9D">
        <w:t>樹脂報價自</w:t>
      </w:r>
      <w:r w:rsidRPr="00131B9D">
        <w:t>7</w:t>
      </w:r>
      <w:r w:rsidRPr="00131B9D">
        <w:t>月初</w:t>
      </w:r>
      <w:r w:rsidRPr="00131B9D">
        <w:t>1,570</w:t>
      </w:r>
      <w:r w:rsidRPr="00131B9D">
        <w:t>美元</w:t>
      </w:r>
      <w:r w:rsidRPr="00131B9D">
        <w:t>/</w:t>
      </w:r>
      <w:r w:rsidRPr="00131B9D">
        <w:t>噸滑落至</w:t>
      </w:r>
      <w:r w:rsidRPr="00131B9D">
        <w:t>8</w:t>
      </w:r>
      <w:r w:rsidRPr="00131B9D">
        <w:t>月底</w:t>
      </w:r>
      <w:r w:rsidRPr="00131B9D">
        <w:t>1,305</w:t>
      </w:r>
      <w:r w:rsidRPr="00131B9D">
        <w:t>美元</w:t>
      </w:r>
      <w:r w:rsidRPr="00131B9D">
        <w:t>/</w:t>
      </w:r>
      <w:r w:rsidRPr="00131B9D">
        <w:t>噸，跌幅達</w:t>
      </w:r>
      <w:r w:rsidRPr="00131B9D">
        <w:t>16.9%</w:t>
      </w:r>
      <w:r w:rsidRPr="00131B9D">
        <w:t>。隨著</w:t>
      </w:r>
      <w:r w:rsidRPr="00131B9D">
        <w:t>9</w:t>
      </w:r>
      <w:r w:rsidRPr="00131B9D">
        <w:t>月原油價格止跌反彈，加上沙烏地阿拉伯產能歲修，</w:t>
      </w:r>
      <w:r w:rsidRPr="00131B9D">
        <w:t xml:space="preserve"> 9</w:t>
      </w:r>
      <w:r w:rsidRPr="00131B9D">
        <w:t>月初</w:t>
      </w:r>
      <w:r w:rsidRPr="00131B9D">
        <w:t>SM</w:t>
      </w:r>
      <w:r w:rsidRPr="00131B9D">
        <w:t>價格彈升</w:t>
      </w:r>
      <w:r w:rsidRPr="00131B9D">
        <w:t>4.26%</w:t>
      </w:r>
      <w:r w:rsidRPr="00131B9D">
        <w:t>，達</w:t>
      </w:r>
      <w:r w:rsidRPr="00131B9D">
        <w:t>979</w:t>
      </w:r>
      <w:r w:rsidRPr="00131B9D">
        <w:t>美元</w:t>
      </w:r>
      <w:r w:rsidRPr="00131B9D">
        <w:t>/</w:t>
      </w:r>
      <w:r w:rsidRPr="00131B9D">
        <w:t>噸，上半月遠東區</w:t>
      </w:r>
      <w:r w:rsidRPr="00131B9D">
        <w:t>ABS</w:t>
      </w:r>
      <w:r w:rsidRPr="00131B9D">
        <w:t>樹脂報價止跌力守</w:t>
      </w:r>
      <w:r w:rsidRPr="00131B9D">
        <w:t>1,305</w:t>
      </w:r>
      <w:r w:rsidRPr="00131B9D">
        <w:t>美元</w:t>
      </w:r>
      <w:r w:rsidRPr="00131B9D">
        <w:t>/</w:t>
      </w:r>
      <w:r w:rsidRPr="00131B9D">
        <w:t>噸平盤水準。進入第</w:t>
      </w:r>
      <w:r w:rsidRPr="00131B9D">
        <w:t>4</w:t>
      </w:r>
      <w:r w:rsidRPr="00131B9D">
        <w:t>季</w:t>
      </w:r>
      <w:r w:rsidRPr="00131B9D">
        <w:t>ABS</w:t>
      </w:r>
      <w:r w:rsidRPr="00131B9D">
        <w:t>下游需求仍然不足，價格持續下跌，但跌幅趨緩。</w:t>
      </w:r>
      <w:r w:rsidRPr="00131B9D">
        <w:t>10</w:t>
      </w:r>
      <w:r w:rsidRPr="00131B9D">
        <w:t>月底價格較月初僅下跌</w:t>
      </w:r>
      <w:r w:rsidRPr="00131B9D">
        <w:t>6</w:t>
      </w:r>
      <w:r w:rsidRPr="00131B9D">
        <w:t>美元</w:t>
      </w:r>
      <w:r w:rsidRPr="00131B9D">
        <w:t>/</w:t>
      </w:r>
      <w:r w:rsidRPr="00131B9D">
        <w:t>噸，月均價為</w:t>
      </w:r>
      <w:r w:rsidRPr="00131B9D">
        <w:t>1,241.5</w:t>
      </w:r>
      <w:r w:rsidRPr="00131B9D">
        <w:t>美元</w:t>
      </w:r>
      <w:r w:rsidRPr="00131B9D">
        <w:t>/</w:t>
      </w:r>
      <w:r w:rsidRPr="00131B9D">
        <w:t>噸。</w:t>
      </w:r>
      <w:r w:rsidRPr="00131B9D">
        <w:t>11</w:t>
      </w:r>
      <w:r w:rsidRPr="00131B9D">
        <w:t>月初，因</w:t>
      </w:r>
      <w:r w:rsidRPr="00131B9D">
        <w:t>ABS</w:t>
      </w:r>
      <w:r w:rsidRPr="00131B9D">
        <w:t>先期跌幅較多，價格持平，惟</w:t>
      </w:r>
      <w:r w:rsidRPr="00131B9D">
        <w:t>11</w:t>
      </w:r>
      <w:r w:rsidRPr="00131B9D">
        <w:t>月下旬因需求不振，價格再次下跌</w:t>
      </w:r>
      <w:r w:rsidR="00160782" w:rsidRPr="00131B9D">
        <w:t>（如圖</w:t>
      </w:r>
      <w:r w:rsidR="00160782" w:rsidRPr="00131B9D">
        <w:t>3-35</w:t>
      </w:r>
      <w:r w:rsidR="00160782" w:rsidRPr="00131B9D">
        <w:t>）</w:t>
      </w:r>
      <w:r w:rsidRPr="00131B9D">
        <w:t>。</w:t>
      </w:r>
    </w:p>
    <w:p w:rsidR="00F279F7" w:rsidRPr="00131B9D" w:rsidRDefault="00F279F7" w:rsidP="00F279F7">
      <w:pPr>
        <w:pStyle w:val="-"/>
        <w:spacing w:before="72" w:after="72"/>
        <w:ind w:firstLine="560"/>
      </w:pPr>
      <w:r w:rsidRPr="00131B9D">
        <w:rPr>
          <w:kern w:val="0"/>
        </w:rPr>
        <w:t>中國大陸經濟增速放緩，預期未來終端汽車、家電行業發展仍難有好轉，且油價可能持續疲弱，因此</w:t>
      </w:r>
      <w:r w:rsidRPr="00131B9D">
        <w:rPr>
          <w:kern w:val="0"/>
        </w:rPr>
        <w:t>ABS</w:t>
      </w:r>
      <w:r w:rsidRPr="00131B9D">
        <w:rPr>
          <w:kern w:val="0"/>
        </w:rPr>
        <w:t>樹脂未來展望偏空。</w:t>
      </w:r>
    </w:p>
    <w:p w:rsidR="00160782" w:rsidRPr="00131B9D" w:rsidRDefault="00160782" w:rsidP="00F279F7">
      <w:pPr>
        <w:sectPr w:rsidR="00160782" w:rsidRPr="00131B9D" w:rsidSect="00097B8D">
          <w:pgSz w:w="11906" w:h="16838"/>
          <w:pgMar w:top="1440" w:right="1800" w:bottom="1440" w:left="1800" w:header="851" w:footer="992" w:gutter="0"/>
          <w:cols w:space="425"/>
          <w:docGrid w:type="lines" w:linePitch="360"/>
        </w:sectPr>
      </w:pPr>
    </w:p>
    <w:p w:rsidR="00F279F7" w:rsidRPr="00131B9D" w:rsidRDefault="00F279F7" w:rsidP="00F279F7">
      <w:r w:rsidRPr="00131B9D">
        <w:rPr>
          <w:noProof/>
        </w:rPr>
        <w:lastRenderedPageBreak/>
        <w:drawing>
          <wp:inline distT="0" distB="0" distL="0" distR="0" wp14:anchorId="36AD1ED7" wp14:editId="2A84FC24">
            <wp:extent cx="5251834" cy="3189600"/>
            <wp:effectExtent l="19050" t="0" r="25016" b="0"/>
            <wp:docPr id="18461" name="圖表 1846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309" w:name="_Toc398882667"/>
      <w:bookmarkStart w:id="310" w:name="_Toc438223369"/>
      <w:bookmarkStart w:id="311" w:name="_Toc322706980"/>
      <w:bookmarkStart w:id="312" w:name="_Toc365017360"/>
      <w:bookmarkStart w:id="313" w:name="_Toc373423078"/>
      <w:bookmarkStart w:id="314" w:name="_Toc373682463"/>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35</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ABS</w:t>
      </w:r>
      <w:r w:rsidRPr="00131B9D">
        <w:rPr>
          <w:rFonts w:eastAsia="標楷體"/>
          <w:b/>
          <w:bCs/>
          <w:kern w:val="52"/>
          <w:sz w:val="28"/>
          <w:szCs w:val="28"/>
        </w:rPr>
        <w:t>樹脂近一年價格走勢圖</w:t>
      </w:r>
      <w:bookmarkEnd w:id="309"/>
      <w:bookmarkEnd w:id="310"/>
    </w:p>
    <w:p w:rsidR="003B29E8" w:rsidRPr="00131B9D" w:rsidRDefault="003B29E8" w:rsidP="003B29E8"/>
    <w:p w:rsidR="00F279F7" w:rsidRPr="00131B9D" w:rsidRDefault="00F279F7" w:rsidP="00F279F7">
      <w:pPr>
        <w:pStyle w:val="3"/>
        <w:rPr>
          <w:rFonts w:ascii="Times New Roman" w:hAnsi="Times New Roman"/>
        </w:rPr>
      </w:pPr>
      <w:bookmarkStart w:id="315" w:name="_Toc322706981"/>
      <w:bookmarkEnd w:id="311"/>
      <w:bookmarkEnd w:id="312"/>
      <w:bookmarkEnd w:id="313"/>
      <w:bookmarkEnd w:id="314"/>
      <w:r w:rsidRPr="00131B9D">
        <w:rPr>
          <w:rFonts w:ascii="Times New Roman" w:hAnsi="Times New Roman"/>
        </w:rPr>
        <w:t>（八）己內醯胺（</w:t>
      </w:r>
      <w:r w:rsidRPr="00131B9D">
        <w:rPr>
          <w:rFonts w:ascii="Times New Roman" w:hAnsi="Times New Roman"/>
        </w:rPr>
        <w:t>CPL</w:t>
      </w:r>
      <w:r w:rsidRPr="00131B9D">
        <w:rPr>
          <w:rFonts w:ascii="Times New Roman" w:hAnsi="Times New Roman"/>
        </w:rPr>
        <w:t>）</w:t>
      </w:r>
      <w:bookmarkEnd w:id="315"/>
    </w:p>
    <w:p w:rsidR="00F279F7" w:rsidRPr="00131B9D" w:rsidRDefault="00F279F7" w:rsidP="00F279F7">
      <w:pPr>
        <w:pStyle w:val="-"/>
        <w:spacing w:before="72" w:after="72"/>
        <w:ind w:firstLine="560"/>
      </w:pPr>
      <w:r w:rsidRPr="00131B9D">
        <w:t>法人指出，</w:t>
      </w:r>
      <w:r w:rsidRPr="00131B9D">
        <w:t>2014</w:t>
      </w:r>
      <w:r w:rsidRPr="00131B9D">
        <w:t>第</w:t>
      </w:r>
      <w:r w:rsidRPr="00131B9D">
        <w:t>4</w:t>
      </w:r>
      <w:r w:rsidRPr="00131B9D">
        <w:t>季國際油價下跌的時候，當時</w:t>
      </w:r>
      <w:r w:rsidRPr="00131B9D">
        <w:t>CPL</w:t>
      </w:r>
      <w:r w:rsidRPr="00131B9D">
        <w:t>價格的敏感度不高，一直到今年</w:t>
      </w:r>
      <w:r w:rsidRPr="00131B9D">
        <w:t>1</w:t>
      </w:r>
      <w:r w:rsidRPr="00131B9D">
        <w:t>月底才開始發酵，下挫力道相當大，因此</w:t>
      </w:r>
      <w:r w:rsidRPr="00131B9D">
        <w:t>1</w:t>
      </w:r>
      <w:r w:rsidRPr="00131B9D">
        <w:t>月份都處於補跌階段。截至</w:t>
      </w:r>
      <w:r w:rsidRPr="00131B9D">
        <w:t>2</w:t>
      </w:r>
      <w:r w:rsidRPr="00131B9D">
        <w:t>月中旬，</w:t>
      </w:r>
      <w:r w:rsidRPr="00131B9D">
        <w:t>CPL</w:t>
      </w:r>
      <w:r w:rsidRPr="00131B9D">
        <w:t>價格於</w:t>
      </w:r>
      <w:r w:rsidRPr="00131B9D">
        <w:t>2015</w:t>
      </w:r>
      <w:r w:rsidRPr="00131B9D">
        <w:t>年已跌至</w:t>
      </w:r>
      <w:r w:rsidRPr="00131B9D">
        <w:t>1,540</w:t>
      </w:r>
      <w:r w:rsidRPr="00131B9D">
        <w:t>美元</w:t>
      </w:r>
      <w:r w:rsidRPr="00131B9D">
        <w:t>/</w:t>
      </w:r>
      <w:r w:rsidRPr="00131B9D">
        <w:t>噸，跌幅達</w:t>
      </w:r>
      <w:r w:rsidRPr="00131B9D">
        <w:t>19%</w:t>
      </w:r>
      <w:r w:rsidRPr="00131B9D">
        <w:t>。第</w:t>
      </w:r>
      <w:r w:rsidRPr="00131B9D">
        <w:t>2</w:t>
      </w:r>
      <w:r w:rsidRPr="00131B9D">
        <w:t>季，隨著部分</w:t>
      </w:r>
      <w:r w:rsidRPr="00131B9D">
        <w:t>CPL</w:t>
      </w:r>
      <w:r w:rsidRPr="00131B9D">
        <w:t>和尼龍粒廠退出市場，以及中國大陸業者進入歲修、</w:t>
      </w:r>
      <w:r w:rsidRPr="00131B9D">
        <w:t>CPL</w:t>
      </w:r>
      <w:r w:rsidRPr="00131B9D">
        <w:t>報價止穩反彈。</w:t>
      </w:r>
      <w:r w:rsidRPr="00131B9D">
        <w:t>4</w:t>
      </w:r>
      <w:r w:rsidRPr="00131B9D">
        <w:t>月苯市場依然強勁，且工業需求小幅改善，造成</w:t>
      </w:r>
      <w:r w:rsidRPr="00131B9D">
        <w:t>CPL</w:t>
      </w:r>
      <w:r w:rsidRPr="00131B9D">
        <w:t>供應緊縮，且此情況將延續到</w:t>
      </w:r>
      <w:r w:rsidRPr="00131B9D">
        <w:t>5</w:t>
      </w:r>
      <w:r w:rsidRPr="00131B9D">
        <w:t>月。但</w:t>
      </w:r>
      <w:r w:rsidRPr="00131B9D">
        <w:t>6</w:t>
      </w:r>
      <w:r w:rsidRPr="00131B9D">
        <w:t>月受到中國大陸國內市場產品供應充足，加上下游纖維產業需求不振，造成己內醯胺價格下跌。</w:t>
      </w:r>
      <w:r w:rsidRPr="00131B9D">
        <w:rPr>
          <w:color w:val="000000"/>
        </w:rPr>
        <w:t>第</w:t>
      </w:r>
      <w:r w:rsidRPr="00131B9D">
        <w:rPr>
          <w:color w:val="000000"/>
        </w:rPr>
        <w:t>3</w:t>
      </w:r>
      <w:r w:rsidRPr="00131B9D">
        <w:rPr>
          <w:color w:val="000000"/>
        </w:rPr>
        <w:t>季，中國大陸</w:t>
      </w:r>
      <w:r w:rsidRPr="00131B9D">
        <w:rPr>
          <w:color w:val="000000"/>
        </w:rPr>
        <w:t>CPL</w:t>
      </w:r>
      <w:r w:rsidRPr="00131B9D">
        <w:rPr>
          <w:color w:val="000000"/>
        </w:rPr>
        <w:t>產能大增，在供過於求的情況下，價格持續探底。</w:t>
      </w:r>
      <w:r w:rsidRPr="00131B9D">
        <w:rPr>
          <w:color w:val="000000"/>
        </w:rPr>
        <w:t>7</w:t>
      </w:r>
      <w:r w:rsidRPr="00131B9D">
        <w:rPr>
          <w:color w:val="000000"/>
        </w:rPr>
        <w:t>月中旬，受到油價下挫及大陸股災影響，導致</w:t>
      </w:r>
      <w:r w:rsidRPr="00131B9D">
        <w:rPr>
          <w:color w:val="000000"/>
          <w:sz w:val="27"/>
          <w:szCs w:val="27"/>
        </w:rPr>
        <w:t>塑化中間原料下跌，尼龍需求疲軟，大陸內銷價格下跌，</w:t>
      </w:r>
      <w:r w:rsidRPr="00131B9D">
        <w:rPr>
          <w:color w:val="000000"/>
          <w:sz w:val="27"/>
          <w:szCs w:val="27"/>
        </w:rPr>
        <w:t>CPL</w:t>
      </w:r>
      <w:r w:rsidRPr="00131B9D">
        <w:rPr>
          <w:color w:val="000000"/>
          <w:sz w:val="27"/>
          <w:szCs w:val="27"/>
        </w:rPr>
        <w:t>報價重挫，跌幅</w:t>
      </w:r>
      <w:r w:rsidRPr="00131B9D">
        <w:rPr>
          <w:color w:val="000000"/>
          <w:sz w:val="27"/>
          <w:szCs w:val="27"/>
        </w:rPr>
        <w:t>4.35%</w:t>
      </w:r>
      <w:r w:rsidRPr="00131B9D">
        <w:rPr>
          <w:color w:val="000000"/>
          <w:sz w:val="27"/>
          <w:szCs w:val="27"/>
        </w:rPr>
        <w:t>，報價</w:t>
      </w:r>
      <w:r w:rsidRPr="00131B9D">
        <w:rPr>
          <w:color w:val="000000"/>
          <w:sz w:val="27"/>
          <w:szCs w:val="27"/>
        </w:rPr>
        <w:t>1,649-1,651</w:t>
      </w:r>
      <w:r w:rsidRPr="00131B9D">
        <w:rPr>
          <w:color w:val="000000"/>
          <w:sz w:val="27"/>
          <w:szCs w:val="27"/>
        </w:rPr>
        <w:t>美元</w:t>
      </w:r>
      <w:r w:rsidRPr="00131B9D">
        <w:rPr>
          <w:color w:val="000000"/>
        </w:rPr>
        <w:t>。</w:t>
      </w:r>
      <w:r w:rsidRPr="00131B9D">
        <w:rPr>
          <w:color w:val="000000"/>
        </w:rPr>
        <w:t>8</w:t>
      </w:r>
      <w:r w:rsidRPr="00131B9D">
        <w:rPr>
          <w:color w:val="000000"/>
        </w:rPr>
        <w:t>月下旬雖然人民幣重貶、油價暴跌，遠東區</w:t>
      </w:r>
      <w:r w:rsidRPr="00131B9D">
        <w:rPr>
          <w:color w:val="000000"/>
        </w:rPr>
        <w:t>CPL</w:t>
      </w:r>
      <w:r w:rsidRPr="00131B9D">
        <w:rPr>
          <w:color w:val="000000"/>
        </w:rPr>
        <w:t>己內醯胺面臨年度契約價議約，報價僅小跌</w:t>
      </w:r>
      <w:r w:rsidRPr="00131B9D">
        <w:rPr>
          <w:color w:val="000000"/>
        </w:rPr>
        <w:t>0.3%</w:t>
      </w:r>
      <w:r w:rsidRPr="00131B9D">
        <w:rPr>
          <w:color w:val="000000"/>
        </w:rPr>
        <w:t>，隨後全球股市震盪，紐約原油跌破</w:t>
      </w:r>
      <w:r w:rsidRPr="00131B9D">
        <w:rPr>
          <w:color w:val="000000"/>
        </w:rPr>
        <w:t>40</w:t>
      </w:r>
      <w:r w:rsidRPr="00131B9D">
        <w:rPr>
          <w:color w:val="000000"/>
        </w:rPr>
        <w:t>美元大關，連帶影響</w:t>
      </w:r>
      <w:r w:rsidRPr="00131B9D">
        <w:rPr>
          <w:color w:val="000000"/>
        </w:rPr>
        <w:t>CPL</w:t>
      </w:r>
      <w:r w:rsidRPr="00131B9D">
        <w:rPr>
          <w:color w:val="000000"/>
        </w:rPr>
        <w:t>價格</w:t>
      </w:r>
      <w:r w:rsidRPr="00131B9D">
        <w:rPr>
          <w:color w:val="000000"/>
        </w:rPr>
        <w:t>8</w:t>
      </w:r>
      <w:r w:rsidRPr="00131B9D">
        <w:rPr>
          <w:color w:val="000000"/>
        </w:rPr>
        <w:t>月底及</w:t>
      </w:r>
      <w:r w:rsidRPr="00131B9D">
        <w:rPr>
          <w:color w:val="000000"/>
        </w:rPr>
        <w:t>9</w:t>
      </w:r>
      <w:r w:rsidRPr="00131B9D">
        <w:rPr>
          <w:color w:val="000000"/>
        </w:rPr>
        <w:t>月初</w:t>
      </w:r>
      <w:r w:rsidRPr="00131B9D">
        <w:rPr>
          <w:color w:val="000000"/>
        </w:rPr>
        <w:t>2</w:t>
      </w:r>
      <w:r w:rsidRPr="00131B9D">
        <w:rPr>
          <w:color w:val="000000"/>
        </w:rPr>
        <w:t>次暴跌，遠東區報價為自</w:t>
      </w:r>
      <w:r w:rsidRPr="00131B9D">
        <w:rPr>
          <w:color w:val="000000"/>
        </w:rPr>
        <w:t>1,640</w:t>
      </w:r>
      <w:r w:rsidRPr="00131B9D">
        <w:rPr>
          <w:color w:val="000000"/>
        </w:rPr>
        <w:t>美元下跌至</w:t>
      </w:r>
      <w:r w:rsidRPr="00131B9D">
        <w:rPr>
          <w:color w:val="000000"/>
        </w:rPr>
        <w:t>1,320</w:t>
      </w:r>
      <w:r w:rsidRPr="00131B9D">
        <w:rPr>
          <w:color w:val="000000"/>
        </w:rPr>
        <w:t>。</w:t>
      </w:r>
      <w:r w:rsidRPr="00131B9D">
        <w:rPr>
          <w:color w:val="000000"/>
        </w:rPr>
        <w:t>9</w:t>
      </w:r>
      <w:r w:rsidRPr="00131B9D">
        <w:rPr>
          <w:color w:val="000000"/>
        </w:rPr>
        <w:t>月中，中國大陸內銷價格調漲，</w:t>
      </w:r>
      <w:r w:rsidRPr="00131B9D">
        <w:rPr>
          <w:color w:val="000000"/>
        </w:rPr>
        <w:lastRenderedPageBreak/>
        <w:t>造成</w:t>
      </w:r>
      <w:r w:rsidRPr="00131B9D">
        <w:rPr>
          <w:color w:val="000000"/>
        </w:rPr>
        <w:t>CPL</w:t>
      </w:r>
      <w:r w:rsidRPr="00131B9D">
        <w:rPr>
          <w:color w:val="000000"/>
        </w:rPr>
        <w:t>報價微幅反彈</w:t>
      </w:r>
      <w:r w:rsidRPr="00131B9D">
        <w:rPr>
          <w:color w:val="000000"/>
        </w:rPr>
        <w:t>1.52%</w:t>
      </w:r>
      <w:r w:rsidRPr="00131B9D">
        <w:rPr>
          <w:color w:val="000000"/>
        </w:rPr>
        <w:t>。</w:t>
      </w:r>
      <w:r w:rsidRPr="00131B9D">
        <w:t>進入第</w:t>
      </w:r>
      <w:r w:rsidRPr="00131B9D">
        <w:t>4</w:t>
      </w:r>
      <w:r w:rsidRPr="00131B9D">
        <w:t>季後，</w:t>
      </w:r>
      <w:r w:rsidRPr="00131B9D">
        <w:t>CPL</w:t>
      </w:r>
      <w:r w:rsidRPr="00131B9D">
        <w:t>價格以持平為主，</w:t>
      </w:r>
      <w:r w:rsidRPr="00131B9D">
        <w:t>10</w:t>
      </w:r>
      <w:r w:rsidRPr="00131B9D">
        <w:t>月初受到中國大陸十一長假影響，欠缺買盤推升，價格下跌，</w:t>
      </w:r>
      <w:r w:rsidRPr="00131B9D">
        <w:t>10</w:t>
      </w:r>
      <w:r w:rsidRPr="00131B9D">
        <w:t>月中旬苯價反彈，</w:t>
      </w:r>
      <w:r w:rsidRPr="00131B9D">
        <w:t>CPL</w:t>
      </w:r>
      <w:r w:rsidRPr="00131B9D">
        <w:t>價格上升，但兩者變動幅度皆小，此後遠東區</w:t>
      </w:r>
      <w:r w:rsidRPr="00131B9D">
        <w:t>CPL</w:t>
      </w:r>
      <w:r w:rsidRPr="00131B9D">
        <w:t>價格持平於</w:t>
      </w:r>
      <w:r w:rsidRPr="00131B9D">
        <w:t>1,339-1,341</w:t>
      </w:r>
      <w:r w:rsidRPr="00131B9D">
        <w:t>美元</w:t>
      </w:r>
      <w:r w:rsidRPr="00131B9D">
        <w:t>/</w:t>
      </w:r>
      <w:r w:rsidRPr="00131B9D">
        <w:t>噸</w:t>
      </w:r>
      <w:r w:rsidR="00160782" w:rsidRPr="00131B9D">
        <w:t>（如圖</w:t>
      </w:r>
      <w:r w:rsidR="00160782" w:rsidRPr="00131B9D">
        <w:t>3-36</w:t>
      </w:r>
      <w:r w:rsidR="00160782" w:rsidRPr="00131B9D">
        <w:t>）</w:t>
      </w:r>
      <w:r w:rsidRPr="00131B9D">
        <w:t>。</w:t>
      </w:r>
    </w:p>
    <w:p w:rsidR="00F279F7" w:rsidRPr="00131B9D" w:rsidRDefault="00F279F7" w:rsidP="00F279F7">
      <w:pPr>
        <w:pStyle w:val="-"/>
        <w:spacing w:before="72" w:after="72"/>
        <w:ind w:firstLine="560"/>
      </w:pPr>
      <w:r w:rsidRPr="00131B9D">
        <w:t>展望未來一年，預期未來油價不會有明顯反彈，油價疲弱，讓產品價格拉抬不易，且中國大陸進入新常態，高速成長成為過去，商品</w:t>
      </w:r>
      <w:r w:rsidR="00BB2F1F" w:rsidRPr="00131B9D">
        <w:t>需求減緩，因此</w:t>
      </w:r>
      <w:r w:rsidR="00BB2F1F" w:rsidRPr="00131B9D">
        <w:t>CPL</w:t>
      </w:r>
      <w:r w:rsidR="00BB2F1F" w:rsidRPr="00131B9D">
        <w:t>未來價格可能維持弱勢。</w:t>
      </w:r>
    </w:p>
    <w:p w:rsidR="003B29E8" w:rsidRPr="00131B9D" w:rsidRDefault="003B29E8" w:rsidP="003B29E8"/>
    <w:p w:rsidR="00F279F7" w:rsidRPr="00131B9D" w:rsidRDefault="00F279F7" w:rsidP="00F279F7">
      <w:pPr>
        <w:spacing w:line="360" w:lineRule="auto"/>
      </w:pPr>
      <w:r w:rsidRPr="00131B9D">
        <w:rPr>
          <w:noProof/>
        </w:rPr>
        <w:drawing>
          <wp:inline distT="0" distB="0" distL="0" distR="0" wp14:anchorId="4AC9C958" wp14:editId="3A3E0DC2">
            <wp:extent cx="5251199" cy="3189600"/>
            <wp:effectExtent l="19050" t="0" r="25651" b="0"/>
            <wp:docPr id="114" name="圖表 114"/>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316" w:name="_Toc398882668"/>
      <w:bookmarkStart w:id="317" w:name="_Toc438223370"/>
      <w:bookmarkStart w:id="318" w:name="_Toc322706982"/>
      <w:bookmarkStart w:id="319" w:name="_Toc365017361"/>
      <w:bookmarkStart w:id="320" w:name="_Toc373423079"/>
      <w:bookmarkStart w:id="321" w:name="_Toc373682464"/>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36</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CPL</w:t>
      </w:r>
      <w:r w:rsidRPr="00131B9D">
        <w:rPr>
          <w:rFonts w:eastAsia="標楷體"/>
          <w:b/>
          <w:bCs/>
          <w:kern w:val="52"/>
          <w:sz w:val="28"/>
          <w:szCs w:val="28"/>
        </w:rPr>
        <w:t>近一年價格走勢圖</w:t>
      </w:r>
      <w:bookmarkEnd w:id="316"/>
      <w:bookmarkEnd w:id="317"/>
    </w:p>
    <w:p w:rsidR="00F279F7" w:rsidRPr="00131B9D" w:rsidRDefault="00F279F7" w:rsidP="003B29E8"/>
    <w:p w:rsidR="00F279F7" w:rsidRPr="00131B9D" w:rsidRDefault="00F279F7" w:rsidP="00F279F7">
      <w:pPr>
        <w:pStyle w:val="3"/>
        <w:rPr>
          <w:rFonts w:ascii="Times New Roman" w:hAnsi="Times New Roman"/>
        </w:rPr>
      </w:pPr>
      <w:bookmarkStart w:id="322" w:name="_Toc322706983"/>
      <w:bookmarkEnd w:id="318"/>
      <w:bookmarkEnd w:id="319"/>
      <w:bookmarkEnd w:id="320"/>
      <w:bookmarkEnd w:id="321"/>
      <w:r w:rsidRPr="00131B9D">
        <w:rPr>
          <w:rFonts w:ascii="Times New Roman" w:hAnsi="Times New Roman"/>
        </w:rPr>
        <w:t>（九）純對苯二甲酸（</w:t>
      </w:r>
      <w:r w:rsidRPr="00131B9D">
        <w:rPr>
          <w:rFonts w:ascii="Times New Roman" w:hAnsi="Times New Roman"/>
        </w:rPr>
        <w:t>PTA</w:t>
      </w:r>
      <w:r w:rsidRPr="00131B9D">
        <w:rPr>
          <w:rFonts w:ascii="Times New Roman" w:hAnsi="Times New Roman"/>
        </w:rPr>
        <w:t>）</w:t>
      </w:r>
      <w:bookmarkEnd w:id="322"/>
    </w:p>
    <w:p w:rsidR="00F279F7" w:rsidRPr="00131B9D" w:rsidRDefault="00F279F7" w:rsidP="00F279F7">
      <w:pPr>
        <w:spacing w:line="480" w:lineRule="exact"/>
        <w:ind w:firstLineChars="200" w:firstLine="560"/>
        <w:jc w:val="both"/>
      </w:pPr>
      <w:r w:rsidRPr="00131B9D">
        <w:rPr>
          <w:rFonts w:eastAsia="標楷體"/>
          <w:sz w:val="28"/>
          <w:szCs w:val="28"/>
        </w:rPr>
        <w:t>第</w:t>
      </w:r>
      <w:r w:rsidRPr="00131B9D">
        <w:rPr>
          <w:rFonts w:eastAsia="標楷體"/>
          <w:sz w:val="28"/>
          <w:szCs w:val="28"/>
        </w:rPr>
        <w:t>1</w:t>
      </w:r>
      <w:r w:rsidRPr="00131B9D">
        <w:rPr>
          <w:rFonts w:eastAsia="標楷體"/>
          <w:sz w:val="28"/>
          <w:szCs w:val="28"/>
        </w:rPr>
        <w:t>季初，原油和</w:t>
      </w:r>
      <w:r w:rsidRPr="00131B9D">
        <w:rPr>
          <w:rFonts w:eastAsia="標楷體"/>
          <w:sz w:val="28"/>
          <w:szCs w:val="28"/>
        </w:rPr>
        <w:t>PX</w:t>
      </w:r>
      <w:r w:rsidRPr="00131B9D">
        <w:rPr>
          <w:rFonts w:eastAsia="標楷體"/>
          <w:sz w:val="28"/>
          <w:szCs w:val="28"/>
        </w:rPr>
        <w:t>等上游原料價格仍處於弱勢之中，</w:t>
      </w:r>
      <w:r w:rsidRPr="00131B9D">
        <w:rPr>
          <w:rFonts w:eastAsia="標楷體"/>
          <w:sz w:val="28"/>
          <w:szCs w:val="28"/>
        </w:rPr>
        <w:t>PTA</w:t>
      </w:r>
      <w:r w:rsidRPr="00131B9D">
        <w:rPr>
          <w:rFonts w:eastAsia="標楷體"/>
          <w:sz w:val="28"/>
          <w:szCs w:val="28"/>
        </w:rPr>
        <w:t>成本推動力不足，減產效應也大不如前，終端需求淡季來臨，造成</w:t>
      </w:r>
      <w:r w:rsidRPr="00131B9D">
        <w:rPr>
          <w:rFonts w:eastAsia="標楷體"/>
          <w:sz w:val="28"/>
          <w:szCs w:val="28"/>
        </w:rPr>
        <w:t>PTA</w:t>
      </w:r>
      <w:r w:rsidRPr="00131B9D">
        <w:rPr>
          <w:rFonts w:eastAsia="標楷體"/>
          <w:sz w:val="28"/>
          <w:szCs w:val="28"/>
        </w:rPr>
        <w:t>價格下跌。隨後</w:t>
      </w:r>
      <w:r w:rsidRPr="00131B9D">
        <w:rPr>
          <w:rFonts w:eastAsia="標楷體"/>
          <w:sz w:val="28"/>
          <w:szCs w:val="28"/>
        </w:rPr>
        <w:t>PTA</w:t>
      </w:r>
      <w:r w:rsidRPr="00131B9D">
        <w:rPr>
          <w:rFonts w:eastAsia="標楷體"/>
          <w:sz w:val="28"/>
          <w:szCs w:val="28"/>
        </w:rPr>
        <w:t>上游</w:t>
      </w:r>
      <w:r w:rsidRPr="00131B9D">
        <w:rPr>
          <w:rFonts w:eastAsia="標楷體"/>
          <w:sz w:val="28"/>
          <w:szCs w:val="28"/>
        </w:rPr>
        <w:t>PX</w:t>
      </w:r>
      <w:r w:rsidRPr="00131B9D">
        <w:rPr>
          <w:rFonts w:eastAsia="標楷體"/>
          <w:sz w:val="28"/>
          <w:szCs w:val="28"/>
        </w:rPr>
        <w:t>價格穩定，下游聚酯部分價格也走堅穩健，支撐中國大陸</w:t>
      </w:r>
      <w:r w:rsidRPr="00131B9D">
        <w:rPr>
          <w:rFonts w:eastAsia="標楷體"/>
          <w:sz w:val="28"/>
          <w:szCs w:val="28"/>
        </w:rPr>
        <w:t>PTA</w:t>
      </w:r>
      <w:r w:rsidRPr="00131B9D">
        <w:rPr>
          <w:rFonts w:eastAsia="標楷體"/>
          <w:sz w:val="28"/>
          <w:szCs w:val="28"/>
        </w:rPr>
        <w:t>內銷報價穩步墊高，每噸價格上漲</w:t>
      </w:r>
      <w:r w:rsidRPr="00131B9D">
        <w:rPr>
          <w:rFonts w:eastAsia="標楷體"/>
          <w:sz w:val="28"/>
          <w:szCs w:val="28"/>
        </w:rPr>
        <w:t>25</w:t>
      </w:r>
      <w:r w:rsidRPr="00131B9D">
        <w:rPr>
          <w:rFonts w:eastAsia="標楷體"/>
          <w:sz w:val="28"/>
          <w:szCs w:val="28"/>
        </w:rPr>
        <w:t>元人民幣至</w:t>
      </w:r>
      <w:r w:rsidRPr="00131B9D">
        <w:rPr>
          <w:rFonts w:eastAsia="標楷體"/>
          <w:sz w:val="28"/>
          <w:szCs w:val="28"/>
        </w:rPr>
        <w:t>4,425</w:t>
      </w:r>
      <w:r w:rsidRPr="00131B9D">
        <w:rPr>
          <w:rFonts w:eastAsia="標楷體"/>
          <w:sz w:val="28"/>
          <w:szCs w:val="28"/>
        </w:rPr>
        <w:t>元人民幣。</w:t>
      </w:r>
      <w:r w:rsidRPr="00131B9D">
        <w:rPr>
          <w:rFonts w:eastAsia="標楷體"/>
          <w:sz w:val="28"/>
          <w:szCs w:val="28"/>
        </w:rPr>
        <w:t>3</w:t>
      </w:r>
      <w:r w:rsidRPr="00131B9D">
        <w:rPr>
          <w:rFonts w:eastAsia="標楷體"/>
          <w:sz w:val="28"/>
          <w:szCs w:val="28"/>
        </w:rPr>
        <w:t>月</w:t>
      </w:r>
      <w:r w:rsidRPr="00131B9D">
        <w:rPr>
          <w:rFonts w:eastAsia="標楷體"/>
          <w:sz w:val="28"/>
          <w:szCs w:val="28"/>
        </w:rPr>
        <w:t>PTA</w:t>
      </w:r>
      <w:r w:rsidRPr="00131B9D">
        <w:rPr>
          <w:rFonts w:eastAsia="標楷體"/>
          <w:sz w:val="28"/>
          <w:szCs w:val="28"/>
        </w:rPr>
        <w:t>現貨價格呈震盪上漲走勢，大陸內銷及亞洲現貨報價漲幅分別為</w:t>
      </w:r>
      <w:r w:rsidRPr="00131B9D">
        <w:rPr>
          <w:rFonts w:eastAsia="標楷體"/>
          <w:sz w:val="28"/>
          <w:szCs w:val="28"/>
        </w:rPr>
        <w:t>6.06%</w:t>
      </w:r>
      <w:r w:rsidRPr="00131B9D">
        <w:rPr>
          <w:rFonts w:eastAsia="標楷體"/>
          <w:sz w:val="28"/>
          <w:szCs w:val="28"/>
        </w:rPr>
        <w:t>及</w:t>
      </w:r>
      <w:r w:rsidRPr="00131B9D">
        <w:rPr>
          <w:rFonts w:eastAsia="標楷體"/>
          <w:sz w:val="28"/>
          <w:szCs w:val="28"/>
        </w:rPr>
        <w:t>4.71%</w:t>
      </w:r>
      <w:r w:rsidRPr="00131B9D">
        <w:rPr>
          <w:rFonts w:eastAsia="標楷體"/>
          <w:sz w:val="28"/>
          <w:szCs w:val="28"/>
        </w:rPr>
        <w:t>。進入第</w:t>
      </w:r>
      <w:r w:rsidRPr="00131B9D">
        <w:rPr>
          <w:rFonts w:eastAsia="標楷體"/>
          <w:sz w:val="28"/>
          <w:szCs w:val="28"/>
        </w:rPr>
        <w:t>2</w:t>
      </w:r>
      <w:r w:rsidRPr="00131B9D">
        <w:rPr>
          <w:rFonts w:eastAsia="標楷體"/>
          <w:sz w:val="28"/>
          <w:szCs w:val="28"/>
        </w:rPr>
        <w:t>季，</w:t>
      </w:r>
      <w:r w:rsidRPr="00131B9D">
        <w:rPr>
          <w:rFonts w:eastAsia="標楷體"/>
          <w:sz w:val="28"/>
          <w:szCs w:val="28"/>
        </w:rPr>
        <w:t>4</w:t>
      </w:r>
      <w:r w:rsidRPr="00131B9D">
        <w:rPr>
          <w:rFonts w:eastAsia="標楷體"/>
          <w:sz w:val="28"/>
          <w:szCs w:val="28"/>
        </w:rPr>
        <w:t>月福建古雷騰龍芳烴廠與揚子石化乙二醇（</w:t>
      </w:r>
      <w:r w:rsidRPr="00131B9D">
        <w:rPr>
          <w:rFonts w:eastAsia="標楷體"/>
          <w:sz w:val="28"/>
          <w:szCs w:val="28"/>
        </w:rPr>
        <w:t>EG</w:t>
      </w:r>
      <w:r w:rsidRPr="00131B9D">
        <w:rPr>
          <w:rFonts w:eastAsia="標楷體"/>
          <w:sz w:val="28"/>
          <w:szCs w:val="28"/>
        </w:rPr>
        <w:t>）裝置發生爆炸，造成</w:t>
      </w:r>
      <w:r w:rsidRPr="00131B9D">
        <w:rPr>
          <w:rFonts w:eastAsia="標楷體"/>
          <w:sz w:val="28"/>
          <w:szCs w:val="28"/>
        </w:rPr>
        <w:t>PTA</w:t>
      </w:r>
      <w:r w:rsidRPr="00131B9D">
        <w:rPr>
          <w:rFonts w:eastAsia="標楷體"/>
          <w:sz w:val="28"/>
          <w:szCs w:val="28"/>
        </w:rPr>
        <w:lastRenderedPageBreak/>
        <w:t>裝置受到影響而停產，同時亞洲包括中國大陸、新加坡、韓國等皆有</w:t>
      </w:r>
      <w:r w:rsidRPr="00131B9D">
        <w:rPr>
          <w:rFonts w:eastAsia="標楷體"/>
          <w:sz w:val="28"/>
          <w:szCs w:val="28"/>
        </w:rPr>
        <w:t>PX</w:t>
      </w:r>
      <w:r w:rsidRPr="00131B9D">
        <w:rPr>
          <w:rFonts w:eastAsia="標楷體"/>
          <w:sz w:val="28"/>
          <w:szCs w:val="28"/>
        </w:rPr>
        <w:t>廠或</w:t>
      </w:r>
      <w:r w:rsidRPr="00131B9D">
        <w:rPr>
          <w:rFonts w:eastAsia="標楷體"/>
          <w:sz w:val="28"/>
          <w:szCs w:val="28"/>
        </w:rPr>
        <w:t>PTA</w:t>
      </w:r>
      <w:r w:rsidRPr="00131B9D">
        <w:rPr>
          <w:rFonts w:eastAsia="標楷體"/>
          <w:sz w:val="28"/>
          <w:szCs w:val="28"/>
        </w:rPr>
        <w:t>廠持續檢修皆有檢修計劃。下游方面，</w:t>
      </w:r>
      <w:r w:rsidRPr="00131B9D">
        <w:rPr>
          <w:rFonts w:eastAsia="標楷體"/>
          <w:sz w:val="28"/>
          <w:szCs w:val="28"/>
        </w:rPr>
        <w:t>PTA</w:t>
      </w:r>
      <w:r w:rsidRPr="00131B9D">
        <w:rPr>
          <w:rFonts w:eastAsia="標楷體"/>
          <w:sz w:val="28"/>
          <w:szCs w:val="28"/>
        </w:rPr>
        <w:t>主要用來生產聚酯纖維，按照往年經驗，第</w:t>
      </w:r>
      <w:r w:rsidRPr="00131B9D">
        <w:rPr>
          <w:rFonts w:eastAsia="標楷體"/>
          <w:sz w:val="28"/>
          <w:szCs w:val="28"/>
        </w:rPr>
        <w:t>2</w:t>
      </w:r>
      <w:r w:rsidRPr="00131B9D">
        <w:rPr>
          <w:rFonts w:eastAsia="標楷體"/>
          <w:sz w:val="28"/>
          <w:szCs w:val="28"/>
        </w:rPr>
        <w:t>季聚酯纖維產量比第</w:t>
      </w:r>
      <w:r w:rsidRPr="00131B9D">
        <w:rPr>
          <w:rFonts w:eastAsia="標楷體"/>
          <w:sz w:val="28"/>
          <w:szCs w:val="28"/>
        </w:rPr>
        <w:t>1</w:t>
      </w:r>
      <w:r w:rsidRPr="00131B9D">
        <w:rPr>
          <w:rFonts w:eastAsia="標楷體"/>
          <w:sz w:val="28"/>
          <w:szCs w:val="28"/>
        </w:rPr>
        <w:t>季增加</w:t>
      </w:r>
      <w:r w:rsidRPr="00131B9D">
        <w:rPr>
          <w:rFonts w:eastAsia="標楷體"/>
          <w:sz w:val="28"/>
          <w:szCs w:val="28"/>
        </w:rPr>
        <w:t>15%</w:t>
      </w:r>
      <w:r w:rsidRPr="00131B9D">
        <w:rPr>
          <w:rFonts w:eastAsia="標楷體"/>
          <w:sz w:val="28"/>
          <w:szCs w:val="28"/>
        </w:rPr>
        <w:t>，且紡織廠聚酯纖維庫存低，擴大庫存回補需求。在上下游皆有利的情況下，促使第</w:t>
      </w:r>
      <w:r w:rsidRPr="00131B9D">
        <w:rPr>
          <w:rFonts w:eastAsia="標楷體"/>
          <w:sz w:val="28"/>
          <w:szCs w:val="28"/>
        </w:rPr>
        <w:t>2</w:t>
      </w:r>
      <w:r w:rsidRPr="00131B9D">
        <w:rPr>
          <w:rFonts w:eastAsia="標楷體"/>
          <w:sz w:val="28"/>
          <w:szCs w:val="28"/>
        </w:rPr>
        <w:t>季初</w:t>
      </w:r>
      <w:r w:rsidRPr="00131B9D">
        <w:rPr>
          <w:rFonts w:eastAsia="標楷體"/>
          <w:sz w:val="28"/>
          <w:szCs w:val="28"/>
        </w:rPr>
        <w:t>PTA</w:t>
      </w:r>
      <w:r w:rsidRPr="00131B9D">
        <w:rPr>
          <w:rFonts w:eastAsia="標楷體"/>
          <w:sz w:val="28"/>
          <w:szCs w:val="28"/>
        </w:rPr>
        <w:t>行情奮起強彈。隨著</w:t>
      </w:r>
      <w:r w:rsidRPr="00131B9D">
        <w:rPr>
          <w:rFonts w:eastAsia="標楷體"/>
          <w:sz w:val="28"/>
          <w:szCs w:val="28"/>
        </w:rPr>
        <w:t>5</w:t>
      </w:r>
      <w:r w:rsidRPr="00131B9D">
        <w:rPr>
          <w:rFonts w:eastAsia="標楷體"/>
          <w:sz w:val="28"/>
          <w:szCs w:val="28"/>
        </w:rPr>
        <w:t>月底</w:t>
      </w:r>
      <w:r w:rsidRPr="00131B9D">
        <w:rPr>
          <w:rFonts w:eastAsia="標楷體"/>
          <w:sz w:val="28"/>
          <w:szCs w:val="28"/>
        </w:rPr>
        <w:t>6</w:t>
      </w:r>
      <w:r w:rsidRPr="00131B9D">
        <w:rPr>
          <w:rFonts w:eastAsia="標楷體"/>
          <w:sz w:val="28"/>
          <w:szCs w:val="28"/>
        </w:rPr>
        <w:t>月初亞洲</w:t>
      </w:r>
      <w:r w:rsidRPr="00131B9D">
        <w:rPr>
          <w:rFonts w:eastAsia="標楷體"/>
          <w:sz w:val="28"/>
          <w:szCs w:val="28"/>
        </w:rPr>
        <w:t>PX</w:t>
      </w:r>
      <w:r w:rsidRPr="00131B9D">
        <w:rPr>
          <w:rFonts w:eastAsia="標楷體"/>
          <w:sz w:val="28"/>
          <w:szCs w:val="28"/>
        </w:rPr>
        <w:t>廠檢修完畢重新啟動，下游聚酯纖維廠商庫存回升，整體需求面臨回落。進入第</w:t>
      </w:r>
      <w:r w:rsidRPr="00131B9D">
        <w:rPr>
          <w:rFonts w:eastAsia="標楷體"/>
          <w:sz w:val="28"/>
          <w:szCs w:val="28"/>
        </w:rPr>
        <w:t>3</w:t>
      </w:r>
      <w:r w:rsidRPr="00131B9D">
        <w:rPr>
          <w:rFonts w:eastAsia="標楷體"/>
          <w:sz w:val="28"/>
          <w:szCs w:val="28"/>
        </w:rPr>
        <w:t>季，因原油價格下挫且下游聚酯纖維需求轉弱，導致</w:t>
      </w:r>
      <w:r w:rsidRPr="00131B9D">
        <w:rPr>
          <w:rFonts w:eastAsia="標楷體"/>
          <w:sz w:val="28"/>
          <w:szCs w:val="28"/>
        </w:rPr>
        <w:t>PTA</w:t>
      </w:r>
      <w:r w:rsidRPr="00131B9D">
        <w:rPr>
          <w:rFonts w:eastAsia="標楷體"/>
          <w:sz w:val="28"/>
          <w:szCs w:val="28"/>
        </w:rPr>
        <w:t>價格連續下跌。廠商受短期虧損嚴重影響，</w:t>
      </w:r>
      <w:r w:rsidRPr="00131B9D">
        <w:rPr>
          <w:rFonts w:eastAsia="標楷體"/>
          <w:sz w:val="28"/>
          <w:szCs w:val="28"/>
        </w:rPr>
        <w:t>8</w:t>
      </w:r>
      <w:r w:rsidRPr="00131B9D">
        <w:rPr>
          <w:rFonts w:eastAsia="標楷體"/>
          <w:sz w:val="28"/>
          <w:szCs w:val="28"/>
        </w:rPr>
        <w:t>月以來檢修裝置明顯增多，中國大陸有儀征化纖、亞東石化、珠海</w:t>
      </w:r>
      <w:r w:rsidRPr="00131B9D">
        <w:rPr>
          <w:rFonts w:eastAsia="標楷體"/>
          <w:sz w:val="28"/>
          <w:szCs w:val="28"/>
        </w:rPr>
        <w:t>BP</w:t>
      </w:r>
      <w:r w:rsidRPr="00131B9D">
        <w:rPr>
          <w:rFonts w:eastAsia="標楷體"/>
          <w:sz w:val="28"/>
          <w:szCs w:val="28"/>
        </w:rPr>
        <w:t>、虹港石化、漢邦石化計畫、恒力石化等廠進行檢修。然而，儘管短期</w:t>
      </w:r>
      <w:r w:rsidRPr="00131B9D">
        <w:rPr>
          <w:rFonts w:eastAsia="標楷體"/>
          <w:sz w:val="28"/>
          <w:szCs w:val="28"/>
        </w:rPr>
        <w:t>PTA</w:t>
      </w:r>
      <w:r w:rsidRPr="00131B9D">
        <w:rPr>
          <w:rFonts w:eastAsia="標楷體"/>
          <w:sz w:val="28"/>
          <w:szCs w:val="28"/>
        </w:rPr>
        <w:t>裝置檢修較為集中，但未看到太多裝置長久關停或淘汰。一般而言，</w:t>
      </w:r>
      <w:r w:rsidRPr="00131B9D">
        <w:rPr>
          <w:rFonts w:eastAsia="標楷體"/>
          <w:sz w:val="28"/>
          <w:szCs w:val="28"/>
        </w:rPr>
        <w:t>PTA</w:t>
      </w:r>
      <w:r w:rsidRPr="00131B9D">
        <w:rPr>
          <w:rFonts w:eastAsia="標楷體"/>
          <w:sz w:val="28"/>
          <w:szCs w:val="28"/>
        </w:rPr>
        <w:t>裝置檢修週期在</w:t>
      </w:r>
      <w:r w:rsidRPr="00131B9D">
        <w:rPr>
          <w:rFonts w:eastAsia="標楷體"/>
          <w:sz w:val="28"/>
          <w:szCs w:val="28"/>
        </w:rPr>
        <w:t>15-20</w:t>
      </w:r>
      <w:r w:rsidRPr="00131B9D">
        <w:rPr>
          <w:rFonts w:eastAsia="標楷體"/>
          <w:sz w:val="28"/>
          <w:szCs w:val="28"/>
        </w:rPr>
        <w:t>天，檢修結束後會再度開啟，難以支撐</w:t>
      </w:r>
      <w:r w:rsidRPr="00131B9D">
        <w:rPr>
          <w:rFonts w:eastAsia="標楷體"/>
          <w:sz w:val="28"/>
          <w:szCs w:val="28"/>
        </w:rPr>
        <w:t>PTA</w:t>
      </w:r>
      <w:r w:rsidRPr="00131B9D">
        <w:rPr>
          <w:rFonts w:eastAsia="標楷體"/>
          <w:sz w:val="28"/>
          <w:szCs w:val="28"/>
        </w:rPr>
        <w:t>價格長期上升，加上中國大陸</w:t>
      </w:r>
      <w:r w:rsidRPr="00131B9D">
        <w:rPr>
          <w:rFonts w:eastAsia="標楷體"/>
          <w:sz w:val="28"/>
          <w:szCs w:val="28"/>
        </w:rPr>
        <w:t>8</w:t>
      </w:r>
      <w:r w:rsidRPr="00131B9D">
        <w:rPr>
          <w:rFonts w:eastAsia="標楷體"/>
          <w:sz w:val="28"/>
          <w:szCs w:val="28"/>
        </w:rPr>
        <w:t>月底股市暴跌，在經濟持續放緩、出口需求萎縮的背景下，</w:t>
      </w:r>
      <w:r w:rsidRPr="00131B9D">
        <w:rPr>
          <w:rFonts w:eastAsia="標楷體"/>
          <w:sz w:val="28"/>
          <w:szCs w:val="28"/>
        </w:rPr>
        <w:t>PTA</w:t>
      </w:r>
      <w:r w:rsidRPr="00131B9D">
        <w:rPr>
          <w:rFonts w:eastAsia="標楷體"/>
          <w:sz w:val="28"/>
          <w:szCs w:val="28"/>
        </w:rPr>
        <w:t>需求難有起色。</w:t>
      </w:r>
      <w:r w:rsidRPr="00131B9D">
        <w:rPr>
          <w:rFonts w:eastAsia="標楷體"/>
          <w:sz w:val="28"/>
          <w:szCs w:val="28"/>
        </w:rPr>
        <w:t>9</w:t>
      </w:r>
      <w:r w:rsidRPr="00131B9D">
        <w:rPr>
          <w:rFonts w:eastAsia="標楷體"/>
          <w:sz w:val="28"/>
          <w:szCs w:val="28"/>
        </w:rPr>
        <w:t>月份，</w:t>
      </w:r>
      <w:r w:rsidRPr="00131B9D">
        <w:rPr>
          <w:rFonts w:eastAsia="標楷體"/>
          <w:sz w:val="28"/>
          <w:szCs w:val="28"/>
        </w:rPr>
        <w:t>PTA</w:t>
      </w:r>
      <w:r w:rsidRPr="00131B9D">
        <w:rPr>
          <w:rFonts w:eastAsia="標楷體"/>
          <w:sz w:val="28"/>
          <w:szCs w:val="28"/>
        </w:rPr>
        <w:t>市場並沒有表現出以往</w:t>
      </w:r>
      <w:r w:rsidRPr="00131B9D">
        <w:rPr>
          <w:rFonts w:eastAsia="標楷體"/>
          <w:sz w:val="28"/>
          <w:szCs w:val="28"/>
        </w:rPr>
        <w:t>9</w:t>
      </w:r>
      <w:r w:rsidRPr="00131B9D">
        <w:rPr>
          <w:rFonts w:eastAsia="標楷體"/>
          <w:sz w:val="28"/>
          <w:szCs w:val="28"/>
        </w:rPr>
        <w:t>、</w:t>
      </w:r>
      <w:r w:rsidRPr="00131B9D">
        <w:rPr>
          <w:rFonts w:eastAsia="標楷體"/>
          <w:sz w:val="28"/>
          <w:szCs w:val="28"/>
        </w:rPr>
        <w:t>10</w:t>
      </w:r>
      <w:r w:rsidRPr="00131B9D">
        <w:rPr>
          <w:rFonts w:eastAsia="標楷體"/>
          <w:sz w:val="28"/>
          <w:szCs w:val="28"/>
        </w:rPr>
        <w:t>月傳統旺季的大行情，而是因</w:t>
      </w:r>
      <w:r w:rsidRPr="00131B9D">
        <w:rPr>
          <w:rFonts w:eastAsia="標楷體"/>
          <w:sz w:val="28"/>
          <w:szCs w:val="28"/>
        </w:rPr>
        <w:t>PTA</w:t>
      </w:r>
      <w:r w:rsidRPr="00131B9D">
        <w:rPr>
          <w:rFonts w:eastAsia="標楷體"/>
          <w:sz w:val="28"/>
          <w:szCs w:val="28"/>
        </w:rPr>
        <w:t>供給偏緊和需求平淡兩大因素影響下進入窄幅震盪格局。</w:t>
      </w:r>
      <w:r w:rsidRPr="00131B9D">
        <w:rPr>
          <w:rFonts w:eastAsia="標楷體"/>
          <w:sz w:val="28"/>
          <w:szCs w:val="28"/>
        </w:rPr>
        <w:t>9</w:t>
      </w:r>
      <w:r w:rsidRPr="00131B9D">
        <w:rPr>
          <w:rFonts w:eastAsia="標楷體"/>
          <w:sz w:val="28"/>
          <w:szCs w:val="28"/>
        </w:rPr>
        <w:t>月後期，</w:t>
      </w:r>
      <w:r w:rsidRPr="00131B9D">
        <w:rPr>
          <w:rFonts w:eastAsia="標楷體"/>
          <w:sz w:val="28"/>
          <w:szCs w:val="28"/>
        </w:rPr>
        <w:t>PTA</w:t>
      </w:r>
      <w:r w:rsidRPr="00131B9D">
        <w:rPr>
          <w:rFonts w:eastAsia="標楷體"/>
          <w:sz w:val="28"/>
          <w:szCs w:val="28"/>
        </w:rPr>
        <w:t>價格跌跌不休，報價來到每噸</w:t>
      </w:r>
      <w:r w:rsidRPr="00131B9D">
        <w:rPr>
          <w:rFonts w:eastAsia="標楷體"/>
          <w:sz w:val="28"/>
          <w:szCs w:val="28"/>
        </w:rPr>
        <w:t>550</w:t>
      </w:r>
      <w:r w:rsidRPr="00131B9D">
        <w:rPr>
          <w:rFonts w:eastAsia="標楷體"/>
          <w:sz w:val="28"/>
          <w:szCs w:val="28"/>
        </w:rPr>
        <w:t>美元，中國大陸相關廠商不堪虧損，陸續傳出關閉產線的消息，且中國大陸十一國慶前後有</w:t>
      </w:r>
      <w:r w:rsidRPr="00131B9D">
        <w:rPr>
          <w:rFonts w:eastAsia="標楷體"/>
          <w:sz w:val="28"/>
          <w:szCs w:val="28"/>
        </w:rPr>
        <w:t>PTA</w:t>
      </w:r>
      <w:r w:rsidRPr="00131B9D">
        <w:rPr>
          <w:rFonts w:eastAsia="標楷體"/>
          <w:sz w:val="28"/>
          <w:szCs w:val="28"/>
        </w:rPr>
        <w:t>廠商停產檢修，市場庫存亦處於低水位，供給趨向緊縮，此外，</w:t>
      </w:r>
      <w:r w:rsidRPr="00131B9D">
        <w:rPr>
          <w:rFonts w:eastAsia="標楷體"/>
          <w:sz w:val="28"/>
          <w:szCs w:val="28"/>
        </w:rPr>
        <w:t>10</w:t>
      </w:r>
      <w:r w:rsidRPr="00131B9D">
        <w:rPr>
          <w:rFonts w:eastAsia="標楷體"/>
          <w:sz w:val="28"/>
          <w:szCs w:val="28"/>
        </w:rPr>
        <w:t>月初，原油與</w:t>
      </w:r>
      <w:r w:rsidRPr="00131B9D">
        <w:rPr>
          <w:rFonts w:eastAsia="標楷體"/>
          <w:sz w:val="28"/>
          <w:szCs w:val="28"/>
        </w:rPr>
        <w:t>PX</w:t>
      </w:r>
      <w:r w:rsidRPr="00131B9D">
        <w:rPr>
          <w:rFonts w:eastAsia="標楷體"/>
          <w:sz w:val="28"/>
          <w:szCs w:val="28"/>
        </w:rPr>
        <w:t>價格反彈，也支撐</w:t>
      </w:r>
      <w:r w:rsidRPr="00131B9D">
        <w:rPr>
          <w:rFonts w:eastAsia="標楷體"/>
          <w:sz w:val="28"/>
          <w:szCs w:val="28"/>
        </w:rPr>
        <w:t xml:space="preserve"> PTA</w:t>
      </w:r>
      <w:r w:rsidRPr="00131B9D">
        <w:rPr>
          <w:rFonts w:eastAsia="標楷體"/>
          <w:sz w:val="28"/>
          <w:szCs w:val="28"/>
        </w:rPr>
        <w:t>價格向上攀升，開出</w:t>
      </w:r>
      <w:r w:rsidRPr="00131B9D">
        <w:rPr>
          <w:rFonts w:eastAsia="標楷體"/>
          <w:sz w:val="28"/>
          <w:szCs w:val="28"/>
        </w:rPr>
        <w:t>9</w:t>
      </w:r>
      <w:r w:rsidRPr="00131B9D">
        <w:rPr>
          <w:rFonts w:eastAsia="標楷體"/>
          <w:sz w:val="28"/>
          <w:szCs w:val="28"/>
        </w:rPr>
        <w:t>月後期至</w:t>
      </w:r>
      <w:r w:rsidRPr="00131B9D">
        <w:rPr>
          <w:rFonts w:eastAsia="標楷體"/>
          <w:sz w:val="28"/>
          <w:szCs w:val="28"/>
        </w:rPr>
        <w:t>10</w:t>
      </w:r>
      <w:r w:rsidRPr="00131B9D">
        <w:rPr>
          <w:rFonts w:eastAsia="標楷體"/>
          <w:sz w:val="28"/>
          <w:szCs w:val="28"/>
        </w:rPr>
        <w:t>月上旬的一波漲勢。</w:t>
      </w:r>
      <w:r w:rsidRPr="00131B9D">
        <w:rPr>
          <w:rFonts w:eastAsia="標楷體"/>
          <w:sz w:val="28"/>
          <w:szCs w:val="28"/>
        </w:rPr>
        <w:t>10</w:t>
      </w:r>
      <w:r w:rsidRPr="00131B9D">
        <w:rPr>
          <w:rFonts w:eastAsia="標楷體"/>
          <w:sz w:val="28"/>
          <w:szCs w:val="28"/>
        </w:rPr>
        <w:t>月中旬後，</w:t>
      </w:r>
      <w:r w:rsidRPr="00131B9D">
        <w:rPr>
          <w:rFonts w:eastAsia="標楷體"/>
          <w:sz w:val="28"/>
          <w:szCs w:val="28"/>
        </w:rPr>
        <w:t>PTA</w:t>
      </w:r>
      <w:r w:rsidRPr="00131B9D">
        <w:rPr>
          <w:rFonts w:eastAsia="標楷體"/>
          <w:sz w:val="28"/>
          <w:szCs w:val="28"/>
        </w:rPr>
        <w:t>裝置開工重啟與檢修交替，</w:t>
      </w:r>
      <w:r w:rsidRPr="00131B9D">
        <w:rPr>
          <w:rFonts w:eastAsia="標楷體"/>
          <w:sz w:val="28"/>
          <w:szCs w:val="28"/>
        </w:rPr>
        <w:t>PTA</w:t>
      </w:r>
      <w:r w:rsidRPr="00131B9D">
        <w:rPr>
          <w:rFonts w:eastAsia="標楷體"/>
          <w:sz w:val="28"/>
          <w:szCs w:val="28"/>
        </w:rPr>
        <w:t>價格改以在約</w:t>
      </w:r>
      <w:r w:rsidRPr="00131B9D">
        <w:rPr>
          <w:rFonts w:eastAsia="標楷體"/>
          <w:sz w:val="28"/>
          <w:szCs w:val="28"/>
        </w:rPr>
        <w:t>600-610</w:t>
      </w:r>
      <w:r w:rsidRPr="00131B9D">
        <w:rPr>
          <w:rFonts w:eastAsia="標楷體"/>
          <w:sz w:val="28"/>
          <w:szCs w:val="28"/>
        </w:rPr>
        <w:t>美元</w:t>
      </w:r>
      <w:r w:rsidRPr="00131B9D">
        <w:rPr>
          <w:rFonts w:eastAsia="標楷體"/>
          <w:sz w:val="28"/>
          <w:szCs w:val="28"/>
        </w:rPr>
        <w:t>/</w:t>
      </w:r>
      <w:r w:rsidRPr="00131B9D">
        <w:rPr>
          <w:rFonts w:eastAsia="標楷體"/>
          <w:sz w:val="28"/>
          <w:szCs w:val="28"/>
        </w:rPr>
        <w:t>公噸小幅震盪為主</w:t>
      </w:r>
      <w:r w:rsidR="00160782" w:rsidRPr="00131B9D">
        <w:rPr>
          <w:rFonts w:eastAsia="標楷體"/>
          <w:sz w:val="28"/>
          <w:szCs w:val="28"/>
        </w:rPr>
        <w:t>（如圖</w:t>
      </w:r>
      <w:r w:rsidR="00160782" w:rsidRPr="00131B9D">
        <w:rPr>
          <w:rFonts w:eastAsia="標楷體"/>
          <w:sz w:val="28"/>
          <w:szCs w:val="28"/>
        </w:rPr>
        <w:t>3-37</w:t>
      </w:r>
      <w:r w:rsidR="00160782" w:rsidRPr="00131B9D">
        <w:rPr>
          <w:rFonts w:eastAsia="標楷體"/>
          <w:sz w:val="28"/>
          <w:szCs w:val="28"/>
        </w:rPr>
        <w:t>）</w:t>
      </w:r>
      <w:r w:rsidRPr="00131B9D">
        <w:rPr>
          <w:rFonts w:eastAsia="標楷體"/>
          <w:sz w:val="28"/>
          <w:szCs w:val="28"/>
        </w:rPr>
        <w:t>。</w:t>
      </w:r>
    </w:p>
    <w:p w:rsidR="00F279F7" w:rsidRPr="00131B9D" w:rsidRDefault="00F279F7" w:rsidP="00F279F7">
      <w:pPr>
        <w:pStyle w:val="-"/>
        <w:spacing w:before="72" w:after="72"/>
        <w:ind w:firstLine="560"/>
      </w:pPr>
      <w:r w:rsidRPr="00131B9D">
        <w:t>展望未來一年，印度將在</w:t>
      </w:r>
      <w:r w:rsidRPr="00131B9D">
        <w:t>2016</w:t>
      </w:r>
      <w:r w:rsidRPr="00131B9D">
        <w:t>年上半</w:t>
      </w:r>
      <w:r w:rsidRPr="00131B9D">
        <w:t xml:space="preserve"> </w:t>
      </w:r>
      <w:r w:rsidRPr="00131B9D">
        <w:t>增加</w:t>
      </w:r>
      <w:r w:rsidRPr="00131B9D">
        <w:t>230</w:t>
      </w:r>
      <w:r w:rsidRPr="00131B9D">
        <w:t>百萬噸</w:t>
      </w:r>
      <w:r w:rsidRPr="00131B9D">
        <w:t>/</w:t>
      </w:r>
      <w:r w:rsidRPr="00131B9D">
        <w:t>年之</w:t>
      </w:r>
      <w:r w:rsidRPr="00131B9D">
        <w:t>PTA</w:t>
      </w:r>
      <w:r w:rsidRPr="00131B9D">
        <w:t>新產能，加上原有的</w:t>
      </w:r>
      <w:r w:rsidRPr="00131B9D">
        <w:t>500</w:t>
      </w:r>
      <w:r w:rsidRPr="00131B9D">
        <w:t>萬噸產能</w:t>
      </w:r>
      <w:r w:rsidRPr="00131B9D">
        <w:t>/</w:t>
      </w:r>
      <w:r w:rsidRPr="00131B9D">
        <w:t>年，明年將擁有</w:t>
      </w:r>
      <w:r w:rsidRPr="00131B9D">
        <w:t>720</w:t>
      </w:r>
      <w:r w:rsidRPr="00131B9D">
        <w:t>百萬噸</w:t>
      </w:r>
      <w:r w:rsidRPr="00131B9D">
        <w:t>/</w:t>
      </w:r>
      <w:r w:rsidRPr="00131B9D">
        <w:t>年產能，同時印度需求仍維持</w:t>
      </w:r>
      <w:r w:rsidRPr="00131B9D">
        <w:t>500</w:t>
      </w:r>
      <w:r w:rsidRPr="00131B9D">
        <w:t>萬噸，預期過剩之產能將增加亞洲</w:t>
      </w:r>
      <w:r w:rsidRPr="00131B9D">
        <w:t>PTA</w:t>
      </w:r>
      <w:r w:rsidRPr="00131B9D">
        <w:t>價格下跌壓力。</w:t>
      </w:r>
    </w:p>
    <w:p w:rsidR="003B29E8" w:rsidRPr="00131B9D" w:rsidRDefault="003B29E8" w:rsidP="003B29E8">
      <w:pPr>
        <w:sectPr w:rsidR="003B29E8"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jc w:val="center"/>
        <w:rPr>
          <w:rFonts w:eastAsia="標楷體"/>
          <w:noProof/>
        </w:rPr>
      </w:pPr>
      <w:r w:rsidRPr="00131B9D">
        <w:rPr>
          <w:rFonts w:eastAsia="標楷體"/>
          <w:noProof/>
        </w:rPr>
        <w:lastRenderedPageBreak/>
        <w:drawing>
          <wp:inline distT="0" distB="0" distL="0" distR="0" wp14:anchorId="79A2AEAE" wp14:editId="711435EE">
            <wp:extent cx="5252400" cy="3189767"/>
            <wp:effectExtent l="19050" t="0" r="24450" b="0"/>
            <wp:docPr id="18462" name="圖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F279F7" w:rsidRPr="00131B9D" w:rsidRDefault="00F279F7" w:rsidP="00F279F7">
      <w:pPr>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323" w:name="_Toc398882669"/>
      <w:bookmarkStart w:id="324" w:name="_Toc438223371"/>
      <w:bookmarkStart w:id="325" w:name="_Toc322706984"/>
      <w:bookmarkStart w:id="326" w:name="_Toc365017362"/>
      <w:bookmarkStart w:id="327" w:name="_Toc373423080"/>
      <w:bookmarkStart w:id="328" w:name="_Toc373682465"/>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37</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PTA</w:t>
      </w:r>
      <w:r w:rsidRPr="00131B9D">
        <w:rPr>
          <w:rFonts w:eastAsia="標楷體"/>
          <w:b/>
          <w:bCs/>
          <w:kern w:val="52"/>
          <w:sz w:val="28"/>
          <w:szCs w:val="28"/>
        </w:rPr>
        <w:t>近一年價格走勢圖</w:t>
      </w:r>
      <w:bookmarkEnd w:id="323"/>
      <w:bookmarkEnd w:id="324"/>
    </w:p>
    <w:p w:rsidR="003B29E8" w:rsidRPr="00131B9D" w:rsidRDefault="003B29E8" w:rsidP="003B29E8"/>
    <w:p w:rsidR="00F279F7" w:rsidRPr="00131B9D" w:rsidRDefault="00F279F7" w:rsidP="00F279F7">
      <w:pPr>
        <w:pStyle w:val="3"/>
        <w:rPr>
          <w:rFonts w:ascii="Times New Roman" w:hAnsi="Times New Roman"/>
        </w:rPr>
      </w:pPr>
      <w:bookmarkStart w:id="329" w:name="_Toc322706985"/>
      <w:bookmarkEnd w:id="325"/>
      <w:bookmarkEnd w:id="326"/>
      <w:bookmarkEnd w:id="327"/>
      <w:bookmarkEnd w:id="328"/>
      <w:r w:rsidRPr="00131B9D">
        <w:rPr>
          <w:rFonts w:ascii="Times New Roman" w:hAnsi="Times New Roman"/>
        </w:rPr>
        <w:t>（十）乙二醇（</w:t>
      </w:r>
      <w:r w:rsidRPr="00131B9D">
        <w:rPr>
          <w:rFonts w:ascii="Times New Roman" w:hAnsi="Times New Roman"/>
        </w:rPr>
        <w:t>EG</w:t>
      </w:r>
      <w:r w:rsidRPr="00131B9D">
        <w:rPr>
          <w:rFonts w:ascii="Times New Roman" w:hAnsi="Times New Roman"/>
        </w:rPr>
        <w:t>）</w:t>
      </w:r>
      <w:bookmarkEnd w:id="329"/>
    </w:p>
    <w:p w:rsidR="00F279F7" w:rsidRPr="00131B9D" w:rsidRDefault="00F279F7" w:rsidP="00F279F7">
      <w:pPr>
        <w:pStyle w:val="-"/>
        <w:spacing w:before="72" w:after="72"/>
        <w:ind w:firstLine="560"/>
      </w:pPr>
      <w:r w:rsidRPr="00131B9D">
        <w:t>隨著國際油價反彈，加上過年後廠商恢復正常作息、需求回歸常軌，填補庫存的買盤出現，</w:t>
      </w:r>
      <w:r w:rsidRPr="00131B9D">
        <w:t>EG</w:t>
      </w:r>
      <w:r w:rsidRPr="00131B9D">
        <w:t>在需求的帶動下報價止跌反彈。因為中國大陸沿海乙二醇（</w:t>
      </w:r>
      <w:r w:rsidRPr="00131B9D">
        <w:t>EG</w:t>
      </w:r>
      <w:r w:rsidRPr="00131B9D">
        <w:t>）庫存下降</w:t>
      </w:r>
      <w:r w:rsidRPr="00131B9D">
        <w:t>2.6</w:t>
      </w:r>
      <w:r w:rsidRPr="00131B9D">
        <w:t>萬噸至</w:t>
      </w:r>
      <w:r w:rsidRPr="00131B9D">
        <w:t>57</w:t>
      </w:r>
      <w:r w:rsidRPr="00131B9D">
        <w:t>萬噸，較過往</w:t>
      </w:r>
      <w:r w:rsidRPr="00131B9D">
        <w:t>120</w:t>
      </w:r>
      <w:r w:rsidRPr="00131B9D">
        <w:t>萬噸大幅降低，顯示需求持續回升，使得</w:t>
      </w:r>
      <w:r w:rsidRPr="00131B9D">
        <w:t>EG</w:t>
      </w:r>
      <w:r w:rsidRPr="00131B9D">
        <w:t>在</w:t>
      </w:r>
      <w:r w:rsidRPr="00131B9D">
        <w:t>1</w:t>
      </w:r>
      <w:r w:rsidRPr="00131B9D">
        <w:t>月</w:t>
      </w:r>
      <w:r w:rsidRPr="00131B9D">
        <w:t>28</w:t>
      </w:r>
      <w:r w:rsidRPr="00131B9D">
        <w:t>日的報價上漲</w:t>
      </w:r>
      <w:r w:rsidRPr="00131B9D">
        <w:t>5.4%</w:t>
      </w:r>
      <w:r w:rsidRPr="00131B9D">
        <w:t>。第</w:t>
      </w:r>
      <w:r w:rsidRPr="00131B9D">
        <w:t>2</w:t>
      </w:r>
      <w:r w:rsidRPr="00131B9D">
        <w:t>季由於原油價格彈升，且正值亞洲乙烯裝置歲修旺季，東北亞共</w:t>
      </w:r>
      <w:r w:rsidRPr="00131B9D">
        <w:t>13</w:t>
      </w:r>
      <w:r w:rsidRPr="00131B9D">
        <w:t>座烯烴裂解廠歲修，影響乙烯產能約</w:t>
      </w:r>
      <w:r w:rsidRPr="00131B9D">
        <w:t>840</w:t>
      </w:r>
      <w:r w:rsidRPr="00131B9D">
        <w:t>萬噸，減少該地區</w:t>
      </w:r>
      <w:r w:rsidRPr="00131B9D">
        <w:t>20%</w:t>
      </w:r>
      <w:r w:rsidRPr="00131B9D">
        <w:t>供給量，造成乙烯價格不斷上揚。加上中國大陸、韓國、日本和臺灣等</w:t>
      </w:r>
      <w:r w:rsidRPr="00131B9D">
        <w:t>EG</w:t>
      </w:r>
      <w:r w:rsidRPr="00131B9D">
        <w:t>廠陸續歲修，以及南京揚子石化廠</w:t>
      </w:r>
      <w:r w:rsidRPr="00131B9D">
        <w:t>4</w:t>
      </w:r>
      <w:r w:rsidRPr="00131B9D">
        <w:t>月下旬發生爆炸，</w:t>
      </w:r>
      <w:r w:rsidRPr="00131B9D">
        <w:t>EG</w:t>
      </w:r>
      <w:r w:rsidRPr="00131B9D">
        <w:t>供應緊縮進而拉動價格走高。在需求方面，第</w:t>
      </w:r>
      <w:r w:rsidRPr="00131B9D">
        <w:t>2</w:t>
      </w:r>
      <w:r w:rsidRPr="00131B9D">
        <w:t>季是聚酯纖維之旺季，聚酯產業開工率回升，且中國大陸</w:t>
      </w:r>
      <w:r w:rsidRPr="00131B9D">
        <w:t>4</w:t>
      </w:r>
      <w:r w:rsidRPr="00131B9D">
        <w:t>月底港口庫存來到</w:t>
      </w:r>
      <w:r w:rsidRPr="00131B9D">
        <w:t>54</w:t>
      </w:r>
      <w:r w:rsidRPr="00131B9D">
        <w:t>萬噸低檔，有利</w:t>
      </w:r>
      <w:r w:rsidRPr="00131B9D">
        <w:t>EG</w:t>
      </w:r>
      <w:r w:rsidRPr="00131B9D">
        <w:t>報價表現帶動</w:t>
      </w:r>
      <w:r w:rsidRPr="00131B9D">
        <w:t>EG</w:t>
      </w:r>
      <w:r w:rsidRPr="00131B9D">
        <w:t>漲勢，</w:t>
      </w:r>
      <w:r w:rsidRPr="00131B9D">
        <w:t>5</w:t>
      </w:r>
      <w:r w:rsidRPr="00131B9D">
        <w:t>月報價正式站上</w:t>
      </w:r>
      <w:r w:rsidRPr="00131B9D">
        <w:t>1,000</w:t>
      </w:r>
      <w:r w:rsidRPr="00131B9D">
        <w:t>美元。亞洲上游輕油裂解廠歲修將在</w:t>
      </w:r>
      <w:r w:rsidRPr="00131B9D">
        <w:t>7</w:t>
      </w:r>
      <w:r w:rsidRPr="00131B9D">
        <w:t>月下旬結束，市場預期供應量增加，加上國際油價回到每桶</w:t>
      </w:r>
      <w:r w:rsidRPr="00131B9D">
        <w:t>60</w:t>
      </w:r>
      <w:r w:rsidRPr="00131B9D">
        <w:t>美元關卡，造成</w:t>
      </w:r>
      <w:r w:rsidRPr="00131B9D">
        <w:t>7</w:t>
      </w:r>
      <w:r w:rsidRPr="00131B9D">
        <w:t>月初</w:t>
      </w:r>
      <w:r w:rsidRPr="00131B9D">
        <w:t>EG</w:t>
      </w:r>
      <w:r w:rsidRPr="00131B9D">
        <w:t>價格下跌，隨著國際油價跌勢延續，牽動石化上游原料報價跌幅擴大，加上時序進入聚酯纖維需求淡季，</w:t>
      </w:r>
      <w:r w:rsidRPr="00131B9D">
        <w:t>8</w:t>
      </w:r>
      <w:r w:rsidRPr="00131B9D">
        <w:t>月</w:t>
      </w:r>
      <w:r w:rsidRPr="00131B9D">
        <w:t>EG</w:t>
      </w:r>
      <w:r w:rsidRPr="00131B9D">
        <w:t>價格延續</w:t>
      </w:r>
      <w:r w:rsidRPr="00131B9D">
        <w:t>7</w:t>
      </w:r>
      <w:r w:rsidRPr="00131B9D">
        <w:t>月呈小幅下跌之勢，</w:t>
      </w:r>
      <w:r w:rsidRPr="00131B9D">
        <w:lastRenderedPageBreak/>
        <w:t>然而到了</w:t>
      </w:r>
      <w:r w:rsidRPr="00131B9D">
        <w:t>8</w:t>
      </w:r>
      <w:r w:rsidRPr="00131B9D">
        <w:t>月下旬，中國大陸經濟疑慮升高，油價大跌，引發塑化上游原料跌勢，加上大陸東部沿海</w:t>
      </w:r>
      <w:r w:rsidRPr="00131B9D">
        <w:t>SM</w:t>
      </w:r>
      <w:r w:rsidRPr="00131B9D">
        <w:t>及</w:t>
      </w:r>
      <w:r w:rsidRPr="00131B9D">
        <w:t>EG</w:t>
      </w:r>
      <w:r w:rsidRPr="00131B9D">
        <w:t>庫存增加，造成</w:t>
      </w:r>
      <w:r w:rsidRPr="00131B9D">
        <w:t>EG</w:t>
      </w:r>
      <w:r w:rsidRPr="00131B9D">
        <w:t>報價大跌</w:t>
      </w:r>
      <w:r w:rsidRPr="00131B9D">
        <w:t>8.68%</w:t>
      </w:r>
      <w:r w:rsidRPr="00131B9D">
        <w:t>。</w:t>
      </w:r>
      <w:r w:rsidRPr="00131B9D">
        <w:t>8</w:t>
      </w:r>
      <w:r w:rsidRPr="00131B9D">
        <w:t>月底油價跌深反彈，且因美國經濟表現佳，需求有支撐，</w:t>
      </w:r>
      <w:r w:rsidRPr="00131B9D">
        <w:t>EG</w:t>
      </w:r>
      <w:r w:rsidRPr="00131B9D">
        <w:t>報價反彈</w:t>
      </w:r>
      <w:r w:rsidRPr="00131B9D">
        <w:t>1.59%</w:t>
      </w:r>
      <w:r w:rsidRPr="00131B9D">
        <w:t>，報價為</w:t>
      </w:r>
      <w:r w:rsidRPr="00131B9D">
        <w:t>705</w:t>
      </w:r>
      <w:r w:rsidRPr="00131B9D">
        <w:t>美元。</w:t>
      </w:r>
      <w:r w:rsidRPr="00131B9D">
        <w:t>9</w:t>
      </w:r>
      <w:r w:rsidRPr="00131B9D">
        <w:t>月後，油價波動程度減緩，</w:t>
      </w:r>
      <w:r w:rsidRPr="00131B9D">
        <w:t>EG</w:t>
      </w:r>
      <w:r w:rsidRPr="00131B9D">
        <w:t>價格主要持平為主。</w:t>
      </w:r>
      <w:r w:rsidRPr="00131B9D">
        <w:t>10</w:t>
      </w:r>
      <w:r w:rsidRPr="00131B9D">
        <w:t>月下旬後，雖然抗凍劑因季節因素需求增加，但中國大陸聚酯纖維需求不佳，且沿海庫存達</w:t>
      </w:r>
      <w:r w:rsidRPr="00131B9D">
        <w:t>76</w:t>
      </w:r>
      <w:r w:rsidRPr="00131B9D">
        <w:t>萬公噸有待去化，</w:t>
      </w:r>
      <w:r w:rsidRPr="00131B9D">
        <w:t>EG</w:t>
      </w:r>
      <w:r w:rsidRPr="00131B9D">
        <w:t>價格連續下跌</w:t>
      </w:r>
      <w:r w:rsidR="00160782" w:rsidRPr="00131B9D">
        <w:t>（如圖</w:t>
      </w:r>
      <w:r w:rsidR="00160782" w:rsidRPr="00131B9D">
        <w:t>3-38</w:t>
      </w:r>
      <w:r w:rsidR="00160782" w:rsidRPr="00131B9D">
        <w:t>）</w:t>
      </w:r>
      <w:r w:rsidRPr="00131B9D">
        <w:t>。</w:t>
      </w:r>
    </w:p>
    <w:p w:rsidR="00F279F7" w:rsidRPr="00131B9D" w:rsidRDefault="00F279F7" w:rsidP="00F279F7">
      <w:pPr>
        <w:pStyle w:val="-"/>
        <w:spacing w:before="72" w:after="72"/>
        <w:ind w:firstLineChars="0" w:firstLine="480"/>
        <w:rPr>
          <w:kern w:val="0"/>
        </w:rPr>
      </w:pPr>
      <w:r w:rsidRPr="00131B9D">
        <w:rPr>
          <w:kern w:val="0"/>
        </w:rPr>
        <w:t>展望未來一年，油價仍持續呈壓，在新興市場經濟成長趨緩之下，聚酯纖維的需求將遭到壓縮，因此</w:t>
      </w:r>
      <w:r w:rsidRPr="00131B9D">
        <w:rPr>
          <w:kern w:val="0"/>
        </w:rPr>
        <w:t>EG</w:t>
      </w:r>
      <w:r w:rsidRPr="00131B9D">
        <w:rPr>
          <w:kern w:val="0"/>
        </w:rPr>
        <w:t>價格出現反彈的機率較低。</w:t>
      </w:r>
    </w:p>
    <w:p w:rsidR="003B29E8" w:rsidRPr="00131B9D" w:rsidRDefault="003B29E8" w:rsidP="003B29E8"/>
    <w:p w:rsidR="00F279F7" w:rsidRPr="00131B9D" w:rsidRDefault="00F279F7" w:rsidP="00F279F7">
      <w:pPr>
        <w:jc w:val="center"/>
        <w:rPr>
          <w:rFonts w:eastAsia="標楷體"/>
        </w:rPr>
      </w:pPr>
      <w:r w:rsidRPr="00131B9D">
        <w:rPr>
          <w:rFonts w:eastAsia="標楷體"/>
          <w:noProof/>
        </w:rPr>
        <w:drawing>
          <wp:inline distT="0" distB="0" distL="0" distR="0" wp14:anchorId="2F65DAE1" wp14:editId="718AC779">
            <wp:extent cx="5252400" cy="3189767"/>
            <wp:effectExtent l="0" t="0" r="0" b="0"/>
            <wp:docPr id="18463" name="圖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330" w:name="_Toc398882670"/>
      <w:bookmarkStart w:id="331" w:name="_Toc438223372"/>
      <w:bookmarkStart w:id="332" w:name="_Toc322706986"/>
      <w:bookmarkStart w:id="333" w:name="_Toc373423081"/>
      <w:bookmarkStart w:id="334" w:name="_Toc373682466"/>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38</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EG</w:t>
      </w:r>
      <w:r w:rsidRPr="00131B9D">
        <w:rPr>
          <w:rFonts w:eastAsia="標楷體"/>
          <w:b/>
          <w:bCs/>
          <w:kern w:val="52"/>
          <w:sz w:val="28"/>
          <w:szCs w:val="28"/>
        </w:rPr>
        <w:t>近一年價格走勢圖</w:t>
      </w:r>
      <w:bookmarkEnd w:id="330"/>
      <w:bookmarkEnd w:id="331"/>
    </w:p>
    <w:p w:rsidR="00F279F7" w:rsidRPr="00131B9D" w:rsidRDefault="00F279F7" w:rsidP="00F279F7">
      <w:pPr>
        <w:pStyle w:val="afff5"/>
        <w:spacing w:line="0" w:lineRule="atLeast"/>
        <w:jc w:val="center"/>
        <w:rPr>
          <w:rFonts w:eastAsia="標楷體"/>
          <w:b/>
          <w:bCs/>
          <w:kern w:val="52"/>
          <w:sz w:val="28"/>
          <w:szCs w:val="28"/>
        </w:rPr>
        <w:sectPr w:rsidR="00F279F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2"/>
        <w:spacing w:before="108" w:after="108"/>
        <w:rPr>
          <w:rFonts w:ascii="Times New Roman" w:hAnsi="Times New Roman"/>
        </w:rPr>
      </w:pPr>
      <w:bookmarkStart w:id="335" w:name="_Toc439162956"/>
      <w:bookmarkStart w:id="336" w:name="_Toc322706992"/>
      <w:bookmarkStart w:id="337" w:name="_Toc373760887"/>
      <w:bookmarkStart w:id="338" w:name="_Toc373761944"/>
      <w:bookmarkEnd w:id="251"/>
      <w:bookmarkEnd w:id="252"/>
      <w:bookmarkEnd w:id="253"/>
      <w:bookmarkEnd w:id="332"/>
      <w:bookmarkEnd w:id="333"/>
      <w:bookmarkEnd w:id="334"/>
      <w:r w:rsidRPr="00131B9D">
        <w:rPr>
          <w:rFonts w:ascii="Times New Roman" w:hAnsi="Times New Roman"/>
        </w:rPr>
        <w:lastRenderedPageBreak/>
        <w:t>六、紙</w:t>
      </w:r>
      <w:bookmarkEnd w:id="335"/>
    </w:p>
    <w:p w:rsidR="00F279F7" w:rsidRPr="00131B9D" w:rsidRDefault="00F279F7" w:rsidP="00F279F7">
      <w:pPr>
        <w:pStyle w:val="-"/>
        <w:spacing w:before="72" w:after="72"/>
        <w:ind w:firstLine="560"/>
      </w:pPr>
      <w:bookmarkStart w:id="339" w:name="_Toc322706988"/>
      <w:r w:rsidRPr="00131B9D">
        <w:t>由於短纖紙漿需求疲軟，全球短纖紙漿</w:t>
      </w:r>
      <w:r w:rsidRPr="00131B9D">
        <w:t>1</w:t>
      </w:r>
      <w:r w:rsidRPr="00131B9D">
        <w:t>月份的銷售量較去年</w:t>
      </w:r>
      <w:r w:rsidRPr="00131B9D">
        <w:t>9</w:t>
      </w:r>
      <w:r w:rsidRPr="00131B9D">
        <w:t>月下降</w:t>
      </w:r>
      <w:r w:rsidRPr="00131B9D">
        <w:t>16%</w:t>
      </w:r>
      <w:r w:rsidRPr="00131B9D">
        <w:t>，此外，國際紙漿的庫存總天數已由</w:t>
      </w:r>
      <w:r w:rsidRPr="00131B9D">
        <w:t>2014</w:t>
      </w:r>
      <w:r w:rsidRPr="00131B9D">
        <w:t>年的第</w:t>
      </w:r>
      <w:r w:rsidRPr="00131B9D">
        <w:t>4</w:t>
      </w:r>
      <w:r w:rsidRPr="00131B9D">
        <w:t>季平均</w:t>
      </w:r>
      <w:r w:rsidRPr="00131B9D">
        <w:t>33</w:t>
      </w:r>
      <w:r w:rsidRPr="00131B9D">
        <w:t>天上升至第</w:t>
      </w:r>
      <w:r w:rsidRPr="00131B9D">
        <w:t>1</w:t>
      </w:r>
      <w:r w:rsidRPr="00131B9D">
        <w:t>季</w:t>
      </w:r>
      <w:r w:rsidRPr="00131B9D">
        <w:t>40</w:t>
      </w:r>
      <w:r w:rsidRPr="00131B9D">
        <w:t>天的高水準，而中國大陸成品紙市場在春節後陸續復工，造紙業產能過剩問題未解，供過於求的情況依舊持續。然而自</w:t>
      </w:r>
      <w:r w:rsidRPr="00131B9D">
        <w:t>2015</w:t>
      </w:r>
      <w:r w:rsidRPr="00131B9D">
        <w:t>年</w:t>
      </w:r>
      <w:r w:rsidRPr="00131B9D">
        <w:t>4</w:t>
      </w:r>
      <w:r w:rsidRPr="00131B9D">
        <w:t>月以來，受原材料等成本持續上升，歐洲部分國家的原紙產品已開始提高價格，其中包括包裝紙、新聞紙、文化紙等。例如德國的未塗布文化紙受出口量增大影響，德國市場的未塗布不含木漿的文化紙從</w:t>
      </w:r>
      <w:r w:rsidRPr="00131B9D">
        <w:t>4</w:t>
      </w:r>
      <w:r w:rsidRPr="00131B9D">
        <w:t>月份開始供應緊張，部分客戶甚至拿不到需要的紙張，價格也隨之上漲。俄羅斯最大的印刷商</w:t>
      </w:r>
      <w:r w:rsidRPr="00131B9D">
        <w:t>Overal</w:t>
      </w:r>
      <w:r w:rsidRPr="00131B9D">
        <w:t>公司指出，</w:t>
      </w:r>
      <w:r w:rsidRPr="00131B9D">
        <w:t>4</w:t>
      </w:r>
      <w:r w:rsidRPr="00131B9D">
        <w:t>月份俄羅斯最大的新聞紙生產商</w:t>
      </w:r>
      <w:r w:rsidRPr="00131B9D">
        <w:t>Volga</w:t>
      </w:r>
      <w:r w:rsidRPr="00131B9D">
        <w:t>紙廠的</w:t>
      </w:r>
      <w:r w:rsidRPr="00131B9D">
        <w:t>4</w:t>
      </w:r>
      <w:r w:rsidRPr="00131B9D">
        <w:t>台紙機因改造關停了</w:t>
      </w:r>
      <w:r w:rsidRPr="00131B9D">
        <w:t>3</w:t>
      </w:r>
      <w:r w:rsidRPr="00131B9D">
        <w:t>台，使俄羅斯市場的新聞紙非常短缺，價格已提高</w:t>
      </w:r>
      <w:r w:rsidRPr="00131B9D">
        <w:t>5%-7%</w:t>
      </w:r>
      <w:r w:rsidRPr="00131B9D">
        <w:t>，而</w:t>
      </w:r>
      <w:r w:rsidRPr="00131B9D">
        <w:t>2015</w:t>
      </w:r>
      <w:r w:rsidRPr="00131B9D">
        <w:t>年以來，新聞紙價格平均已漲幅</w:t>
      </w:r>
      <w:r w:rsidRPr="00131B9D">
        <w:t>10%-15%</w:t>
      </w:r>
      <w:r w:rsidRPr="00131B9D">
        <w:t>，近期俄羅斯市場的新聞紙價格約</w:t>
      </w:r>
      <w:r w:rsidRPr="00131B9D">
        <w:t>500</w:t>
      </w:r>
      <w:r w:rsidRPr="00131B9D">
        <w:t>美元</w:t>
      </w:r>
      <w:r w:rsidRPr="00131B9D">
        <w:t>/</w:t>
      </w:r>
      <w:r w:rsidRPr="00131B9D">
        <w:t>噸</w:t>
      </w:r>
      <w:r w:rsidRPr="00131B9D">
        <w:t>(</w:t>
      </w:r>
      <w:r w:rsidRPr="00131B9D">
        <w:t>不含增值稅</w:t>
      </w:r>
      <w:r w:rsidRPr="00131B9D">
        <w:t>)</w:t>
      </w:r>
      <w:r w:rsidRPr="00131B9D">
        <w:t>左右。此外，歐洲最大的未塗布回收紙板生產商之一的</w:t>
      </w:r>
      <w:r w:rsidRPr="00131B9D">
        <w:t>Sonoco-Alcore</w:t>
      </w:r>
      <w:r w:rsidRPr="00131B9D">
        <w:t>公司宣佈，從</w:t>
      </w:r>
      <w:r w:rsidRPr="00131B9D">
        <w:t>6</w:t>
      </w:r>
      <w:r w:rsidRPr="00131B9D">
        <w:t>月</w:t>
      </w:r>
      <w:r w:rsidRPr="00131B9D">
        <w:t>15</w:t>
      </w:r>
      <w:r w:rsidRPr="00131B9D">
        <w:t>日起，提高在義大利市場的產品價格，每噸紙板提高價格</w:t>
      </w:r>
      <w:r w:rsidRPr="00131B9D">
        <w:t>50</w:t>
      </w:r>
      <w:r w:rsidRPr="00131B9D">
        <w:t>歐元。英國市場主要的紙張供應商已通知下遊客戶，從</w:t>
      </w:r>
      <w:r w:rsidRPr="00131B9D">
        <w:t>7</w:t>
      </w:r>
      <w:r w:rsidRPr="00131B9D">
        <w:t>月</w:t>
      </w:r>
      <w:r w:rsidRPr="00131B9D">
        <w:t>1</w:t>
      </w:r>
      <w:r w:rsidRPr="00131B9D">
        <w:t>日起，輕量塗布文化紙（</w:t>
      </w:r>
      <w:r w:rsidRPr="00131B9D">
        <w:t>LWC</w:t>
      </w:r>
      <w:r w:rsidRPr="00131B9D">
        <w:t>）會開始提高價格；但有專家分析，因英國貨幣匯率的原因，英國市場的提價難度將比歐洲內陸國家難得多。而</w:t>
      </w:r>
      <w:r w:rsidRPr="00131B9D">
        <w:t>7</w:t>
      </w:r>
      <w:r w:rsidRPr="00131B9D">
        <w:t>月國際漂針漿市場價格則大幅下跌，整體跌幅每噸</w:t>
      </w:r>
      <w:r w:rsidRPr="00131B9D">
        <w:t>30</w:t>
      </w:r>
      <w:r w:rsidRPr="00131B9D">
        <w:t>美元</w:t>
      </w:r>
      <w:r w:rsidRPr="00131B9D">
        <w:t>-40</w:t>
      </w:r>
      <w:r w:rsidRPr="00131B9D">
        <w:t>美元，</w:t>
      </w:r>
      <w:r w:rsidRPr="00131B9D">
        <w:t>8</w:t>
      </w:r>
      <w:r w:rsidRPr="00131B9D">
        <w:t>月之後木漿價格上升；至於廢紙價格自</w:t>
      </w:r>
      <w:r w:rsidRPr="00131B9D">
        <w:t>8</w:t>
      </w:r>
      <w:r w:rsidRPr="00131B9D">
        <w:t>月以來上漲，日本廢紙價格每公噸上漲人民幣</w:t>
      </w:r>
      <w:r w:rsidRPr="00131B9D">
        <w:t>60</w:t>
      </w:r>
      <w:r w:rsidRPr="00131B9D">
        <w:t>元，美國及歐洲廢紙價格每公噸皆上漲人民幣</w:t>
      </w:r>
      <w:r w:rsidRPr="00131B9D">
        <w:t>40-50</w:t>
      </w:r>
      <w:r w:rsidRPr="00131B9D">
        <w:t>元。而</w:t>
      </w:r>
      <w:r w:rsidRPr="00131B9D">
        <w:t>10</w:t>
      </w:r>
      <w:r w:rsidRPr="00131B9D">
        <w:t>月份全球紙漿總出貨量較前月降至</w:t>
      </w:r>
      <w:r w:rsidRPr="00131B9D">
        <w:t>381</w:t>
      </w:r>
      <w:r w:rsidRPr="00131B9D">
        <w:t>萬噸，</w:t>
      </w:r>
      <w:r w:rsidRPr="00131B9D">
        <w:t>10</w:t>
      </w:r>
      <w:r w:rsidRPr="00131B9D">
        <w:t>月結束全球紙漿生產者庫存供應天數為</w:t>
      </w:r>
      <w:r w:rsidRPr="00131B9D">
        <w:t>36</w:t>
      </w:r>
      <w:r w:rsidRPr="00131B9D">
        <w:t>天，較</w:t>
      </w:r>
      <w:r w:rsidRPr="00131B9D">
        <w:t>9</w:t>
      </w:r>
      <w:r w:rsidRPr="00131B9D">
        <w:t>月份增加</w:t>
      </w:r>
      <w:r w:rsidRPr="00131B9D">
        <w:t>1</w:t>
      </w:r>
      <w:r w:rsidRPr="00131B9D">
        <w:t>天。其中，漂針木漿</w:t>
      </w:r>
      <w:r w:rsidRPr="00131B9D">
        <w:t>10</w:t>
      </w:r>
      <w:r w:rsidRPr="00131B9D">
        <w:t>月庫存天數為</w:t>
      </w:r>
      <w:r w:rsidRPr="00131B9D">
        <w:t>30</w:t>
      </w:r>
      <w:r w:rsidRPr="00131B9D">
        <w:t>天，處於市場均衡庫存供應水準，漂闊木漿</w:t>
      </w:r>
      <w:r w:rsidRPr="00131B9D">
        <w:t>10</w:t>
      </w:r>
      <w:r w:rsidRPr="00131B9D">
        <w:t>月末庫存天數為</w:t>
      </w:r>
      <w:r w:rsidRPr="00131B9D">
        <w:t>41</w:t>
      </w:r>
      <w:r w:rsidRPr="00131B9D">
        <w:t>天，高於市場均衡庫存供應天數（</w:t>
      </w:r>
      <w:r w:rsidRPr="00131B9D">
        <w:t>39</w:t>
      </w:r>
      <w:r w:rsidRPr="00131B9D">
        <w:t>天）。</w:t>
      </w:r>
    </w:p>
    <w:p w:rsidR="00F279F7" w:rsidRPr="00131B9D" w:rsidRDefault="00F279F7" w:rsidP="00F279F7">
      <w:pPr>
        <w:pStyle w:val="-"/>
        <w:spacing w:before="72" w:after="72"/>
        <w:ind w:firstLine="560"/>
        <w:sectPr w:rsidR="00F279F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3"/>
        <w:rPr>
          <w:rFonts w:ascii="Times New Roman" w:hAnsi="Times New Roman"/>
        </w:rPr>
      </w:pPr>
      <w:r w:rsidRPr="00131B9D">
        <w:rPr>
          <w:rFonts w:ascii="Times New Roman" w:hAnsi="Times New Roman"/>
        </w:rPr>
        <w:lastRenderedPageBreak/>
        <w:t>（一）紙漿</w:t>
      </w:r>
      <w:bookmarkEnd w:id="339"/>
    </w:p>
    <w:p w:rsidR="00F279F7" w:rsidRPr="00131B9D" w:rsidRDefault="00F279F7" w:rsidP="00F279F7">
      <w:pPr>
        <w:pStyle w:val="-"/>
        <w:spacing w:before="72" w:after="72"/>
        <w:ind w:firstLine="560"/>
      </w:pPr>
      <w:r w:rsidRPr="00131B9D">
        <w:t>國際紙漿價格</w:t>
      </w:r>
      <w:r w:rsidRPr="00131B9D">
        <w:t>2014</w:t>
      </w:r>
      <w:r w:rsidRPr="00131B9D">
        <w:t>年第</w:t>
      </w:r>
      <w:r w:rsidRPr="00131B9D">
        <w:t>4</w:t>
      </w:r>
      <w:r w:rsidRPr="00131B9D">
        <w:t>季開始逐步走高，短纖紙漿價格由每公噸</w:t>
      </w:r>
      <w:r w:rsidRPr="00131B9D">
        <w:t>550</w:t>
      </w:r>
      <w:r w:rsidRPr="00131B9D">
        <w:t>美元以下的低點回溫，</w:t>
      </w:r>
      <w:r w:rsidRPr="00131B9D">
        <w:t>2015</w:t>
      </w:r>
      <w:r w:rsidRPr="00131B9D">
        <w:t>年第</w:t>
      </w:r>
      <w:r w:rsidRPr="00131B9D">
        <w:t>1</w:t>
      </w:r>
      <w:r w:rsidRPr="00131B9D">
        <w:t>季紙漿國內價格與國際價格走勢略有不同。國際方面，第</w:t>
      </w:r>
      <w:r w:rsidRPr="00131B9D">
        <w:t>1</w:t>
      </w:r>
      <w:r w:rsidRPr="00131B9D">
        <w:t>季尤加利紙漿</w:t>
      </w:r>
      <w:r w:rsidRPr="00131B9D">
        <w:t>CFR</w:t>
      </w:r>
      <w:r w:rsidRPr="00131B9D">
        <w:t>均價為</w:t>
      </w:r>
      <w:r w:rsidRPr="00131B9D">
        <w:t>618</w:t>
      </w:r>
      <w:r w:rsidRPr="00131B9D">
        <w:t>美元</w:t>
      </w:r>
      <w:r w:rsidRPr="00131B9D">
        <w:t>/</w:t>
      </w:r>
      <w:r w:rsidRPr="00131B9D">
        <w:t>噸。國內方面，第</w:t>
      </w:r>
      <w:r w:rsidRPr="00131B9D">
        <w:t>1</w:t>
      </w:r>
      <w:r w:rsidRPr="00131B9D">
        <w:t>季國產紙漿出廠均價為</w:t>
      </w:r>
      <w:r w:rsidRPr="00131B9D">
        <w:t>634</w:t>
      </w:r>
      <w:r w:rsidRPr="00131B9D">
        <w:t>美元</w:t>
      </w:r>
      <w:r w:rsidRPr="00131B9D">
        <w:t>/</w:t>
      </w:r>
      <w:r w:rsidRPr="00131B9D">
        <w:t>噸，</w:t>
      </w:r>
      <w:r w:rsidRPr="00131B9D">
        <w:t>1</w:t>
      </w:r>
      <w:r w:rsidRPr="00131B9D">
        <w:t>月至</w:t>
      </w:r>
      <w:r w:rsidRPr="00131B9D">
        <w:t>3</w:t>
      </w:r>
      <w:r w:rsidRPr="00131B9D">
        <w:t>月間，價格維持在</w:t>
      </w:r>
      <w:r w:rsidRPr="00131B9D">
        <w:t>632</w:t>
      </w:r>
      <w:r w:rsidRPr="00131B9D">
        <w:t>至</w:t>
      </w:r>
      <w:r w:rsidRPr="00131B9D">
        <w:t>637</w:t>
      </w:r>
      <w:r w:rsidRPr="00131B9D">
        <w:t>美元</w:t>
      </w:r>
      <w:r w:rsidRPr="00131B9D">
        <w:t>/</w:t>
      </w:r>
      <w:r w:rsidRPr="00131B9D">
        <w:t>噸之間（如圖</w:t>
      </w:r>
      <w:r w:rsidRPr="00131B9D">
        <w:t>3-39</w:t>
      </w:r>
      <w:r w:rsidRPr="00131B9D">
        <w:t>）。此外，國際紙漿</w:t>
      </w:r>
      <w:r w:rsidRPr="00131B9D">
        <w:t>1</w:t>
      </w:r>
      <w:r w:rsidRPr="00131B9D">
        <w:t>月庫存天數較去年</w:t>
      </w:r>
      <w:r w:rsidRPr="00131B9D">
        <w:t>12</w:t>
      </w:r>
      <w:r w:rsidRPr="00131B9D">
        <w:t>月增加</w:t>
      </w:r>
      <w:r w:rsidRPr="00131B9D">
        <w:t>4</w:t>
      </w:r>
      <w:r w:rsidRPr="00131B9D">
        <w:t>天，庫存天數達</w:t>
      </w:r>
      <w:r w:rsidRPr="00131B9D">
        <w:t>40</w:t>
      </w:r>
      <w:r w:rsidRPr="00131B9D">
        <w:t>天，顯示國際紙漿短期內供應無虞。來到第</w:t>
      </w:r>
      <w:r w:rsidRPr="00131B9D">
        <w:t>2</w:t>
      </w:r>
      <w:r w:rsidRPr="00131B9D">
        <w:t>季，受到國際紙漿價格走揚影響，帶動中國大陸紙漿價格</w:t>
      </w:r>
      <w:r w:rsidRPr="00131B9D">
        <w:t>4</w:t>
      </w:r>
      <w:r w:rsidRPr="00131B9D">
        <w:t>月、</w:t>
      </w:r>
      <w:r w:rsidRPr="00131B9D">
        <w:t>5</w:t>
      </w:r>
      <w:r w:rsidRPr="00131B9D">
        <w:t>月連續兩個月調漲，從價格曲線來看，國際短纖紙漿價格尚未進入高價位，但漲勢明確。國際紙漿庫存天數偏低稍有壓力，且第</w:t>
      </w:r>
      <w:r w:rsidRPr="00131B9D">
        <w:t>2</w:t>
      </w:r>
      <w:r w:rsidRPr="00131B9D">
        <w:t>季為紙箱用量旺季，尤其水果盛產、飲料及進出口電子產品之包裝等，都需要用到大量紙器，而網購盛行，亦使紙箱使用量持續成長，加上中國大陸、美國經濟復甦帶動需求，以及原物料下跌的效益持續發酵。第</w:t>
      </w:r>
      <w:r w:rsidRPr="00131B9D">
        <w:t>3</w:t>
      </w:r>
      <w:r w:rsidRPr="00131B9D">
        <w:t>季雖為工廠年度歲修時期淡季，但由於中國大陸部分地區夏季供水不足導致產能降低，市場貨源緊繃帶動第</w:t>
      </w:r>
      <w:r w:rsidRPr="00131B9D">
        <w:t>3</w:t>
      </w:r>
      <w:r w:rsidRPr="00131B9D">
        <w:t>季紙漿價格攀升。</w:t>
      </w:r>
      <w:r w:rsidRPr="00131B9D">
        <w:t>10</w:t>
      </w:r>
      <w:r w:rsidRPr="00131B9D">
        <w:t>月下旬，國際短纖紙漿價格已站上每公噸</w:t>
      </w:r>
      <w:r w:rsidRPr="00131B9D">
        <w:t>610</w:t>
      </w:r>
      <w:r w:rsidRPr="00131B9D">
        <w:t>美元，長纖紙漿每公噸為</w:t>
      </w:r>
      <w:r w:rsidRPr="00131B9D">
        <w:t>670</w:t>
      </w:r>
      <w:r w:rsidRPr="00131B9D">
        <w:t>美元，相較之前國際短纖紙漿價格每公噸在</w:t>
      </w:r>
      <w:r w:rsidRPr="00131B9D">
        <w:t>560</w:t>
      </w:r>
      <w:r w:rsidRPr="00131B9D">
        <w:t>美元上下盤整，目前價格雖非進入高價，但以較之前大為改善，預期到年底將可維持每公噸</w:t>
      </w:r>
      <w:r w:rsidRPr="00131B9D">
        <w:t>600</w:t>
      </w:r>
      <w:r w:rsidRPr="00131B9D">
        <w:t>美元以上。</w:t>
      </w:r>
    </w:p>
    <w:p w:rsidR="00F279F7" w:rsidRPr="00131B9D" w:rsidRDefault="00F279F7" w:rsidP="00F279F7">
      <w:pPr>
        <w:pStyle w:val="-"/>
        <w:spacing w:before="72" w:after="72"/>
        <w:ind w:firstLine="560"/>
      </w:pPr>
      <w:r w:rsidRPr="00131B9D">
        <w:t>據</w:t>
      </w:r>
      <w:r w:rsidRPr="00131B9D">
        <w:t xml:space="preserve">PPPC </w:t>
      </w:r>
      <w:r w:rsidRPr="00131B9D">
        <w:t>統計資料，</w:t>
      </w:r>
      <w:r w:rsidRPr="00131B9D">
        <w:t>10</w:t>
      </w:r>
      <w:r w:rsidRPr="00131B9D">
        <w:t>月份全球紙漿總出貨量由</w:t>
      </w:r>
      <w:r w:rsidRPr="00131B9D">
        <w:t>9</w:t>
      </w:r>
      <w:r w:rsidRPr="00131B9D">
        <w:t>月份</w:t>
      </w:r>
      <w:r w:rsidRPr="00131B9D">
        <w:t>418.7</w:t>
      </w:r>
      <w:r w:rsidRPr="00131B9D">
        <w:t>萬噸降至</w:t>
      </w:r>
      <w:r w:rsidRPr="00131B9D">
        <w:t>381</w:t>
      </w:r>
      <w:r w:rsidRPr="00131B9D">
        <w:t>萬噸，但與去年同期相比微增</w:t>
      </w:r>
      <w:r w:rsidRPr="00131B9D">
        <w:t>0.7%</w:t>
      </w:r>
      <w:r w:rsidRPr="00131B9D">
        <w:t>。</w:t>
      </w:r>
      <w:r w:rsidRPr="00131B9D">
        <w:t>10</w:t>
      </w:r>
      <w:r w:rsidRPr="00131B9D">
        <w:t>月結束全球紙漿生產者庫存供應天數為</w:t>
      </w:r>
      <w:r w:rsidRPr="00131B9D">
        <w:t>36</w:t>
      </w:r>
      <w:r w:rsidRPr="00131B9D">
        <w:t>天，較</w:t>
      </w:r>
      <w:r w:rsidRPr="00131B9D">
        <w:t>9</w:t>
      </w:r>
      <w:r w:rsidRPr="00131B9D">
        <w:t>月份增加</w:t>
      </w:r>
      <w:r w:rsidRPr="00131B9D">
        <w:t>1</w:t>
      </w:r>
      <w:r w:rsidRPr="00131B9D">
        <w:t>天。其中，漂針木漿</w:t>
      </w:r>
      <w:r w:rsidRPr="00131B9D">
        <w:t>10</w:t>
      </w:r>
      <w:r w:rsidRPr="00131B9D">
        <w:t>月庫存天數為</w:t>
      </w:r>
      <w:r w:rsidRPr="00131B9D">
        <w:t>30</w:t>
      </w:r>
      <w:r w:rsidRPr="00131B9D">
        <w:t>天，持平</w:t>
      </w:r>
      <w:r w:rsidRPr="00131B9D">
        <w:t>9</w:t>
      </w:r>
      <w:r w:rsidRPr="00131B9D">
        <w:t>月份，處於市場均衡庫存供應水準（</w:t>
      </w:r>
      <w:r w:rsidRPr="00131B9D">
        <w:t>30</w:t>
      </w:r>
      <w:r w:rsidRPr="00131B9D">
        <w:t>天），漂闊木漿</w:t>
      </w:r>
      <w:r w:rsidRPr="00131B9D">
        <w:t>10</w:t>
      </w:r>
      <w:r w:rsidRPr="00131B9D">
        <w:t>月末庫存天數為</w:t>
      </w:r>
      <w:r w:rsidRPr="00131B9D">
        <w:t>41</w:t>
      </w:r>
      <w:r w:rsidRPr="00131B9D">
        <w:t>天，較</w:t>
      </w:r>
      <w:r w:rsidRPr="00131B9D">
        <w:t>9</w:t>
      </w:r>
      <w:r w:rsidRPr="00131B9D">
        <w:t>月增加</w:t>
      </w:r>
      <w:r w:rsidRPr="00131B9D">
        <w:t>2</w:t>
      </w:r>
      <w:r w:rsidRPr="00131B9D">
        <w:t>天，高於市場均衡庫存供應天數（</w:t>
      </w:r>
      <w:r w:rsidRPr="00131B9D">
        <w:t>39</w:t>
      </w:r>
      <w:r w:rsidRPr="00131B9D">
        <w:t>天）。展望</w:t>
      </w:r>
      <w:r w:rsidRPr="00131B9D">
        <w:t>2016</w:t>
      </w:r>
      <w:r w:rsidRPr="00131B9D">
        <w:t>年紙漿市場，因目前紙漿庫存位於平均值或以上，供貨上較無疑慮，加上需求也未有大幅提高的跡象，但可能會受到一些季節性的影響，因此估計</w:t>
      </w:r>
      <w:r w:rsidRPr="00131B9D">
        <w:t>2016</w:t>
      </w:r>
      <w:r w:rsidRPr="00131B9D">
        <w:t>年紙漿價格可能會於目前的價格附近震盪。</w:t>
      </w:r>
    </w:p>
    <w:p w:rsidR="00F279F7" w:rsidRPr="00131B9D" w:rsidRDefault="00F279F7" w:rsidP="00F279F7">
      <w:pPr>
        <w:pStyle w:val="a0"/>
        <w:rPr>
          <w:rFonts w:eastAsia="標楷體"/>
          <w:sz w:val="28"/>
          <w:szCs w:val="28"/>
        </w:rPr>
      </w:pPr>
    </w:p>
    <w:p w:rsidR="00F279F7" w:rsidRPr="00131B9D" w:rsidRDefault="00F279F7" w:rsidP="00F279F7">
      <w:pPr>
        <w:jc w:val="center"/>
        <w:rPr>
          <w:rFonts w:eastAsia="標楷體"/>
        </w:rPr>
      </w:pPr>
      <w:r w:rsidRPr="00131B9D">
        <w:rPr>
          <w:noProof/>
        </w:rPr>
        <w:drawing>
          <wp:inline distT="0" distB="0" distL="0" distR="0" wp14:anchorId="74134FB6" wp14:editId="23E5E28B">
            <wp:extent cx="5076825" cy="3333750"/>
            <wp:effectExtent l="0" t="0" r="9525" b="19050"/>
            <wp:docPr id="18464" name="圖表 18464"/>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340" w:name="_Toc398882671"/>
      <w:bookmarkStart w:id="341" w:name="_Toc438223373"/>
      <w:bookmarkStart w:id="342" w:name="_Toc322706989"/>
      <w:bookmarkStart w:id="343" w:name="_Toc373423082"/>
      <w:bookmarkStart w:id="344" w:name="_Toc373682467"/>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39</w:t>
      </w:r>
      <w:r w:rsidRPr="00131B9D">
        <w:rPr>
          <w:rFonts w:eastAsia="標楷體"/>
          <w:b/>
          <w:bCs/>
          <w:kern w:val="52"/>
          <w:sz w:val="28"/>
          <w:szCs w:val="28"/>
        </w:rPr>
        <w:fldChar w:fldCharType="end"/>
      </w:r>
      <w:r w:rsidRPr="00131B9D">
        <w:rPr>
          <w:rFonts w:eastAsia="標楷體"/>
          <w:b/>
          <w:bCs/>
          <w:kern w:val="52"/>
          <w:sz w:val="28"/>
          <w:szCs w:val="28"/>
        </w:rPr>
        <w:t xml:space="preserve">　紙漿近一年價格走勢圖</w:t>
      </w:r>
      <w:bookmarkEnd w:id="340"/>
      <w:bookmarkEnd w:id="341"/>
    </w:p>
    <w:p w:rsidR="003B29E8" w:rsidRPr="00131B9D" w:rsidRDefault="003B29E8" w:rsidP="003B29E8"/>
    <w:p w:rsidR="00F279F7" w:rsidRPr="00131B9D" w:rsidRDefault="00F279F7" w:rsidP="00F279F7">
      <w:pPr>
        <w:pStyle w:val="3"/>
        <w:rPr>
          <w:rFonts w:ascii="Times New Roman" w:hAnsi="Times New Roman"/>
        </w:rPr>
      </w:pPr>
      <w:bookmarkStart w:id="345" w:name="_Toc322706990"/>
      <w:bookmarkEnd w:id="342"/>
      <w:bookmarkEnd w:id="343"/>
      <w:bookmarkEnd w:id="344"/>
      <w:r w:rsidRPr="00131B9D">
        <w:rPr>
          <w:rFonts w:ascii="Times New Roman" w:hAnsi="Times New Roman"/>
        </w:rPr>
        <w:t>（二）廢紙</w:t>
      </w:r>
      <w:bookmarkEnd w:id="345"/>
    </w:p>
    <w:p w:rsidR="00F279F7" w:rsidRPr="00131B9D" w:rsidRDefault="00F279F7" w:rsidP="00F279F7">
      <w:pPr>
        <w:pStyle w:val="-"/>
        <w:spacing w:before="72" w:after="72"/>
        <w:ind w:firstLine="560"/>
      </w:pPr>
      <w:bookmarkStart w:id="346" w:name="OLE_LINK13"/>
      <w:bookmarkStart w:id="347" w:name="OLE_LINK14"/>
      <w:r w:rsidRPr="00131B9D">
        <w:t>全球大約有</w:t>
      </w:r>
      <w:r w:rsidRPr="00131B9D">
        <w:t>40%</w:t>
      </w:r>
      <w:r w:rsidRPr="00131B9D">
        <w:t>的廢紙來自美國，而中國大陸進口約佔其中的</w:t>
      </w:r>
      <w:r w:rsidRPr="00131B9D">
        <w:t>70%</w:t>
      </w:r>
      <w:r w:rsidRPr="00131B9D">
        <w:t>，因為農曆春節過後中國大陸造紙廠的維修期結束，來自中國大陸的需求增加，大型紙類製造商開始準備</w:t>
      </w:r>
      <w:r w:rsidRPr="00131B9D">
        <w:t>7</w:t>
      </w:r>
      <w:r w:rsidRPr="00131B9D">
        <w:t>月之後包裝旺季的來臨，自今年</w:t>
      </w:r>
      <w:r w:rsidRPr="00131B9D">
        <w:t>3</w:t>
      </w:r>
      <w:r w:rsidRPr="00131B9D">
        <w:t>月開始舊瓦楞紙箱上漲近</w:t>
      </w:r>
      <w:r w:rsidRPr="00131B9D">
        <w:t>20%</w:t>
      </w:r>
      <w:r w:rsidRPr="00131B9D">
        <w:t>，</w:t>
      </w:r>
      <w:r w:rsidRPr="00131B9D">
        <w:t>4</w:t>
      </w:r>
      <w:r w:rsidRPr="00131B9D">
        <w:t>月中國大陸進口</w:t>
      </w:r>
      <w:r w:rsidRPr="00131B9D">
        <w:t>2.56</w:t>
      </w:r>
      <w:bookmarkStart w:id="348" w:name="OLE_LINK242"/>
      <w:bookmarkStart w:id="349" w:name="OLE_LINK243"/>
      <w:r w:rsidRPr="00131B9D">
        <w:t>公噸</w:t>
      </w:r>
      <w:bookmarkEnd w:id="348"/>
      <w:bookmarkEnd w:id="349"/>
      <w:r w:rsidRPr="00131B9D">
        <w:t>的廢紙，較</w:t>
      </w:r>
      <w:r w:rsidRPr="00131B9D">
        <w:t>3</w:t>
      </w:r>
      <w:r w:rsidRPr="00131B9D">
        <w:t>月廢紙進口量增加</w:t>
      </w:r>
      <w:r w:rsidRPr="00131B9D">
        <w:t>11%</w:t>
      </w:r>
      <w:r w:rsidRPr="00131B9D">
        <w:t>，而單瓦楞紙箱就佔</w:t>
      </w:r>
      <w:r w:rsidRPr="00131B9D">
        <w:t>1.39</w:t>
      </w:r>
      <w:r w:rsidRPr="00131B9D">
        <w:t>公噸，較</w:t>
      </w:r>
      <w:r w:rsidRPr="00131B9D">
        <w:t>3</w:t>
      </w:r>
      <w:r w:rsidRPr="00131B9D">
        <w:t>月瓦楞紙箱進口量增加</w:t>
      </w:r>
      <w:r w:rsidRPr="00131B9D">
        <w:t>8%</w:t>
      </w:r>
      <w:r w:rsidRPr="00131B9D">
        <w:t>。</w:t>
      </w:r>
    </w:p>
    <w:p w:rsidR="00F279F7" w:rsidRPr="00131B9D" w:rsidRDefault="00F279F7" w:rsidP="00F279F7">
      <w:pPr>
        <w:pStyle w:val="-"/>
        <w:spacing w:before="72" w:after="72"/>
        <w:ind w:firstLine="560"/>
      </w:pPr>
      <w:r w:rsidRPr="00131B9D">
        <w:t>至於臺灣的情況，據臺灣區造紙工業同業公會簽章統計，</w:t>
      </w:r>
      <w:r w:rsidRPr="00131B9D">
        <w:t>2015</w:t>
      </w:r>
      <w:r w:rsidRPr="00131B9D">
        <w:t>年</w:t>
      </w:r>
      <w:r w:rsidRPr="00131B9D">
        <w:t>3</w:t>
      </w:r>
      <w:r w:rsidRPr="00131B9D">
        <w:t>月份國外廢紙進口量為</w:t>
      </w:r>
      <w:r w:rsidRPr="00131B9D">
        <w:t>42,722</w:t>
      </w:r>
      <w:r w:rsidRPr="00131B9D">
        <w:t>噸，較</w:t>
      </w:r>
      <w:r w:rsidRPr="00131B9D">
        <w:t>2014</w:t>
      </w:r>
      <w:r w:rsidRPr="00131B9D">
        <w:t>年同期大減</w:t>
      </w:r>
      <w:r w:rsidRPr="00131B9D">
        <w:t>39.1%</w:t>
      </w:r>
      <w:r w:rsidRPr="00131B9D">
        <w:t>，且較</w:t>
      </w:r>
      <w:r w:rsidRPr="00131B9D">
        <w:t>2</w:t>
      </w:r>
      <w:r w:rsidRPr="00131B9D">
        <w:t>月減少</w:t>
      </w:r>
      <w:r w:rsidRPr="00131B9D">
        <w:t>12.2%</w:t>
      </w:r>
      <w:r w:rsidRPr="00131B9D">
        <w:t>；進口值</w:t>
      </w:r>
      <w:r w:rsidRPr="00131B9D">
        <w:t>7,833,790</w:t>
      </w:r>
      <w:r w:rsidRPr="00131B9D">
        <w:t>美元，較</w:t>
      </w:r>
      <w:r w:rsidRPr="00131B9D">
        <w:t>2014</w:t>
      </w:r>
      <w:r w:rsidRPr="00131B9D">
        <w:t>年同期大減</w:t>
      </w:r>
      <w:r w:rsidRPr="00131B9D">
        <w:t>45.1%</w:t>
      </w:r>
      <w:r w:rsidRPr="00131B9D">
        <w:t>，且較</w:t>
      </w:r>
      <w:r w:rsidRPr="00131B9D">
        <w:t>2</w:t>
      </w:r>
      <w:r w:rsidRPr="00131B9D">
        <w:t>月減少</w:t>
      </w:r>
      <w:r w:rsidRPr="00131B9D">
        <w:t>14.4%</w:t>
      </w:r>
      <w:r w:rsidRPr="00131B9D">
        <w:t>。原本預期農曆春節假期過後，市場將隨即回溫帶動進口廢紙原料數量的增加，不過，</w:t>
      </w:r>
      <w:r w:rsidRPr="00131B9D">
        <w:t>3</w:t>
      </w:r>
      <w:r w:rsidRPr="00131B9D">
        <w:t>月份的廢紙進口量依然衰退，似乎紙廠考量國內工紙市況難以即刻恢復活絡，同時即使需求明顯提升，亦可由國內廢紙補充。累計今年第</w:t>
      </w:r>
      <w:r w:rsidRPr="00131B9D">
        <w:t>1</w:t>
      </w:r>
      <w:r w:rsidRPr="00131B9D">
        <w:t>季臺灣的廢紙進</w:t>
      </w:r>
      <w:r w:rsidRPr="00131B9D">
        <w:lastRenderedPageBreak/>
        <w:t>口總量為</w:t>
      </w:r>
      <w:r w:rsidRPr="00131B9D">
        <w:t>151,578</w:t>
      </w:r>
      <w:r w:rsidRPr="00131B9D">
        <w:t>噸，較</w:t>
      </w:r>
      <w:r w:rsidRPr="00131B9D">
        <w:t>2014</w:t>
      </w:r>
      <w:r w:rsidRPr="00131B9D">
        <w:t>年同期減少</w:t>
      </w:r>
      <w:r w:rsidRPr="00131B9D">
        <w:t>34.5</w:t>
      </w:r>
      <w:r w:rsidRPr="00131B9D">
        <w:t>％；進口總值</w:t>
      </w:r>
      <w:r w:rsidRPr="00131B9D">
        <w:t>28,394,011</w:t>
      </w:r>
      <w:r w:rsidRPr="00131B9D">
        <w:t>美元，較</w:t>
      </w:r>
      <w:r w:rsidRPr="00131B9D">
        <w:t>2014</w:t>
      </w:r>
      <w:r w:rsidRPr="00131B9D">
        <w:t>年同期減少</w:t>
      </w:r>
      <w:r w:rsidRPr="00131B9D">
        <w:t>39.4</w:t>
      </w:r>
      <w:r w:rsidRPr="00131B9D">
        <w:t>％，由上述可知，</w:t>
      </w:r>
      <w:r w:rsidRPr="00131B9D">
        <w:t>2015</w:t>
      </w:r>
      <w:r w:rsidRPr="00131B9D">
        <w:t>年在國內工紙市況並未十分活絡情況下，國內紙廠對國外廢紙進口量縮減，其中，來自北美地區貨源減少幅度最小，但也有接近</w:t>
      </w:r>
      <w:r w:rsidRPr="00131B9D">
        <w:t>3</w:t>
      </w:r>
      <w:r w:rsidRPr="00131B9D">
        <w:t>成的減幅；以日本為主的其他地區減幅逾</w:t>
      </w:r>
      <w:r w:rsidRPr="00131B9D">
        <w:t>3</w:t>
      </w:r>
      <w:r w:rsidRPr="00131B9D">
        <w:t>成次之，最大減幅是來自歐洲地區的貨源，縮減逾</w:t>
      </w:r>
      <w:r w:rsidRPr="00131B9D">
        <w:t>7</w:t>
      </w:r>
      <w:r w:rsidRPr="00131B9D">
        <w:t>成。至於</w:t>
      </w:r>
      <w:r w:rsidRPr="00131B9D">
        <w:t>2015</w:t>
      </w:r>
      <w:r w:rsidRPr="00131B9D">
        <w:t>年的平均進口報價和</w:t>
      </w:r>
      <w:r w:rsidRPr="00131B9D">
        <w:t>2014</w:t>
      </w:r>
      <w:r w:rsidRPr="00131B9D">
        <w:t>年同期相比，略有下滑，亦即紙廠進購國外廢紙的成本稍低，一般認為，今年的進口廢紙量、值成長不易（如圖</w:t>
      </w:r>
      <w:r w:rsidRPr="00131B9D">
        <w:t>3-40</w:t>
      </w:r>
      <w:r w:rsidRPr="00131B9D">
        <w:t>）。</w:t>
      </w:r>
    </w:p>
    <w:p w:rsidR="00F279F7" w:rsidRPr="00131B9D" w:rsidRDefault="00F279F7" w:rsidP="00F279F7">
      <w:pPr>
        <w:pStyle w:val="-"/>
        <w:spacing w:before="72" w:after="72"/>
        <w:ind w:firstLine="560"/>
      </w:pPr>
      <w:r w:rsidRPr="00131B9D">
        <w:t>業內人士指出，</w:t>
      </w:r>
      <w:bookmarkStart w:id="350" w:name="OLE_LINK17"/>
      <w:bookmarkStart w:id="351" w:name="OLE_LINK18"/>
      <w:r w:rsidRPr="00131B9D">
        <w:t>廢紙加工行業不景氣，以及原材料需求減少是廢紙價格低迷的原因</w:t>
      </w:r>
      <w:bookmarkEnd w:id="350"/>
      <w:bookmarkEnd w:id="351"/>
      <w:r w:rsidRPr="00131B9D">
        <w:t>所在，中國大陸紙業資訊指出，</w:t>
      </w:r>
      <w:r w:rsidRPr="00131B9D">
        <w:t>5</w:t>
      </w:r>
      <w:r w:rsidRPr="00131B9D">
        <w:t>月是造紙行業的一個過渡期，整個造紙行業步入淡季，紙漿和成品紙方面成交量和價格慢慢回落，但中國大陸國內廢紙行情走勢回暖跡象顯著。</w:t>
      </w:r>
      <w:r w:rsidRPr="00131B9D">
        <w:rPr>
          <w:rFonts w:eastAsia="新細明體"/>
        </w:rPr>
        <w:t>「</w:t>
      </w:r>
      <w:r w:rsidRPr="00131B9D">
        <w:t>五一」長假過後，中國大陸黃板紙價格延續節前走勢繼續上漲，紙廠的庫存經過幾個月的消耗，存量明顯減少，加上產能結構整合和環保相關政策的實施，相對不合格的一些中小型紙廠走向淘汰的行列，致使市場供貨量偏緊，開始出現供不應求的局面。中國大陸各地紙廠根據自身採購貨源的實際情況，分析廢紙市場大環境，開啟全面漲價模式；而歐洲廢紙需求亦增加，</w:t>
      </w:r>
      <w:r w:rsidRPr="00131B9D">
        <w:t>5</w:t>
      </w:r>
      <w:r w:rsidRPr="00131B9D">
        <w:t>月份廢紙價格每噸急漲</w:t>
      </w:r>
      <w:r w:rsidRPr="00131B9D">
        <w:t>25</w:t>
      </w:r>
      <w:r w:rsidRPr="00131B9D">
        <w:t>至</w:t>
      </w:r>
      <w:r w:rsidRPr="00131B9D">
        <w:t>30</w:t>
      </w:r>
      <w:r w:rsidRPr="00131B9D">
        <w:t>美元，到</w:t>
      </w:r>
      <w:r w:rsidRPr="00131B9D">
        <w:t>200</w:t>
      </w:r>
      <w:r w:rsidRPr="00131B9D">
        <w:t>美元左右。進入</w:t>
      </w:r>
      <w:r w:rsidRPr="00131B9D">
        <w:t>6</w:t>
      </w:r>
      <w:r w:rsidRPr="00131B9D">
        <w:t>月第</w:t>
      </w:r>
      <w:r w:rsidRPr="00131B9D">
        <w:t>1</w:t>
      </w:r>
      <w:r w:rsidRPr="00131B9D">
        <w:t>週，中國大陸廢紙市場整體微揚，但上調幅度較</w:t>
      </w:r>
      <w:r w:rsidRPr="00131B9D">
        <w:t>5</w:t>
      </w:r>
      <w:r w:rsidRPr="00131B9D">
        <w:t>月趨緩。一方面由於部分紙廠存貨量趨穩後，市場價格觀望氣息濃厚</w:t>
      </w:r>
      <w:r w:rsidRPr="00131B9D">
        <w:t>;</w:t>
      </w:r>
      <w:r w:rsidRPr="00131B9D">
        <w:t>另一方面則是部分地區受降雨天氣影響，到貨量難以滿足廠家需求，價格小幅提振，但沒有</w:t>
      </w:r>
      <w:r w:rsidRPr="00131B9D">
        <w:t>5</w:t>
      </w:r>
      <w:r w:rsidRPr="00131B9D">
        <w:t>月漲幅明顯。就整體廢紙市場來說，廣東和福建地區廢紙採購價格整體每公噸上調</w:t>
      </w:r>
      <w:r w:rsidRPr="00131B9D">
        <w:t>50</w:t>
      </w:r>
      <w:r w:rsidRPr="00131B9D">
        <w:t>元</w:t>
      </w:r>
      <w:r w:rsidRPr="00131B9D">
        <w:t>-100</w:t>
      </w:r>
      <w:r w:rsidRPr="00131B9D">
        <w:t>元人民幣，浙江、重慶、天津地區每噸上漲近</w:t>
      </w:r>
      <w:r w:rsidRPr="00131B9D">
        <w:t>40</w:t>
      </w:r>
      <w:r w:rsidRPr="00131B9D">
        <w:t>元人民幣，其他地區也都有每噸</w:t>
      </w:r>
      <w:r w:rsidRPr="00131B9D">
        <w:t>20</w:t>
      </w:r>
      <w:r w:rsidRPr="00131B9D">
        <w:t>元</w:t>
      </w:r>
      <w:r w:rsidRPr="00131B9D">
        <w:t>-40</w:t>
      </w:r>
      <w:r w:rsidRPr="00131B9D">
        <w:t>元人民幣的小幅上漲。</w:t>
      </w:r>
      <w:r w:rsidRPr="00131B9D">
        <w:t>8</w:t>
      </w:r>
      <w:r w:rsidRPr="00131B9D">
        <w:t>月份之後，美廢價格上漲</w:t>
      </w:r>
      <w:r w:rsidRPr="00131B9D">
        <w:t>40-50</w:t>
      </w:r>
      <w:r w:rsidRPr="00131B9D">
        <w:t>元</w:t>
      </w:r>
      <w:r w:rsidRPr="00131B9D">
        <w:t>/</w:t>
      </w:r>
      <w:r w:rsidRPr="00131B9D">
        <w:t>噸，歐廢上漲</w:t>
      </w:r>
      <w:r w:rsidRPr="00131B9D">
        <w:t>40-50</w:t>
      </w:r>
      <w:r w:rsidRPr="00131B9D">
        <w:t>元</w:t>
      </w:r>
      <w:r w:rsidRPr="00131B9D">
        <w:t>/</w:t>
      </w:r>
      <w:r w:rsidRPr="00131B9D">
        <w:t>噸。</w:t>
      </w:r>
      <w:r w:rsidRPr="00131B9D">
        <w:t>9</w:t>
      </w:r>
      <w:r w:rsidRPr="00131B9D">
        <w:t>月中旬過後，伴隨供應量上升，美廢價格已呈現季節性下降，</w:t>
      </w:r>
      <w:r w:rsidRPr="00131B9D">
        <w:t>11</w:t>
      </w:r>
      <w:r w:rsidRPr="00131B9D">
        <w:t>月初美廢</w:t>
      </w:r>
      <w:r w:rsidRPr="00131B9D">
        <w:t>ONP</w:t>
      </w:r>
      <w:r w:rsidRPr="00131B9D">
        <w:t>、</w:t>
      </w:r>
      <w:r w:rsidRPr="00131B9D">
        <w:t xml:space="preserve">OCC </w:t>
      </w:r>
      <w:r w:rsidRPr="00131B9D">
        <w:t>價格繼續下跌，各主要港口廢紙出口價格亦下跌，美廢價格已處於較低水準，</w:t>
      </w:r>
      <w:r w:rsidRPr="00131B9D">
        <w:t xml:space="preserve"> </w:t>
      </w:r>
      <w:r w:rsidRPr="00131B9D">
        <w:t>供應商</w:t>
      </w:r>
      <w:r w:rsidRPr="00131B9D">
        <w:lastRenderedPageBreak/>
        <w:t>無明顯出貨壓力，</w:t>
      </w:r>
    </w:p>
    <w:bookmarkEnd w:id="346"/>
    <w:bookmarkEnd w:id="347"/>
    <w:p w:rsidR="00F279F7" w:rsidRPr="00131B9D" w:rsidRDefault="00F279F7" w:rsidP="00F279F7">
      <w:pPr>
        <w:pStyle w:val="-"/>
        <w:spacing w:before="72" w:after="72"/>
        <w:ind w:firstLine="560"/>
      </w:pPr>
      <w:r w:rsidRPr="00131B9D">
        <w:t>根據</w:t>
      </w:r>
      <w:r w:rsidRPr="00131B9D">
        <w:t>MarketsandMarkets11</w:t>
      </w:r>
      <w:r w:rsidRPr="00131B9D">
        <w:t>月下旬發佈研究報告顯示，全球廢紙管理市場預計</w:t>
      </w:r>
      <w:r w:rsidRPr="00131B9D">
        <w:t>2015-2020</w:t>
      </w:r>
      <w:r w:rsidRPr="00131B9D">
        <w:t>年年複合增長率將上漲</w:t>
      </w:r>
      <w:r w:rsidRPr="00131B9D">
        <w:t>2.55%</w:t>
      </w:r>
      <w:r w:rsidRPr="00131B9D">
        <w:t>。</w:t>
      </w:r>
      <w:r w:rsidRPr="00131B9D">
        <w:t>2020</w:t>
      </w:r>
      <w:r w:rsidRPr="00131B9D">
        <w:t>年廢紙管理市場全球預測報告資料顯示，到</w:t>
      </w:r>
      <w:r w:rsidRPr="00131B9D">
        <w:t>2020</w:t>
      </w:r>
      <w:r w:rsidRPr="00131B9D">
        <w:t>年，市場估值將達到</w:t>
      </w:r>
      <w:r w:rsidRPr="00131B9D">
        <w:t>433.5</w:t>
      </w:r>
      <w:r w:rsidRPr="00131B9D">
        <w:t>億美元。隨著廢棄物管理活動的日益普及，未來廢紙管理市場有望顯著增長。工業和商業領域需求對市場需求將不斷增長。報告亦指出，發展中國家如中國大陸、巴西和印度等市場，正崛起成為廢紙管理市場的新增長經濟體，人口和可支配收入的成長將成為擴大廢紙市場的主要動力。此外，歐洲和北美洲地區的廢紙管理服務需求亦持續增長，且消費者對環境安全的日益關注，也為廢紙管理市場發展的一個關鍵動力。此外，依據</w:t>
      </w:r>
      <w:r w:rsidRPr="00131B9D">
        <w:t>RISI 11</w:t>
      </w:r>
      <w:r w:rsidRPr="00131B9D">
        <w:t>月研究預測，全球以廢紙為主要原材料的箱板紙所占市場份額在未來</w:t>
      </w:r>
      <w:r w:rsidRPr="00131B9D">
        <w:t>15</w:t>
      </w:r>
      <w:r w:rsidRPr="00131B9D">
        <w:t>年將持續上升，黃板紙（</w:t>
      </w:r>
      <w:r w:rsidRPr="00131B9D">
        <w:t>OCC</w:t>
      </w:r>
      <w:r w:rsidRPr="00131B9D">
        <w:t>）很有可能再次成為行業關注的熱點，故預期</w:t>
      </w:r>
      <w:r w:rsidRPr="00131B9D">
        <w:t>2016</w:t>
      </w:r>
      <w:r w:rsidRPr="00131B9D">
        <w:t>年之後廢紙市場會逐漸轉好。</w:t>
      </w:r>
    </w:p>
    <w:p w:rsidR="003B29E8" w:rsidRPr="00131B9D" w:rsidRDefault="003B29E8" w:rsidP="003B29E8"/>
    <w:p w:rsidR="00F279F7" w:rsidRPr="00131B9D" w:rsidRDefault="00F279F7" w:rsidP="00F279F7">
      <w:pPr>
        <w:jc w:val="center"/>
        <w:rPr>
          <w:rFonts w:eastAsia="標楷體"/>
        </w:rPr>
      </w:pPr>
      <w:r w:rsidRPr="00131B9D">
        <w:rPr>
          <w:noProof/>
        </w:rPr>
        <w:drawing>
          <wp:inline distT="0" distB="0" distL="0" distR="0" wp14:anchorId="4530B7DA" wp14:editId="7909F95D">
            <wp:extent cx="5076825" cy="3228975"/>
            <wp:effectExtent l="0" t="0" r="9525" b="9525"/>
            <wp:docPr id="18465" name="圖表 18465"/>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352" w:name="_Toc398882672"/>
      <w:bookmarkStart w:id="353" w:name="_Toc438223374"/>
      <w:bookmarkStart w:id="354" w:name="_Toc322706991"/>
      <w:bookmarkStart w:id="355" w:name="_Toc365017363"/>
      <w:bookmarkStart w:id="356" w:name="_Toc373423083"/>
      <w:bookmarkStart w:id="357" w:name="_Toc373682468"/>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40</w:t>
      </w:r>
      <w:r w:rsidRPr="00131B9D">
        <w:rPr>
          <w:rFonts w:eastAsia="標楷體"/>
          <w:b/>
          <w:bCs/>
          <w:kern w:val="52"/>
          <w:sz w:val="28"/>
          <w:szCs w:val="28"/>
        </w:rPr>
        <w:fldChar w:fldCharType="end"/>
      </w:r>
      <w:r w:rsidRPr="00131B9D">
        <w:rPr>
          <w:rFonts w:eastAsia="標楷體"/>
          <w:b/>
          <w:bCs/>
          <w:kern w:val="52"/>
          <w:sz w:val="28"/>
          <w:szCs w:val="28"/>
        </w:rPr>
        <w:t xml:space="preserve">　廢紙近一年價格走勢圖</w:t>
      </w:r>
      <w:bookmarkEnd w:id="352"/>
      <w:bookmarkEnd w:id="353"/>
    </w:p>
    <w:p w:rsidR="00F279F7" w:rsidRPr="00131B9D" w:rsidRDefault="00F279F7" w:rsidP="00F279F7">
      <w:pPr>
        <w:pStyle w:val="afff5"/>
        <w:spacing w:line="0" w:lineRule="atLeast"/>
        <w:jc w:val="center"/>
        <w:rPr>
          <w:rFonts w:eastAsia="標楷體"/>
          <w:b/>
          <w:bCs/>
          <w:kern w:val="52"/>
          <w:sz w:val="28"/>
          <w:szCs w:val="28"/>
        </w:rPr>
        <w:sectPr w:rsidR="00F279F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2"/>
        <w:spacing w:before="108" w:after="108"/>
        <w:rPr>
          <w:rFonts w:ascii="Times New Roman" w:hAnsi="Times New Roman"/>
        </w:rPr>
      </w:pPr>
      <w:bookmarkStart w:id="358" w:name="_Toc439162957"/>
      <w:bookmarkStart w:id="359" w:name="_Toc362964380"/>
      <w:bookmarkStart w:id="360" w:name="_Toc373760888"/>
      <w:bookmarkStart w:id="361" w:name="_Toc373761945"/>
      <w:bookmarkEnd w:id="336"/>
      <w:bookmarkEnd w:id="337"/>
      <w:bookmarkEnd w:id="338"/>
      <w:bookmarkEnd w:id="354"/>
      <w:bookmarkEnd w:id="355"/>
      <w:bookmarkEnd w:id="356"/>
      <w:bookmarkEnd w:id="357"/>
      <w:r w:rsidRPr="00131B9D">
        <w:rPr>
          <w:rFonts w:ascii="Times New Roman" w:hAnsi="Times New Roman"/>
        </w:rPr>
        <w:lastRenderedPageBreak/>
        <w:t>七、其他</w:t>
      </w:r>
      <w:bookmarkStart w:id="362" w:name="_Toc322706993"/>
      <w:bookmarkEnd w:id="358"/>
    </w:p>
    <w:p w:rsidR="00F279F7" w:rsidRPr="00131B9D" w:rsidRDefault="00F279F7" w:rsidP="00F279F7">
      <w:pPr>
        <w:pStyle w:val="3"/>
        <w:rPr>
          <w:rFonts w:ascii="Times New Roman" w:hAnsi="Times New Roman"/>
        </w:rPr>
      </w:pPr>
      <w:r w:rsidRPr="00131B9D">
        <w:rPr>
          <w:rFonts w:ascii="Times New Roman" w:hAnsi="Times New Roman"/>
        </w:rPr>
        <w:t>（一）水泥</w:t>
      </w:r>
      <w:bookmarkStart w:id="363" w:name="_Toc322706994"/>
      <w:bookmarkEnd w:id="362"/>
    </w:p>
    <w:p w:rsidR="00BC42BF" w:rsidRPr="00131B9D" w:rsidRDefault="00BC42BF" w:rsidP="00BC42BF">
      <w:pPr>
        <w:pStyle w:val="-"/>
        <w:spacing w:before="72" w:after="72"/>
        <w:ind w:firstLine="560"/>
        <w:rPr>
          <w:color w:val="000000"/>
          <w:kern w:val="0"/>
        </w:rPr>
      </w:pPr>
      <w:r w:rsidRPr="00131B9D">
        <w:rPr>
          <w:color w:val="000000"/>
          <w:kern w:val="0"/>
        </w:rPr>
        <w:t>中國大陸水泥生產與消費量均為世界第一，生產方面，</w:t>
      </w:r>
      <w:r w:rsidRPr="00131B9D">
        <w:rPr>
          <w:color w:val="000000"/>
          <w:kern w:val="0"/>
        </w:rPr>
        <w:t>2014</w:t>
      </w:r>
      <w:r w:rsidRPr="00131B9D">
        <w:rPr>
          <w:color w:val="000000"/>
          <w:kern w:val="0"/>
        </w:rPr>
        <w:t>年全世界水泥總產量</w:t>
      </w:r>
      <w:r w:rsidRPr="00131B9D">
        <w:rPr>
          <w:color w:val="000000"/>
          <w:kern w:val="0"/>
        </w:rPr>
        <w:t>41.8</w:t>
      </w:r>
      <w:r w:rsidRPr="00131B9D">
        <w:rPr>
          <w:color w:val="000000"/>
          <w:kern w:val="0"/>
        </w:rPr>
        <w:t>億噸，而中國大陸生產水泥</w:t>
      </w:r>
      <w:r w:rsidRPr="00131B9D">
        <w:rPr>
          <w:color w:val="000000"/>
          <w:kern w:val="0"/>
        </w:rPr>
        <w:t>24.76</w:t>
      </w:r>
      <w:r w:rsidRPr="00131B9D">
        <w:rPr>
          <w:color w:val="000000"/>
          <w:kern w:val="0"/>
        </w:rPr>
        <w:t>億噸，占世界總產量</w:t>
      </w:r>
      <w:r w:rsidRPr="00131B9D">
        <w:rPr>
          <w:color w:val="000000"/>
          <w:kern w:val="0"/>
        </w:rPr>
        <w:t>59%</w:t>
      </w:r>
      <w:r w:rsidRPr="00131B9D">
        <w:rPr>
          <w:color w:val="000000"/>
          <w:kern w:val="0"/>
        </w:rPr>
        <w:t>；在需求方面，</w:t>
      </w:r>
      <w:r w:rsidRPr="00131B9D">
        <w:rPr>
          <w:color w:val="000000"/>
          <w:kern w:val="0"/>
        </w:rPr>
        <w:t>2011-2013</w:t>
      </w:r>
      <w:r w:rsidRPr="00131B9D">
        <w:rPr>
          <w:color w:val="000000"/>
          <w:kern w:val="0"/>
        </w:rPr>
        <w:t>年中國大陸</w:t>
      </w:r>
      <w:r w:rsidRPr="00131B9D">
        <w:rPr>
          <w:color w:val="000000"/>
          <w:kern w:val="0"/>
        </w:rPr>
        <w:t>3</w:t>
      </w:r>
      <w:r w:rsidRPr="00131B9D">
        <w:rPr>
          <w:color w:val="000000"/>
          <w:kern w:val="0"/>
        </w:rPr>
        <w:t>年之水泥消費量超過美國過去</w:t>
      </w:r>
      <w:r w:rsidRPr="00131B9D">
        <w:rPr>
          <w:color w:val="000000"/>
          <w:kern w:val="0"/>
        </w:rPr>
        <w:t>100</w:t>
      </w:r>
      <w:r w:rsidRPr="00131B9D">
        <w:rPr>
          <w:color w:val="000000"/>
          <w:kern w:val="0"/>
        </w:rPr>
        <w:t>年之消費總和。</w:t>
      </w:r>
    </w:p>
    <w:p w:rsidR="00BC42BF" w:rsidRPr="00131B9D" w:rsidRDefault="00BC42BF" w:rsidP="00BC42BF">
      <w:pPr>
        <w:pStyle w:val="-"/>
        <w:spacing w:before="72" w:after="72"/>
        <w:ind w:firstLine="560"/>
        <w:rPr>
          <w:kern w:val="0"/>
        </w:rPr>
      </w:pPr>
      <w:r w:rsidRPr="00131B9D">
        <w:rPr>
          <w:kern w:val="0"/>
        </w:rPr>
        <w:t>觀察</w:t>
      </w:r>
      <w:r w:rsidRPr="00131B9D">
        <w:rPr>
          <w:kern w:val="0"/>
        </w:rPr>
        <w:t>2015</w:t>
      </w:r>
      <w:r w:rsidRPr="00131B9D">
        <w:rPr>
          <w:kern w:val="0"/>
        </w:rPr>
        <w:t>年第</w:t>
      </w:r>
      <w:r w:rsidRPr="00131B9D">
        <w:rPr>
          <w:kern w:val="0"/>
        </w:rPr>
        <w:t>1</w:t>
      </w:r>
      <w:r w:rsidRPr="00131B9D">
        <w:rPr>
          <w:kern w:val="0"/>
        </w:rPr>
        <w:t>季，中國大陸農曆年前未出現趕工旺季，長假結束後水泥需求也不強勁，固定資產和房地產投資增速雙雙回落，且總體經濟下跌趨勢有增無減，水泥市場需求呈現低速成長，雖然今年首季水泥產量為</w:t>
      </w:r>
      <w:r w:rsidRPr="00131B9D">
        <w:rPr>
          <w:kern w:val="0"/>
        </w:rPr>
        <w:t>4.27</w:t>
      </w:r>
      <w:r w:rsidRPr="00131B9D">
        <w:rPr>
          <w:kern w:val="0"/>
        </w:rPr>
        <w:t>億噸，較去年同期年衰退</w:t>
      </w:r>
      <w:r w:rsidRPr="00131B9D">
        <w:rPr>
          <w:kern w:val="0"/>
        </w:rPr>
        <w:t>3.4%</w:t>
      </w:r>
      <w:r w:rsidRPr="00131B9D">
        <w:rPr>
          <w:kern w:val="0"/>
        </w:rPr>
        <w:t>，為</w:t>
      </w:r>
      <w:r w:rsidRPr="00131B9D">
        <w:rPr>
          <w:kern w:val="0"/>
        </w:rPr>
        <w:t>10</w:t>
      </w:r>
      <w:r w:rsidRPr="00131B9D">
        <w:rPr>
          <w:kern w:val="0"/>
        </w:rPr>
        <w:t>年來的首次負增長，但需求降幅大於供給減幅，因此價格仍下跌。第</w:t>
      </w:r>
      <w:r w:rsidRPr="00131B9D">
        <w:rPr>
          <w:kern w:val="0"/>
        </w:rPr>
        <w:t>2</w:t>
      </w:r>
      <w:r w:rsidRPr="00131B9D">
        <w:rPr>
          <w:kern w:val="0"/>
        </w:rPr>
        <w:t>季時，中國大陸南京地區</w:t>
      </w:r>
      <w:r w:rsidRPr="00131B9D">
        <w:rPr>
          <w:kern w:val="0"/>
        </w:rPr>
        <w:t>4</w:t>
      </w:r>
      <w:r w:rsidRPr="00131B9D">
        <w:rPr>
          <w:kern w:val="0"/>
        </w:rPr>
        <w:t>月水泥價格比去年同期下滑</w:t>
      </w:r>
      <w:r w:rsidRPr="00131B9D">
        <w:rPr>
          <w:kern w:val="0"/>
        </w:rPr>
        <w:t>10%</w:t>
      </w:r>
      <w:r w:rsidRPr="00131B9D">
        <w:rPr>
          <w:kern w:val="0"/>
        </w:rPr>
        <w:t>以上，也導致台、亞泥今年前</w:t>
      </w:r>
      <w:r w:rsidRPr="00131B9D">
        <w:rPr>
          <w:kern w:val="0"/>
        </w:rPr>
        <w:t>4</w:t>
      </w:r>
      <w:r w:rsidRPr="00131B9D">
        <w:rPr>
          <w:kern w:val="0"/>
        </w:rPr>
        <w:t>月的合併營收都呈衰退，台泥年衰退率高達</w:t>
      </w:r>
      <w:r w:rsidRPr="00131B9D">
        <w:rPr>
          <w:kern w:val="0"/>
        </w:rPr>
        <w:t>21.88%</w:t>
      </w:r>
      <w:r w:rsidRPr="00131B9D">
        <w:rPr>
          <w:kern w:val="0"/>
        </w:rPr>
        <w:t>，而亞泥也達</w:t>
      </w:r>
      <w:r w:rsidRPr="00131B9D">
        <w:rPr>
          <w:kern w:val="0"/>
        </w:rPr>
        <w:t>7.96%</w:t>
      </w:r>
      <w:r w:rsidRPr="00131B9D">
        <w:rPr>
          <w:kern w:val="0"/>
        </w:rPr>
        <w:t>。在第</w:t>
      </w:r>
      <w:r w:rsidRPr="00131B9D">
        <w:rPr>
          <w:kern w:val="0"/>
        </w:rPr>
        <w:t>3</w:t>
      </w:r>
      <w:r w:rsidRPr="00131B9D">
        <w:rPr>
          <w:kern w:val="0"/>
        </w:rPr>
        <w:t>季，雨季結束，珠三角地區需求較平穩，亞泥指出江西地區的水泥價格在</w:t>
      </w:r>
      <w:r w:rsidRPr="00131B9D">
        <w:rPr>
          <w:kern w:val="0"/>
        </w:rPr>
        <w:t>8</w:t>
      </w:r>
      <w:r w:rsidRPr="00131B9D">
        <w:rPr>
          <w:kern w:val="0"/>
        </w:rPr>
        <w:t>月底已小幅調漲，長江流域附近水泥價格在</w:t>
      </w:r>
      <w:r w:rsidRPr="00131B9D">
        <w:rPr>
          <w:kern w:val="0"/>
        </w:rPr>
        <w:t>9</w:t>
      </w:r>
      <w:r w:rsidRPr="00131B9D">
        <w:rPr>
          <w:kern w:val="0"/>
        </w:rPr>
        <w:t>月初小幅調漲</w:t>
      </w:r>
      <w:r w:rsidRPr="00131B9D">
        <w:rPr>
          <w:kern w:val="0"/>
        </w:rPr>
        <w:t>3-5%</w:t>
      </w:r>
      <w:r w:rsidRPr="00131B9D">
        <w:rPr>
          <w:kern w:val="0"/>
        </w:rPr>
        <w:t>，因需求有所回升，且年底一向是中國大陸基建工程趕工、水泥廠庫存量最低的時期，</w:t>
      </w:r>
      <w:r w:rsidRPr="00131B9D">
        <w:rPr>
          <w:kern w:val="0"/>
        </w:rPr>
        <w:t>9</w:t>
      </w:r>
      <w:r w:rsidRPr="00131B9D">
        <w:rPr>
          <w:kern w:val="0"/>
        </w:rPr>
        <w:t>月底華南、華中及華東地區水泥價格呈現上漲走勢，此外，為迎接第</w:t>
      </w:r>
      <w:r w:rsidRPr="00131B9D">
        <w:rPr>
          <w:kern w:val="0"/>
        </w:rPr>
        <w:t>4</w:t>
      </w:r>
      <w:r w:rsidRPr="00131B9D">
        <w:rPr>
          <w:kern w:val="0"/>
        </w:rPr>
        <w:t>季旺季，台泥宣布調漲廣東地區水泥價格。進入第</w:t>
      </w:r>
      <w:r w:rsidRPr="00131B9D">
        <w:rPr>
          <w:kern w:val="0"/>
        </w:rPr>
        <w:t>4</w:t>
      </w:r>
      <w:r w:rsidRPr="00131B9D">
        <w:rPr>
          <w:kern w:val="0"/>
        </w:rPr>
        <w:t>季，</w:t>
      </w:r>
      <w:r w:rsidRPr="00131B9D">
        <w:rPr>
          <w:kern w:val="0"/>
        </w:rPr>
        <w:t>10</w:t>
      </w:r>
      <w:r w:rsidRPr="00131B9D">
        <w:rPr>
          <w:kern w:val="0"/>
        </w:rPr>
        <w:t>月初適逢十一長假以及天氣影響，水泥需求有所回落，隨著長假結束，氣候放晴，各地開工潮湧現，水泥需求快速增加，且依發改委公佈之報告顯示，中國大陸</w:t>
      </w:r>
      <w:r w:rsidRPr="00131B9D">
        <w:rPr>
          <w:kern w:val="0"/>
        </w:rPr>
        <w:t>10</w:t>
      </w:r>
      <w:r w:rsidRPr="00131B9D">
        <w:rPr>
          <w:kern w:val="0"/>
        </w:rPr>
        <w:t>月份全國水泥產量較去年下降</w:t>
      </w:r>
      <w:r w:rsidRPr="00131B9D">
        <w:rPr>
          <w:kern w:val="0"/>
        </w:rPr>
        <w:t>3.5%</w:t>
      </w:r>
      <w:r w:rsidRPr="00131B9D">
        <w:rPr>
          <w:kern w:val="0"/>
        </w:rPr>
        <w:t>，降幅擴大</w:t>
      </w:r>
      <w:r w:rsidRPr="00131B9D">
        <w:rPr>
          <w:kern w:val="0"/>
        </w:rPr>
        <w:t>2.4</w:t>
      </w:r>
      <w:r w:rsidRPr="00131B9D">
        <w:rPr>
          <w:kern w:val="0"/>
        </w:rPr>
        <w:t>個百分點，而水泥價格略有回升，到了</w:t>
      </w:r>
      <w:r w:rsidRPr="00131B9D">
        <w:rPr>
          <w:kern w:val="0"/>
        </w:rPr>
        <w:t>10</w:t>
      </w:r>
      <w:r w:rsidRPr="00131B9D">
        <w:rPr>
          <w:kern w:val="0"/>
        </w:rPr>
        <w:t>月底，儘管華東和中南地區的部分省份水泥價格繼續推漲，然實際漲幅已明顯趨弱。進入</w:t>
      </w:r>
      <w:r w:rsidRPr="00131B9D">
        <w:rPr>
          <w:kern w:val="0"/>
        </w:rPr>
        <w:t>11</w:t>
      </w:r>
      <w:r w:rsidRPr="00131B9D">
        <w:rPr>
          <w:kern w:val="0"/>
        </w:rPr>
        <w:t>月，則因需求滑落，價格提前走淡。</w:t>
      </w:r>
    </w:p>
    <w:p w:rsidR="00BC42BF" w:rsidRPr="00131B9D" w:rsidRDefault="00BC42BF" w:rsidP="00BC42BF">
      <w:pPr>
        <w:pStyle w:val="-"/>
        <w:spacing w:before="72" w:after="72"/>
        <w:ind w:firstLine="560"/>
        <w:rPr>
          <w:kern w:val="0"/>
        </w:rPr>
      </w:pPr>
      <w:r w:rsidRPr="00131B9D">
        <w:rPr>
          <w:kern w:val="0"/>
        </w:rPr>
        <w:t>由於</w:t>
      </w:r>
      <w:r w:rsidRPr="00131B9D">
        <w:rPr>
          <w:color w:val="000000"/>
          <w:kern w:val="0"/>
        </w:rPr>
        <w:t>我國水泥大廠台泥、亞泥皆進軍中國大陸市場，故其整體經濟與水泥市場發展之變化對我國水泥產業影響重大，此外，</w:t>
      </w:r>
      <w:r w:rsidRPr="00131B9D">
        <w:rPr>
          <w:kern w:val="0"/>
        </w:rPr>
        <w:t>國內因房市買氣遲滯，建商為了削減庫存並減緩房價下滑之壓力而減產，今年</w:t>
      </w:r>
      <w:r w:rsidRPr="00131B9D">
        <w:rPr>
          <w:kern w:val="0"/>
        </w:rPr>
        <w:lastRenderedPageBreak/>
        <w:t>1-10</w:t>
      </w:r>
      <w:r w:rsidRPr="00131B9D">
        <w:rPr>
          <w:kern w:val="0"/>
        </w:rPr>
        <w:t>月，北台灣新成屋、預售屋較去年減少逾</w:t>
      </w:r>
      <w:r w:rsidRPr="00131B9D">
        <w:rPr>
          <w:kern w:val="0"/>
        </w:rPr>
        <w:t>3</w:t>
      </w:r>
      <w:r w:rsidRPr="00131B9D">
        <w:rPr>
          <w:kern w:val="0"/>
        </w:rPr>
        <w:t>成，也對水泥需求量造成壓力。受水泥市場景氣不佳影響，台泥累計前</w:t>
      </w:r>
      <w:r w:rsidRPr="00131B9D">
        <w:rPr>
          <w:kern w:val="0"/>
        </w:rPr>
        <w:t>11</w:t>
      </w:r>
      <w:r w:rsidRPr="00131B9D">
        <w:rPr>
          <w:kern w:val="0"/>
        </w:rPr>
        <w:t>月營收</w:t>
      </w:r>
      <w:r w:rsidRPr="00131B9D">
        <w:rPr>
          <w:kern w:val="0"/>
        </w:rPr>
        <w:t>852</w:t>
      </w:r>
      <w:r w:rsidRPr="00131B9D">
        <w:rPr>
          <w:kern w:val="0"/>
        </w:rPr>
        <w:t>億元，年減</w:t>
      </w:r>
      <w:r w:rsidRPr="00131B9D">
        <w:rPr>
          <w:kern w:val="0"/>
        </w:rPr>
        <w:t>21.4%</w:t>
      </w:r>
      <w:r w:rsidRPr="00131B9D">
        <w:rPr>
          <w:kern w:val="0"/>
        </w:rPr>
        <w:t>；亞泥前</w:t>
      </w:r>
      <w:r w:rsidRPr="00131B9D">
        <w:rPr>
          <w:kern w:val="0"/>
        </w:rPr>
        <w:t>11</w:t>
      </w:r>
      <w:r w:rsidRPr="00131B9D">
        <w:rPr>
          <w:kern w:val="0"/>
        </w:rPr>
        <w:t>月營收</w:t>
      </w:r>
      <w:r w:rsidRPr="00131B9D">
        <w:rPr>
          <w:kern w:val="0"/>
        </w:rPr>
        <w:t>605.7</w:t>
      </w:r>
      <w:r w:rsidRPr="00131B9D">
        <w:rPr>
          <w:kern w:val="0"/>
        </w:rPr>
        <w:t>億元，年減</w:t>
      </w:r>
      <w:r w:rsidRPr="00131B9D">
        <w:rPr>
          <w:kern w:val="0"/>
        </w:rPr>
        <w:t>14.1%</w:t>
      </w:r>
      <w:r w:rsidRPr="00131B9D">
        <w:rPr>
          <w:kern w:val="0"/>
        </w:rPr>
        <w:t>。（如圖</w:t>
      </w:r>
      <w:r w:rsidRPr="00131B9D">
        <w:rPr>
          <w:kern w:val="0"/>
        </w:rPr>
        <w:t>3-41</w:t>
      </w:r>
      <w:r w:rsidRPr="00131B9D">
        <w:rPr>
          <w:kern w:val="0"/>
        </w:rPr>
        <w:t>）</w:t>
      </w:r>
    </w:p>
    <w:p w:rsidR="00F279F7" w:rsidRPr="00131B9D" w:rsidRDefault="00BC42BF" w:rsidP="00BC42BF">
      <w:pPr>
        <w:pStyle w:val="-"/>
        <w:spacing w:before="72" w:after="72"/>
        <w:ind w:firstLine="560"/>
        <w:rPr>
          <w:kern w:val="0"/>
        </w:rPr>
      </w:pPr>
      <w:r w:rsidRPr="00131B9D">
        <w:rPr>
          <w:kern w:val="0"/>
        </w:rPr>
        <w:t>展望未來，為提升工程品質、降低環境污染，中國大陸政府有意在明年全面禁用所有</w:t>
      </w:r>
      <w:r w:rsidRPr="00131B9D">
        <w:rPr>
          <w:kern w:val="0"/>
        </w:rPr>
        <w:t>32.5</w:t>
      </w:r>
      <w:r w:rsidRPr="00131B9D">
        <w:rPr>
          <w:kern w:val="0"/>
        </w:rPr>
        <w:t>型水泥，台泥、亞泥指出，全中國大陸</w:t>
      </w:r>
      <w:r w:rsidRPr="00131B9D">
        <w:rPr>
          <w:kern w:val="0"/>
        </w:rPr>
        <w:t>32.5</w:t>
      </w:r>
      <w:r w:rsidRPr="00131B9D">
        <w:rPr>
          <w:kern w:val="0"/>
        </w:rPr>
        <w:t>型水泥的產量有</w:t>
      </w:r>
      <w:r w:rsidRPr="00131B9D">
        <w:rPr>
          <w:kern w:val="0"/>
        </w:rPr>
        <w:t>5</w:t>
      </w:r>
      <w:r w:rsidRPr="00131B9D">
        <w:rPr>
          <w:kern w:val="0"/>
        </w:rPr>
        <w:t>、</w:t>
      </w:r>
      <w:r w:rsidRPr="00131B9D">
        <w:rPr>
          <w:kern w:val="0"/>
        </w:rPr>
        <w:t>6</w:t>
      </w:r>
      <w:r w:rsidRPr="00131B9D">
        <w:rPr>
          <w:kern w:val="0"/>
        </w:rPr>
        <w:t>億噸，如果停用，將可增加</w:t>
      </w:r>
      <w:r w:rsidRPr="00131B9D">
        <w:rPr>
          <w:kern w:val="0"/>
        </w:rPr>
        <w:t>2</w:t>
      </w:r>
      <w:r w:rsidRPr="00131B9D">
        <w:rPr>
          <w:kern w:val="0"/>
        </w:rPr>
        <w:t>億噸以上高階水泥的使用量，明年水泥市場將走出低迷，呈現「價量齊揚」榮景。</w:t>
      </w:r>
    </w:p>
    <w:p w:rsidR="00F279F7" w:rsidRPr="00131B9D" w:rsidRDefault="00F279F7" w:rsidP="00F279F7">
      <w:pPr>
        <w:pStyle w:val="-"/>
        <w:spacing w:before="72" w:after="72"/>
        <w:ind w:firstLine="560"/>
      </w:pPr>
    </w:p>
    <w:p w:rsidR="00F279F7" w:rsidRPr="00131B9D" w:rsidRDefault="00BB2F1F" w:rsidP="00F279F7">
      <w:pPr>
        <w:spacing w:line="0" w:lineRule="atLeast"/>
        <w:jc w:val="center"/>
        <w:rPr>
          <w:b/>
        </w:rPr>
      </w:pPr>
      <w:r w:rsidRPr="00131B9D">
        <w:rPr>
          <w:noProof/>
        </w:rPr>
        <w:drawing>
          <wp:inline distT="0" distB="0" distL="0" distR="0" wp14:anchorId="0EB05674" wp14:editId="1DF168C0">
            <wp:extent cx="5036185" cy="3728852"/>
            <wp:effectExtent l="0" t="0" r="0" b="5080"/>
            <wp:docPr id="19" name="圖片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圖表 7"/>
                    <pic:cNvPicPr>
                      <a:picLocks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049902" cy="3739008"/>
                    </a:xfrm>
                    <a:prstGeom prst="rect">
                      <a:avLst/>
                    </a:prstGeom>
                    <a:noFill/>
                    <a:ln>
                      <a:noFill/>
                    </a:ln>
                  </pic:spPr>
                </pic:pic>
              </a:graphicData>
            </a:graphic>
          </wp:inline>
        </w:drawing>
      </w:r>
    </w:p>
    <w:p w:rsidR="00F279F7" w:rsidRPr="00131B9D" w:rsidRDefault="00F279F7" w:rsidP="00F279F7">
      <w:pPr>
        <w:pStyle w:val="-"/>
        <w:spacing w:before="72" w:after="72" w:line="0" w:lineRule="atLeast"/>
        <w:ind w:firstLineChars="0" w:firstLine="0"/>
        <w:rPr>
          <w:kern w:val="0"/>
          <w:sz w:val="24"/>
          <w:szCs w:val="24"/>
        </w:rPr>
      </w:pPr>
      <w:r w:rsidRPr="00131B9D">
        <w:rPr>
          <w:kern w:val="0"/>
          <w:sz w:val="24"/>
          <w:szCs w:val="24"/>
        </w:rPr>
        <w:t>資料來源</w:t>
      </w:r>
      <w:r w:rsidRPr="00131B9D">
        <w:rPr>
          <w:kern w:val="0"/>
          <w:sz w:val="24"/>
          <w:szCs w:val="24"/>
        </w:rPr>
        <w:t>:</w:t>
      </w:r>
      <w:r w:rsidRPr="00131B9D">
        <w:rPr>
          <w:kern w:val="0"/>
          <w:sz w:val="24"/>
          <w:szCs w:val="24"/>
        </w:rPr>
        <w:t>情報贏家，</w:t>
      </w:r>
      <w:r w:rsidRPr="00131B9D">
        <w:rPr>
          <w:kern w:val="0"/>
          <w:sz w:val="24"/>
          <w:szCs w:val="24"/>
        </w:rPr>
        <w:t>2015</w:t>
      </w:r>
      <w:r w:rsidRPr="00131B9D">
        <w:rPr>
          <w:kern w:val="0"/>
          <w:sz w:val="24"/>
          <w:szCs w:val="24"/>
        </w:rPr>
        <w:t>年</w:t>
      </w:r>
      <w:r w:rsidRPr="00131B9D">
        <w:rPr>
          <w:kern w:val="0"/>
          <w:sz w:val="24"/>
          <w:szCs w:val="24"/>
        </w:rPr>
        <w:t>11</w:t>
      </w:r>
      <w:r w:rsidRPr="00131B9D">
        <w:rPr>
          <w:kern w:val="0"/>
          <w:sz w:val="24"/>
          <w:szCs w:val="24"/>
        </w:rPr>
        <w:t>月</w:t>
      </w:r>
    </w:p>
    <w:p w:rsidR="00F279F7" w:rsidRPr="00131B9D" w:rsidRDefault="00F279F7" w:rsidP="00F279F7">
      <w:pPr>
        <w:pStyle w:val="afff5"/>
        <w:spacing w:line="0" w:lineRule="atLeast"/>
        <w:jc w:val="center"/>
        <w:rPr>
          <w:rFonts w:eastAsia="標楷體"/>
          <w:b/>
          <w:bCs/>
          <w:kern w:val="52"/>
          <w:sz w:val="28"/>
          <w:szCs w:val="28"/>
        </w:rPr>
      </w:pPr>
      <w:bookmarkStart w:id="364" w:name="_Toc438223375"/>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41</w:t>
      </w:r>
      <w:r w:rsidRPr="00131B9D">
        <w:rPr>
          <w:rFonts w:eastAsia="標楷體"/>
          <w:b/>
          <w:bCs/>
          <w:kern w:val="52"/>
          <w:sz w:val="28"/>
          <w:szCs w:val="28"/>
        </w:rPr>
        <w:fldChar w:fldCharType="end"/>
      </w:r>
      <w:r w:rsidRPr="00131B9D">
        <w:rPr>
          <w:rFonts w:eastAsia="標楷體"/>
          <w:b/>
          <w:bCs/>
          <w:kern w:val="52"/>
          <w:sz w:val="28"/>
          <w:szCs w:val="28"/>
        </w:rPr>
        <w:t xml:space="preserve">　水泥近一年價格走勢圖</w:t>
      </w:r>
      <w:bookmarkEnd w:id="364"/>
    </w:p>
    <w:p w:rsidR="00F279F7" w:rsidRPr="00131B9D" w:rsidRDefault="00F279F7" w:rsidP="00F279F7">
      <w:pPr>
        <w:widowControl/>
        <w:rPr>
          <w:rFonts w:eastAsia="標楷體"/>
          <w:b/>
          <w:bCs/>
          <w:kern w:val="52"/>
          <w:sz w:val="28"/>
          <w:szCs w:val="28"/>
        </w:rPr>
      </w:pPr>
      <w:r w:rsidRPr="00131B9D">
        <w:rPr>
          <w:rFonts w:eastAsia="標楷體"/>
          <w:b/>
          <w:bCs/>
          <w:kern w:val="52"/>
          <w:sz w:val="28"/>
          <w:szCs w:val="28"/>
        </w:rPr>
        <w:br w:type="page"/>
      </w:r>
    </w:p>
    <w:p w:rsidR="00F279F7" w:rsidRPr="00131B9D" w:rsidRDefault="00F279F7" w:rsidP="00F279F7">
      <w:pPr>
        <w:pStyle w:val="3"/>
        <w:rPr>
          <w:rFonts w:ascii="Times New Roman" w:hAnsi="Times New Roman"/>
        </w:rPr>
      </w:pPr>
      <w:r w:rsidRPr="00131B9D">
        <w:rPr>
          <w:rFonts w:ascii="Times New Roman" w:hAnsi="Times New Roman"/>
        </w:rPr>
        <w:lastRenderedPageBreak/>
        <w:t>（二）砂石</w:t>
      </w:r>
      <w:bookmarkEnd w:id="363"/>
    </w:p>
    <w:p w:rsidR="00BC42BF" w:rsidRPr="00131B9D" w:rsidRDefault="00BC42BF" w:rsidP="00BC42BF">
      <w:pPr>
        <w:pStyle w:val="-"/>
        <w:spacing w:before="72" w:after="72"/>
        <w:ind w:firstLine="560"/>
      </w:pPr>
      <w:r w:rsidRPr="00131B9D">
        <w:t>根據行政院主計總處公布的</w:t>
      </w:r>
      <w:r w:rsidRPr="00131B9D">
        <w:t>104</w:t>
      </w:r>
      <w:r w:rsidRPr="00131B9D">
        <w:t>年</w:t>
      </w:r>
      <w:r w:rsidRPr="00131B9D">
        <w:t>2</w:t>
      </w:r>
      <w:r w:rsidRPr="00131B9D">
        <w:t>月營造工程物價指數較上年同月跌</w:t>
      </w:r>
      <w:r w:rsidRPr="00131B9D">
        <w:t>0.38%</w:t>
      </w:r>
      <w:r w:rsidRPr="00131B9D">
        <w:t>，其中材料類跌</w:t>
      </w:r>
      <w:r w:rsidRPr="00131B9D">
        <w:t>1.69%</w:t>
      </w:r>
      <w:r w:rsidRPr="00131B9D">
        <w:t>，而水泥及其製品類以及砂石及級配類呈現上漲，砂石及級配類漲幅最大，達</w:t>
      </w:r>
      <w:r w:rsidRPr="00131B9D">
        <w:t>7.89%</w:t>
      </w:r>
      <w:r w:rsidRPr="00131B9D">
        <w:t>，主要原因是國內河川疏濬標量明顯減少，且中國大陸禁止天然砂的出口，引發臺灣嚴重砂石荒。由於中國大陸的砂石價格普遍低於臺灣開採成本，因此，大</w:t>
      </w:r>
      <w:r w:rsidR="00B22890" w:rsidRPr="00131B9D">
        <w:t>部分</w:t>
      </w:r>
      <w:r w:rsidRPr="00131B9D">
        <w:t>的國內廠商多從中國大陸進口砂石作為原料，但自</w:t>
      </w:r>
      <w:r w:rsidRPr="00131B9D">
        <w:t>2014</w:t>
      </w:r>
      <w:r w:rsidRPr="00131B9D">
        <w:t>年</w:t>
      </w:r>
      <w:r w:rsidRPr="00131B9D">
        <w:t>4</w:t>
      </w:r>
      <w:r w:rsidRPr="00131B9D">
        <w:t>月起，中國大陸管制砂石出口臺灣，造成國內砂石價格上揚。經濟部礦務局再次將「砂石開發供應方案」送環保署審查，表示未來將以陸上砂石為主要來源，更規劃了</w:t>
      </w:r>
      <w:r w:rsidRPr="00131B9D">
        <w:t>17</w:t>
      </w:r>
      <w:r w:rsidRPr="00131B9D">
        <w:t>個「陸上砂石資源區」。根據礦務局統計顯示，</w:t>
      </w:r>
      <w:r w:rsidRPr="00131B9D">
        <w:t>2004</w:t>
      </w:r>
      <w:r w:rsidRPr="00131B9D">
        <w:t>年至</w:t>
      </w:r>
      <w:r w:rsidRPr="00131B9D">
        <w:t>2013</w:t>
      </w:r>
      <w:r w:rsidRPr="00131B9D">
        <w:t>年之間，砂石總供應量中，河砂佔了</w:t>
      </w:r>
      <w:r w:rsidRPr="00131B9D">
        <w:t>52%</w:t>
      </w:r>
      <w:r w:rsidRPr="00131B9D">
        <w:t>、營建剩餘土石方佔</w:t>
      </w:r>
      <w:r w:rsidRPr="00131B9D">
        <w:t>24%</w:t>
      </w:r>
      <w:r w:rsidRPr="00131B9D">
        <w:t>、陸上與海域的土石採取佔</w:t>
      </w:r>
      <w:r w:rsidRPr="00131B9D">
        <w:t>3%</w:t>
      </w:r>
      <w:r w:rsidRPr="00131B9D">
        <w:t>、進口砂石則佔</w:t>
      </w:r>
      <w:r w:rsidRPr="00131B9D">
        <w:t>21%</w:t>
      </w:r>
      <w:r w:rsidRPr="00131B9D">
        <w:t>。而新方案的實施，會將陸砂採取量大幅提高至</w:t>
      </w:r>
      <w:r w:rsidRPr="00131B9D">
        <w:t>20%</w:t>
      </w:r>
      <w:r w:rsidRPr="00131B9D">
        <w:t>至</w:t>
      </w:r>
      <w:r w:rsidRPr="00131B9D">
        <w:t>34.08%</w:t>
      </w:r>
      <w:r w:rsidRPr="00131B9D">
        <w:t>之間。若此方案通過，在供給增加的情況下，可望適度緩解臺灣砂石價格。</w:t>
      </w:r>
      <w:r w:rsidRPr="00131B9D">
        <w:rPr>
          <w:kern w:val="0"/>
        </w:rPr>
        <w:t>行政院主計總處公布</w:t>
      </w:r>
      <w:r w:rsidRPr="00131B9D">
        <w:rPr>
          <w:kern w:val="0"/>
        </w:rPr>
        <w:t>2015</w:t>
      </w:r>
      <w:r w:rsidRPr="00131B9D">
        <w:rPr>
          <w:kern w:val="0"/>
        </w:rPr>
        <w:t>年</w:t>
      </w:r>
      <w:r w:rsidRPr="00131B9D">
        <w:rPr>
          <w:kern w:val="0"/>
        </w:rPr>
        <w:t>4</w:t>
      </w:r>
      <w:r w:rsidRPr="00131B9D">
        <w:rPr>
          <w:kern w:val="0"/>
        </w:rPr>
        <w:t>月營造工程物價指數較</w:t>
      </w:r>
      <w:r w:rsidRPr="00131B9D">
        <w:rPr>
          <w:kern w:val="0"/>
        </w:rPr>
        <w:t>2014</w:t>
      </w:r>
      <w:r w:rsidRPr="00131B9D">
        <w:rPr>
          <w:kern w:val="0"/>
        </w:rPr>
        <w:t>年同月跌</w:t>
      </w:r>
      <w:r w:rsidRPr="00131B9D">
        <w:rPr>
          <w:kern w:val="0"/>
        </w:rPr>
        <w:t>1.53%</w:t>
      </w:r>
      <w:r w:rsidRPr="00131B9D">
        <w:rPr>
          <w:kern w:val="0"/>
        </w:rPr>
        <w:t>，為連續第</w:t>
      </w:r>
      <w:r w:rsidRPr="00131B9D">
        <w:rPr>
          <w:kern w:val="0"/>
        </w:rPr>
        <w:t>3</w:t>
      </w:r>
      <w:r w:rsidRPr="00131B9D">
        <w:rPr>
          <w:kern w:val="0"/>
        </w:rPr>
        <w:t>個月下跌。</w:t>
      </w:r>
      <w:r w:rsidRPr="00131B9D">
        <w:rPr>
          <w:kern w:val="0"/>
        </w:rPr>
        <w:t>5</w:t>
      </w:r>
      <w:r w:rsidRPr="00131B9D">
        <w:rPr>
          <w:kern w:val="0"/>
        </w:rPr>
        <w:t>月營造工程物價指數較去年同月跌</w:t>
      </w:r>
      <w:r w:rsidRPr="00131B9D">
        <w:rPr>
          <w:kern w:val="0"/>
        </w:rPr>
        <w:t xml:space="preserve"> 2.25%</w:t>
      </w:r>
      <w:r w:rsidRPr="00131B9D">
        <w:rPr>
          <w:kern w:val="0"/>
        </w:rPr>
        <w:t>，其中砂石及級配類方面，雖砂石價格尚居高檔，惟漲幅趨緩為</w:t>
      </w:r>
      <w:r w:rsidRPr="00131B9D">
        <w:rPr>
          <w:kern w:val="0"/>
        </w:rPr>
        <w:t xml:space="preserve"> 1.01%</w:t>
      </w:r>
      <w:r w:rsidRPr="00131B9D">
        <w:rPr>
          <w:kern w:val="0"/>
        </w:rPr>
        <w:t>。自</w:t>
      </w:r>
      <w:r w:rsidRPr="00131B9D">
        <w:rPr>
          <w:kern w:val="0"/>
        </w:rPr>
        <w:t>6</w:t>
      </w:r>
      <w:r w:rsidRPr="00131B9D">
        <w:rPr>
          <w:kern w:val="0"/>
        </w:rPr>
        <w:t>月至</w:t>
      </w:r>
      <w:r w:rsidRPr="00131B9D">
        <w:rPr>
          <w:kern w:val="0"/>
        </w:rPr>
        <w:t>10</w:t>
      </w:r>
      <w:r w:rsidRPr="00131B9D">
        <w:rPr>
          <w:kern w:val="0"/>
        </w:rPr>
        <w:t>月，砂石及級配類指數年增率皆呈現下跌趨勢，主計總處報告解釋，主要是因</w:t>
      </w:r>
      <w:r w:rsidRPr="00131B9D">
        <w:rPr>
          <w:kern w:val="0"/>
        </w:rPr>
        <w:t>2014</w:t>
      </w:r>
      <w:r w:rsidRPr="00131B9D">
        <w:rPr>
          <w:kern w:val="0"/>
        </w:rPr>
        <w:t>年</w:t>
      </w:r>
      <w:r w:rsidRPr="00131B9D">
        <w:rPr>
          <w:kern w:val="0"/>
        </w:rPr>
        <w:t xml:space="preserve"> 4 </w:t>
      </w:r>
      <w:r w:rsidRPr="00131B9D">
        <w:rPr>
          <w:kern w:val="0"/>
        </w:rPr>
        <w:t>月起砂石價格大幅調漲，比較基數偏高所致</w:t>
      </w:r>
      <w:r w:rsidRPr="00131B9D">
        <w:t>。</w:t>
      </w:r>
      <w:r w:rsidRPr="00131B9D">
        <w:rPr>
          <w:kern w:val="0"/>
        </w:rPr>
        <w:t>此外根據礦務局資料，我國</w:t>
      </w:r>
      <w:r w:rsidRPr="00131B9D">
        <w:rPr>
          <w:kern w:val="0"/>
        </w:rPr>
        <w:t>2015</w:t>
      </w:r>
      <w:r w:rsidRPr="00131B9D">
        <w:rPr>
          <w:kern w:val="0"/>
        </w:rPr>
        <w:t>年砂及碎石之產量大於銷售量，庫存也主要呈現上升走勢，可能對價格產生壓力，本年度砂石價格呈下跌趨勢</w:t>
      </w:r>
      <w:r w:rsidRPr="00131B9D">
        <w:t>（如圖</w:t>
      </w:r>
      <w:r w:rsidRPr="00131B9D">
        <w:t>3-42</w:t>
      </w:r>
      <w:r w:rsidRPr="00131B9D">
        <w:t>）。</w:t>
      </w:r>
    </w:p>
    <w:p w:rsidR="00F279F7" w:rsidRPr="00131B9D" w:rsidRDefault="00F279F7" w:rsidP="00F279F7">
      <w:pPr>
        <w:pStyle w:val="-"/>
        <w:spacing w:before="72" w:after="72"/>
        <w:ind w:firstLine="560"/>
      </w:pPr>
      <w:r w:rsidRPr="00131B9D">
        <w:rPr>
          <w:kern w:val="0"/>
        </w:rPr>
        <w:t>展望</w:t>
      </w:r>
      <w:r w:rsidRPr="00131B9D">
        <w:rPr>
          <w:kern w:val="0"/>
        </w:rPr>
        <w:t>2016</w:t>
      </w:r>
      <w:r w:rsidRPr="00131B9D">
        <w:rPr>
          <w:kern w:val="0"/>
        </w:rPr>
        <w:t>，建設工程基礎材料之一，未來房地產景期仍不佳，房價可能仍以小跌為主，因此受需求減少影響，砂石價格可能下跌。</w:t>
      </w:r>
    </w:p>
    <w:p w:rsidR="003B29E8" w:rsidRPr="00131B9D" w:rsidRDefault="003B29E8" w:rsidP="003B29E8">
      <w:pPr>
        <w:sectPr w:rsidR="003B29E8"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jc w:val="center"/>
      </w:pPr>
      <w:r w:rsidRPr="00131B9D">
        <w:rPr>
          <w:noProof/>
        </w:rPr>
        <w:lastRenderedPageBreak/>
        <w:drawing>
          <wp:inline distT="0" distB="0" distL="0" distR="0" wp14:anchorId="514C419A" wp14:editId="757D7F18">
            <wp:extent cx="5252400" cy="3189767"/>
            <wp:effectExtent l="19050" t="0" r="24450" b="0"/>
            <wp:docPr id="117" name="圖表 117"/>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F279F7" w:rsidRPr="00131B9D" w:rsidRDefault="00F279F7" w:rsidP="00F279F7">
      <w:pPr>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365" w:name="_Toc398882673"/>
      <w:bookmarkStart w:id="366" w:name="_Toc438223376"/>
      <w:bookmarkStart w:id="367" w:name="_Toc322706995"/>
      <w:bookmarkStart w:id="368" w:name="_Toc365017364"/>
      <w:bookmarkStart w:id="369" w:name="_Toc373423084"/>
      <w:bookmarkStart w:id="370" w:name="_Toc373682469"/>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42</w:t>
      </w:r>
      <w:r w:rsidRPr="00131B9D">
        <w:rPr>
          <w:rFonts w:eastAsia="標楷體"/>
          <w:b/>
          <w:bCs/>
          <w:kern w:val="52"/>
          <w:sz w:val="28"/>
          <w:szCs w:val="28"/>
        </w:rPr>
        <w:fldChar w:fldCharType="end"/>
      </w:r>
      <w:r w:rsidRPr="00131B9D">
        <w:rPr>
          <w:rFonts w:eastAsia="標楷體"/>
          <w:b/>
          <w:bCs/>
          <w:kern w:val="52"/>
          <w:sz w:val="28"/>
          <w:szCs w:val="28"/>
        </w:rPr>
        <w:t xml:space="preserve">　砂石近一年價格走勢圖</w:t>
      </w:r>
      <w:bookmarkEnd w:id="365"/>
      <w:bookmarkEnd w:id="366"/>
    </w:p>
    <w:p w:rsidR="00F279F7" w:rsidRPr="00131B9D" w:rsidRDefault="00F279F7" w:rsidP="00F279F7"/>
    <w:p w:rsidR="00F279F7" w:rsidRPr="00131B9D" w:rsidRDefault="00F279F7" w:rsidP="00F279F7">
      <w:pPr>
        <w:pStyle w:val="3"/>
        <w:rPr>
          <w:rFonts w:ascii="Times New Roman" w:hAnsi="Times New Roman"/>
        </w:rPr>
      </w:pPr>
      <w:bookmarkStart w:id="371" w:name="_Toc322706996"/>
      <w:bookmarkEnd w:id="367"/>
      <w:bookmarkEnd w:id="368"/>
      <w:bookmarkEnd w:id="369"/>
      <w:bookmarkEnd w:id="370"/>
      <w:r w:rsidRPr="00131B9D">
        <w:rPr>
          <w:rFonts w:ascii="Times New Roman" w:hAnsi="Times New Roman"/>
        </w:rPr>
        <w:t>（三）預拌混凝土</w:t>
      </w:r>
      <w:bookmarkEnd w:id="371"/>
    </w:p>
    <w:p w:rsidR="00F279F7" w:rsidRPr="00131B9D" w:rsidRDefault="00F279F7" w:rsidP="00F279F7">
      <w:pPr>
        <w:pStyle w:val="-"/>
        <w:spacing w:before="72" w:after="72"/>
        <w:ind w:firstLine="560"/>
        <w:rPr>
          <w:kern w:val="0"/>
        </w:rPr>
      </w:pPr>
      <w:r w:rsidRPr="00131B9D">
        <w:rPr>
          <w:kern w:val="0"/>
        </w:rPr>
        <w:t>去年第</w:t>
      </w:r>
      <w:r w:rsidRPr="00131B9D">
        <w:rPr>
          <w:kern w:val="0"/>
        </w:rPr>
        <w:t>1</w:t>
      </w:r>
      <w:r w:rsidRPr="00131B9D">
        <w:rPr>
          <w:kern w:val="0"/>
        </w:rPr>
        <w:t>、</w:t>
      </w:r>
      <w:r w:rsidRPr="00131B9D">
        <w:rPr>
          <w:kern w:val="0"/>
        </w:rPr>
        <w:t>2</w:t>
      </w:r>
      <w:r w:rsidRPr="00131B9D">
        <w:rPr>
          <w:kern w:val="0"/>
        </w:rPr>
        <w:t>季中國大陸水泥市況熱絡，水泥價格也維持旺季高檔，舉例來說，去年農曆年後，台泥華南地區售價達到</w:t>
      </w:r>
      <w:r w:rsidRPr="00131B9D">
        <w:rPr>
          <w:kern w:val="0"/>
        </w:rPr>
        <w:t>340</w:t>
      </w:r>
      <w:r w:rsidRPr="00131B9D">
        <w:rPr>
          <w:kern w:val="0"/>
        </w:rPr>
        <w:t>元人民幣</w:t>
      </w:r>
      <w:r w:rsidRPr="00131B9D">
        <w:rPr>
          <w:kern w:val="0"/>
        </w:rPr>
        <w:t>/</w:t>
      </w:r>
      <w:r w:rsidRPr="00131B9D">
        <w:rPr>
          <w:kern w:val="0"/>
        </w:rPr>
        <w:t>噸，但今年只剩</w:t>
      </w:r>
      <w:r w:rsidRPr="00131B9D">
        <w:rPr>
          <w:kern w:val="0"/>
        </w:rPr>
        <w:t>300-310</w:t>
      </w:r>
      <w:r w:rsidRPr="00131B9D">
        <w:rPr>
          <w:kern w:val="0"/>
        </w:rPr>
        <w:t>元人民幣</w:t>
      </w:r>
      <w:r w:rsidRPr="00131B9D">
        <w:rPr>
          <w:kern w:val="0"/>
        </w:rPr>
        <w:t>/</w:t>
      </w:r>
      <w:r w:rsidRPr="00131B9D">
        <w:rPr>
          <w:kern w:val="0"/>
        </w:rPr>
        <w:t>噸，比去年同期跌</w:t>
      </w:r>
      <w:r w:rsidRPr="00131B9D">
        <w:rPr>
          <w:kern w:val="0"/>
        </w:rPr>
        <w:t>1</w:t>
      </w:r>
      <w:r w:rsidRPr="00131B9D">
        <w:rPr>
          <w:kern w:val="0"/>
        </w:rPr>
        <w:t>成；亞泥去年同期在華中地區的售價達</w:t>
      </w:r>
      <w:r w:rsidRPr="00131B9D">
        <w:rPr>
          <w:kern w:val="0"/>
        </w:rPr>
        <w:t>340</w:t>
      </w:r>
      <w:r w:rsidRPr="00131B9D">
        <w:rPr>
          <w:kern w:val="0"/>
        </w:rPr>
        <w:t>、</w:t>
      </w:r>
      <w:r w:rsidRPr="00131B9D">
        <w:rPr>
          <w:kern w:val="0"/>
        </w:rPr>
        <w:t>350</w:t>
      </w:r>
      <w:r w:rsidRPr="00131B9D">
        <w:rPr>
          <w:kern w:val="0"/>
        </w:rPr>
        <w:t>元人民幣</w:t>
      </w:r>
      <w:r w:rsidRPr="00131B9D">
        <w:rPr>
          <w:kern w:val="0"/>
        </w:rPr>
        <w:t>/</w:t>
      </w:r>
      <w:r w:rsidRPr="00131B9D">
        <w:rPr>
          <w:kern w:val="0"/>
        </w:rPr>
        <w:t>噸，今年則只剩</w:t>
      </w:r>
      <w:r w:rsidRPr="00131B9D">
        <w:rPr>
          <w:kern w:val="0"/>
        </w:rPr>
        <w:t>300</w:t>
      </w:r>
      <w:r w:rsidRPr="00131B9D">
        <w:rPr>
          <w:kern w:val="0"/>
        </w:rPr>
        <w:t>元不到</w:t>
      </w:r>
      <w:r w:rsidRPr="00131B9D">
        <w:t>。</w:t>
      </w:r>
      <w:r w:rsidR="00012CF6" w:rsidRPr="00131B9D">
        <w:rPr>
          <w:kern w:val="0"/>
        </w:rPr>
        <w:t>預</w:t>
      </w:r>
      <w:r w:rsidR="00012CF6" w:rsidRPr="00131B9D">
        <w:t>拌混凝土龍頭國產實業</w:t>
      </w:r>
      <w:r w:rsidRPr="00131B9D">
        <w:t>表示，今年主打中南部營建市場將有明顯成果，預排發貨看到年底，年發貨量</w:t>
      </w:r>
      <w:r w:rsidRPr="00131B9D">
        <w:t>700</w:t>
      </w:r>
      <w:r w:rsidRPr="00131B9D">
        <w:t>萬立方公尺有望達標。根據主計總處發布之營造工程物價指數，預拌混凝土價格指數較去年</w:t>
      </w:r>
      <w:r w:rsidRPr="00131B9D">
        <w:t>5</w:t>
      </w:r>
      <w:r w:rsidRPr="00131B9D">
        <w:t>月增加</w:t>
      </w:r>
      <w:r w:rsidRPr="00131B9D">
        <w:t>0.26</w:t>
      </w:r>
      <w:r w:rsidRPr="00131B9D">
        <w:t>。</w:t>
      </w:r>
      <w:r w:rsidRPr="00131B9D">
        <w:rPr>
          <w:kern w:val="0"/>
        </w:rPr>
        <w:t>第</w:t>
      </w:r>
      <w:r w:rsidRPr="00131B9D">
        <w:rPr>
          <w:kern w:val="0"/>
        </w:rPr>
        <w:t>3</w:t>
      </w:r>
      <w:r w:rsidRPr="00131B9D">
        <w:rPr>
          <w:kern w:val="0"/>
        </w:rPr>
        <w:t>季，中國大陸珠三角水泥和預拌混凝土行業度過淡季（雨水多影響房地產施工），迎來</w:t>
      </w:r>
      <w:r w:rsidRPr="00131B9D">
        <w:rPr>
          <w:kern w:val="0"/>
        </w:rPr>
        <w:t>9</w:t>
      </w:r>
      <w:r w:rsidRPr="00131B9D">
        <w:rPr>
          <w:kern w:val="0"/>
        </w:rPr>
        <w:t>月至</w:t>
      </w:r>
      <w:r w:rsidRPr="00131B9D">
        <w:rPr>
          <w:kern w:val="0"/>
        </w:rPr>
        <w:t>12</w:t>
      </w:r>
      <w:r w:rsidRPr="00131B9D">
        <w:rPr>
          <w:kern w:val="0"/>
        </w:rPr>
        <w:t>月的旺季（晴朗天氣多），建築業施工更加順利，工程量加大，將促進水泥和混凝土下游的需求增加。此外，預拌混凝土的原料水泥價格在第</w:t>
      </w:r>
      <w:r w:rsidRPr="00131B9D">
        <w:rPr>
          <w:kern w:val="0"/>
        </w:rPr>
        <w:t>3</w:t>
      </w:r>
      <w:r w:rsidRPr="00131B9D">
        <w:rPr>
          <w:kern w:val="0"/>
        </w:rPr>
        <w:t>季後期開始觸底反彈，有利於其價格上升。臺灣</w:t>
      </w:r>
      <w:r w:rsidRPr="00131B9D">
        <w:rPr>
          <w:kern w:val="0"/>
        </w:rPr>
        <w:t>3</w:t>
      </w:r>
      <w:r w:rsidRPr="00131B9D">
        <w:rPr>
          <w:kern w:val="0"/>
        </w:rPr>
        <w:t>大預拌混凝土廠台泥、亞泥及國產建材實業指出，房地產市場低迷，加上政府基礎建設工程預算減少，今年國內預拌混凝土市場需求面臨衰退，從今年前</w:t>
      </w:r>
      <w:r w:rsidRPr="00131B9D">
        <w:rPr>
          <w:kern w:val="0"/>
        </w:rPr>
        <w:t>3</w:t>
      </w:r>
      <w:r w:rsidRPr="00131B9D">
        <w:rPr>
          <w:kern w:val="0"/>
        </w:rPr>
        <w:t>季的發貨量來看，全年應呈微幅衰退，幅度在</w:t>
      </w:r>
      <w:r w:rsidRPr="00131B9D">
        <w:rPr>
          <w:kern w:val="0"/>
        </w:rPr>
        <w:t>5-7%</w:t>
      </w:r>
      <w:r w:rsidRPr="00131B9D">
        <w:rPr>
          <w:kern w:val="0"/>
        </w:rPr>
        <w:t>。台灣區預拌混凝土公會指</w:t>
      </w:r>
      <w:r w:rsidRPr="00131B9D">
        <w:rPr>
          <w:kern w:val="0"/>
        </w:rPr>
        <w:lastRenderedPageBreak/>
        <w:t>出，今年影響出貨最大的因素應該是房地產市場；從今年前</w:t>
      </w:r>
      <w:r w:rsidRPr="00131B9D">
        <w:rPr>
          <w:kern w:val="0"/>
        </w:rPr>
        <w:t>3</w:t>
      </w:r>
      <w:r w:rsidRPr="00131B9D">
        <w:rPr>
          <w:kern w:val="0"/>
        </w:rPr>
        <w:t>季房地產建案開工數比去年同期減少</w:t>
      </w:r>
      <w:r w:rsidRPr="00131B9D">
        <w:rPr>
          <w:kern w:val="0"/>
        </w:rPr>
        <w:t>15%</w:t>
      </w:r>
      <w:r w:rsidRPr="00131B9D">
        <w:rPr>
          <w:kern w:val="0"/>
        </w:rPr>
        <w:t>以上，就可知今年出貨量恐趨向保守、價格依地區別，會有</w:t>
      </w:r>
      <w:r w:rsidRPr="00131B9D">
        <w:rPr>
          <w:kern w:val="0"/>
        </w:rPr>
        <w:t>6-15%</w:t>
      </w:r>
      <w:r w:rsidRPr="00131B9D">
        <w:rPr>
          <w:kern w:val="0"/>
        </w:rPr>
        <w:t>的降價。</w:t>
      </w:r>
      <w:r w:rsidR="00BC42BF" w:rsidRPr="00131B9D">
        <w:rPr>
          <w:kern w:val="0"/>
        </w:rPr>
        <w:t>惟部分品項之預拌混凝土可能因價格僵固性，因此價格未能即時反映市場供需狀況。（如圖</w:t>
      </w:r>
      <w:r w:rsidR="00BC42BF" w:rsidRPr="00131B9D">
        <w:rPr>
          <w:kern w:val="0"/>
        </w:rPr>
        <w:t>3-43</w:t>
      </w:r>
      <w:r w:rsidR="00BC42BF" w:rsidRPr="00131B9D">
        <w:rPr>
          <w:kern w:val="0"/>
        </w:rPr>
        <w:t>）</w:t>
      </w:r>
    </w:p>
    <w:p w:rsidR="00F279F7" w:rsidRPr="00131B9D" w:rsidRDefault="00F279F7" w:rsidP="00F279F7">
      <w:pPr>
        <w:pStyle w:val="-"/>
        <w:spacing w:before="72" w:after="72"/>
        <w:ind w:firstLine="560"/>
      </w:pPr>
      <w:r w:rsidRPr="00131B9D">
        <w:rPr>
          <w:kern w:val="0"/>
        </w:rPr>
        <w:t>展望</w:t>
      </w:r>
      <w:r w:rsidRPr="00131B9D">
        <w:rPr>
          <w:kern w:val="0"/>
        </w:rPr>
        <w:t>2016</w:t>
      </w:r>
      <w:r w:rsidRPr="00131B9D">
        <w:rPr>
          <w:kern w:val="0"/>
        </w:rPr>
        <w:t>中國大陸水泥受到供給過剩需求放緩之影響造成預拌混凝土之價格也隨之滑落，中國大陸政府有意在明年全面禁用所有</w:t>
      </w:r>
      <w:r w:rsidRPr="00131B9D">
        <w:rPr>
          <w:kern w:val="0"/>
        </w:rPr>
        <w:t>32.5</w:t>
      </w:r>
      <w:r w:rsidRPr="00131B9D">
        <w:rPr>
          <w:kern w:val="0"/>
        </w:rPr>
        <w:t>型水泥，若此舉屬實，預期將改善水泥供過於求之情勢，也有助於提振預拌混凝土價格。</w:t>
      </w:r>
    </w:p>
    <w:p w:rsidR="00F279F7" w:rsidRPr="00131B9D" w:rsidRDefault="00F279F7" w:rsidP="003B29E8"/>
    <w:p w:rsidR="00F279F7" w:rsidRPr="00131B9D" w:rsidRDefault="00F279F7" w:rsidP="00F279F7">
      <w:pPr>
        <w:jc w:val="center"/>
      </w:pPr>
      <w:r w:rsidRPr="00131B9D">
        <w:rPr>
          <w:noProof/>
        </w:rPr>
        <w:drawing>
          <wp:inline distT="0" distB="0" distL="0" distR="0" wp14:anchorId="6A81A6DD" wp14:editId="0AEB62E6">
            <wp:extent cx="5252085" cy="2517569"/>
            <wp:effectExtent l="0" t="0" r="5715" b="16510"/>
            <wp:docPr id="18466" name="圖表 18466"/>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F279F7" w:rsidRPr="00131B9D" w:rsidRDefault="00F279F7" w:rsidP="00F279F7">
      <w:pPr>
        <w:adjustRightInd w:val="0"/>
        <w:snapToGrid w:val="0"/>
        <w:spacing w:line="240" w:lineRule="exact"/>
        <w:ind w:firstLineChars="100" w:firstLine="200"/>
        <w:rPr>
          <w:rFonts w:eastAsia="標楷體"/>
          <w:sz w:val="20"/>
          <w:szCs w:val="20"/>
        </w:rPr>
      </w:pPr>
      <w:bookmarkStart w:id="372" w:name="_Toc322706997"/>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F279F7">
      <w:pPr>
        <w:pStyle w:val="afff5"/>
        <w:spacing w:line="0" w:lineRule="atLeast"/>
        <w:jc w:val="center"/>
        <w:rPr>
          <w:rFonts w:eastAsia="標楷體"/>
          <w:b/>
          <w:bCs/>
          <w:kern w:val="52"/>
          <w:sz w:val="28"/>
          <w:szCs w:val="28"/>
        </w:rPr>
      </w:pPr>
      <w:bookmarkStart w:id="373" w:name="_Toc398882674"/>
      <w:bookmarkStart w:id="374" w:name="_Toc438223377"/>
      <w:bookmarkStart w:id="375" w:name="_Toc365017366"/>
      <w:bookmarkStart w:id="376" w:name="_Toc373423085"/>
      <w:bookmarkStart w:id="377" w:name="_Toc373682470"/>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43</w:t>
      </w:r>
      <w:r w:rsidRPr="00131B9D">
        <w:rPr>
          <w:rFonts w:eastAsia="標楷體"/>
          <w:b/>
          <w:bCs/>
          <w:kern w:val="52"/>
          <w:sz w:val="28"/>
          <w:szCs w:val="28"/>
        </w:rPr>
        <w:fldChar w:fldCharType="end"/>
      </w:r>
      <w:r w:rsidRPr="00131B9D">
        <w:rPr>
          <w:rFonts w:eastAsia="標楷體"/>
          <w:b/>
          <w:bCs/>
          <w:kern w:val="52"/>
          <w:sz w:val="28"/>
          <w:szCs w:val="28"/>
        </w:rPr>
        <w:t xml:space="preserve">　預拌混凝土近一年價格走勢圖</w:t>
      </w:r>
      <w:bookmarkEnd w:id="373"/>
      <w:bookmarkEnd w:id="374"/>
    </w:p>
    <w:p w:rsidR="00F279F7" w:rsidRPr="00131B9D" w:rsidRDefault="00F279F7" w:rsidP="00F279F7"/>
    <w:bookmarkEnd w:id="372"/>
    <w:bookmarkEnd w:id="375"/>
    <w:bookmarkEnd w:id="376"/>
    <w:bookmarkEnd w:id="377"/>
    <w:p w:rsidR="00F279F7" w:rsidRPr="00131B9D" w:rsidRDefault="00F279F7" w:rsidP="00F279F7">
      <w:pPr>
        <w:pStyle w:val="3"/>
        <w:rPr>
          <w:rFonts w:ascii="Times New Roman" w:hAnsi="Times New Roman"/>
        </w:rPr>
      </w:pPr>
      <w:r w:rsidRPr="00131B9D">
        <w:rPr>
          <w:rFonts w:ascii="Times New Roman" w:hAnsi="Times New Roman"/>
        </w:rPr>
        <w:t>（四）咖啡豆</w:t>
      </w:r>
    </w:p>
    <w:p w:rsidR="00F279F7" w:rsidRPr="00131B9D" w:rsidRDefault="00377B4E" w:rsidP="003B29E8">
      <w:pPr>
        <w:pStyle w:val="afff5"/>
        <w:snapToGrid w:val="0"/>
        <w:spacing w:beforeLines="20" w:before="72" w:afterLines="20" w:after="72" w:line="480" w:lineRule="exact"/>
        <w:ind w:firstLineChars="200" w:firstLine="560"/>
        <w:jc w:val="both"/>
        <w:rPr>
          <w:rFonts w:eastAsia="標楷體"/>
          <w:sz w:val="28"/>
          <w:szCs w:val="28"/>
        </w:rPr>
      </w:pPr>
      <w:r w:rsidRPr="00131B9D">
        <w:rPr>
          <w:rFonts w:eastAsia="標楷體"/>
          <w:kern w:val="0"/>
          <w:sz w:val="28"/>
          <w:szCs w:val="28"/>
        </w:rPr>
        <w:t>世界第三大產國哥倫比亞，過去五年來由於咖啡葉鏽病的疫情，產量大減了將近四成，不過在哥國政府投入大量資金及技術的努力下，使第一季的阿拉比卡咖啡豆比去年成長了</w:t>
      </w:r>
      <w:r w:rsidRPr="00131B9D">
        <w:rPr>
          <w:rFonts w:eastAsia="標楷體"/>
          <w:kern w:val="0"/>
          <w:sz w:val="28"/>
          <w:szCs w:val="28"/>
        </w:rPr>
        <w:t>2</w:t>
      </w:r>
      <w:r w:rsidRPr="00131B9D">
        <w:rPr>
          <w:rFonts w:eastAsia="標楷體"/>
          <w:kern w:val="0"/>
          <w:sz w:val="28"/>
          <w:szCs w:val="28"/>
        </w:rPr>
        <w:t>萬</w:t>
      </w:r>
      <w:r w:rsidRPr="00131B9D">
        <w:rPr>
          <w:rFonts w:eastAsia="標楷體"/>
          <w:kern w:val="0"/>
          <w:sz w:val="28"/>
          <w:szCs w:val="28"/>
        </w:rPr>
        <w:t>4</w:t>
      </w:r>
      <w:r w:rsidRPr="00131B9D">
        <w:rPr>
          <w:rFonts w:eastAsia="標楷體"/>
          <w:kern w:val="0"/>
          <w:sz w:val="28"/>
          <w:szCs w:val="28"/>
        </w:rPr>
        <w:t>千公噸，</w:t>
      </w:r>
      <w:r w:rsidRPr="00131B9D">
        <w:rPr>
          <w:rFonts w:eastAsia="標楷體"/>
          <w:kern w:val="0"/>
          <w:sz w:val="28"/>
          <w:szCs w:val="28"/>
        </w:rPr>
        <w:t>6</w:t>
      </w:r>
      <w:r w:rsidRPr="00131B9D">
        <w:rPr>
          <w:rFonts w:eastAsia="標楷體"/>
          <w:kern w:val="0"/>
          <w:sz w:val="28"/>
          <w:szCs w:val="28"/>
        </w:rPr>
        <w:t>月份時咖啡產量更較去年同期增加</w:t>
      </w:r>
      <w:r w:rsidRPr="00131B9D">
        <w:rPr>
          <w:rFonts w:eastAsia="標楷體"/>
          <w:kern w:val="0"/>
          <w:sz w:val="28"/>
          <w:szCs w:val="28"/>
        </w:rPr>
        <w:t>31%</w:t>
      </w:r>
      <w:r w:rsidRPr="00131B9D">
        <w:rPr>
          <w:rFonts w:eastAsia="標楷體"/>
          <w:kern w:val="0"/>
          <w:sz w:val="28"/>
          <w:szCs w:val="28"/>
        </w:rPr>
        <w:t>達到</w:t>
      </w:r>
      <w:r w:rsidRPr="00131B9D">
        <w:rPr>
          <w:rFonts w:eastAsia="標楷體"/>
          <w:kern w:val="0"/>
          <w:sz w:val="28"/>
          <w:szCs w:val="28"/>
        </w:rPr>
        <w:t>124</w:t>
      </w:r>
      <w:r w:rsidRPr="00131B9D">
        <w:rPr>
          <w:rFonts w:eastAsia="標楷體"/>
          <w:kern w:val="0"/>
          <w:sz w:val="28"/>
          <w:szCs w:val="28"/>
        </w:rPr>
        <w:t>萬包（每包</w:t>
      </w:r>
      <w:r w:rsidRPr="00131B9D">
        <w:rPr>
          <w:rFonts w:eastAsia="標楷體"/>
          <w:kern w:val="0"/>
          <w:sz w:val="28"/>
          <w:szCs w:val="28"/>
        </w:rPr>
        <w:t>60</w:t>
      </w:r>
      <w:r w:rsidRPr="00131B9D">
        <w:rPr>
          <w:rFonts w:eastAsia="標楷體"/>
          <w:kern w:val="0"/>
          <w:sz w:val="28"/>
          <w:szCs w:val="28"/>
        </w:rPr>
        <w:t>公斤），創下</w:t>
      </w:r>
      <w:r w:rsidRPr="00131B9D">
        <w:rPr>
          <w:rFonts w:eastAsia="標楷體"/>
          <w:kern w:val="0"/>
          <w:sz w:val="28"/>
          <w:szCs w:val="28"/>
        </w:rPr>
        <w:t>2008</w:t>
      </w:r>
      <w:r w:rsidRPr="00131B9D">
        <w:rPr>
          <w:rFonts w:eastAsia="標楷體"/>
          <w:kern w:val="0"/>
          <w:sz w:val="28"/>
          <w:szCs w:val="28"/>
        </w:rPr>
        <w:t>年</w:t>
      </w:r>
      <w:r w:rsidRPr="00131B9D">
        <w:rPr>
          <w:rFonts w:eastAsia="標楷體"/>
          <w:kern w:val="0"/>
          <w:sz w:val="28"/>
          <w:szCs w:val="28"/>
        </w:rPr>
        <w:t>6</w:t>
      </w:r>
      <w:r w:rsidRPr="00131B9D">
        <w:rPr>
          <w:rFonts w:eastAsia="標楷體"/>
          <w:kern w:val="0"/>
          <w:sz w:val="28"/>
          <w:szCs w:val="28"/>
        </w:rPr>
        <w:t>月以來的單月新高。然而國際咖啡組織（</w:t>
      </w:r>
      <w:r w:rsidRPr="00131B9D">
        <w:rPr>
          <w:rFonts w:eastAsia="標楷體"/>
          <w:kern w:val="0"/>
          <w:sz w:val="28"/>
          <w:szCs w:val="28"/>
        </w:rPr>
        <w:t>ICO</w:t>
      </w:r>
      <w:r w:rsidRPr="00131B9D">
        <w:rPr>
          <w:rFonts w:eastAsia="標楷體"/>
          <w:kern w:val="0"/>
          <w:sz w:val="28"/>
          <w:szCs w:val="28"/>
        </w:rPr>
        <w:t>）</w:t>
      </w:r>
      <w:r w:rsidRPr="00131B9D">
        <w:rPr>
          <w:rFonts w:eastAsia="標楷體"/>
          <w:kern w:val="0"/>
          <w:sz w:val="28"/>
          <w:szCs w:val="28"/>
        </w:rPr>
        <w:t>6</w:t>
      </w:r>
      <w:r w:rsidRPr="00131B9D">
        <w:rPr>
          <w:rFonts w:eastAsia="標楷體"/>
          <w:kern w:val="0"/>
          <w:sz w:val="28"/>
          <w:szCs w:val="28"/>
        </w:rPr>
        <w:t>月</w:t>
      </w:r>
      <w:r w:rsidRPr="00131B9D">
        <w:rPr>
          <w:rFonts w:eastAsia="標楷體"/>
          <w:kern w:val="0"/>
          <w:sz w:val="28"/>
          <w:szCs w:val="28"/>
        </w:rPr>
        <w:t>30</w:t>
      </w:r>
      <w:r w:rsidRPr="00131B9D">
        <w:rPr>
          <w:rFonts w:eastAsia="標楷體"/>
          <w:kern w:val="0"/>
          <w:sz w:val="28"/>
          <w:szCs w:val="28"/>
        </w:rPr>
        <w:t>日在月報當中預估，</w:t>
      </w:r>
      <w:r w:rsidRPr="00131B9D">
        <w:rPr>
          <w:rFonts w:eastAsia="標楷體"/>
          <w:kern w:val="0"/>
          <w:sz w:val="28"/>
          <w:szCs w:val="28"/>
        </w:rPr>
        <w:t>2014/15</w:t>
      </w:r>
      <w:r w:rsidRPr="00131B9D">
        <w:rPr>
          <w:rFonts w:eastAsia="標楷體"/>
          <w:kern w:val="0"/>
          <w:sz w:val="28"/>
          <w:szCs w:val="28"/>
        </w:rPr>
        <w:t>年度，全球咖啡產量預估將年減</w:t>
      </w:r>
      <w:r w:rsidRPr="00131B9D">
        <w:rPr>
          <w:rFonts w:eastAsia="標楷體"/>
          <w:kern w:val="0"/>
          <w:sz w:val="28"/>
          <w:szCs w:val="28"/>
        </w:rPr>
        <w:t>3.3%</w:t>
      </w:r>
      <w:r w:rsidRPr="00131B9D">
        <w:rPr>
          <w:rFonts w:eastAsia="標楷體"/>
          <w:kern w:val="0"/>
          <w:sz w:val="28"/>
          <w:szCs w:val="28"/>
        </w:rPr>
        <w:t>至</w:t>
      </w:r>
      <w:r w:rsidRPr="00131B9D">
        <w:rPr>
          <w:rFonts w:eastAsia="標楷體"/>
          <w:kern w:val="0"/>
          <w:sz w:val="28"/>
          <w:szCs w:val="28"/>
        </w:rPr>
        <w:t>1.419</w:t>
      </w:r>
      <w:r w:rsidRPr="00131B9D">
        <w:rPr>
          <w:rFonts w:eastAsia="標楷體"/>
          <w:kern w:val="0"/>
          <w:sz w:val="28"/>
          <w:szCs w:val="28"/>
        </w:rPr>
        <w:t>億包。其中，阿拉比卡咖啡產量預估年減</w:t>
      </w:r>
      <w:r w:rsidRPr="00131B9D">
        <w:rPr>
          <w:rFonts w:eastAsia="標楷體"/>
          <w:kern w:val="0"/>
          <w:sz w:val="28"/>
          <w:szCs w:val="28"/>
        </w:rPr>
        <w:t>2.8%</w:t>
      </w:r>
      <w:r w:rsidRPr="00131B9D">
        <w:rPr>
          <w:rFonts w:eastAsia="標楷體"/>
          <w:kern w:val="0"/>
          <w:sz w:val="28"/>
          <w:szCs w:val="28"/>
        </w:rPr>
        <w:t>至</w:t>
      </w:r>
      <w:r w:rsidRPr="00131B9D">
        <w:rPr>
          <w:rFonts w:eastAsia="標楷體"/>
          <w:kern w:val="0"/>
          <w:sz w:val="28"/>
          <w:szCs w:val="28"/>
        </w:rPr>
        <w:t>8,460</w:t>
      </w:r>
      <w:r w:rsidRPr="00131B9D">
        <w:rPr>
          <w:rFonts w:eastAsia="標楷體"/>
          <w:kern w:val="0"/>
          <w:sz w:val="28"/>
          <w:szCs w:val="28"/>
        </w:rPr>
        <w:t>萬包，</w:t>
      </w:r>
      <w:r w:rsidRPr="00131B9D">
        <w:rPr>
          <w:rFonts w:eastAsia="標楷體"/>
          <w:kern w:val="0"/>
          <w:sz w:val="28"/>
          <w:szCs w:val="28"/>
        </w:rPr>
        <w:lastRenderedPageBreak/>
        <w:t>羅布斯塔咖啡產量預估年減</w:t>
      </w:r>
      <w:r w:rsidRPr="00131B9D">
        <w:rPr>
          <w:rFonts w:eastAsia="標楷體"/>
          <w:kern w:val="0"/>
          <w:sz w:val="28"/>
          <w:szCs w:val="28"/>
        </w:rPr>
        <w:t>4.1%</w:t>
      </w:r>
      <w:r w:rsidRPr="00131B9D">
        <w:rPr>
          <w:rFonts w:eastAsia="標楷體"/>
          <w:kern w:val="0"/>
          <w:sz w:val="28"/>
          <w:szCs w:val="28"/>
        </w:rPr>
        <w:t>至</w:t>
      </w:r>
      <w:r w:rsidRPr="00131B9D">
        <w:rPr>
          <w:rFonts w:eastAsia="標楷體"/>
          <w:kern w:val="0"/>
          <w:sz w:val="28"/>
          <w:szCs w:val="28"/>
        </w:rPr>
        <w:t>5,720</w:t>
      </w:r>
      <w:r w:rsidRPr="00131B9D">
        <w:rPr>
          <w:rFonts w:eastAsia="標楷體"/>
          <w:kern w:val="0"/>
          <w:sz w:val="28"/>
          <w:szCs w:val="28"/>
        </w:rPr>
        <w:t>萬包。</w:t>
      </w:r>
      <w:r w:rsidRPr="00131B9D">
        <w:rPr>
          <w:rFonts w:eastAsia="標楷體"/>
          <w:kern w:val="0"/>
          <w:sz w:val="28"/>
          <w:szCs w:val="28"/>
        </w:rPr>
        <w:t>ICO</w:t>
      </w:r>
      <w:r w:rsidRPr="00131B9D">
        <w:rPr>
          <w:rFonts w:eastAsia="標楷體"/>
          <w:kern w:val="0"/>
          <w:sz w:val="28"/>
          <w:szCs w:val="28"/>
        </w:rPr>
        <w:t>表示，歐美日等傳統咖啡市場需求增長仍舊強勁，但更大的消費增長潛力則來自於新興市場。儘管咖啡產量偏低，第</w:t>
      </w:r>
      <w:r w:rsidRPr="00131B9D">
        <w:rPr>
          <w:rFonts w:eastAsia="標楷體"/>
          <w:kern w:val="0"/>
          <w:sz w:val="28"/>
          <w:szCs w:val="28"/>
        </w:rPr>
        <w:t>3</w:t>
      </w:r>
      <w:r w:rsidRPr="00131B9D">
        <w:rPr>
          <w:rFonts w:eastAsia="標楷體"/>
          <w:kern w:val="0"/>
          <w:sz w:val="28"/>
          <w:szCs w:val="28"/>
        </w:rPr>
        <w:t>季的</w:t>
      </w:r>
      <w:r w:rsidRPr="00131B9D">
        <w:rPr>
          <w:rFonts w:eastAsia="標楷體"/>
          <w:sz w:val="28"/>
          <w:szCs w:val="28"/>
        </w:rPr>
        <w:t>咖啡價格因幾大產區貨幣，如巴西里耳、哥倫比亞披索及越南盾兌美元更進一步貶值（</w:t>
      </w:r>
      <w:r w:rsidRPr="00131B9D">
        <w:rPr>
          <w:rFonts w:eastAsia="標楷體"/>
          <w:sz w:val="28"/>
          <w:szCs w:val="28"/>
        </w:rPr>
        <w:fldChar w:fldCharType="begin"/>
      </w:r>
      <w:r w:rsidRPr="00131B9D">
        <w:rPr>
          <w:rFonts w:eastAsia="標楷體"/>
          <w:sz w:val="28"/>
          <w:szCs w:val="28"/>
        </w:rPr>
        <w:instrText xml:space="preserve"> REF _Ref436217152 \h  \* MERGEFORMAT </w:instrText>
      </w:r>
      <w:r w:rsidRPr="00131B9D">
        <w:rPr>
          <w:rFonts w:eastAsia="標楷體"/>
          <w:sz w:val="28"/>
          <w:szCs w:val="28"/>
        </w:rPr>
      </w:r>
      <w:r w:rsidRPr="00131B9D">
        <w:rPr>
          <w:rFonts w:eastAsia="標楷體"/>
          <w:sz w:val="28"/>
          <w:szCs w:val="28"/>
        </w:rPr>
        <w:fldChar w:fldCharType="separate"/>
      </w:r>
      <w:r w:rsidR="001641D3" w:rsidRPr="001641D3">
        <w:rPr>
          <w:rFonts w:eastAsia="標楷體"/>
          <w:bCs/>
          <w:kern w:val="52"/>
          <w:sz w:val="28"/>
          <w:szCs w:val="28"/>
        </w:rPr>
        <w:t>圖</w:t>
      </w:r>
      <w:r w:rsidR="001641D3" w:rsidRPr="001641D3">
        <w:rPr>
          <w:rFonts w:eastAsia="標楷體"/>
          <w:bCs/>
          <w:kern w:val="52"/>
          <w:sz w:val="28"/>
          <w:szCs w:val="28"/>
        </w:rPr>
        <w:t xml:space="preserve">3- </w:t>
      </w:r>
      <w:r w:rsidR="001641D3" w:rsidRPr="001641D3">
        <w:rPr>
          <w:bCs/>
          <w:noProof/>
          <w:kern w:val="52"/>
          <w:sz w:val="28"/>
          <w:szCs w:val="28"/>
        </w:rPr>
        <w:t>44</w:t>
      </w:r>
      <w:r w:rsidRPr="00131B9D">
        <w:rPr>
          <w:rFonts w:eastAsia="標楷體"/>
          <w:sz w:val="28"/>
          <w:szCs w:val="28"/>
        </w:rPr>
        <w:fldChar w:fldCharType="end"/>
      </w:r>
      <w:r w:rsidRPr="00131B9D">
        <w:rPr>
          <w:rFonts w:eastAsia="標楷體"/>
          <w:sz w:val="28"/>
          <w:szCs w:val="28"/>
        </w:rPr>
        <w:t>），加上全球大宗商品市場價格走跌，使價格仍持續走低，</w:t>
      </w:r>
      <w:r w:rsidRPr="00131B9D">
        <w:rPr>
          <w:rFonts w:eastAsia="標楷體"/>
          <w:sz w:val="28"/>
          <w:szCs w:val="28"/>
        </w:rPr>
        <w:t>8</w:t>
      </w:r>
      <w:r w:rsidRPr="00131B9D">
        <w:rPr>
          <w:rFonts w:eastAsia="標楷體"/>
          <w:sz w:val="28"/>
          <w:szCs w:val="28"/>
        </w:rPr>
        <w:t>月份咖啡期貨價格雖比</w:t>
      </w:r>
      <w:r w:rsidRPr="00131B9D">
        <w:rPr>
          <w:rFonts w:eastAsia="標楷體"/>
          <w:sz w:val="28"/>
          <w:szCs w:val="28"/>
        </w:rPr>
        <w:t>7</w:t>
      </w:r>
      <w:r w:rsidRPr="00131B9D">
        <w:rPr>
          <w:rFonts w:eastAsia="標楷體"/>
          <w:sz w:val="28"/>
          <w:szCs w:val="28"/>
        </w:rPr>
        <w:t>月均價提高</w:t>
      </w:r>
      <w:r w:rsidRPr="00131B9D">
        <w:rPr>
          <w:rFonts w:eastAsia="標楷體"/>
          <w:sz w:val="28"/>
          <w:szCs w:val="28"/>
        </w:rPr>
        <w:t>1.2%</w:t>
      </w:r>
      <w:r w:rsidRPr="00131B9D">
        <w:rPr>
          <w:rFonts w:eastAsia="標楷體"/>
          <w:sz w:val="28"/>
          <w:szCs w:val="28"/>
        </w:rPr>
        <w:t>，但仍為自</w:t>
      </w:r>
      <w:r w:rsidRPr="00131B9D">
        <w:rPr>
          <w:rFonts w:eastAsia="標楷體"/>
          <w:sz w:val="28"/>
          <w:szCs w:val="28"/>
        </w:rPr>
        <w:t>2014</w:t>
      </w:r>
      <w:r w:rsidRPr="00131B9D">
        <w:rPr>
          <w:rFonts w:eastAsia="標楷體"/>
          <w:sz w:val="28"/>
          <w:szCs w:val="28"/>
        </w:rPr>
        <w:t>年</w:t>
      </w:r>
      <w:r w:rsidRPr="00131B9D">
        <w:rPr>
          <w:rFonts w:eastAsia="標楷體"/>
          <w:sz w:val="28"/>
          <w:szCs w:val="28"/>
        </w:rPr>
        <w:t>1</w:t>
      </w:r>
      <w:r w:rsidRPr="00131B9D">
        <w:rPr>
          <w:rFonts w:eastAsia="標楷體"/>
          <w:sz w:val="28"/>
          <w:szCs w:val="28"/>
        </w:rPr>
        <w:t>月以來的第二低點位置。國際咖啡組織表示，因為主產國包括巴西以及哥倫比亞等國貨幣貶值，以及整體商品市場低迷的影響，</w:t>
      </w:r>
      <w:r w:rsidRPr="00131B9D">
        <w:rPr>
          <w:rFonts w:eastAsia="標楷體"/>
          <w:sz w:val="28"/>
          <w:szCs w:val="28"/>
        </w:rPr>
        <w:t>2014/15</w:t>
      </w:r>
      <w:r w:rsidRPr="00131B9D">
        <w:rPr>
          <w:rFonts w:eastAsia="標楷體"/>
          <w:sz w:val="28"/>
          <w:szCs w:val="28"/>
        </w:rPr>
        <w:t>咖啡年度結束的</w:t>
      </w:r>
      <w:r w:rsidRPr="00131B9D">
        <w:rPr>
          <w:rFonts w:eastAsia="標楷體"/>
          <w:sz w:val="28"/>
          <w:szCs w:val="28"/>
        </w:rPr>
        <w:t>9</w:t>
      </w:r>
      <w:r w:rsidRPr="00131B9D">
        <w:rPr>
          <w:rFonts w:eastAsia="標楷體"/>
          <w:sz w:val="28"/>
          <w:szCs w:val="28"/>
        </w:rPr>
        <w:t>月底，咖啡價格創下</w:t>
      </w:r>
      <w:r w:rsidRPr="00131B9D">
        <w:rPr>
          <w:rFonts w:eastAsia="標楷體"/>
          <w:sz w:val="28"/>
          <w:szCs w:val="28"/>
        </w:rPr>
        <w:t>20</w:t>
      </w:r>
      <w:r w:rsidRPr="00131B9D">
        <w:rPr>
          <w:rFonts w:eastAsia="標楷體"/>
          <w:sz w:val="28"/>
          <w:szCs w:val="28"/>
        </w:rPr>
        <w:t>個月來的新低。</w:t>
      </w:r>
      <w:r w:rsidRPr="00131B9D">
        <w:rPr>
          <w:rFonts w:eastAsia="標楷體"/>
          <w:sz w:val="28"/>
          <w:szCs w:val="28"/>
        </w:rPr>
        <w:t>9</w:t>
      </w:r>
      <w:r w:rsidRPr="00131B9D">
        <w:rPr>
          <w:rFonts w:eastAsia="標楷體"/>
          <w:sz w:val="28"/>
          <w:szCs w:val="28"/>
        </w:rPr>
        <w:t>月份咖啡均價為每磅</w:t>
      </w:r>
      <w:r w:rsidRPr="00131B9D">
        <w:rPr>
          <w:rFonts w:eastAsia="標楷體"/>
          <w:sz w:val="28"/>
          <w:szCs w:val="28"/>
        </w:rPr>
        <w:t>113.14</w:t>
      </w:r>
      <w:r w:rsidRPr="00131B9D">
        <w:rPr>
          <w:rFonts w:eastAsia="標楷體"/>
          <w:sz w:val="28"/>
          <w:szCs w:val="28"/>
        </w:rPr>
        <w:t>美分，創下</w:t>
      </w:r>
      <w:r w:rsidRPr="00131B9D">
        <w:rPr>
          <w:rFonts w:eastAsia="標楷體"/>
          <w:sz w:val="28"/>
          <w:szCs w:val="28"/>
        </w:rPr>
        <w:t>2014</w:t>
      </w:r>
      <w:r w:rsidRPr="00131B9D">
        <w:rPr>
          <w:rFonts w:eastAsia="標楷體"/>
          <w:sz w:val="28"/>
          <w:szCs w:val="28"/>
        </w:rPr>
        <w:t>年</w:t>
      </w:r>
      <w:r w:rsidRPr="00131B9D">
        <w:rPr>
          <w:rFonts w:eastAsia="標楷體"/>
          <w:sz w:val="28"/>
          <w:szCs w:val="28"/>
        </w:rPr>
        <w:t>1</w:t>
      </w:r>
      <w:r w:rsidRPr="00131B9D">
        <w:rPr>
          <w:rFonts w:eastAsia="標楷體"/>
          <w:sz w:val="28"/>
          <w:szCs w:val="28"/>
        </w:rPr>
        <w:t>月以來的新低。其中</w:t>
      </w:r>
      <w:r w:rsidRPr="00131B9D">
        <w:rPr>
          <w:rFonts w:eastAsia="標楷體"/>
          <w:sz w:val="28"/>
          <w:szCs w:val="28"/>
        </w:rPr>
        <w:t>9</w:t>
      </w:r>
      <w:r w:rsidRPr="00131B9D">
        <w:rPr>
          <w:rFonts w:eastAsia="標楷體"/>
          <w:sz w:val="28"/>
          <w:szCs w:val="28"/>
        </w:rPr>
        <w:t>月</w:t>
      </w:r>
      <w:r w:rsidRPr="00131B9D">
        <w:rPr>
          <w:rFonts w:eastAsia="標楷體"/>
          <w:sz w:val="28"/>
          <w:szCs w:val="28"/>
        </w:rPr>
        <w:t>11</w:t>
      </w:r>
      <w:r w:rsidRPr="00131B9D">
        <w:rPr>
          <w:rFonts w:eastAsia="標楷體"/>
          <w:sz w:val="28"/>
          <w:szCs w:val="28"/>
        </w:rPr>
        <w:t>日因受到巴西貨幣里耳跌至</w:t>
      </w:r>
      <w:r w:rsidRPr="00131B9D">
        <w:rPr>
          <w:rFonts w:eastAsia="標楷體"/>
          <w:sz w:val="28"/>
          <w:szCs w:val="28"/>
        </w:rPr>
        <w:t>13</w:t>
      </w:r>
      <w:r w:rsidRPr="00131B9D">
        <w:rPr>
          <w:rFonts w:eastAsia="標楷體"/>
          <w:sz w:val="28"/>
          <w:szCs w:val="28"/>
        </w:rPr>
        <w:t>年來最低點的影響，使咖啡價格重挫至一年半多以來的最低點。</w:t>
      </w:r>
      <w:r w:rsidRPr="00131B9D">
        <w:rPr>
          <w:rFonts w:eastAsia="標楷體"/>
          <w:sz w:val="28"/>
          <w:szCs w:val="28"/>
        </w:rPr>
        <w:t>10</w:t>
      </w:r>
      <w:r w:rsidRPr="00131B9D">
        <w:rPr>
          <w:rFonts w:eastAsia="標楷體"/>
          <w:sz w:val="28"/>
          <w:szCs w:val="28"/>
        </w:rPr>
        <w:t>月初因巴西貨幣上揚，加上天氣預報顯示全球最大咖啡豆生產國巴西將遇乾旱，令市場擔憂不利咖啡樹開花，使咖啡價格上升，</w:t>
      </w:r>
      <w:r w:rsidRPr="00131B9D">
        <w:rPr>
          <w:rFonts w:eastAsia="標楷體"/>
          <w:sz w:val="28"/>
          <w:szCs w:val="28"/>
        </w:rPr>
        <w:t>10</w:t>
      </w:r>
      <w:r w:rsidRPr="00131B9D">
        <w:rPr>
          <w:rFonts w:eastAsia="標楷體"/>
          <w:sz w:val="28"/>
          <w:szCs w:val="28"/>
        </w:rPr>
        <w:t>月中旬過後，因哥倫比亞將增加出口量，且咖啡品質也下降，使咖啡價格逐漸回落。接著，市場聚焦在巴西迎來急需的降雨，但因天氣預報一些地區仍需更多的降水，咖啡價格跌幅縮減（如</w:t>
      </w:r>
      <w:r w:rsidRPr="00131B9D">
        <w:rPr>
          <w:rFonts w:eastAsia="標楷體"/>
          <w:sz w:val="28"/>
          <w:szCs w:val="28"/>
        </w:rPr>
        <w:fldChar w:fldCharType="begin"/>
      </w:r>
      <w:r w:rsidRPr="00131B9D">
        <w:rPr>
          <w:rFonts w:eastAsia="標楷體"/>
          <w:sz w:val="28"/>
          <w:szCs w:val="28"/>
        </w:rPr>
        <w:instrText xml:space="preserve"> REF _Ref436217220 \h  \* MERGEFORMAT </w:instrText>
      </w:r>
      <w:r w:rsidRPr="00131B9D">
        <w:rPr>
          <w:rFonts w:eastAsia="標楷體"/>
          <w:sz w:val="28"/>
          <w:szCs w:val="28"/>
        </w:rPr>
      </w:r>
      <w:r w:rsidRPr="00131B9D">
        <w:rPr>
          <w:rFonts w:eastAsia="標楷體"/>
          <w:sz w:val="28"/>
          <w:szCs w:val="28"/>
        </w:rPr>
        <w:fldChar w:fldCharType="separate"/>
      </w:r>
      <w:r w:rsidR="001641D3" w:rsidRPr="001641D3">
        <w:rPr>
          <w:rFonts w:eastAsia="標楷體"/>
          <w:bCs/>
          <w:kern w:val="52"/>
          <w:sz w:val="28"/>
          <w:szCs w:val="28"/>
        </w:rPr>
        <w:t>圖</w:t>
      </w:r>
      <w:r w:rsidR="001641D3" w:rsidRPr="001641D3">
        <w:rPr>
          <w:rFonts w:eastAsia="標楷體"/>
          <w:bCs/>
          <w:kern w:val="52"/>
          <w:sz w:val="28"/>
          <w:szCs w:val="28"/>
        </w:rPr>
        <w:t xml:space="preserve">3- </w:t>
      </w:r>
      <w:r w:rsidR="001641D3" w:rsidRPr="001641D3">
        <w:rPr>
          <w:rFonts w:eastAsia="標楷體"/>
          <w:bCs/>
          <w:noProof/>
          <w:kern w:val="52"/>
          <w:sz w:val="28"/>
          <w:szCs w:val="28"/>
        </w:rPr>
        <w:t>45</w:t>
      </w:r>
      <w:r w:rsidRPr="00131B9D">
        <w:rPr>
          <w:rFonts w:eastAsia="標楷體"/>
          <w:sz w:val="28"/>
          <w:szCs w:val="28"/>
        </w:rPr>
        <w:fldChar w:fldCharType="end"/>
      </w:r>
      <w:r w:rsidRPr="00131B9D">
        <w:rPr>
          <w:rFonts w:eastAsia="標楷體"/>
          <w:sz w:val="28"/>
          <w:szCs w:val="28"/>
        </w:rPr>
        <w:t>）。</w:t>
      </w:r>
    </w:p>
    <w:p w:rsidR="003B29E8" w:rsidRPr="00131B9D" w:rsidRDefault="003B29E8" w:rsidP="003B29E8"/>
    <w:p w:rsidR="00F279F7" w:rsidRPr="00131B9D" w:rsidRDefault="00F279F7" w:rsidP="003B29E8">
      <w:pPr>
        <w:pStyle w:val="-"/>
        <w:keepNext/>
        <w:spacing w:before="72" w:after="72" w:line="0" w:lineRule="atLeast"/>
        <w:ind w:firstLineChars="0" w:firstLine="0"/>
        <w:jc w:val="center"/>
      </w:pPr>
      <w:bookmarkStart w:id="378" w:name="OLE_LINK26"/>
      <w:bookmarkStart w:id="379" w:name="OLE_LINK29"/>
      <w:r w:rsidRPr="00131B9D">
        <w:rPr>
          <w:noProof/>
        </w:rPr>
        <w:drawing>
          <wp:inline distT="0" distB="0" distL="0" distR="0" wp14:anchorId="033DD9A4" wp14:editId="76D31203">
            <wp:extent cx="4650089" cy="2705100"/>
            <wp:effectExtent l="19050" t="19050" r="17780" b="19050"/>
            <wp:docPr id="18467" name="圖片 18467" descr="擷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擷取"/>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659778" cy="2710737"/>
                    </a:xfrm>
                    <a:prstGeom prst="rect">
                      <a:avLst/>
                    </a:prstGeom>
                    <a:noFill/>
                    <a:ln w="6350" cmpd="sng">
                      <a:solidFill>
                        <a:srgbClr val="000000"/>
                      </a:solidFill>
                      <a:miter lim="800000"/>
                      <a:headEnd/>
                      <a:tailEnd/>
                    </a:ln>
                    <a:effectLst/>
                  </pic:spPr>
                </pic:pic>
              </a:graphicData>
            </a:graphic>
          </wp:inline>
        </w:drawing>
      </w:r>
      <w:bookmarkEnd w:id="378"/>
      <w:bookmarkEnd w:id="379"/>
    </w:p>
    <w:p w:rsidR="00F279F7" w:rsidRPr="00131B9D" w:rsidRDefault="00F279F7" w:rsidP="003B29E8">
      <w:pPr>
        <w:pStyle w:val="-"/>
        <w:spacing w:before="72" w:after="72" w:line="0" w:lineRule="atLeast"/>
        <w:ind w:firstLine="561"/>
        <w:jc w:val="center"/>
        <w:rPr>
          <w:b/>
        </w:rPr>
      </w:pPr>
      <w:bookmarkStart w:id="380" w:name="_Ref436217152"/>
      <w:bookmarkStart w:id="381" w:name="_Toc438223378"/>
      <w:r w:rsidRPr="00131B9D">
        <w:rPr>
          <w:b/>
          <w:bCs/>
          <w:kern w:val="52"/>
        </w:rPr>
        <w:t>圖</w:t>
      </w:r>
      <w:r w:rsidRPr="00131B9D">
        <w:rPr>
          <w:b/>
          <w:bCs/>
          <w:kern w:val="52"/>
        </w:rPr>
        <w:t xml:space="preserve">3- </w:t>
      </w:r>
      <w:r w:rsidRPr="00131B9D">
        <w:rPr>
          <w:b/>
          <w:bCs/>
          <w:kern w:val="52"/>
        </w:rPr>
        <w:fldChar w:fldCharType="begin"/>
      </w:r>
      <w:r w:rsidRPr="00131B9D">
        <w:rPr>
          <w:b/>
          <w:bCs/>
          <w:kern w:val="52"/>
        </w:rPr>
        <w:instrText xml:space="preserve"> SEQ </w:instrText>
      </w:r>
      <w:r w:rsidRPr="00131B9D">
        <w:rPr>
          <w:b/>
          <w:bCs/>
          <w:kern w:val="52"/>
        </w:rPr>
        <w:instrText>圖</w:instrText>
      </w:r>
      <w:r w:rsidRPr="00131B9D">
        <w:rPr>
          <w:b/>
          <w:bCs/>
          <w:kern w:val="52"/>
        </w:rPr>
        <w:instrText xml:space="preserve">3- \* ARABIC </w:instrText>
      </w:r>
      <w:r w:rsidRPr="00131B9D">
        <w:rPr>
          <w:b/>
          <w:bCs/>
          <w:kern w:val="52"/>
        </w:rPr>
        <w:fldChar w:fldCharType="separate"/>
      </w:r>
      <w:r w:rsidR="001641D3">
        <w:rPr>
          <w:b/>
          <w:bCs/>
          <w:noProof/>
          <w:kern w:val="52"/>
        </w:rPr>
        <w:t>44</w:t>
      </w:r>
      <w:r w:rsidRPr="00131B9D">
        <w:rPr>
          <w:b/>
          <w:bCs/>
          <w:kern w:val="52"/>
        </w:rPr>
        <w:fldChar w:fldCharType="end"/>
      </w:r>
      <w:bookmarkEnd w:id="380"/>
      <w:r w:rsidRPr="00131B9D">
        <w:rPr>
          <w:b/>
        </w:rPr>
        <w:t>美元兌各貨幣走勢</w:t>
      </w:r>
      <w:bookmarkEnd w:id="381"/>
    </w:p>
    <w:p w:rsidR="003B29E8" w:rsidRPr="00131B9D" w:rsidRDefault="003B29E8" w:rsidP="003B29E8">
      <w:pPr>
        <w:sectPr w:rsidR="003B29E8"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
        <w:spacing w:before="72" w:after="72"/>
        <w:ind w:firstLine="560"/>
      </w:pPr>
      <w:r w:rsidRPr="00131B9D">
        <w:lastRenderedPageBreak/>
        <w:t>咖啡貿易方面，國際咖啡組織（</w:t>
      </w:r>
      <w:r w:rsidRPr="00131B9D">
        <w:t>ICO</w:t>
      </w:r>
      <w:r w:rsidRPr="00131B9D">
        <w:t>）</w:t>
      </w:r>
      <w:r w:rsidRPr="00131B9D">
        <w:t>8</w:t>
      </w:r>
      <w:r w:rsidRPr="00131B9D">
        <w:t>月</w:t>
      </w:r>
      <w:r w:rsidRPr="00131B9D">
        <w:t>10</w:t>
      </w:r>
      <w:r w:rsidRPr="00131B9D">
        <w:t>日月報指出，自去年</w:t>
      </w:r>
      <w:r w:rsidRPr="00131B9D">
        <w:t>10</w:t>
      </w:r>
      <w:r w:rsidRPr="00131B9D">
        <w:t>月起的咖啡年度（</w:t>
      </w:r>
      <w:r w:rsidRPr="00131B9D">
        <w:t>2014/15</w:t>
      </w:r>
      <w:r w:rsidRPr="00131B9D">
        <w:t>）前三季，累計全球咖啡出口量年減</w:t>
      </w:r>
      <w:r w:rsidRPr="00131B9D">
        <w:t>4.3%</w:t>
      </w:r>
      <w:r w:rsidRPr="00131B9D">
        <w:t>至</w:t>
      </w:r>
      <w:r w:rsidRPr="00131B9D">
        <w:t>8,210</w:t>
      </w:r>
      <w:r w:rsidRPr="00131B9D">
        <w:t>萬包。其中，巴西咖啡出口量，受益於巴西幣的貶值，創下</w:t>
      </w:r>
      <w:r w:rsidRPr="00131B9D">
        <w:t>2,740</w:t>
      </w:r>
      <w:r w:rsidRPr="00131B9D">
        <w:t>萬包的歷年同期新高。雖然巴西本年度的咖啡產量下滑，但過去兩個年度所累積的充足庫存，得以帶動巴西咖啡出口增長。哥倫比亞咖啡出口則連續第四個年度取得增長，</w:t>
      </w:r>
      <w:r w:rsidRPr="00131B9D">
        <w:t>2014/15</w:t>
      </w:r>
      <w:r w:rsidRPr="00131B9D">
        <w:t>年度前三季的出口量為</w:t>
      </w:r>
      <w:r w:rsidRPr="00131B9D">
        <w:t>890</w:t>
      </w:r>
      <w:r w:rsidRPr="00131B9D">
        <w:t>萬包。另一方面，最大羅布斯塔咖啡生產國越南本年度前三季的咖啡出口量，因國內價格低迷影響了農戶的銷售意願，則是年減</w:t>
      </w:r>
      <w:r w:rsidRPr="00131B9D">
        <w:t>16.8%</w:t>
      </w:r>
      <w:r w:rsidRPr="00131B9D">
        <w:t>至</w:t>
      </w:r>
      <w:r w:rsidRPr="00131B9D">
        <w:t>1,530</w:t>
      </w:r>
      <w:r w:rsidRPr="00131B9D">
        <w:t>萬包；印尼本年度前三季的咖啡出口量，受到天氣不利以及國內消費增加的影響，也年減</w:t>
      </w:r>
      <w:r w:rsidRPr="00131B9D">
        <w:t>25.6%</w:t>
      </w:r>
      <w:r w:rsidRPr="00131B9D">
        <w:t>至</w:t>
      </w:r>
      <w:r w:rsidRPr="00131B9D">
        <w:t>400</w:t>
      </w:r>
      <w:r w:rsidRPr="00131B9D">
        <w:t>萬包。</w:t>
      </w:r>
    </w:p>
    <w:p w:rsidR="00F279F7" w:rsidRPr="00131B9D" w:rsidRDefault="00F279F7" w:rsidP="00F279F7">
      <w:pPr>
        <w:pStyle w:val="-"/>
        <w:spacing w:before="72" w:after="72"/>
        <w:ind w:firstLine="560"/>
      </w:pPr>
      <w:r w:rsidRPr="00131B9D">
        <w:t>展望</w:t>
      </w:r>
      <w:r w:rsidRPr="00131B9D">
        <w:t>2016</w:t>
      </w:r>
      <w:r w:rsidRPr="00131B9D">
        <w:t>年，天氣因素仍是影響咖啡價格的主因，特別是中美洲仍持續乾旱，以及今年聖嬰現象可能的潛在威脅等。大宗商品貿易商新加坡奧蘭國際（</w:t>
      </w:r>
      <w:r w:rsidRPr="00131B9D">
        <w:t>Olam International</w:t>
      </w:r>
      <w:r w:rsidRPr="00131B9D">
        <w:t>）表示，預期未來</w:t>
      </w:r>
      <w:r w:rsidRPr="00131B9D">
        <w:t>12</w:t>
      </w:r>
      <w:r w:rsidRPr="00131B9D">
        <w:t>個月，在農產品當中，咖啡將會有好的表現，因為連續兩年的生產赤字已經令全球咖啡的庫存消費比降至</w:t>
      </w:r>
      <w:r w:rsidRPr="00131B9D">
        <w:t>30%</w:t>
      </w:r>
      <w:r w:rsidRPr="00131B9D">
        <w:t>，而此前咖啡庫存消費比降至如此水準通常會令咖啡價格上揚。</w:t>
      </w:r>
    </w:p>
    <w:p w:rsidR="00F279F7" w:rsidRPr="00131B9D" w:rsidRDefault="00F279F7" w:rsidP="003B29E8"/>
    <w:p w:rsidR="00F279F7" w:rsidRPr="00131B9D" w:rsidRDefault="00F279F7" w:rsidP="00F279F7">
      <w:r w:rsidRPr="00131B9D">
        <w:rPr>
          <w:noProof/>
        </w:rPr>
        <w:drawing>
          <wp:inline distT="0" distB="0" distL="0" distR="0" wp14:anchorId="1A66E818" wp14:editId="78E29398">
            <wp:extent cx="5124450" cy="3040084"/>
            <wp:effectExtent l="0" t="0" r="0" b="8255"/>
            <wp:docPr id="18468" name="圖表 18468"/>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F279F7" w:rsidRPr="00131B9D" w:rsidRDefault="00F279F7" w:rsidP="00F279F7">
      <w:pPr>
        <w:adjustRightInd w:val="0"/>
        <w:snapToGrid w:val="0"/>
        <w:spacing w:line="240" w:lineRule="exact"/>
        <w:ind w:firstLineChars="100" w:firstLine="200"/>
        <w:rPr>
          <w:rFonts w:eastAsia="標楷體"/>
          <w:sz w:val="20"/>
          <w:szCs w:val="20"/>
        </w:rPr>
      </w:pPr>
      <w:r w:rsidRPr="00131B9D">
        <w:rPr>
          <w:rFonts w:eastAsia="標楷體"/>
          <w:sz w:val="20"/>
          <w:szCs w:val="20"/>
        </w:rPr>
        <w:t>資料來源：情報贏家，</w:t>
      </w:r>
      <w:r w:rsidRPr="00131B9D">
        <w:rPr>
          <w:rFonts w:eastAsia="標楷體"/>
          <w:sz w:val="20"/>
          <w:szCs w:val="20"/>
        </w:rPr>
        <w:t>2015</w:t>
      </w:r>
      <w:r w:rsidRPr="00131B9D">
        <w:rPr>
          <w:rFonts w:eastAsia="標楷體"/>
          <w:sz w:val="20"/>
          <w:szCs w:val="20"/>
        </w:rPr>
        <w:t>年</w:t>
      </w:r>
      <w:r w:rsidRPr="00131B9D">
        <w:rPr>
          <w:rFonts w:eastAsia="標楷體"/>
          <w:sz w:val="20"/>
          <w:szCs w:val="20"/>
        </w:rPr>
        <w:t>11</w:t>
      </w:r>
      <w:r w:rsidRPr="00131B9D">
        <w:rPr>
          <w:rFonts w:eastAsia="標楷體"/>
          <w:sz w:val="20"/>
          <w:szCs w:val="20"/>
        </w:rPr>
        <w:t>月</w:t>
      </w:r>
    </w:p>
    <w:p w:rsidR="00F279F7" w:rsidRPr="00131B9D" w:rsidRDefault="00F279F7" w:rsidP="003B29E8">
      <w:pPr>
        <w:pStyle w:val="afff5"/>
        <w:spacing w:line="0" w:lineRule="atLeast"/>
        <w:jc w:val="center"/>
      </w:pPr>
      <w:bookmarkStart w:id="382" w:name="_Ref436217220"/>
      <w:bookmarkStart w:id="383" w:name="_Toc398882675"/>
      <w:bookmarkStart w:id="384" w:name="_Toc438223379"/>
      <w:bookmarkStart w:id="385" w:name="_Toc373682471"/>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45</w:t>
      </w:r>
      <w:r w:rsidRPr="00131B9D">
        <w:rPr>
          <w:rFonts w:eastAsia="標楷體"/>
          <w:b/>
          <w:bCs/>
          <w:kern w:val="52"/>
          <w:sz w:val="28"/>
          <w:szCs w:val="28"/>
        </w:rPr>
        <w:fldChar w:fldCharType="end"/>
      </w:r>
      <w:bookmarkEnd w:id="382"/>
      <w:r w:rsidRPr="00131B9D">
        <w:rPr>
          <w:rFonts w:eastAsia="標楷體"/>
          <w:b/>
          <w:bCs/>
          <w:kern w:val="52"/>
          <w:sz w:val="28"/>
          <w:szCs w:val="28"/>
        </w:rPr>
        <w:t xml:space="preserve">　咖啡豆近一年價格走勢圖</w:t>
      </w:r>
      <w:bookmarkEnd w:id="383"/>
      <w:bookmarkEnd w:id="384"/>
      <w:r w:rsidRPr="00131B9D">
        <w:br w:type="page"/>
      </w:r>
    </w:p>
    <w:p w:rsidR="00F279F7" w:rsidRPr="00131B9D" w:rsidRDefault="00F279F7" w:rsidP="00F279F7">
      <w:pPr>
        <w:pStyle w:val="2"/>
        <w:spacing w:before="108" w:after="108"/>
        <w:rPr>
          <w:rFonts w:ascii="Times New Roman" w:hAnsi="Times New Roman"/>
        </w:rPr>
      </w:pPr>
      <w:bookmarkStart w:id="386" w:name="_Toc439162958"/>
      <w:bookmarkStart w:id="387" w:name="_Toc373760889"/>
      <w:bookmarkStart w:id="388" w:name="_Toc373761946"/>
      <w:bookmarkEnd w:id="50"/>
      <w:bookmarkEnd w:id="51"/>
      <w:bookmarkEnd w:id="52"/>
      <w:bookmarkEnd w:id="359"/>
      <w:bookmarkEnd w:id="360"/>
      <w:bookmarkEnd w:id="361"/>
      <w:bookmarkEnd w:id="385"/>
      <w:r w:rsidRPr="00131B9D">
        <w:rPr>
          <w:rFonts w:ascii="Times New Roman" w:hAnsi="Times New Roman"/>
        </w:rPr>
        <w:lastRenderedPageBreak/>
        <w:t>八、小結</w:t>
      </w:r>
      <w:bookmarkEnd w:id="386"/>
    </w:p>
    <w:p w:rsidR="00F279F7" w:rsidRPr="00131B9D" w:rsidRDefault="00F279F7" w:rsidP="00F279F7">
      <w:pPr>
        <w:pStyle w:val="3"/>
        <w:spacing w:beforeLines="100" w:before="360"/>
        <w:ind w:left="1135" w:hangingChars="315" w:hanging="1135"/>
        <w:rPr>
          <w:rFonts w:ascii="Times New Roman" w:hAnsi="Times New Roman"/>
        </w:rPr>
      </w:pPr>
      <w:r w:rsidRPr="00131B9D">
        <w:rPr>
          <w:rFonts w:ascii="Times New Roman" w:hAnsi="Times New Roman"/>
        </w:rPr>
        <w:t>（一）部分大宗物資供需狀況改善，前景看好</w:t>
      </w:r>
    </w:p>
    <w:p w:rsidR="00F279F7" w:rsidRPr="00131B9D" w:rsidRDefault="00377B4E" w:rsidP="00F279F7">
      <w:pPr>
        <w:pStyle w:val="-"/>
        <w:spacing w:before="72" w:after="72"/>
        <w:ind w:firstLine="560"/>
      </w:pPr>
      <w:bookmarkStart w:id="389" w:name="_Toc398909998"/>
      <w:r w:rsidRPr="00131B9D">
        <w:t>2015</w:t>
      </w:r>
      <w:r w:rsidRPr="00131B9D">
        <w:t>年在黃豆方面，</w:t>
      </w:r>
      <w:r w:rsidRPr="00131B9D">
        <w:t>2015/16</w:t>
      </w:r>
      <w:r w:rsidRPr="00131B9D">
        <w:t>年度全球黃豆產量僅較前一年度之創紀錄產量略低。儘管預期產量成長將趨緩，然庫存以及供給量仍會達到高點，此外，需求預期不會有太大提升，因此估計</w:t>
      </w:r>
      <w:r w:rsidRPr="00131B9D">
        <w:t>2016</w:t>
      </w:r>
      <w:r w:rsidRPr="00131B9D">
        <w:t>年黃豆價格仍會走低。小麥方面，</w:t>
      </w:r>
      <w:r w:rsidRPr="00131B9D">
        <w:t>2015/16</w:t>
      </w:r>
      <w:r w:rsidRPr="00131B9D">
        <w:t>年小麥作物前景改善，以及因強勢美元抑制對美國小麥需求，加上其他國家出口供給充裕，導致美國小麥出口下跌，這些因素將使小麥未來一年價格持續承受壓力。玉米方面，因玉米價格過低令美國農戶惜售，更多收成的玉米進入穀倉而非市場，對玉米價格構成支撐，且麥格理銀行（</w:t>
      </w:r>
      <w:r w:rsidRPr="00131B9D">
        <w:t>Macquarie Bank</w:t>
      </w:r>
      <w:r w:rsidRPr="00131B9D">
        <w:t>）</w:t>
      </w:r>
      <w:r w:rsidRPr="00131B9D">
        <w:t>10</w:t>
      </w:r>
      <w:r w:rsidRPr="00131B9D">
        <w:t>月中旬報告亦指出玉米需求強勁，而北美和南美玉米播種面積、單產均減少，加上因</w:t>
      </w:r>
      <w:r w:rsidRPr="00131B9D">
        <w:t>2014/15</w:t>
      </w:r>
      <w:r w:rsidRPr="00131B9D">
        <w:t>年度結轉的庫存逐漸消耗，進入</w:t>
      </w:r>
      <w:r w:rsidRPr="00131B9D">
        <w:t>2016</w:t>
      </w:r>
      <w:r w:rsidRPr="00131B9D">
        <w:t>年後，供需形勢逐漸吃緊，預計未來玉米價格可能走強。糖方面，國際糖業組織（</w:t>
      </w:r>
      <w:r w:rsidRPr="00131B9D">
        <w:t>ISO</w:t>
      </w:r>
      <w:r w:rsidRPr="00131B9D">
        <w:t>）</w:t>
      </w:r>
      <w:r w:rsidRPr="00131B9D">
        <w:t>11</w:t>
      </w:r>
      <w:r w:rsidRPr="00131B9D">
        <w:t>月季度報告指出，因為印度、歐盟和烏克蘭產量可能下滑，上調全球</w:t>
      </w:r>
      <w:r w:rsidRPr="00131B9D">
        <w:t>2015/16</w:t>
      </w:r>
      <w:r w:rsidRPr="00131B9D">
        <w:t>年度全球糖短缺預估，稱短缺可能延續至下個市場年度。並表示在過去幾年的過剩之後，看上去市場能夠彌補無法預料的產量下滑，但貿易平衡已經趨緊。雖出口和進口需求能很好的平衡，故目前全球市場現貨供應沒有出現短缺，未來市場仍然倚仗巴西、中國大陸和印度的糖市發展。世界銀行及</w:t>
      </w:r>
      <w:r w:rsidRPr="00131B9D">
        <w:t>IMF</w:t>
      </w:r>
      <w:r w:rsidRPr="00131B9D">
        <w:t>在今年下半年的預測則如下所示（如表</w:t>
      </w:r>
      <w:r w:rsidRPr="00131B9D">
        <w:t>3-1</w:t>
      </w:r>
      <w:r w:rsidR="001F72BE" w:rsidRPr="00131B9D">
        <w:t>2</w:t>
      </w:r>
      <w:r w:rsidRPr="00131B9D">
        <w:t>）。</w:t>
      </w:r>
    </w:p>
    <w:p w:rsidR="00F279F7" w:rsidRPr="00131B9D" w:rsidRDefault="00F279F7" w:rsidP="00F279F7"/>
    <w:p w:rsidR="00F279F7" w:rsidRPr="00131B9D" w:rsidRDefault="00F279F7" w:rsidP="00F279F7">
      <w:pPr>
        <w:pStyle w:val="aff1"/>
        <w:spacing w:line="0" w:lineRule="atLeast"/>
        <w:rPr>
          <w:b w:val="0"/>
          <w:bCs/>
          <w:kern w:val="52"/>
          <w:szCs w:val="28"/>
        </w:rPr>
      </w:pPr>
      <w:bookmarkStart w:id="390" w:name="_Toc439163001"/>
      <w:r w:rsidRPr="00131B9D">
        <w:rPr>
          <w:bCs/>
          <w:kern w:val="52"/>
          <w:szCs w:val="28"/>
        </w:rPr>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12</w:t>
      </w:r>
      <w:r w:rsidRPr="00131B9D">
        <w:rPr>
          <w:b w:val="0"/>
          <w:bCs/>
          <w:kern w:val="52"/>
          <w:szCs w:val="28"/>
        </w:rPr>
        <w:fldChar w:fldCharType="end"/>
      </w:r>
      <w:r w:rsidRPr="00131B9D">
        <w:rPr>
          <w:bCs/>
          <w:kern w:val="52"/>
          <w:szCs w:val="28"/>
        </w:rPr>
        <w:t xml:space="preserve">　國際糧食價格預測</w:t>
      </w:r>
      <w:bookmarkEnd w:id="389"/>
      <w:bookmarkEnd w:id="390"/>
    </w:p>
    <w:tbl>
      <w:tblPr>
        <w:tblW w:w="87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000" w:firstRow="0" w:lastRow="0" w:firstColumn="0" w:lastColumn="0" w:noHBand="0" w:noVBand="0"/>
      </w:tblPr>
      <w:tblGrid>
        <w:gridCol w:w="1455"/>
        <w:gridCol w:w="2640"/>
        <w:gridCol w:w="2352"/>
        <w:gridCol w:w="2352"/>
      </w:tblGrid>
      <w:tr w:rsidR="00BC42BF" w:rsidRPr="00131B9D" w:rsidTr="00DB6505">
        <w:trPr>
          <w:trHeight w:val="222"/>
          <w:jc w:val="center"/>
        </w:trPr>
        <w:tc>
          <w:tcPr>
            <w:tcW w:w="1455" w:type="dxa"/>
            <w:vMerge w:val="restart"/>
            <w:shd w:val="clear" w:color="auto" w:fill="D9D9D9"/>
            <w:noWrap/>
            <w:vAlign w:val="center"/>
          </w:tcPr>
          <w:p w:rsidR="00BC42BF" w:rsidRPr="00131B9D" w:rsidRDefault="00BC42BF" w:rsidP="00DB6505">
            <w:pPr>
              <w:widowControl/>
              <w:spacing w:line="240" w:lineRule="exact"/>
              <w:jc w:val="center"/>
              <w:rPr>
                <w:rFonts w:eastAsia="標楷體"/>
                <w:b/>
                <w:kern w:val="0"/>
              </w:rPr>
            </w:pPr>
            <w:r w:rsidRPr="00131B9D">
              <w:rPr>
                <w:rFonts w:eastAsia="標楷體"/>
                <w:b/>
                <w:kern w:val="0"/>
              </w:rPr>
              <w:t>（美元</w:t>
            </w:r>
            <w:r w:rsidRPr="00131B9D">
              <w:rPr>
                <w:rFonts w:eastAsia="標楷體"/>
                <w:b/>
                <w:kern w:val="0"/>
              </w:rPr>
              <w:t>/</w:t>
            </w:r>
            <w:r w:rsidRPr="00131B9D">
              <w:rPr>
                <w:rFonts w:eastAsia="標楷體"/>
                <w:b/>
                <w:kern w:val="0"/>
              </w:rPr>
              <w:t>噸）</w:t>
            </w:r>
          </w:p>
        </w:tc>
        <w:tc>
          <w:tcPr>
            <w:tcW w:w="2640" w:type="dxa"/>
            <w:vMerge w:val="restart"/>
            <w:shd w:val="clear" w:color="auto" w:fill="D9D9D9"/>
            <w:noWrap/>
            <w:vAlign w:val="center"/>
          </w:tcPr>
          <w:p w:rsidR="00BC42BF" w:rsidRPr="00131B9D" w:rsidRDefault="00BC42BF" w:rsidP="00DB6505">
            <w:pPr>
              <w:widowControl/>
              <w:spacing w:line="240" w:lineRule="exact"/>
              <w:jc w:val="center"/>
              <w:rPr>
                <w:rFonts w:eastAsia="標楷體"/>
                <w:b/>
                <w:kern w:val="0"/>
              </w:rPr>
            </w:pPr>
            <w:r w:rsidRPr="00131B9D">
              <w:rPr>
                <w:rFonts w:eastAsia="標楷體"/>
                <w:b/>
                <w:kern w:val="0"/>
              </w:rPr>
              <w:t>2015</w:t>
            </w:r>
            <w:r w:rsidRPr="00131B9D">
              <w:rPr>
                <w:rFonts w:eastAsia="標楷體"/>
                <w:b/>
                <w:kern w:val="0"/>
              </w:rPr>
              <w:t>年</w:t>
            </w:r>
            <w:r w:rsidRPr="00131B9D">
              <w:rPr>
                <w:rFonts w:eastAsia="標楷體"/>
                <w:b/>
                <w:kern w:val="0"/>
              </w:rPr>
              <w:t>1-10</w:t>
            </w:r>
            <w:r w:rsidRPr="00131B9D">
              <w:rPr>
                <w:rFonts w:eastAsia="標楷體"/>
                <w:b/>
                <w:kern w:val="0"/>
              </w:rPr>
              <w:t>月</w:t>
            </w:r>
          </w:p>
        </w:tc>
        <w:tc>
          <w:tcPr>
            <w:tcW w:w="4704" w:type="dxa"/>
            <w:gridSpan w:val="2"/>
            <w:shd w:val="clear" w:color="auto" w:fill="D9D9D9"/>
            <w:noWrap/>
            <w:vAlign w:val="center"/>
          </w:tcPr>
          <w:p w:rsidR="00BC42BF" w:rsidRPr="00131B9D" w:rsidRDefault="00BC42BF" w:rsidP="00DB6505">
            <w:pPr>
              <w:widowControl/>
              <w:spacing w:line="240" w:lineRule="exact"/>
              <w:jc w:val="center"/>
              <w:rPr>
                <w:rFonts w:eastAsia="標楷體"/>
                <w:b/>
                <w:kern w:val="0"/>
              </w:rPr>
            </w:pPr>
            <w:r w:rsidRPr="00131B9D">
              <w:rPr>
                <w:rFonts w:eastAsia="標楷體"/>
                <w:b/>
                <w:kern w:val="0"/>
              </w:rPr>
              <w:t>2016</w:t>
            </w:r>
            <w:r w:rsidRPr="00131B9D">
              <w:rPr>
                <w:rFonts w:eastAsia="標楷體"/>
                <w:b/>
                <w:kern w:val="0"/>
              </w:rPr>
              <w:t>年（</w:t>
            </w:r>
            <w:r w:rsidRPr="00131B9D">
              <w:rPr>
                <w:rFonts w:eastAsia="標楷體"/>
                <w:b/>
                <w:kern w:val="0"/>
              </w:rPr>
              <w:t>f</w:t>
            </w:r>
            <w:r w:rsidRPr="00131B9D">
              <w:rPr>
                <w:rFonts w:eastAsia="標楷體"/>
                <w:b/>
                <w:kern w:val="0"/>
              </w:rPr>
              <w:t>）</w:t>
            </w:r>
          </w:p>
        </w:tc>
      </w:tr>
      <w:tr w:rsidR="00BC42BF" w:rsidRPr="00131B9D" w:rsidTr="00DB6505">
        <w:trPr>
          <w:trHeight w:val="164"/>
          <w:jc w:val="center"/>
        </w:trPr>
        <w:tc>
          <w:tcPr>
            <w:tcW w:w="1455" w:type="dxa"/>
            <w:vMerge/>
            <w:shd w:val="clear" w:color="auto" w:fill="D9D9D9"/>
            <w:vAlign w:val="center"/>
          </w:tcPr>
          <w:p w:rsidR="00BC42BF" w:rsidRPr="00131B9D" w:rsidRDefault="00BC42BF" w:rsidP="00DB6505">
            <w:pPr>
              <w:widowControl/>
              <w:spacing w:line="240" w:lineRule="exact"/>
              <w:jc w:val="center"/>
              <w:rPr>
                <w:rFonts w:eastAsia="標楷體"/>
                <w:b/>
                <w:kern w:val="0"/>
              </w:rPr>
            </w:pPr>
          </w:p>
        </w:tc>
        <w:tc>
          <w:tcPr>
            <w:tcW w:w="2640" w:type="dxa"/>
            <w:vMerge/>
            <w:shd w:val="clear" w:color="auto" w:fill="D9D9D9"/>
            <w:vAlign w:val="center"/>
          </w:tcPr>
          <w:p w:rsidR="00BC42BF" w:rsidRPr="00131B9D" w:rsidRDefault="00BC42BF" w:rsidP="00DB6505">
            <w:pPr>
              <w:widowControl/>
              <w:spacing w:line="240" w:lineRule="exact"/>
              <w:jc w:val="center"/>
              <w:rPr>
                <w:rFonts w:eastAsia="標楷體"/>
                <w:b/>
                <w:kern w:val="0"/>
              </w:rPr>
            </w:pPr>
          </w:p>
        </w:tc>
        <w:tc>
          <w:tcPr>
            <w:tcW w:w="2352" w:type="dxa"/>
            <w:shd w:val="clear" w:color="auto" w:fill="D9D9D9"/>
            <w:noWrap/>
            <w:vAlign w:val="center"/>
          </w:tcPr>
          <w:p w:rsidR="00BC42BF" w:rsidRPr="00131B9D" w:rsidRDefault="00BC42BF" w:rsidP="00DB6505">
            <w:pPr>
              <w:widowControl/>
              <w:spacing w:line="240" w:lineRule="exact"/>
              <w:jc w:val="center"/>
              <w:rPr>
                <w:rFonts w:eastAsia="標楷體"/>
                <w:b/>
                <w:kern w:val="0"/>
              </w:rPr>
            </w:pPr>
            <w:r w:rsidRPr="00131B9D">
              <w:rPr>
                <w:rFonts w:eastAsia="標楷體"/>
                <w:b/>
                <w:kern w:val="0"/>
              </w:rPr>
              <w:t>世界銀行</w:t>
            </w:r>
          </w:p>
        </w:tc>
        <w:tc>
          <w:tcPr>
            <w:tcW w:w="2352" w:type="dxa"/>
            <w:shd w:val="clear" w:color="auto" w:fill="D9D9D9"/>
            <w:noWrap/>
            <w:vAlign w:val="center"/>
          </w:tcPr>
          <w:p w:rsidR="00BC42BF" w:rsidRPr="00131B9D" w:rsidRDefault="00BC42BF" w:rsidP="00DB6505">
            <w:pPr>
              <w:widowControl/>
              <w:spacing w:line="240" w:lineRule="exact"/>
              <w:jc w:val="center"/>
              <w:rPr>
                <w:rFonts w:eastAsia="標楷體"/>
                <w:b/>
                <w:kern w:val="0"/>
              </w:rPr>
            </w:pPr>
            <w:r w:rsidRPr="00131B9D">
              <w:rPr>
                <w:rFonts w:eastAsia="標楷體"/>
                <w:b/>
                <w:kern w:val="0"/>
              </w:rPr>
              <w:t>國際貨幣基金</w:t>
            </w:r>
          </w:p>
        </w:tc>
      </w:tr>
      <w:tr w:rsidR="00BC42BF" w:rsidRPr="00131B9D" w:rsidTr="00DB6505">
        <w:trPr>
          <w:trHeight w:val="70"/>
          <w:jc w:val="center"/>
        </w:trPr>
        <w:tc>
          <w:tcPr>
            <w:tcW w:w="1455"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小麥</w:t>
            </w:r>
          </w:p>
        </w:tc>
        <w:tc>
          <w:tcPr>
            <w:tcW w:w="2640"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205</w:t>
            </w:r>
          </w:p>
        </w:tc>
        <w:tc>
          <w:tcPr>
            <w:tcW w:w="2352"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210.7</w:t>
            </w:r>
          </w:p>
        </w:tc>
        <w:tc>
          <w:tcPr>
            <w:tcW w:w="2352"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186.9</w:t>
            </w:r>
          </w:p>
        </w:tc>
      </w:tr>
      <w:tr w:rsidR="00BC42BF" w:rsidRPr="00131B9D" w:rsidTr="00DB6505">
        <w:trPr>
          <w:trHeight w:val="70"/>
          <w:jc w:val="center"/>
        </w:trPr>
        <w:tc>
          <w:tcPr>
            <w:tcW w:w="1455"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玉米</w:t>
            </w:r>
          </w:p>
        </w:tc>
        <w:tc>
          <w:tcPr>
            <w:tcW w:w="2640"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170</w:t>
            </w:r>
          </w:p>
        </w:tc>
        <w:tc>
          <w:tcPr>
            <w:tcW w:w="2352"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174.4</w:t>
            </w:r>
          </w:p>
        </w:tc>
        <w:tc>
          <w:tcPr>
            <w:tcW w:w="2352"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152.9</w:t>
            </w:r>
          </w:p>
        </w:tc>
      </w:tr>
      <w:tr w:rsidR="00BC42BF" w:rsidRPr="00131B9D" w:rsidTr="00DB6505">
        <w:trPr>
          <w:trHeight w:val="70"/>
          <w:jc w:val="center"/>
        </w:trPr>
        <w:tc>
          <w:tcPr>
            <w:tcW w:w="1455"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黃豆</w:t>
            </w:r>
          </w:p>
        </w:tc>
        <w:tc>
          <w:tcPr>
            <w:tcW w:w="2640"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390</w:t>
            </w:r>
          </w:p>
        </w:tc>
        <w:tc>
          <w:tcPr>
            <w:tcW w:w="2352"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401</w:t>
            </w:r>
          </w:p>
        </w:tc>
        <w:tc>
          <w:tcPr>
            <w:tcW w:w="2352"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327.1</w:t>
            </w:r>
          </w:p>
        </w:tc>
      </w:tr>
      <w:tr w:rsidR="00BC42BF" w:rsidRPr="00131B9D" w:rsidTr="00DB6505">
        <w:trPr>
          <w:trHeight w:val="70"/>
          <w:jc w:val="center"/>
        </w:trPr>
        <w:tc>
          <w:tcPr>
            <w:tcW w:w="1455"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糖</w:t>
            </w:r>
          </w:p>
        </w:tc>
        <w:tc>
          <w:tcPr>
            <w:tcW w:w="2640"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290</w:t>
            </w:r>
          </w:p>
        </w:tc>
        <w:tc>
          <w:tcPr>
            <w:tcW w:w="2352"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290</w:t>
            </w:r>
          </w:p>
        </w:tc>
        <w:tc>
          <w:tcPr>
            <w:tcW w:w="2352" w:type="dxa"/>
            <w:noWrap/>
            <w:vAlign w:val="center"/>
          </w:tcPr>
          <w:p w:rsidR="00BC42BF" w:rsidRPr="00131B9D" w:rsidRDefault="00BC42BF" w:rsidP="00DB6505">
            <w:pPr>
              <w:widowControl/>
              <w:spacing w:line="240" w:lineRule="exact"/>
              <w:jc w:val="center"/>
              <w:rPr>
                <w:rFonts w:eastAsia="標楷體"/>
                <w:kern w:val="0"/>
              </w:rPr>
            </w:pPr>
            <w:r w:rsidRPr="00131B9D">
              <w:rPr>
                <w:rFonts w:eastAsia="標楷體"/>
                <w:kern w:val="0"/>
              </w:rPr>
              <w:t>284</w:t>
            </w:r>
          </w:p>
        </w:tc>
      </w:tr>
      <w:tr w:rsidR="00BC42BF" w:rsidRPr="00131B9D" w:rsidTr="00DB6505">
        <w:trPr>
          <w:trHeight w:val="329"/>
          <w:jc w:val="center"/>
        </w:trPr>
        <w:tc>
          <w:tcPr>
            <w:tcW w:w="8799" w:type="dxa"/>
            <w:gridSpan w:val="4"/>
            <w:tcBorders>
              <w:left w:val="nil"/>
              <w:bottom w:val="nil"/>
              <w:right w:val="nil"/>
            </w:tcBorders>
            <w:noWrap/>
            <w:vAlign w:val="center"/>
          </w:tcPr>
          <w:p w:rsidR="00BC42BF" w:rsidRPr="00131B9D" w:rsidRDefault="00BC42BF" w:rsidP="00DB6505">
            <w:pPr>
              <w:pStyle w:val="-"/>
              <w:spacing w:beforeLines="0" w:afterLines="0" w:line="240" w:lineRule="exact"/>
              <w:ind w:firstLineChars="0" w:firstLine="0"/>
              <w:rPr>
                <w:sz w:val="20"/>
                <w:szCs w:val="20"/>
              </w:rPr>
            </w:pPr>
            <w:r w:rsidRPr="00131B9D">
              <w:rPr>
                <w:sz w:val="20"/>
                <w:szCs w:val="20"/>
              </w:rPr>
              <w:t>資料來源：世界銀行</w:t>
            </w:r>
            <w:r w:rsidRPr="00131B9D">
              <w:rPr>
                <w:sz w:val="20"/>
                <w:szCs w:val="20"/>
              </w:rPr>
              <w:t>, 2015/10/20, “World Bank Commodities Price Forecast”</w:t>
            </w:r>
          </w:p>
          <w:p w:rsidR="00BC42BF" w:rsidRPr="00131B9D" w:rsidRDefault="00BC42BF" w:rsidP="00DB6505">
            <w:pPr>
              <w:pStyle w:val="-"/>
              <w:spacing w:beforeLines="0" w:afterLines="0" w:line="240" w:lineRule="exact"/>
              <w:ind w:firstLineChars="525" w:firstLine="1050"/>
              <w:rPr>
                <w:sz w:val="20"/>
                <w:szCs w:val="20"/>
              </w:rPr>
            </w:pPr>
            <w:r w:rsidRPr="00131B9D">
              <w:rPr>
                <w:sz w:val="20"/>
                <w:szCs w:val="20"/>
              </w:rPr>
              <w:t>國際貨幣基金</w:t>
            </w:r>
            <w:r w:rsidRPr="00131B9D">
              <w:rPr>
                <w:sz w:val="20"/>
                <w:szCs w:val="20"/>
              </w:rPr>
              <w:t>, 2015/12/10, “Primary Price Forecasts”</w:t>
            </w:r>
          </w:p>
          <w:p w:rsidR="00BC42BF" w:rsidRPr="00131B9D" w:rsidRDefault="00BC42BF" w:rsidP="00DB6505">
            <w:pPr>
              <w:pStyle w:val="-"/>
              <w:spacing w:beforeLines="0" w:afterLines="0" w:line="240" w:lineRule="exact"/>
              <w:ind w:firstLineChars="0" w:firstLine="0"/>
              <w:rPr>
                <w:kern w:val="0"/>
              </w:rPr>
            </w:pPr>
            <w:r w:rsidRPr="00131B9D">
              <w:rPr>
                <w:sz w:val="20"/>
                <w:szCs w:val="20"/>
              </w:rPr>
              <w:t>註：因各機構預測時間點不同，所應用之基礎估計資訊將有差異，故各機構間對未來品項價格預測數值和趨勢並不完全一致。</w:t>
            </w:r>
          </w:p>
        </w:tc>
      </w:tr>
    </w:tbl>
    <w:p w:rsidR="00F279F7" w:rsidRPr="00131B9D" w:rsidRDefault="00F279F7" w:rsidP="00F279F7">
      <w:pPr>
        <w:sectPr w:rsidR="00F279F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3"/>
        <w:spacing w:beforeLines="100" w:before="360"/>
        <w:ind w:left="1135" w:hangingChars="315" w:hanging="1135"/>
        <w:rPr>
          <w:rFonts w:ascii="Times New Roman" w:hAnsi="Times New Roman"/>
        </w:rPr>
      </w:pPr>
      <w:r w:rsidRPr="00131B9D">
        <w:rPr>
          <w:rFonts w:ascii="Times New Roman" w:hAnsi="Times New Roman"/>
        </w:rPr>
        <w:lastRenderedPageBreak/>
        <w:t>（二）產量增加，經濟活動趨緩，基本金屬價格普遍偏弱</w:t>
      </w:r>
    </w:p>
    <w:p w:rsidR="00F279F7" w:rsidRPr="00131B9D" w:rsidRDefault="00377B4E" w:rsidP="00F279F7">
      <w:pPr>
        <w:pStyle w:val="-"/>
        <w:spacing w:before="72" w:after="72"/>
        <w:ind w:firstLine="560"/>
      </w:pPr>
      <w:r w:rsidRPr="00131B9D">
        <w:t>2015</w:t>
      </w:r>
      <w:r w:rsidRPr="00131B9D">
        <w:t>年基本金屬價格整體表現疲弱。第</w:t>
      </w:r>
      <w:r w:rsidRPr="00131B9D">
        <w:t>1</w:t>
      </w:r>
      <w:r w:rsidRPr="00131B9D">
        <w:t>季時，美國製造業產出連續第</w:t>
      </w:r>
      <w:r w:rsidRPr="00131B9D">
        <w:t>3</w:t>
      </w:r>
      <w:r w:rsidRPr="00131B9D">
        <w:t>個月下滑，反映美國第</w:t>
      </w:r>
      <w:r w:rsidRPr="00131B9D">
        <w:t>1</w:t>
      </w:r>
      <w:r w:rsidRPr="00131B9D">
        <w:t>季經濟活動放緩。此外，中國大陸國家統計局公佈</w:t>
      </w:r>
      <w:r w:rsidRPr="00131B9D">
        <w:t>2015</w:t>
      </w:r>
      <w:r w:rsidRPr="00131B9D">
        <w:t>年</w:t>
      </w:r>
      <w:r w:rsidRPr="00131B9D">
        <w:t>1</w:t>
      </w:r>
      <w:r w:rsidRPr="00131B9D">
        <w:t>、</w:t>
      </w:r>
      <w:r w:rsidRPr="00131B9D">
        <w:t>2</w:t>
      </w:r>
      <w:r w:rsidRPr="00131B9D">
        <w:t>月份規模以上工業生產年增</w:t>
      </w:r>
      <w:r w:rsidRPr="00131B9D">
        <w:t>6.8%</w:t>
      </w:r>
      <w:r w:rsidRPr="00131B9D">
        <w:t>，低於彭博預估的</w:t>
      </w:r>
      <w:r w:rsidRPr="00131B9D">
        <w:t>7.7%</w:t>
      </w:r>
      <w:r w:rsidRPr="00131B9D">
        <w:t>，更創</w:t>
      </w:r>
      <w:r w:rsidRPr="00131B9D">
        <w:t>2009</w:t>
      </w:r>
      <w:r w:rsidRPr="00131B9D">
        <w:t>年來同期新低，中國大陸</w:t>
      </w:r>
      <w:r w:rsidRPr="00131B9D">
        <w:t>1</w:t>
      </w:r>
      <w:r w:rsidRPr="00131B9D">
        <w:t>、</w:t>
      </w:r>
      <w:r w:rsidRPr="00131B9D">
        <w:t>2</w:t>
      </w:r>
      <w:r w:rsidRPr="00131B9D">
        <w:t>月份商品房銷售額較去年同期下滑</w:t>
      </w:r>
      <w:r w:rsidRPr="00131B9D">
        <w:t>15.8%</w:t>
      </w:r>
      <w:r w:rsidRPr="00131B9D">
        <w:t>；日本經濟產業省公佈</w:t>
      </w:r>
      <w:r w:rsidRPr="00131B9D">
        <w:t>2</w:t>
      </w:r>
      <w:r w:rsidRPr="00131B9D">
        <w:t>月工業生產較</w:t>
      </w:r>
      <w:r w:rsidRPr="00131B9D">
        <w:t>1</w:t>
      </w:r>
      <w:r w:rsidRPr="00131B9D">
        <w:t>月降</w:t>
      </w:r>
      <w:r w:rsidRPr="00131B9D">
        <w:t>3.4%</w:t>
      </w:r>
      <w:r w:rsidRPr="00131B9D">
        <w:t>，降幅接近預估值</w:t>
      </w:r>
      <w:r w:rsidRPr="00131B9D">
        <w:t>1.8%</w:t>
      </w:r>
      <w:r w:rsidRPr="00131B9D">
        <w:t>的</w:t>
      </w:r>
      <w:r w:rsidRPr="00131B9D">
        <w:t>2</w:t>
      </w:r>
      <w:r w:rsidRPr="00131B9D">
        <w:t>倍；景氣的不佳，顯示</w:t>
      </w:r>
      <w:r w:rsidR="00B22890" w:rsidRPr="00131B9D">
        <w:t>部分</w:t>
      </w:r>
      <w:r w:rsidRPr="00131B9D">
        <w:t>需求疲軟。到了第</w:t>
      </w:r>
      <w:r w:rsidRPr="00131B9D">
        <w:t>2</w:t>
      </w:r>
      <w:r w:rsidRPr="00131B9D">
        <w:t>季，基本金屬領先指數雖然已經在</w:t>
      </w:r>
      <w:r w:rsidRPr="00131B9D">
        <w:t>4</w:t>
      </w:r>
      <w:r w:rsidRPr="00131B9D">
        <w:t>、</w:t>
      </w:r>
      <w:r w:rsidRPr="00131B9D">
        <w:t>5</w:t>
      </w:r>
      <w:r w:rsidRPr="00131B9D">
        <w:t>月份連續</w:t>
      </w:r>
      <w:r w:rsidRPr="00131B9D">
        <w:t>2</w:t>
      </w:r>
      <w:r w:rsidRPr="00131B9D">
        <w:t>個月回升，但還沒有回到顯示金屬產業活動增長的區域當中，製造業的金屬需求仍舊疲軟，另外，中國大陸的需求放緩，此外包括美國可能在今年內升息，以及希臘債務問題等，也都是拖累金屬價格的主要因。</w:t>
      </w:r>
      <w:r w:rsidRPr="00131B9D">
        <w:t>2015</w:t>
      </w:r>
      <w:r w:rsidRPr="00131B9D">
        <w:t>年下半年金屬表現依然不佳，持續受到中國大陸經濟增長放緩等一系列因素影響下滑至數年內低點，新興市場普遍經濟疲軟的國際形勢使金屬的需求量大幅下降，鐵、鎳、銅以及其他金屬的價格已經跌至近五、六年的最低水準。世界銀行及</w:t>
      </w:r>
      <w:r w:rsidRPr="00131B9D">
        <w:t>IMF</w:t>
      </w:r>
      <w:r w:rsidRPr="00131B9D">
        <w:t>對於</w:t>
      </w:r>
      <w:r w:rsidRPr="00131B9D">
        <w:t>2016</w:t>
      </w:r>
      <w:r w:rsidRPr="00131B9D">
        <w:t>年的金屬價格預測，則大致如表</w:t>
      </w:r>
      <w:r w:rsidRPr="00131B9D">
        <w:t>3-13</w:t>
      </w:r>
      <w:r w:rsidRPr="00131B9D">
        <w:t>所示。</w:t>
      </w:r>
    </w:p>
    <w:p w:rsidR="003B29E8" w:rsidRPr="00131B9D" w:rsidRDefault="003B29E8" w:rsidP="003B29E8"/>
    <w:p w:rsidR="00F279F7" w:rsidRPr="00131B9D" w:rsidRDefault="00F279F7" w:rsidP="00F279F7">
      <w:pPr>
        <w:pStyle w:val="aff1"/>
        <w:spacing w:line="0" w:lineRule="atLeast"/>
        <w:rPr>
          <w:b w:val="0"/>
          <w:bCs/>
          <w:kern w:val="52"/>
          <w:szCs w:val="28"/>
        </w:rPr>
      </w:pPr>
      <w:bookmarkStart w:id="391" w:name="_Toc375298462"/>
      <w:bookmarkStart w:id="392" w:name="_Toc439163002"/>
      <w:r w:rsidRPr="00131B9D">
        <w:rPr>
          <w:bCs/>
          <w:kern w:val="52"/>
          <w:szCs w:val="28"/>
        </w:rPr>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13</w:t>
      </w:r>
      <w:r w:rsidRPr="00131B9D">
        <w:rPr>
          <w:b w:val="0"/>
          <w:bCs/>
          <w:kern w:val="52"/>
          <w:szCs w:val="28"/>
        </w:rPr>
        <w:fldChar w:fldCharType="end"/>
      </w:r>
      <w:r w:rsidRPr="00131B9D">
        <w:rPr>
          <w:bCs/>
          <w:kern w:val="52"/>
          <w:szCs w:val="28"/>
        </w:rPr>
        <w:t xml:space="preserve">　國際基本</w:t>
      </w:r>
      <w:r w:rsidRPr="00131B9D">
        <w:rPr>
          <w:szCs w:val="28"/>
        </w:rPr>
        <w:t>金屬</w:t>
      </w:r>
      <w:r w:rsidRPr="00131B9D">
        <w:rPr>
          <w:bCs/>
          <w:kern w:val="52"/>
          <w:szCs w:val="28"/>
        </w:rPr>
        <w:t>價格預測</w:t>
      </w:r>
      <w:bookmarkEnd w:id="391"/>
      <w:bookmarkEnd w:id="392"/>
    </w:p>
    <w:tbl>
      <w:tblPr>
        <w:tblW w:w="87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000" w:firstRow="0" w:lastRow="0" w:firstColumn="0" w:lastColumn="0" w:noHBand="0" w:noVBand="0"/>
      </w:tblPr>
      <w:tblGrid>
        <w:gridCol w:w="1455"/>
        <w:gridCol w:w="2640"/>
        <w:gridCol w:w="2352"/>
        <w:gridCol w:w="2352"/>
      </w:tblGrid>
      <w:tr w:rsidR="00F279F7" w:rsidRPr="00131B9D" w:rsidTr="003B29E8">
        <w:trPr>
          <w:trHeight w:val="222"/>
          <w:jc w:val="center"/>
        </w:trPr>
        <w:tc>
          <w:tcPr>
            <w:tcW w:w="1455" w:type="dxa"/>
            <w:vMerge w:val="restart"/>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（美元</w:t>
            </w:r>
            <w:r w:rsidRPr="00131B9D">
              <w:rPr>
                <w:rFonts w:eastAsia="標楷體"/>
                <w:b/>
                <w:kern w:val="0"/>
              </w:rPr>
              <w:t>/</w:t>
            </w:r>
            <w:r w:rsidRPr="00131B9D">
              <w:rPr>
                <w:rFonts w:eastAsia="標楷體"/>
                <w:b/>
                <w:kern w:val="0"/>
              </w:rPr>
              <w:t>噸）</w:t>
            </w:r>
          </w:p>
        </w:tc>
        <w:tc>
          <w:tcPr>
            <w:tcW w:w="2640" w:type="dxa"/>
            <w:vMerge w:val="restart"/>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2015</w:t>
            </w:r>
            <w:r w:rsidRPr="00131B9D">
              <w:rPr>
                <w:rFonts w:eastAsia="標楷體"/>
                <w:b/>
                <w:kern w:val="0"/>
              </w:rPr>
              <w:t>年</w:t>
            </w:r>
            <w:r w:rsidRPr="00131B9D">
              <w:rPr>
                <w:rFonts w:eastAsia="標楷體"/>
                <w:b/>
                <w:kern w:val="0"/>
              </w:rPr>
              <w:t>1-10</w:t>
            </w:r>
            <w:r w:rsidRPr="00131B9D">
              <w:rPr>
                <w:rFonts w:eastAsia="標楷體"/>
                <w:b/>
                <w:kern w:val="0"/>
              </w:rPr>
              <w:t>月</w:t>
            </w:r>
          </w:p>
        </w:tc>
        <w:tc>
          <w:tcPr>
            <w:tcW w:w="4704" w:type="dxa"/>
            <w:gridSpan w:val="2"/>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2016</w:t>
            </w:r>
            <w:r w:rsidRPr="00131B9D">
              <w:rPr>
                <w:rFonts w:eastAsia="標楷體"/>
                <w:b/>
                <w:kern w:val="0"/>
              </w:rPr>
              <w:t>年（</w:t>
            </w:r>
            <w:r w:rsidRPr="00131B9D">
              <w:rPr>
                <w:rFonts w:eastAsia="標楷體"/>
                <w:b/>
                <w:kern w:val="0"/>
              </w:rPr>
              <w:t>f</w:t>
            </w:r>
            <w:r w:rsidRPr="00131B9D">
              <w:rPr>
                <w:rFonts w:eastAsia="標楷體"/>
                <w:b/>
                <w:kern w:val="0"/>
              </w:rPr>
              <w:t>）</w:t>
            </w:r>
          </w:p>
        </w:tc>
      </w:tr>
      <w:tr w:rsidR="00F279F7" w:rsidRPr="00131B9D" w:rsidTr="003B29E8">
        <w:trPr>
          <w:trHeight w:val="164"/>
          <w:jc w:val="center"/>
        </w:trPr>
        <w:tc>
          <w:tcPr>
            <w:tcW w:w="1455" w:type="dxa"/>
            <w:vMerge/>
            <w:shd w:val="clear" w:color="auto" w:fill="D9D9D9"/>
            <w:vAlign w:val="center"/>
          </w:tcPr>
          <w:p w:rsidR="00F279F7" w:rsidRPr="00131B9D" w:rsidRDefault="00F279F7" w:rsidP="00F279F7">
            <w:pPr>
              <w:widowControl/>
              <w:spacing w:line="240" w:lineRule="exact"/>
              <w:jc w:val="center"/>
              <w:rPr>
                <w:rFonts w:eastAsia="標楷體"/>
                <w:b/>
                <w:kern w:val="0"/>
              </w:rPr>
            </w:pPr>
          </w:p>
        </w:tc>
        <w:tc>
          <w:tcPr>
            <w:tcW w:w="2640" w:type="dxa"/>
            <w:vMerge/>
            <w:shd w:val="clear" w:color="auto" w:fill="D9D9D9"/>
            <w:vAlign w:val="center"/>
          </w:tcPr>
          <w:p w:rsidR="00F279F7" w:rsidRPr="00131B9D" w:rsidRDefault="00F279F7" w:rsidP="00F279F7">
            <w:pPr>
              <w:widowControl/>
              <w:spacing w:line="240" w:lineRule="exact"/>
              <w:jc w:val="center"/>
              <w:rPr>
                <w:rFonts w:eastAsia="標楷體"/>
                <w:b/>
                <w:kern w:val="0"/>
              </w:rPr>
            </w:pPr>
          </w:p>
        </w:tc>
        <w:tc>
          <w:tcPr>
            <w:tcW w:w="2352" w:type="dxa"/>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世界銀行</w:t>
            </w:r>
          </w:p>
        </w:tc>
        <w:tc>
          <w:tcPr>
            <w:tcW w:w="2352" w:type="dxa"/>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國際貨幣基金</w:t>
            </w:r>
          </w:p>
        </w:tc>
      </w:tr>
      <w:tr w:rsidR="00BC42BF" w:rsidRPr="00131B9D" w:rsidTr="003B29E8">
        <w:trPr>
          <w:trHeight w:val="70"/>
          <w:jc w:val="center"/>
        </w:trPr>
        <w:tc>
          <w:tcPr>
            <w:tcW w:w="1455" w:type="dxa"/>
            <w:noWrap/>
            <w:vAlign w:val="center"/>
          </w:tcPr>
          <w:p w:rsidR="00BC42BF" w:rsidRPr="00131B9D" w:rsidRDefault="00BC42BF" w:rsidP="00BC42BF">
            <w:pPr>
              <w:widowControl/>
              <w:spacing w:line="240" w:lineRule="exact"/>
              <w:jc w:val="center"/>
              <w:rPr>
                <w:rFonts w:eastAsia="標楷體"/>
                <w:kern w:val="0"/>
              </w:rPr>
            </w:pPr>
            <w:r w:rsidRPr="00131B9D">
              <w:rPr>
                <w:rFonts w:eastAsia="標楷體"/>
                <w:kern w:val="0"/>
              </w:rPr>
              <w:t>鋁</w:t>
            </w:r>
          </w:p>
        </w:tc>
        <w:tc>
          <w:tcPr>
            <w:tcW w:w="2640"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1,700</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1,650</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1,506.3</w:t>
            </w:r>
          </w:p>
        </w:tc>
      </w:tr>
      <w:tr w:rsidR="00BC42BF" w:rsidRPr="00131B9D" w:rsidTr="003B29E8">
        <w:trPr>
          <w:trHeight w:val="70"/>
          <w:jc w:val="center"/>
        </w:trPr>
        <w:tc>
          <w:tcPr>
            <w:tcW w:w="1455" w:type="dxa"/>
            <w:noWrap/>
            <w:vAlign w:val="center"/>
          </w:tcPr>
          <w:p w:rsidR="00BC42BF" w:rsidRPr="00131B9D" w:rsidRDefault="00BC42BF" w:rsidP="00BC42BF">
            <w:pPr>
              <w:widowControl/>
              <w:spacing w:line="240" w:lineRule="exact"/>
              <w:jc w:val="center"/>
              <w:rPr>
                <w:rFonts w:eastAsia="標楷體"/>
                <w:kern w:val="0"/>
              </w:rPr>
            </w:pPr>
            <w:r w:rsidRPr="00131B9D">
              <w:rPr>
                <w:rFonts w:eastAsia="標楷體"/>
                <w:kern w:val="0"/>
              </w:rPr>
              <w:t>銅</w:t>
            </w:r>
          </w:p>
        </w:tc>
        <w:tc>
          <w:tcPr>
            <w:tcW w:w="2640"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5,625</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5,749</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4,587.7</w:t>
            </w:r>
          </w:p>
        </w:tc>
      </w:tr>
      <w:tr w:rsidR="00BC42BF" w:rsidRPr="00131B9D" w:rsidTr="003B29E8">
        <w:trPr>
          <w:trHeight w:val="70"/>
          <w:jc w:val="center"/>
        </w:trPr>
        <w:tc>
          <w:tcPr>
            <w:tcW w:w="1455" w:type="dxa"/>
            <w:noWrap/>
            <w:vAlign w:val="center"/>
          </w:tcPr>
          <w:p w:rsidR="00BC42BF" w:rsidRPr="00131B9D" w:rsidRDefault="00BC42BF" w:rsidP="00BC42BF">
            <w:pPr>
              <w:widowControl/>
              <w:spacing w:line="240" w:lineRule="exact"/>
              <w:jc w:val="center"/>
              <w:rPr>
                <w:rFonts w:eastAsia="標楷體"/>
                <w:kern w:val="0"/>
              </w:rPr>
            </w:pPr>
            <w:r w:rsidRPr="00131B9D">
              <w:rPr>
                <w:rFonts w:eastAsia="標楷體"/>
                <w:kern w:val="0"/>
              </w:rPr>
              <w:t>錫</w:t>
            </w:r>
          </w:p>
        </w:tc>
        <w:tc>
          <w:tcPr>
            <w:tcW w:w="2640"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16,300</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16,871</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14,519.8</w:t>
            </w:r>
          </w:p>
        </w:tc>
      </w:tr>
      <w:tr w:rsidR="00BC42BF" w:rsidRPr="00131B9D" w:rsidTr="003B29E8">
        <w:trPr>
          <w:trHeight w:val="70"/>
          <w:jc w:val="center"/>
        </w:trPr>
        <w:tc>
          <w:tcPr>
            <w:tcW w:w="1455" w:type="dxa"/>
            <w:noWrap/>
            <w:vAlign w:val="center"/>
          </w:tcPr>
          <w:p w:rsidR="00BC42BF" w:rsidRPr="00131B9D" w:rsidRDefault="00BC42BF" w:rsidP="00BC42BF">
            <w:pPr>
              <w:widowControl/>
              <w:spacing w:line="240" w:lineRule="exact"/>
              <w:jc w:val="center"/>
              <w:rPr>
                <w:rFonts w:eastAsia="標楷體"/>
                <w:kern w:val="0"/>
              </w:rPr>
            </w:pPr>
            <w:r w:rsidRPr="00131B9D">
              <w:rPr>
                <w:rFonts w:eastAsia="標楷體"/>
                <w:kern w:val="0"/>
              </w:rPr>
              <w:t>鎳</w:t>
            </w:r>
          </w:p>
        </w:tc>
        <w:tc>
          <w:tcPr>
            <w:tcW w:w="2640"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12,200</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12,818</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8,568.5</w:t>
            </w:r>
          </w:p>
        </w:tc>
      </w:tr>
      <w:tr w:rsidR="00BC42BF" w:rsidRPr="00131B9D" w:rsidTr="003B29E8">
        <w:trPr>
          <w:trHeight w:val="70"/>
          <w:jc w:val="center"/>
        </w:trPr>
        <w:tc>
          <w:tcPr>
            <w:tcW w:w="1455" w:type="dxa"/>
            <w:noWrap/>
            <w:vAlign w:val="center"/>
          </w:tcPr>
          <w:p w:rsidR="00BC42BF" w:rsidRPr="00131B9D" w:rsidRDefault="00BC42BF" w:rsidP="00BC42BF">
            <w:pPr>
              <w:widowControl/>
              <w:spacing w:line="240" w:lineRule="exact"/>
              <w:jc w:val="center"/>
              <w:rPr>
                <w:rFonts w:eastAsia="標楷體"/>
                <w:kern w:val="0"/>
              </w:rPr>
            </w:pPr>
            <w:r w:rsidRPr="00131B9D">
              <w:rPr>
                <w:rFonts w:eastAsia="標楷體"/>
                <w:kern w:val="0"/>
              </w:rPr>
              <w:t>鋅</w:t>
            </w:r>
          </w:p>
        </w:tc>
        <w:tc>
          <w:tcPr>
            <w:tcW w:w="2640"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1,980</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2,100</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1,545.3</w:t>
            </w:r>
          </w:p>
        </w:tc>
      </w:tr>
      <w:tr w:rsidR="00BC42BF" w:rsidRPr="00131B9D" w:rsidTr="003B29E8">
        <w:trPr>
          <w:trHeight w:val="70"/>
          <w:jc w:val="center"/>
        </w:trPr>
        <w:tc>
          <w:tcPr>
            <w:tcW w:w="1455" w:type="dxa"/>
            <w:noWrap/>
            <w:vAlign w:val="center"/>
          </w:tcPr>
          <w:p w:rsidR="00BC42BF" w:rsidRPr="00131B9D" w:rsidRDefault="00BC42BF" w:rsidP="00BC42BF">
            <w:pPr>
              <w:widowControl/>
              <w:spacing w:line="240" w:lineRule="exact"/>
              <w:jc w:val="center"/>
              <w:rPr>
                <w:rFonts w:eastAsia="標楷體"/>
                <w:kern w:val="0"/>
              </w:rPr>
            </w:pPr>
            <w:r w:rsidRPr="00131B9D">
              <w:rPr>
                <w:rFonts w:eastAsia="標楷體"/>
                <w:kern w:val="0"/>
              </w:rPr>
              <w:t>鉛</w:t>
            </w:r>
          </w:p>
        </w:tc>
        <w:tc>
          <w:tcPr>
            <w:tcW w:w="2640"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1,800</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1,836</w:t>
            </w:r>
          </w:p>
        </w:tc>
        <w:tc>
          <w:tcPr>
            <w:tcW w:w="2352" w:type="dxa"/>
            <w:noWrap/>
            <w:vAlign w:val="center"/>
          </w:tcPr>
          <w:p w:rsidR="00BC42BF" w:rsidRPr="00131B9D" w:rsidRDefault="00BC42BF" w:rsidP="00BC42BF">
            <w:pPr>
              <w:spacing w:line="240" w:lineRule="exact"/>
              <w:ind w:rightChars="100" w:right="240"/>
              <w:jc w:val="center"/>
              <w:rPr>
                <w:rFonts w:eastAsia="標楷體"/>
              </w:rPr>
            </w:pPr>
            <w:r w:rsidRPr="00131B9D">
              <w:rPr>
                <w:rFonts w:eastAsia="標楷體"/>
              </w:rPr>
              <w:t>1,714.1</w:t>
            </w:r>
          </w:p>
        </w:tc>
      </w:tr>
      <w:tr w:rsidR="00BC42BF" w:rsidRPr="00131B9D" w:rsidTr="003B29E8">
        <w:trPr>
          <w:trHeight w:val="329"/>
          <w:jc w:val="center"/>
        </w:trPr>
        <w:tc>
          <w:tcPr>
            <w:tcW w:w="8799" w:type="dxa"/>
            <w:gridSpan w:val="4"/>
            <w:tcBorders>
              <w:left w:val="nil"/>
              <w:bottom w:val="nil"/>
              <w:right w:val="nil"/>
            </w:tcBorders>
            <w:noWrap/>
            <w:vAlign w:val="center"/>
          </w:tcPr>
          <w:p w:rsidR="00BC42BF" w:rsidRPr="00131B9D" w:rsidRDefault="00BC42BF" w:rsidP="00BC42BF">
            <w:pPr>
              <w:pStyle w:val="-"/>
              <w:spacing w:beforeLines="0" w:afterLines="0" w:line="240" w:lineRule="exact"/>
              <w:ind w:firstLineChars="0" w:firstLine="0"/>
              <w:rPr>
                <w:sz w:val="16"/>
                <w:szCs w:val="20"/>
              </w:rPr>
            </w:pPr>
            <w:r w:rsidRPr="00131B9D">
              <w:rPr>
                <w:sz w:val="16"/>
                <w:szCs w:val="20"/>
              </w:rPr>
              <w:t>資料來源：世界銀行</w:t>
            </w:r>
            <w:r w:rsidRPr="00131B9D">
              <w:rPr>
                <w:sz w:val="16"/>
                <w:szCs w:val="20"/>
              </w:rPr>
              <w:t>, 2015/10/20, “World Bank Commodities Price Forecast”</w:t>
            </w:r>
            <w:r w:rsidRPr="00131B9D">
              <w:rPr>
                <w:sz w:val="16"/>
                <w:szCs w:val="20"/>
              </w:rPr>
              <w:t>國際貨幣基金</w:t>
            </w:r>
            <w:r w:rsidRPr="00131B9D">
              <w:rPr>
                <w:sz w:val="16"/>
                <w:szCs w:val="20"/>
              </w:rPr>
              <w:t>, 2015/12/10,“Primary Price Forecasts”</w:t>
            </w:r>
          </w:p>
          <w:p w:rsidR="00BC42BF" w:rsidRPr="00131B9D" w:rsidRDefault="00BC42BF" w:rsidP="00BC42BF">
            <w:pPr>
              <w:pStyle w:val="-"/>
              <w:spacing w:beforeLines="0" w:afterLines="0" w:line="240" w:lineRule="exact"/>
              <w:ind w:firstLineChars="0" w:firstLine="0"/>
              <w:rPr>
                <w:kern w:val="0"/>
                <w:sz w:val="20"/>
                <w:szCs w:val="20"/>
              </w:rPr>
            </w:pPr>
            <w:r w:rsidRPr="00131B9D">
              <w:rPr>
                <w:kern w:val="0"/>
                <w:sz w:val="20"/>
                <w:szCs w:val="20"/>
              </w:rPr>
              <w:t>註：因因各機構預測時間點不同，所應用之基礎估計資訊將有差異，故各機構間對未來品項價格預測數值和趨勢並不完全一致。</w:t>
            </w:r>
          </w:p>
        </w:tc>
      </w:tr>
    </w:tbl>
    <w:p w:rsidR="00F279F7" w:rsidRPr="00131B9D" w:rsidRDefault="00F279F7" w:rsidP="00F279F7">
      <w:pPr>
        <w:sectPr w:rsidR="00F279F7" w:rsidRPr="00131B9D" w:rsidSect="00097B8D">
          <w:pgSz w:w="11906" w:h="16838"/>
          <w:pgMar w:top="1440" w:right="1800" w:bottom="1440" w:left="1800" w:header="851" w:footer="992" w:gutter="0"/>
          <w:cols w:space="425"/>
          <w:docGrid w:type="lines" w:linePitch="360"/>
        </w:sectPr>
      </w:pPr>
    </w:p>
    <w:p w:rsidR="00F279F7" w:rsidRPr="00131B9D" w:rsidRDefault="00F279F7" w:rsidP="00F279F7">
      <w:pPr>
        <w:pStyle w:val="3"/>
        <w:spacing w:beforeLines="100" w:before="360"/>
        <w:ind w:left="1135" w:hangingChars="315" w:hanging="1135"/>
        <w:rPr>
          <w:rFonts w:ascii="Times New Roman" w:hAnsi="Times New Roman"/>
        </w:rPr>
      </w:pPr>
      <w:r w:rsidRPr="00131B9D">
        <w:rPr>
          <w:rFonts w:ascii="Times New Roman" w:hAnsi="Times New Roman"/>
        </w:rPr>
        <w:lastRenderedPageBreak/>
        <w:t>（三）國際鋼材供過於求，庫存充足，後市展望不佳</w:t>
      </w:r>
    </w:p>
    <w:p w:rsidR="00F279F7" w:rsidRPr="00131B9D" w:rsidRDefault="00377B4E" w:rsidP="00F279F7">
      <w:pPr>
        <w:pStyle w:val="-"/>
        <w:spacing w:before="72" w:after="72"/>
        <w:ind w:firstLine="560"/>
      </w:pPr>
      <w:r w:rsidRPr="00131B9D">
        <w:t>中國大陸經濟持續放緩，同時鋼鐵產量連年成長，其粗鋼產量約占全世界產量的一半，在鋼材供過於求的情況下，中國大陸將過剩產能銷往世界各地，今年上半年，中國大陸出口量為</w:t>
      </w:r>
      <w:r w:rsidRPr="00131B9D">
        <w:t>5,240</w:t>
      </w:r>
      <w:r w:rsidRPr="00131B9D">
        <w:t>公噸，約等於日本上半年鋼鐵產量，</w:t>
      </w:r>
      <w:r w:rsidRPr="00131B9D">
        <w:t>9</w:t>
      </w:r>
      <w:r w:rsidRPr="00131B9D">
        <w:t>月鋼材出口創歷史新高。各國受大中國大陸廉價鋼材衝擊，鋼鐵價格持續下降，同時鐵礦石生產商，採取增產策略以保護市場份額，鐵礦石產量持續攀升，更加深鋼材跌勢，也因此</w:t>
      </w:r>
      <w:r w:rsidRPr="00131B9D">
        <w:t>2015</w:t>
      </w:r>
      <w:r w:rsidRPr="00131B9D">
        <w:t>年</w:t>
      </w:r>
      <w:r w:rsidRPr="00131B9D">
        <w:t>CRU</w:t>
      </w:r>
      <w:r w:rsidRPr="00131B9D">
        <w:t>指數逐月下滑，中國大陸鋼價更在</w:t>
      </w:r>
      <w:r w:rsidRPr="00131B9D">
        <w:t>11</w:t>
      </w:r>
      <w:r w:rsidRPr="00131B9D">
        <w:t>月</w:t>
      </w:r>
      <w:r w:rsidRPr="00131B9D">
        <w:t>18</w:t>
      </w:r>
      <w:r w:rsidRPr="00131B9D">
        <w:t>日達歷史新低。雖然未來中國粗鋼產量可能有所減少，惟需求端不見改善，產能過剩問題仍然嚴重，顧問公司</w:t>
      </w:r>
      <w:r w:rsidRPr="00131B9D">
        <w:t xml:space="preserve">CRU </w:t>
      </w:r>
      <w:r w:rsidRPr="00131B9D">
        <w:t>表示，鋼鐵業的產能過剩情況嚴重，全球</w:t>
      </w:r>
      <w:r w:rsidRPr="00131B9D">
        <w:t>23</w:t>
      </w:r>
      <w:r w:rsidRPr="00131B9D">
        <w:t>億噸的產能之中，有約</w:t>
      </w:r>
      <w:r w:rsidRPr="00131B9D">
        <w:t>7</w:t>
      </w:r>
      <w:r w:rsidRPr="00131B9D">
        <w:t>億噸的產能是閒置的，其中至少</w:t>
      </w:r>
      <w:r w:rsidRPr="00131B9D">
        <w:t>3</w:t>
      </w:r>
      <w:r w:rsidRPr="00131B9D">
        <w:t>億噸存於中國大陸，再加上鋼鐵庫存充足，廣州鋼鐵貿易商表示，中國大陸鋼鐵庫存量大約在</w:t>
      </w:r>
      <w:r w:rsidRPr="00131B9D">
        <w:t>11</w:t>
      </w:r>
      <w:r w:rsidRPr="00131B9D">
        <w:t>億噸，其中有</w:t>
      </w:r>
      <w:r w:rsidRPr="00131B9D">
        <w:t>2</w:t>
      </w:r>
      <w:r w:rsidRPr="00131B9D">
        <w:t>億噸是多餘的，未來</w:t>
      </w:r>
      <w:r w:rsidRPr="00131B9D">
        <w:t>5</w:t>
      </w:r>
      <w:r w:rsidRPr="00131B9D">
        <w:t>年內不用再生產鋼材都還夠用，因此未來鋼鐵價格短期可</w:t>
      </w:r>
      <w:r w:rsidR="001F72BE" w:rsidRPr="00131B9D">
        <w:t>能難有改善</w:t>
      </w:r>
      <w:r w:rsidRPr="00131B9D">
        <w:t>（如圖</w:t>
      </w:r>
      <w:r w:rsidRPr="00131B9D">
        <w:t>3-46</w:t>
      </w:r>
      <w:r w:rsidRPr="00131B9D">
        <w:t>）。</w:t>
      </w:r>
    </w:p>
    <w:p w:rsidR="00F279F7" w:rsidRPr="00131B9D" w:rsidRDefault="00F279F7" w:rsidP="00F279F7"/>
    <w:p w:rsidR="00F279F7" w:rsidRPr="00131B9D" w:rsidRDefault="00F279F7" w:rsidP="003B29E8">
      <w:pPr>
        <w:pStyle w:val="-"/>
        <w:spacing w:before="72" w:after="72" w:line="360" w:lineRule="auto"/>
        <w:ind w:firstLineChars="0" w:firstLine="0"/>
        <w:rPr>
          <w:noProof/>
        </w:rPr>
      </w:pPr>
      <w:r w:rsidRPr="00131B9D">
        <w:rPr>
          <w:noProof/>
        </w:rPr>
        <w:drawing>
          <wp:inline distT="0" distB="0" distL="0" distR="0" wp14:anchorId="274514DF" wp14:editId="203E8329">
            <wp:extent cx="5274310" cy="2486025"/>
            <wp:effectExtent l="0" t="0" r="21590" b="9525"/>
            <wp:docPr id="3" name="圖表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F279F7" w:rsidRPr="00131B9D" w:rsidRDefault="00F279F7" w:rsidP="00F279F7">
      <w:pPr>
        <w:pStyle w:val="-"/>
        <w:spacing w:beforeLines="0" w:afterLines="0" w:line="200" w:lineRule="exact"/>
        <w:ind w:firstLine="400"/>
        <w:rPr>
          <w:noProof/>
          <w:sz w:val="20"/>
          <w:szCs w:val="20"/>
        </w:rPr>
      </w:pPr>
      <w:r w:rsidRPr="00131B9D">
        <w:rPr>
          <w:noProof/>
          <w:sz w:val="20"/>
          <w:szCs w:val="20"/>
        </w:rPr>
        <w:t>資料來源：經濟學人</w:t>
      </w:r>
      <w:r w:rsidRPr="00131B9D">
        <w:rPr>
          <w:noProof/>
          <w:sz w:val="20"/>
          <w:szCs w:val="20"/>
        </w:rPr>
        <w:t>, 2015/11, “ Economic and Commodity Forecast 2011-2020”</w:t>
      </w:r>
    </w:p>
    <w:p w:rsidR="00F279F7" w:rsidRPr="00131B9D" w:rsidRDefault="00F279F7" w:rsidP="00F279F7">
      <w:pPr>
        <w:pStyle w:val="afff5"/>
        <w:spacing w:line="0" w:lineRule="atLeast"/>
        <w:jc w:val="center"/>
        <w:rPr>
          <w:rFonts w:eastAsia="標楷體"/>
          <w:b/>
          <w:bCs/>
          <w:kern w:val="52"/>
          <w:sz w:val="28"/>
          <w:szCs w:val="28"/>
        </w:rPr>
      </w:pPr>
      <w:bookmarkStart w:id="393" w:name="_Toc438223380"/>
      <w:r w:rsidRPr="00131B9D">
        <w:rPr>
          <w:rFonts w:eastAsia="標楷體"/>
          <w:b/>
          <w:bCs/>
          <w:kern w:val="52"/>
          <w:sz w:val="28"/>
          <w:szCs w:val="28"/>
        </w:rPr>
        <w:t>圖</w:t>
      </w:r>
      <w:r w:rsidRPr="00131B9D">
        <w:rPr>
          <w:rFonts w:eastAsia="標楷體"/>
          <w:b/>
          <w:bCs/>
          <w:kern w:val="52"/>
          <w:sz w:val="28"/>
          <w:szCs w:val="28"/>
        </w:rPr>
        <w:t xml:space="preserve">3-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3- \* ARABIC </w:instrText>
      </w:r>
      <w:r w:rsidRPr="00131B9D">
        <w:rPr>
          <w:rFonts w:eastAsia="標楷體"/>
          <w:b/>
          <w:bCs/>
          <w:kern w:val="52"/>
          <w:sz w:val="28"/>
          <w:szCs w:val="28"/>
        </w:rPr>
        <w:fldChar w:fldCharType="separate"/>
      </w:r>
      <w:r w:rsidR="001641D3">
        <w:rPr>
          <w:rFonts w:eastAsia="標楷體"/>
          <w:b/>
          <w:bCs/>
          <w:noProof/>
          <w:kern w:val="52"/>
          <w:sz w:val="28"/>
          <w:szCs w:val="28"/>
        </w:rPr>
        <w:t>46</w:t>
      </w:r>
      <w:r w:rsidRPr="00131B9D">
        <w:rPr>
          <w:rFonts w:eastAsia="標楷體"/>
          <w:b/>
          <w:bCs/>
          <w:kern w:val="52"/>
          <w:sz w:val="28"/>
          <w:szCs w:val="28"/>
        </w:rPr>
        <w:fldChar w:fldCharType="end"/>
      </w:r>
      <w:r w:rsidRPr="00131B9D">
        <w:rPr>
          <w:rFonts w:eastAsia="標楷體"/>
          <w:b/>
          <w:bCs/>
          <w:kern w:val="52"/>
          <w:sz w:val="28"/>
          <w:szCs w:val="28"/>
        </w:rPr>
        <w:t xml:space="preserve">　國際鋼鐵價格預測</w:t>
      </w:r>
      <w:bookmarkEnd w:id="393"/>
    </w:p>
    <w:p w:rsidR="00F279F7" w:rsidRPr="00131B9D" w:rsidRDefault="00F279F7" w:rsidP="00F279F7">
      <w:pPr>
        <w:sectPr w:rsidR="00F279F7" w:rsidRPr="00131B9D">
          <w:pgSz w:w="11906" w:h="16838"/>
          <w:pgMar w:top="1440" w:right="1800" w:bottom="1440" w:left="1800" w:header="851" w:footer="992" w:gutter="0"/>
          <w:cols w:space="425"/>
          <w:docGrid w:type="lines" w:linePitch="360"/>
        </w:sectPr>
      </w:pPr>
    </w:p>
    <w:p w:rsidR="00F279F7" w:rsidRPr="00131B9D" w:rsidRDefault="00F279F7" w:rsidP="00F279F7">
      <w:pPr>
        <w:pStyle w:val="3"/>
        <w:spacing w:beforeLines="100" w:before="360"/>
        <w:ind w:left="1135" w:hangingChars="315" w:hanging="1135"/>
        <w:rPr>
          <w:rFonts w:ascii="Times New Roman" w:hAnsi="Times New Roman"/>
        </w:rPr>
      </w:pPr>
      <w:r w:rsidRPr="00131B9D">
        <w:rPr>
          <w:rFonts w:ascii="Times New Roman" w:hAnsi="Times New Roman"/>
        </w:rPr>
        <w:lastRenderedPageBreak/>
        <w:t>（四）原油供應及庫存充裕，油價恐持續不振</w:t>
      </w:r>
    </w:p>
    <w:p w:rsidR="00BB2F1F" w:rsidRPr="00131B9D" w:rsidRDefault="00BB2F1F" w:rsidP="00BB2F1F">
      <w:pPr>
        <w:pStyle w:val="-"/>
        <w:spacing w:before="72" w:after="72"/>
        <w:ind w:firstLine="560"/>
      </w:pPr>
      <w:bookmarkStart w:id="394" w:name="_Ref375042596"/>
      <w:bookmarkStart w:id="395" w:name="_Ref375042582"/>
      <w:bookmarkStart w:id="396" w:name="_Toc375298463"/>
      <w:bookmarkStart w:id="397" w:name="OLE_LINK38"/>
      <w:bookmarkStart w:id="398" w:name="OLE_LINK39"/>
      <w:r w:rsidRPr="00131B9D">
        <w:t>受美國頁岩氣革命影響，美國國內的原油產量大幅增長，</w:t>
      </w:r>
      <w:r w:rsidRPr="00131B9D">
        <w:t>OPEC</w:t>
      </w:r>
      <w:r w:rsidRPr="00131B9D">
        <w:t>國家也增產以維持市占率，且俄羅斯油產也持續創新高，造成原油供給大增，與此同時，中國大陸經濟成長放緩，新興國家經濟表現也不如預期，加劇原油供過於求之憂慮，</w:t>
      </w:r>
      <w:r w:rsidRPr="00131B9D">
        <w:t>8</w:t>
      </w:r>
      <w:r w:rsidRPr="00131B9D">
        <w:t>月底更因中國大陸股市暴跌，拖累西德州原油跌破</w:t>
      </w:r>
      <w:r w:rsidRPr="00131B9D">
        <w:t>40</w:t>
      </w:r>
      <w:r w:rsidRPr="00131B9D">
        <w:t>美元大關。油價雖一度因中東政局緊張、中國大陸建置戰備儲油帶動原油進口需求、美國鑽井平台數目下降等因素，而有所提振，但整體仍呈下跌走勢。於油價下跌的同時，雖然低油價刺激原油需求上升，但產油國大量增產，造成原油庫存增加，美國</w:t>
      </w:r>
      <w:r w:rsidRPr="00131B9D">
        <w:t>4</w:t>
      </w:r>
      <w:r w:rsidRPr="00131B9D">
        <w:t>月原油庫存創歷史新高，</w:t>
      </w:r>
      <w:r w:rsidRPr="00131B9D">
        <w:t>9</w:t>
      </w:r>
      <w:r w:rsidRPr="00131B9D">
        <w:t>月已開發國家的原油庫存總量創歷史新高，對原油價格造成壓力。受到低油價衝擊，</w:t>
      </w:r>
      <w:r w:rsidRPr="00131B9D">
        <w:t>2016</w:t>
      </w:r>
      <w:r w:rsidRPr="00131B9D">
        <w:t>年非</w:t>
      </w:r>
      <w:r w:rsidRPr="00131B9D">
        <w:t>OPEC</w:t>
      </w:r>
      <w:r w:rsidRPr="00131B9D">
        <w:t>國家油產量將有所下降，需求也將恢升。</w:t>
      </w:r>
      <w:r w:rsidRPr="00131B9D">
        <w:t>OPEC 12</w:t>
      </w:r>
      <w:r w:rsidRPr="00131B9D">
        <w:t>月召開之會議未訂定原油產量配額，且伊朗於解除制裁後，原油出口恐大幅增加，因此外來油價恐持續疲軟（如表</w:t>
      </w:r>
      <w:r w:rsidRPr="00131B9D">
        <w:t>3-14</w:t>
      </w:r>
      <w:r w:rsidRPr="00131B9D">
        <w:t>）。</w:t>
      </w:r>
    </w:p>
    <w:p w:rsidR="00F279F7" w:rsidRPr="00131B9D" w:rsidRDefault="00F279F7" w:rsidP="00F279F7"/>
    <w:p w:rsidR="00F279F7" w:rsidRPr="00131B9D" w:rsidRDefault="00F279F7" w:rsidP="00F279F7">
      <w:pPr>
        <w:pStyle w:val="aff1"/>
        <w:spacing w:line="0" w:lineRule="atLeast"/>
        <w:rPr>
          <w:b w:val="0"/>
          <w:bCs/>
          <w:kern w:val="52"/>
          <w:szCs w:val="28"/>
        </w:rPr>
      </w:pPr>
      <w:bookmarkStart w:id="399" w:name="_Toc439163003"/>
      <w:r w:rsidRPr="00131B9D">
        <w:rPr>
          <w:bCs/>
          <w:kern w:val="52"/>
          <w:szCs w:val="28"/>
        </w:rPr>
        <w:t>表</w:t>
      </w:r>
      <w:r w:rsidRPr="00131B9D">
        <w:rPr>
          <w:bCs/>
          <w:kern w:val="52"/>
          <w:szCs w:val="28"/>
        </w:rPr>
        <w:t xml:space="preserve">3-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3- \* ARABIC </w:instrText>
      </w:r>
      <w:r w:rsidRPr="00131B9D">
        <w:rPr>
          <w:b w:val="0"/>
          <w:bCs/>
          <w:kern w:val="52"/>
          <w:szCs w:val="28"/>
        </w:rPr>
        <w:fldChar w:fldCharType="separate"/>
      </w:r>
      <w:r w:rsidR="001641D3">
        <w:rPr>
          <w:bCs/>
          <w:noProof/>
          <w:kern w:val="52"/>
          <w:szCs w:val="28"/>
        </w:rPr>
        <w:t>14</w:t>
      </w:r>
      <w:r w:rsidRPr="00131B9D">
        <w:rPr>
          <w:b w:val="0"/>
          <w:bCs/>
          <w:kern w:val="52"/>
          <w:szCs w:val="28"/>
        </w:rPr>
        <w:fldChar w:fldCharType="end"/>
      </w:r>
      <w:r w:rsidRPr="00131B9D">
        <w:rPr>
          <w:bCs/>
          <w:kern w:val="52"/>
          <w:szCs w:val="28"/>
        </w:rPr>
        <w:t xml:space="preserve">　</w:t>
      </w:r>
      <w:r w:rsidRPr="00131B9D">
        <w:rPr>
          <w:szCs w:val="28"/>
        </w:rPr>
        <w:t>國際</w:t>
      </w:r>
      <w:r w:rsidRPr="00131B9D">
        <w:rPr>
          <w:bCs/>
          <w:kern w:val="52"/>
          <w:szCs w:val="28"/>
        </w:rPr>
        <w:t>油價預測</w:t>
      </w:r>
      <w:bookmarkEnd w:id="399"/>
    </w:p>
    <w:tbl>
      <w:tblPr>
        <w:tblW w:w="86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000" w:firstRow="0" w:lastRow="0" w:firstColumn="0" w:lastColumn="0" w:noHBand="0" w:noVBand="0"/>
      </w:tblPr>
      <w:tblGrid>
        <w:gridCol w:w="2607"/>
        <w:gridCol w:w="2020"/>
        <w:gridCol w:w="2020"/>
        <w:gridCol w:w="2020"/>
      </w:tblGrid>
      <w:tr w:rsidR="00BB2F1F" w:rsidRPr="00131B9D" w:rsidTr="00384781">
        <w:trPr>
          <w:trHeight w:val="222"/>
          <w:jc w:val="center"/>
        </w:trPr>
        <w:tc>
          <w:tcPr>
            <w:tcW w:w="2607" w:type="dxa"/>
            <w:shd w:val="clear" w:color="auto" w:fill="D9D9D9"/>
            <w:noWrap/>
            <w:vAlign w:val="center"/>
          </w:tcPr>
          <w:bookmarkEnd w:id="394"/>
          <w:bookmarkEnd w:id="395"/>
          <w:bookmarkEnd w:id="396"/>
          <w:p w:rsidR="00BB2F1F" w:rsidRPr="00131B9D" w:rsidRDefault="00BB2F1F" w:rsidP="00384781">
            <w:pPr>
              <w:widowControl/>
              <w:spacing w:line="240" w:lineRule="exact"/>
              <w:jc w:val="center"/>
              <w:rPr>
                <w:rFonts w:eastAsia="標楷體"/>
                <w:b/>
                <w:kern w:val="0"/>
              </w:rPr>
            </w:pPr>
            <w:r w:rsidRPr="00131B9D">
              <w:rPr>
                <w:rFonts w:eastAsia="標楷體"/>
                <w:b/>
                <w:kern w:val="0"/>
              </w:rPr>
              <w:t>（美元</w:t>
            </w:r>
            <w:r w:rsidRPr="00131B9D">
              <w:rPr>
                <w:rFonts w:eastAsia="標楷體"/>
                <w:b/>
                <w:kern w:val="0"/>
              </w:rPr>
              <w:t>/</w:t>
            </w:r>
            <w:r w:rsidRPr="00131B9D">
              <w:rPr>
                <w:rFonts w:eastAsia="標楷體"/>
                <w:b/>
                <w:kern w:val="0"/>
              </w:rPr>
              <w:t>桶）</w:t>
            </w:r>
          </w:p>
        </w:tc>
        <w:tc>
          <w:tcPr>
            <w:tcW w:w="2020" w:type="dxa"/>
            <w:shd w:val="clear" w:color="auto" w:fill="D9D9D9"/>
            <w:noWrap/>
            <w:vAlign w:val="center"/>
          </w:tcPr>
          <w:p w:rsidR="00BB2F1F" w:rsidRPr="00131B9D" w:rsidRDefault="00BB2F1F" w:rsidP="00384781">
            <w:pPr>
              <w:widowControl/>
              <w:spacing w:line="240" w:lineRule="exact"/>
              <w:jc w:val="center"/>
              <w:rPr>
                <w:rFonts w:eastAsia="標楷體"/>
                <w:b/>
                <w:kern w:val="0"/>
              </w:rPr>
            </w:pPr>
            <w:r w:rsidRPr="00131B9D">
              <w:rPr>
                <w:rFonts w:eastAsia="標楷體"/>
                <w:b/>
                <w:kern w:val="0"/>
              </w:rPr>
              <w:t>2014</w:t>
            </w:r>
            <w:r w:rsidRPr="00131B9D">
              <w:rPr>
                <w:rFonts w:eastAsia="標楷體"/>
                <w:b/>
                <w:kern w:val="0"/>
              </w:rPr>
              <w:t>年</w:t>
            </w:r>
          </w:p>
        </w:tc>
        <w:tc>
          <w:tcPr>
            <w:tcW w:w="2020" w:type="dxa"/>
            <w:shd w:val="clear" w:color="auto" w:fill="D9D9D9"/>
            <w:noWrap/>
            <w:vAlign w:val="center"/>
          </w:tcPr>
          <w:p w:rsidR="00BB2F1F" w:rsidRPr="00131B9D" w:rsidRDefault="00BB2F1F" w:rsidP="00384781">
            <w:pPr>
              <w:widowControl/>
              <w:spacing w:line="240" w:lineRule="exact"/>
              <w:jc w:val="center"/>
              <w:rPr>
                <w:rFonts w:eastAsia="標楷體"/>
                <w:b/>
                <w:kern w:val="0"/>
              </w:rPr>
            </w:pPr>
            <w:r w:rsidRPr="00131B9D">
              <w:rPr>
                <w:rFonts w:eastAsia="標楷體"/>
                <w:b/>
                <w:kern w:val="0"/>
              </w:rPr>
              <w:t>2015</w:t>
            </w:r>
            <w:r w:rsidRPr="00131B9D">
              <w:rPr>
                <w:rFonts w:eastAsia="標楷體"/>
                <w:b/>
                <w:kern w:val="0"/>
              </w:rPr>
              <w:t>年（</w:t>
            </w:r>
            <w:r w:rsidRPr="00131B9D">
              <w:rPr>
                <w:rFonts w:eastAsia="標楷體"/>
                <w:b/>
                <w:kern w:val="0"/>
              </w:rPr>
              <w:t>f</w:t>
            </w:r>
            <w:r w:rsidRPr="00131B9D">
              <w:rPr>
                <w:rFonts w:eastAsia="標楷體"/>
                <w:b/>
                <w:kern w:val="0"/>
              </w:rPr>
              <w:t>）</w:t>
            </w:r>
          </w:p>
        </w:tc>
        <w:tc>
          <w:tcPr>
            <w:tcW w:w="2020" w:type="dxa"/>
            <w:shd w:val="clear" w:color="auto" w:fill="D9D9D9"/>
            <w:noWrap/>
            <w:vAlign w:val="center"/>
          </w:tcPr>
          <w:p w:rsidR="00BB2F1F" w:rsidRPr="00131B9D" w:rsidRDefault="00BB2F1F" w:rsidP="00384781">
            <w:pPr>
              <w:widowControl/>
              <w:spacing w:line="240" w:lineRule="exact"/>
              <w:jc w:val="center"/>
              <w:rPr>
                <w:rFonts w:eastAsia="標楷體"/>
                <w:b/>
                <w:kern w:val="0"/>
              </w:rPr>
            </w:pPr>
            <w:r w:rsidRPr="00131B9D">
              <w:rPr>
                <w:rFonts w:eastAsia="標楷體"/>
                <w:b/>
                <w:kern w:val="0"/>
              </w:rPr>
              <w:t>2016</w:t>
            </w:r>
            <w:r w:rsidRPr="00131B9D">
              <w:rPr>
                <w:rFonts w:eastAsia="標楷體"/>
                <w:b/>
                <w:kern w:val="0"/>
              </w:rPr>
              <w:t>年（</w:t>
            </w:r>
            <w:r w:rsidRPr="00131B9D">
              <w:rPr>
                <w:rFonts w:eastAsia="標楷體"/>
                <w:b/>
                <w:kern w:val="0"/>
              </w:rPr>
              <w:t>f</w:t>
            </w:r>
            <w:r w:rsidRPr="00131B9D">
              <w:rPr>
                <w:rFonts w:eastAsia="標楷體"/>
                <w:b/>
                <w:kern w:val="0"/>
              </w:rPr>
              <w:t>）</w:t>
            </w:r>
          </w:p>
        </w:tc>
      </w:tr>
      <w:tr w:rsidR="00BB2F1F" w:rsidRPr="00131B9D" w:rsidTr="00384781">
        <w:trPr>
          <w:trHeight w:val="150"/>
          <w:jc w:val="center"/>
        </w:trPr>
        <w:tc>
          <w:tcPr>
            <w:tcW w:w="2607" w:type="dxa"/>
            <w:noWrap/>
            <w:vAlign w:val="center"/>
          </w:tcPr>
          <w:p w:rsidR="00BB2F1F" w:rsidRPr="00131B9D" w:rsidRDefault="00BB2F1F" w:rsidP="00384781">
            <w:pPr>
              <w:widowControl/>
              <w:spacing w:line="240" w:lineRule="exact"/>
              <w:jc w:val="center"/>
              <w:rPr>
                <w:rFonts w:eastAsia="標楷體"/>
                <w:kern w:val="0"/>
              </w:rPr>
            </w:pPr>
            <w:r w:rsidRPr="00310D42">
              <w:rPr>
                <w:rFonts w:eastAsia="標楷體"/>
                <w:spacing w:val="75"/>
                <w:kern w:val="0"/>
                <w:fitText w:val="1440" w:id="1016352256"/>
              </w:rPr>
              <w:t>世界銀</w:t>
            </w:r>
            <w:r w:rsidRPr="00310D42">
              <w:rPr>
                <w:rFonts w:eastAsia="標楷體"/>
                <w:spacing w:val="15"/>
                <w:kern w:val="0"/>
                <w:fitText w:val="1440" w:id="1016352256"/>
              </w:rPr>
              <w:t>行</w:t>
            </w:r>
          </w:p>
        </w:tc>
        <w:tc>
          <w:tcPr>
            <w:tcW w:w="2020" w:type="dxa"/>
            <w:vMerge w:val="restart"/>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rPr>
              <w:t>96.2</w:t>
            </w:r>
          </w:p>
        </w:tc>
        <w:tc>
          <w:tcPr>
            <w:tcW w:w="2020"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rPr>
              <w:t>52.5</w:t>
            </w:r>
          </w:p>
        </w:tc>
        <w:tc>
          <w:tcPr>
            <w:tcW w:w="2020"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rPr>
              <w:t>51.4</w:t>
            </w:r>
          </w:p>
        </w:tc>
      </w:tr>
      <w:tr w:rsidR="00BB2F1F" w:rsidRPr="00131B9D" w:rsidTr="00384781">
        <w:trPr>
          <w:trHeight w:val="92"/>
          <w:jc w:val="center"/>
        </w:trPr>
        <w:tc>
          <w:tcPr>
            <w:tcW w:w="2607"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fitText w:val="1440" w:id="1016352257"/>
              </w:rPr>
              <w:t>國際貨幣基金</w:t>
            </w:r>
          </w:p>
        </w:tc>
        <w:tc>
          <w:tcPr>
            <w:tcW w:w="2020" w:type="dxa"/>
            <w:vMerge/>
            <w:vAlign w:val="center"/>
          </w:tcPr>
          <w:p w:rsidR="00BB2F1F" w:rsidRPr="00131B9D" w:rsidRDefault="00BB2F1F" w:rsidP="00384781">
            <w:pPr>
              <w:widowControl/>
              <w:spacing w:line="240" w:lineRule="exact"/>
              <w:jc w:val="center"/>
              <w:rPr>
                <w:rFonts w:eastAsia="標楷體"/>
                <w:kern w:val="0"/>
              </w:rPr>
            </w:pPr>
          </w:p>
        </w:tc>
        <w:tc>
          <w:tcPr>
            <w:tcW w:w="2020"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rPr>
              <w:t>50.9</w:t>
            </w:r>
          </w:p>
        </w:tc>
        <w:tc>
          <w:tcPr>
            <w:tcW w:w="2020"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rPr>
              <w:t>42.0</w:t>
            </w:r>
          </w:p>
        </w:tc>
      </w:tr>
      <w:tr w:rsidR="00BB2F1F" w:rsidRPr="00131B9D" w:rsidTr="00384781">
        <w:trPr>
          <w:trHeight w:val="70"/>
          <w:jc w:val="center"/>
        </w:trPr>
        <w:tc>
          <w:tcPr>
            <w:tcW w:w="2607"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spacing w:val="30"/>
                <w:kern w:val="0"/>
                <w:fitText w:val="1440" w:id="1016352258"/>
              </w:rPr>
              <w:t>美國能源</w:t>
            </w:r>
            <w:r w:rsidRPr="00131B9D">
              <w:rPr>
                <w:rFonts w:eastAsia="標楷體"/>
                <w:kern w:val="0"/>
                <w:fitText w:val="1440" w:id="1016352258"/>
              </w:rPr>
              <w:t>局</w:t>
            </w:r>
          </w:p>
        </w:tc>
        <w:tc>
          <w:tcPr>
            <w:tcW w:w="2020"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rPr>
              <w:t>96.03</w:t>
            </w:r>
          </w:p>
        </w:tc>
        <w:tc>
          <w:tcPr>
            <w:tcW w:w="2020"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rPr>
              <w:t>51</w:t>
            </w:r>
          </w:p>
        </w:tc>
        <w:tc>
          <w:tcPr>
            <w:tcW w:w="2020" w:type="dxa"/>
            <w:noWrap/>
            <w:vAlign w:val="center"/>
          </w:tcPr>
          <w:p w:rsidR="00BB2F1F" w:rsidRPr="00131B9D" w:rsidRDefault="00BB2F1F" w:rsidP="00384781">
            <w:pPr>
              <w:widowControl/>
              <w:spacing w:line="240" w:lineRule="exact"/>
              <w:jc w:val="center"/>
              <w:rPr>
                <w:rFonts w:eastAsia="標楷體"/>
                <w:kern w:val="0"/>
              </w:rPr>
            </w:pPr>
            <w:r w:rsidRPr="00131B9D">
              <w:rPr>
                <w:rFonts w:eastAsia="標楷體"/>
                <w:kern w:val="0"/>
              </w:rPr>
              <w:t>53.3</w:t>
            </w:r>
          </w:p>
        </w:tc>
      </w:tr>
      <w:tr w:rsidR="00BB2F1F" w:rsidRPr="00131B9D" w:rsidTr="00384781">
        <w:trPr>
          <w:trHeight w:hRule="exact" w:val="1907"/>
          <w:jc w:val="center"/>
        </w:trPr>
        <w:tc>
          <w:tcPr>
            <w:tcW w:w="8667" w:type="dxa"/>
            <w:gridSpan w:val="4"/>
            <w:tcBorders>
              <w:left w:val="nil"/>
              <w:bottom w:val="nil"/>
              <w:right w:val="nil"/>
            </w:tcBorders>
            <w:noWrap/>
            <w:vAlign w:val="center"/>
          </w:tcPr>
          <w:p w:rsidR="00BB2F1F" w:rsidRPr="00131B9D" w:rsidRDefault="00BB2F1F" w:rsidP="00384781">
            <w:pPr>
              <w:pStyle w:val="-"/>
              <w:spacing w:beforeLines="0" w:afterLines="0" w:line="240" w:lineRule="exact"/>
              <w:ind w:firstLineChars="0" w:firstLine="0"/>
              <w:rPr>
                <w:sz w:val="20"/>
                <w:szCs w:val="20"/>
              </w:rPr>
            </w:pPr>
            <w:r w:rsidRPr="00131B9D">
              <w:rPr>
                <w:sz w:val="20"/>
                <w:szCs w:val="20"/>
              </w:rPr>
              <w:t>資料來源：世界銀行</w:t>
            </w:r>
            <w:r w:rsidRPr="00131B9D">
              <w:rPr>
                <w:sz w:val="20"/>
                <w:szCs w:val="20"/>
              </w:rPr>
              <w:t>, 2015/10, “World Bank Commodities Price Forecast”</w:t>
            </w:r>
          </w:p>
          <w:p w:rsidR="00BB2F1F" w:rsidRPr="00131B9D" w:rsidRDefault="00BB2F1F" w:rsidP="00384781">
            <w:pPr>
              <w:pStyle w:val="-"/>
              <w:spacing w:beforeLines="0" w:afterLines="0" w:line="240" w:lineRule="exact"/>
              <w:ind w:firstLineChars="525" w:firstLine="1050"/>
              <w:rPr>
                <w:sz w:val="20"/>
                <w:szCs w:val="20"/>
              </w:rPr>
            </w:pPr>
            <w:r w:rsidRPr="00131B9D">
              <w:rPr>
                <w:sz w:val="20"/>
                <w:szCs w:val="20"/>
              </w:rPr>
              <w:t>國際貨幣基金</w:t>
            </w:r>
            <w:r w:rsidRPr="00131B9D">
              <w:rPr>
                <w:sz w:val="20"/>
                <w:szCs w:val="20"/>
              </w:rPr>
              <w:t>, 2015/12“Primary Price Forecasts”</w:t>
            </w:r>
          </w:p>
          <w:p w:rsidR="00BB2F1F" w:rsidRPr="00131B9D" w:rsidRDefault="00BB2F1F" w:rsidP="00384781">
            <w:pPr>
              <w:pStyle w:val="-"/>
              <w:spacing w:beforeLines="0" w:afterLines="0" w:line="240" w:lineRule="exact"/>
              <w:ind w:firstLineChars="525" w:firstLine="1050"/>
              <w:rPr>
                <w:sz w:val="20"/>
                <w:szCs w:val="20"/>
              </w:rPr>
            </w:pPr>
            <w:r w:rsidRPr="00131B9D">
              <w:rPr>
                <w:sz w:val="20"/>
                <w:szCs w:val="20"/>
              </w:rPr>
              <w:t>美國能源局</w:t>
            </w:r>
            <w:r w:rsidRPr="00131B9D">
              <w:rPr>
                <w:sz w:val="20"/>
                <w:szCs w:val="20"/>
              </w:rPr>
              <w:t>, 2015/12,“Short-Term Energy Outlook”</w:t>
            </w:r>
          </w:p>
          <w:p w:rsidR="00BB2F1F" w:rsidRPr="00131B9D" w:rsidRDefault="00BB2F1F" w:rsidP="00384781">
            <w:pPr>
              <w:pStyle w:val="-"/>
              <w:spacing w:beforeLines="10" w:before="36" w:afterLines="0" w:line="240" w:lineRule="exact"/>
              <w:ind w:left="400" w:hangingChars="200" w:hanging="400"/>
              <w:rPr>
                <w:sz w:val="20"/>
                <w:szCs w:val="20"/>
              </w:rPr>
            </w:pPr>
            <w:r w:rsidRPr="00131B9D">
              <w:rPr>
                <w:sz w:val="20"/>
                <w:szCs w:val="20"/>
              </w:rPr>
              <w:t>註：世界銀行與國際貨幣基金之預測價格為布蘭特原油、西德州原油與杜拜原油三者之平均價格，美國能源局之預測則僅為西德州原油與布蘭特原油。</w:t>
            </w:r>
          </w:p>
          <w:p w:rsidR="00BB2F1F" w:rsidRPr="00131B9D" w:rsidRDefault="00BB2F1F" w:rsidP="00384781"/>
        </w:tc>
      </w:tr>
    </w:tbl>
    <w:p w:rsidR="00F279F7" w:rsidRPr="00131B9D" w:rsidRDefault="00F279F7" w:rsidP="00F279F7">
      <w:pPr>
        <w:pStyle w:val="3"/>
        <w:tabs>
          <w:tab w:val="left" w:pos="4678"/>
        </w:tabs>
        <w:spacing w:beforeLines="100" w:before="360"/>
        <w:ind w:left="1135" w:hangingChars="315" w:hanging="1135"/>
        <w:rPr>
          <w:rFonts w:ascii="Times New Roman" w:hAnsi="Times New Roman"/>
        </w:rPr>
      </w:pPr>
      <w:r w:rsidRPr="00131B9D">
        <w:rPr>
          <w:rFonts w:ascii="Times New Roman" w:hAnsi="Times New Roman"/>
        </w:rPr>
        <w:t>（五）庫存量充足，需求持平，紙漿區間震盪、廢紙管理市場增長，價格看漲</w:t>
      </w:r>
    </w:p>
    <w:p w:rsidR="00F279F7" w:rsidRPr="00131B9D" w:rsidRDefault="00F279F7" w:rsidP="00F279F7">
      <w:pPr>
        <w:pStyle w:val="-"/>
        <w:spacing w:before="72" w:after="72"/>
        <w:ind w:firstLine="560"/>
      </w:pPr>
      <w:bookmarkStart w:id="400" w:name="_Toc375298464"/>
      <w:bookmarkStart w:id="401" w:name="_Toc398909999"/>
      <w:bookmarkEnd w:id="397"/>
      <w:bookmarkEnd w:id="398"/>
      <w:r w:rsidRPr="00131B9D">
        <w:t>因目前紙漿庫存位於平均值或以上，供貨上較無疑慮，加上需求也未有大幅提高的跡象，但可能會受到一些季節性的影響，因此估計</w:t>
      </w:r>
      <w:r w:rsidRPr="00131B9D">
        <w:lastRenderedPageBreak/>
        <w:t>2016</w:t>
      </w:r>
      <w:r w:rsidRPr="00131B9D">
        <w:t>年紙漿價格可能會位於目前的價格附近震盪。廢紙加工行業不景氣，以及原材料需求減少是廢紙價格低迷的原因，然全球廢紙管理市場有望顯著增長，因此</w:t>
      </w:r>
      <w:r w:rsidRPr="00131B9D">
        <w:t>2016</w:t>
      </w:r>
      <w:r w:rsidRPr="00131B9D">
        <w:t>年之後預期廢紙市場會逐漸轉好（如表</w:t>
      </w:r>
      <w:r w:rsidRPr="00131B9D">
        <w:t>3-1</w:t>
      </w:r>
      <w:r w:rsidR="001F72BE" w:rsidRPr="00131B9D">
        <w:t>5</w:t>
      </w:r>
      <w:r w:rsidRPr="00131B9D">
        <w:t>）。</w:t>
      </w:r>
    </w:p>
    <w:p w:rsidR="00F279F7" w:rsidRPr="00131B9D" w:rsidRDefault="00F279F7" w:rsidP="00F279F7"/>
    <w:p w:rsidR="00F279F7" w:rsidRPr="00131B9D" w:rsidRDefault="00F279F7" w:rsidP="00F279F7">
      <w:pPr>
        <w:pStyle w:val="aff1"/>
        <w:spacing w:line="0" w:lineRule="atLeast"/>
        <w:rPr>
          <w:b w:val="0"/>
          <w:szCs w:val="28"/>
        </w:rPr>
      </w:pPr>
      <w:bookmarkStart w:id="402" w:name="_Toc439163004"/>
      <w:r w:rsidRPr="00131B9D">
        <w:rPr>
          <w:szCs w:val="28"/>
        </w:rPr>
        <w:t>表</w:t>
      </w:r>
      <w:r w:rsidRPr="00131B9D">
        <w:rPr>
          <w:szCs w:val="28"/>
        </w:rPr>
        <w:t xml:space="preserve">3- </w:t>
      </w:r>
      <w:r w:rsidRPr="00131B9D">
        <w:rPr>
          <w:b w:val="0"/>
          <w:szCs w:val="28"/>
        </w:rPr>
        <w:fldChar w:fldCharType="begin"/>
      </w:r>
      <w:r w:rsidRPr="00131B9D">
        <w:rPr>
          <w:szCs w:val="28"/>
        </w:rPr>
        <w:instrText xml:space="preserve"> SEQ </w:instrText>
      </w:r>
      <w:r w:rsidRPr="00131B9D">
        <w:rPr>
          <w:szCs w:val="28"/>
        </w:rPr>
        <w:instrText>表</w:instrText>
      </w:r>
      <w:r w:rsidRPr="00131B9D">
        <w:rPr>
          <w:szCs w:val="28"/>
        </w:rPr>
        <w:instrText xml:space="preserve">3- \* ARABIC </w:instrText>
      </w:r>
      <w:r w:rsidRPr="00131B9D">
        <w:rPr>
          <w:b w:val="0"/>
          <w:szCs w:val="28"/>
        </w:rPr>
        <w:fldChar w:fldCharType="separate"/>
      </w:r>
      <w:r w:rsidR="001641D3">
        <w:rPr>
          <w:noProof/>
          <w:szCs w:val="28"/>
        </w:rPr>
        <w:t>15</w:t>
      </w:r>
      <w:r w:rsidRPr="00131B9D">
        <w:rPr>
          <w:b w:val="0"/>
          <w:szCs w:val="28"/>
        </w:rPr>
        <w:fldChar w:fldCharType="end"/>
      </w:r>
      <w:r w:rsidRPr="00131B9D">
        <w:rPr>
          <w:szCs w:val="28"/>
        </w:rPr>
        <w:t xml:space="preserve">　國際紙漿價格預測</w:t>
      </w:r>
      <w:bookmarkEnd w:id="400"/>
      <w:bookmarkEnd w:id="401"/>
      <w:bookmarkEnd w:id="402"/>
    </w:p>
    <w:tbl>
      <w:tblPr>
        <w:tblW w:w="87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000" w:firstRow="0" w:lastRow="0" w:firstColumn="0" w:lastColumn="0" w:noHBand="0" w:noVBand="0"/>
      </w:tblPr>
      <w:tblGrid>
        <w:gridCol w:w="2539"/>
        <w:gridCol w:w="2021"/>
        <w:gridCol w:w="2160"/>
        <w:gridCol w:w="2052"/>
      </w:tblGrid>
      <w:tr w:rsidR="00F279F7" w:rsidRPr="00131B9D" w:rsidTr="003B29E8">
        <w:trPr>
          <w:trHeight w:val="85"/>
          <w:jc w:val="center"/>
        </w:trPr>
        <w:tc>
          <w:tcPr>
            <w:tcW w:w="2539" w:type="dxa"/>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（美元</w:t>
            </w:r>
            <w:r w:rsidRPr="00131B9D">
              <w:rPr>
                <w:rFonts w:eastAsia="標楷體"/>
                <w:b/>
                <w:kern w:val="0"/>
              </w:rPr>
              <w:t>/</w:t>
            </w:r>
            <w:r w:rsidRPr="00131B9D">
              <w:rPr>
                <w:rFonts w:eastAsia="標楷體"/>
                <w:b/>
                <w:kern w:val="0"/>
              </w:rPr>
              <w:t>噸）</w:t>
            </w:r>
          </w:p>
        </w:tc>
        <w:tc>
          <w:tcPr>
            <w:tcW w:w="2021" w:type="dxa"/>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2015</w:t>
            </w:r>
            <w:r w:rsidRPr="00131B9D">
              <w:rPr>
                <w:rFonts w:eastAsia="標楷體"/>
                <w:b/>
                <w:kern w:val="0"/>
              </w:rPr>
              <w:t>年</w:t>
            </w:r>
          </w:p>
        </w:tc>
        <w:tc>
          <w:tcPr>
            <w:tcW w:w="2160" w:type="dxa"/>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2016</w:t>
            </w:r>
            <w:r w:rsidRPr="00131B9D">
              <w:rPr>
                <w:rFonts w:eastAsia="標楷體"/>
                <w:b/>
                <w:kern w:val="0"/>
              </w:rPr>
              <w:t>年（</w:t>
            </w:r>
            <w:r w:rsidRPr="00131B9D">
              <w:rPr>
                <w:rFonts w:eastAsia="標楷體"/>
                <w:b/>
                <w:kern w:val="0"/>
              </w:rPr>
              <w:t>f</w:t>
            </w:r>
            <w:r w:rsidRPr="00131B9D">
              <w:rPr>
                <w:rFonts w:eastAsia="標楷體"/>
                <w:b/>
                <w:kern w:val="0"/>
              </w:rPr>
              <w:t>）</w:t>
            </w:r>
          </w:p>
        </w:tc>
        <w:tc>
          <w:tcPr>
            <w:tcW w:w="2052" w:type="dxa"/>
            <w:shd w:val="clear" w:color="auto" w:fill="D9D9D9"/>
            <w:noWrap/>
            <w:vAlign w:val="center"/>
          </w:tcPr>
          <w:p w:rsidR="00F279F7" w:rsidRPr="00131B9D" w:rsidRDefault="00F279F7" w:rsidP="00F279F7">
            <w:pPr>
              <w:widowControl/>
              <w:spacing w:line="240" w:lineRule="exact"/>
              <w:jc w:val="center"/>
              <w:rPr>
                <w:rFonts w:eastAsia="標楷體"/>
                <w:b/>
                <w:kern w:val="0"/>
              </w:rPr>
            </w:pPr>
            <w:r w:rsidRPr="00131B9D">
              <w:rPr>
                <w:rFonts w:eastAsia="標楷體"/>
                <w:b/>
                <w:kern w:val="0"/>
              </w:rPr>
              <w:t>2017</w:t>
            </w:r>
            <w:r w:rsidRPr="00131B9D">
              <w:rPr>
                <w:rFonts w:eastAsia="標楷體"/>
                <w:b/>
                <w:kern w:val="0"/>
              </w:rPr>
              <w:t>年（</w:t>
            </w:r>
            <w:r w:rsidRPr="00131B9D">
              <w:rPr>
                <w:rFonts w:eastAsia="標楷體"/>
                <w:b/>
                <w:kern w:val="0"/>
              </w:rPr>
              <w:t>f</w:t>
            </w:r>
            <w:r w:rsidRPr="00131B9D">
              <w:rPr>
                <w:rFonts w:eastAsia="標楷體"/>
                <w:b/>
                <w:kern w:val="0"/>
              </w:rPr>
              <w:t>）</w:t>
            </w:r>
          </w:p>
        </w:tc>
      </w:tr>
      <w:tr w:rsidR="00F279F7" w:rsidRPr="00131B9D" w:rsidTr="003B29E8">
        <w:trPr>
          <w:trHeight w:val="208"/>
          <w:jc w:val="center"/>
        </w:trPr>
        <w:tc>
          <w:tcPr>
            <w:tcW w:w="2539" w:type="dxa"/>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Scotiabank</w:t>
            </w:r>
          </w:p>
        </w:tc>
        <w:tc>
          <w:tcPr>
            <w:tcW w:w="2021" w:type="dxa"/>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970</w:t>
            </w:r>
          </w:p>
        </w:tc>
        <w:tc>
          <w:tcPr>
            <w:tcW w:w="2160" w:type="dxa"/>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975</w:t>
            </w:r>
          </w:p>
        </w:tc>
        <w:tc>
          <w:tcPr>
            <w:tcW w:w="2052" w:type="dxa"/>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1,000</w:t>
            </w:r>
          </w:p>
        </w:tc>
      </w:tr>
      <w:tr w:rsidR="00F279F7" w:rsidRPr="00131B9D" w:rsidTr="003B29E8">
        <w:trPr>
          <w:trHeight w:val="135"/>
          <w:jc w:val="center"/>
        </w:trPr>
        <w:tc>
          <w:tcPr>
            <w:tcW w:w="2539" w:type="dxa"/>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Bank of Montreal</w:t>
            </w:r>
          </w:p>
        </w:tc>
        <w:tc>
          <w:tcPr>
            <w:tcW w:w="2021" w:type="dxa"/>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943</w:t>
            </w:r>
          </w:p>
        </w:tc>
        <w:tc>
          <w:tcPr>
            <w:tcW w:w="2160" w:type="dxa"/>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955</w:t>
            </w:r>
          </w:p>
        </w:tc>
        <w:tc>
          <w:tcPr>
            <w:tcW w:w="2052" w:type="dxa"/>
            <w:noWrap/>
            <w:vAlign w:val="center"/>
          </w:tcPr>
          <w:p w:rsidR="00F279F7" w:rsidRPr="00131B9D" w:rsidRDefault="00F279F7" w:rsidP="00F279F7">
            <w:pPr>
              <w:widowControl/>
              <w:spacing w:line="240" w:lineRule="exact"/>
              <w:jc w:val="center"/>
              <w:rPr>
                <w:rFonts w:eastAsia="標楷體"/>
                <w:kern w:val="0"/>
              </w:rPr>
            </w:pPr>
            <w:r w:rsidRPr="00131B9D">
              <w:rPr>
                <w:rFonts w:eastAsia="標楷體"/>
                <w:kern w:val="0"/>
              </w:rPr>
              <w:t>未估計</w:t>
            </w:r>
          </w:p>
        </w:tc>
      </w:tr>
      <w:tr w:rsidR="00F279F7" w:rsidRPr="00131B9D" w:rsidTr="003B29E8">
        <w:trPr>
          <w:trHeight w:val="337"/>
          <w:jc w:val="center"/>
        </w:trPr>
        <w:tc>
          <w:tcPr>
            <w:tcW w:w="8772" w:type="dxa"/>
            <w:gridSpan w:val="4"/>
            <w:tcBorders>
              <w:left w:val="nil"/>
              <w:bottom w:val="nil"/>
              <w:right w:val="nil"/>
            </w:tcBorders>
            <w:noWrap/>
            <w:vAlign w:val="center"/>
          </w:tcPr>
          <w:p w:rsidR="00F279F7" w:rsidRPr="00131B9D" w:rsidRDefault="00F279F7" w:rsidP="00F279F7">
            <w:pPr>
              <w:pStyle w:val="-"/>
              <w:spacing w:beforeLines="0" w:afterLines="0" w:line="240" w:lineRule="exact"/>
              <w:ind w:firstLineChars="0" w:firstLine="0"/>
              <w:rPr>
                <w:sz w:val="20"/>
                <w:szCs w:val="20"/>
              </w:rPr>
            </w:pPr>
            <w:r w:rsidRPr="00131B9D">
              <w:rPr>
                <w:sz w:val="20"/>
                <w:szCs w:val="20"/>
              </w:rPr>
              <w:t>資料來源：</w:t>
            </w:r>
            <w:r w:rsidRPr="00131B9D">
              <w:rPr>
                <w:sz w:val="20"/>
                <w:szCs w:val="20"/>
              </w:rPr>
              <w:t>Scotiabank, 2015/11, “Global Forecast Update”</w:t>
            </w:r>
          </w:p>
          <w:p w:rsidR="00F279F7" w:rsidRPr="00131B9D" w:rsidRDefault="00F279F7" w:rsidP="00F279F7">
            <w:pPr>
              <w:pStyle w:val="-"/>
              <w:spacing w:beforeLines="0" w:afterLines="0" w:line="240" w:lineRule="exact"/>
              <w:ind w:firstLineChars="525" w:firstLine="1050"/>
              <w:rPr>
                <w:kern w:val="0"/>
              </w:rPr>
            </w:pPr>
            <w:r w:rsidRPr="00131B9D">
              <w:rPr>
                <w:sz w:val="20"/>
                <w:szCs w:val="20"/>
              </w:rPr>
              <w:t>Bank of Montreal, 2015/11,“Commodity Forecasts”</w:t>
            </w:r>
          </w:p>
        </w:tc>
      </w:tr>
    </w:tbl>
    <w:p w:rsidR="00F279F7" w:rsidRPr="00131B9D" w:rsidRDefault="00F279F7" w:rsidP="00F279F7">
      <w:pPr>
        <w:rPr>
          <w:rFonts w:eastAsia="標楷體"/>
        </w:rPr>
      </w:pPr>
    </w:p>
    <w:p w:rsidR="00F279F7" w:rsidRPr="00131B9D" w:rsidRDefault="00F279F7" w:rsidP="00F279F7">
      <w:pPr>
        <w:pStyle w:val="3"/>
        <w:spacing w:beforeLines="100" w:before="360"/>
        <w:ind w:left="1135" w:hangingChars="315" w:hanging="1135"/>
        <w:rPr>
          <w:rFonts w:ascii="Times New Roman" w:hAnsi="Times New Roman"/>
        </w:rPr>
      </w:pPr>
      <w:r w:rsidRPr="00131B9D">
        <w:rPr>
          <w:rFonts w:ascii="Times New Roman" w:hAnsi="Times New Roman"/>
        </w:rPr>
        <w:t>（六）水泥供過於求，價格走弱，淘汰產能價格有望回升</w:t>
      </w:r>
    </w:p>
    <w:p w:rsidR="00F279F7" w:rsidRPr="00131B9D" w:rsidRDefault="00F279F7" w:rsidP="003B29E8">
      <w:pPr>
        <w:snapToGrid w:val="0"/>
        <w:spacing w:beforeLines="20" w:before="72" w:afterLines="20" w:after="72" w:line="480" w:lineRule="exact"/>
        <w:ind w:firstLineChars="200" w:firstLine="560"/>
        <w:jc w:val="both"/>
        <w:rPr>
          <w:rFonts w:eastAsia="標楷體"/>
          <w:sz w:val="28"/>
          <w:szCs w:val="28"/>
        </w:rPr>
      </w:pPr>
      <w:r w:rsidRPr="00131B9D">
        <w:rPr>
          <w:rFonts w:eastAsia="標楷體"/>
          <w:sz w:val="28"/>
          <w:szCs w:val="28"/>
        </w:rPr>
        <w:t>中國大陸水泥經濟成長放緩，固定資產和房地產投資增速雙雙回落，雖然在持續去產能政策下，今年第</w:t>
      </w:r>
      <w:r w:rsidRPr="00131B9D">
        <w:rPr>
          <w:rFonts w:eastAsia="標楷體"/>
          <w:sz w:val="28"/>
          <w:szCs w:val="28"/>
        </w:rPr>
        <w:t>1</w:t>
      </w:r>
      <w:r w:rsidRPr="00131B9D">
        <w:rPr>
          <w:rFonts w:eastAsia="標楷體"/>
          <w:sz w:val="28"/>
          <w:szCs w:val="28"/>
        </w:rPr>
        <w:t>季中國大陸水泥產量出現首度負增長，但在水泥產業依然供過於求，上半年水泥價格仍呈現跌勢，</w:t>
      </w:r>
      <w:r w:rsidRPr="00131B9D">
        <w:rPr>
          <w:rFonts w:eastAsia="標楷體"/>
          <w:sz w:val="28"/>
          <w:szCs w:val="28"/>
        </w:rPr>
        <w:t>8</w:t>
      </w:r>
      <w:r w:rsidRPr="00131B9D">
        <w:rPr>
          <w:rFonts w:eastAsia="標楷體"/>
          <w:sz w:val="28"/>
          <w:szCs w:val="28"/>
        </w:rPr>
        <w:t>月後雨季結束需求回升，華中、華東及華南水泥價格呈現上漲。惟</w:t>
      </w:r>
      <w:r w:rsidRPr="00131B9D">
        <w:rPr>
          <w:rFonts w:eastAsia="標楷體"/>
          <w:sz w:val="28"/>
          <w:szCs w:val="28"/>
        </w:rPr>
        <w:t>11</w:t>
      </w:r>
      <w:r w:rsidRPr="00131B9D">
        <w:rPr>
          <w:rFonts w:eastAsia="標楷體"/>
          <w:sz w:val="28"/>
          <w:szCs w:val="28"/>
        </w:rPr>
        <w:t>月後需求滑落，價格出現下跌。前</w:t>
      </w:r>
      <w:r w:rsidRPr="00131B9D">
        <w:rPr>
          <w:rFonts w:eastAsia="標楷體"/>
          <w:sz w:val="28"/>
          <w:szCs w:val="28"/>
        </w:rPr>
        <w:t>3</w:t>
      </w:r>
      <w:r w:rsidRPr="00131B9D">
        <w:rPr>
          <w:rFonts w:eastAsia="標楷體"/>
          <w:sz w:val="28"/>
          <w:szCs w:val="28"/>
        </w:rPr>
        <w:t>季，大陸水泥行業累計實現利潤總額約</w:t>
      </w:r>
      <w:r w:rsidRPr="00131B9D">
        <w:rPr>
          <w:rFonts w:eastAsia="標楷體"/>
          <w:sz w:val="28"/>
          <w:szCs w:val="28"/>
        </w:rPr>
        <w:t>184</w:t>
      </w:r>
      <w:r w:rsidRPr="00131B9D">
        <w:rPr>
          <w:rFonts w:eastAsia="標楷體"/>
          <w:sz w:val="28"/>
          <w:szCs w:val="28"/>
        </w:rPr>
        <w:t>億元，較去年同期減少</w:t>
      </w:r>
      <w:r w:rsidRPr="00131B9D">
        <w:rPr>
          <w:rFonts w:eastAsia="標楷體"/>
          <w:sz w:val="28"/>
          <w:szCs w:val="28"/>
        </w:rPr>
        <w:t>349</w:t>
      </w:r>
      <w:r w:rsidRPr="00131B9D">
        <w:rPr>
          <w:rFonts w:eastAsia="標楷體"/>
          <w:sz w:val="28"/>
          <w:szCs w:val="28"/>
        </w:rPr>
        <w:t>億元，下滑幅度達</w:t>
      </w:r>
      <w:r w:rsidRPr="00131B9D">
        <w:rPr>
          <w:rFonts w:eastAsia="標楷體"/>
          <w:sz w:val="28"/>
          <w:szCs w:val="28"/>
        </w:rPr>
        <w:t>65%</w:t>
      </w:r>
      <w:r w:rsidRPr="00131B9D">
        <w:rPr>
          <w:rFonts w:eastAsia="標楷體"/>
          <w:sz w:val="28"/>
          <w:szCs w:val="28"/>
        </w:rPr>
        <w:t>，今年中國大陸水泥市場衰退已是事實，惟若未來中國大陸針對低階</w:t>
      </w:r>
      <w:r w:rsidRPr="00131B9D">
        <w:rPr>
          <w:rFonts w:eastAsia="標楷體"/>
          <w:sz w:val="28"/>
          <w:szCs w:val="28"/>
        </w:rPr>
        <w:t>32.5</w:t>
      </w:r>
      <w:r w:rsidRPr="00131B9D">
        <w:rPr>
          <w:rFonts w:eastAsia="標楷體"/>
          <w:sz w:val="28"/>
          <w:szCs w:val="28"/>
        </w:rPr>
        <w:t>型水泥實施全面禁用，可能有助於拉抬水泥價格。</w:t>
      </w:r>
    </w:p>
    <w:p w:rsidR="00F279F7" w:rsidRPr="00131B9D" w:rsidRDefault="00F279F7" w:rsidP="00F279F7">
      <w:r w:rsidRPr="00131B9D">
        <w:br w:type="page"/>
      </w:r>
    </w:p>
    <w:p w:rsidR="00D75780" w:rsidRPr="00131B9D" w:rsidRDefault="006C61BF" w:rsidP="00402957">
      <w:pPr>
        <w:pStyle w:val="1"/>
        <w:spacing w:after="360"/>
        <w:rPr>
          <w:rFonts w:hAnsi="Times New Roman"/>
        </w:rPr>
      </w:pPr>
      <w:bookmarkStart w:id="403" w:name="_Toc439162959"/>
      <w:r w:rsidRPr="00131B9D">
        <w:rPr>
          <w:rFonts w:hAnsi="Times New Roman"/>
        </w:rPr>
        <w:lastRenderedPageBreak/>
        <w:t>肆</w:t>
      </w:r>
      <w:r w:rsidR="00D75780" w:rsidRPr="00131B9D">
        <w:rPr>
          <w:rFonts w:hAnsi="Times New Roman"/>
        </w:rPr>
        <w:t>、民生物資價格變動說明</w:t>
      </w:r>
      <w:bookmarkEnd w:id="403"/>
    </w:p>
    <w:p w:rsidR="00D75780" w:rsidRPr="00131B9D" w:rsidRDefault="00D75780" w:rsidP="00D75780">
      <w:pPr>
        <w:pStyle w:val="-"/>
        <w:spacing w:before="72" w:after="72"/>
        <w:ind w:firstLine="560"/>
      </w:pPr>
      <w:r w:rsidRPr="00131B9D">
        <w:t>重要民生物資價格調查涵蓋</w:t>
      </w:r>
      <w:r w:rsidRPr="00131B9D">
        <w:t>14</w:t>
      </w:r>
      <w:r w:rsidRPr="00131B9D">
        <w:t>大類，包含米類及蛋類、麵粉及衍生商品類、加工肉品類、罐頭類、乳製品類、食用油類、調味料類、飲料類、冷凍食品類、生活用品類、身體清潔用品纇、豆製品類以及紐西蘭肉品類等重要項目。調查頻率以每月隔週執行兩次，並配合委辦單位需求，彈性調整訪價時段，根據每期訪查員回報價格統計每期均價以及每月均價，同時與前期以及去年同月進行比較，月均價變動標準範圍為</w:t>
      </w:r>
      <w:r w:rsidRPr="00131B9D">
        <w:t>7%</w:t>
      </w:r>
      <w:r w:rsidRPr="00131B9D">
        <w:t>，期均價則設定為</w:t>
      </w:r>
      <w:r w:rsidRPr="00131B9D">
        <w:t>5%</w:t>
      </w:r>
      <w:r w:rsidRPr="00131B9D">
        <w:t>，若關注品項之價格變動幅度超過上述區間，則針對該品項進行檢視</w:t>
      </w:r>
      <w:r w:rsidR="004C7B35" w:rsidRPr="00131B9D">
        <w:t>以</w:t>
      </w:r>
      <w:r w:rsidRPr="00131B9D">
        <w:t>監控物價變動情形。</w:t>
      </w:r>
      <w:r w:rsidR="00643EF1" w:rsidRPr="00131B9D">
        <w:t>2015</w:t>
      </w:r>
      <w:r w:rsidRPr="00131B9D">
        <w:t>年原價調整之查價品項彙整如表</w:t>
      </w:r>
      <w:r w:rsidR="006C61BF" w:rsidRPr="00131B9D">
        <w:t>4</w:t>
      </w:r>
      <w:r w:rsidRPr="00131B9D">
        <w:t>-1</w:t>
      </w:r>
      <w:r w:rsidRPr="00131B9D">
        <w:t>。</w:t>
      </w:r>
    </w:p>
    <w:p w:rsidR="007E1E0C" w:rsidRPr="00131B9D" w:rsidRDefault="007E1E0C" w:rsidP="007E1E0C"/>
    <w:p w:rsidR="00D75780" w:rsidRPr="00131B9D" w:rsidRDefault="006C61BF" w:rsidP="00CD2B44">
      <w:pPr>
        <w:pStyle w:val="aff1"/>
        <w:spacing w:line="0" w:lineRule="atLeast"/>
        <w:rPr>
          <w:b w:val="0"/>
          <w:szCs w:val="28"/>
        </w:rPr>
      </w:pPr>
      <w:bookmarkStart w:id="404" w:name="_Toc439163005"/>
      <w:r w:rsidRPr="00131B9D">
        <w:rPr>
          <w:szCs w:val="28"/>
        </w:rPr>
        <w:t>表</w:t>
      </w:r>
      <w:r w:rsidRPr="00131B9D">
        <w:rPr>
          <w:szCs w:val="28"/>
        </w:rPr>
        <w:t xml:space="preserve">4- </w:t>
      </w:r>
      <w:r w:rsidRPr="00131B9D">
        <w:rPr>
          <w:b w:val="0"/>
          <w:szCs w:val="28"/>
        </w:rPr>
        <w:fldChar w:fldCharType="begin"/>
      </w:r>
      <w:r w:rsidRPr="00131B9D">
        <w:rPr>
          <w:szCs w:val="28"/>
        </w:rPr>
        <w:instrText xml:space="preserve"> SEQ </w:instrText>
      </w:r>
      <w:r w:rsidRPr="00131B9D">
        <w:rPr>
          <w:szCs w:val="28"/>
        </w:rPr>
        <w:instrText>表</w:instrText>
      </w:r>
      <w:r w:rsidRPr="00131B9D">
        <w:rPr>
          <w:szCs w:val="28"/>
        </w:rPr>
        <w:instrText xml:space="preserve">4- \* ARABIC </w:instrText>
      </w:r>
      <w:r w:rsidRPr="00131B9D">
        <w:rPr>
          <w:b w:val="0"/>
          <w:szCs w:val="28"/>
        </w:rPr>
        <w:fldChar w:fldCharType="separate"/>
      </w:r>
      <w:r w:rsidR="001641D3">
        <w:rPr>
          <w:noProof/>
          <w:szCs w:val="28"/>
        </w:rPr>
        <w:t>1</w:t>
      </w:r>
      <w:r w:rsidRPr="00131B9D">
        <w:rPr>
          <w:b w:val="0"/>
          <w:szCs w:val="28"/>
        </w:rPr>
        <w:fldChar w:fldCharType="end"/>
      </w:r>
      <w:r w:rsidR="00D75780" w:rsidRPr="00131B9D">
        <w:rPr>
          <w:szCs w:val="28"/>
        </w:rPr>
        <w:t xml:space="preserve">　</w:t>
      </w:r>
      <w:r w:rsidR="00D75780" w:rsidRPr="00131B9D">
        <w:rPr>
          <w:szCs w:val="28"/>
        </w:rPr>
        <w:t>2015</w:t>
      </w:r>
      <w:r w:rsidR="00D75780" w:rsidRPr="00131B9D">
        <w:rPr>
          <w:szCs w:val="28"/>
        </w:rPr>
        <w:t>年價格調整之品項彙整</w:t>
      </w:r>
      <w:bookmarkEnd w:id="404"/>
    </w:p>
    <w:tbl>
      <w:tblPr>
        <w:tblW w:w="9258" w:type="dxa"/>
        <w:jc w:val="center"/>
        <w:tblCellMar>
          <w:left w:w="28" w:type="dxa"/>
          <w:right w:w="28" w:type="dxa"/>
        </w:tblCellMar>
        <w:tblLook w:val="04A0" w:firstRow="1" w:lastRow="0" w:firstColumn="1" w:lastColumn="0" w:noHBand="0" w:noVBand="1"/>
      </w:tblPr>
      <w:tblGrid>
        <w:gridCol w:w="678"/>
        <w:gridCol w:w="851"/>
        <w:gridCol w:w="2693"/>
        <w:gridCol w:w="998"/>
        <w:gridCol w:w="636"/>
        <w:gridCol w:w="998"/>
        <w:gridCol w:w="636"/>
        <w:gridCol w:w="1768"/>
      </w:tblGrid>
      <w:tr w:rsidR="007E1E0C" w:rsidRPr="00131B9D" w:rsidTr="00190C2F">
        <w:trPr>
          <w:trHeight w:val="20"/>
          <w:jc w:val="center"/>
        </w:trPr>
        <w:tc>
          <w:tcPr>
            <w:tcW w:w="67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品項</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通路</w:t>
            </w:r>
          </w:p>
        </w:tc>
        <w:tc>
          <w:tcPr>
            <w:tcW w:w="269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規格</w:t>
            </w:r>
          </w:p>
        </w:tc>
        <w:tc>
          <w:tcPr>
            <w:tcW w:w="1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調整前</w:t>
            </w:r>
          </w:p>
        </w:tc>
        <w:tc>
          <w:tcPr>
            <w:tcW w:w="1634" w:type="dxa"/>
            <w:gridSpan w:val="2"/>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調整後</w:t>
            </w:r>
          </w:p>
        </w:tc>
        <w:tc>
          <w:tcPr>
            <w:tcW w:w="1768" w:type="dxa"/>
            <w:vMerge w:val="restart"/>
            <w:tcBorders>
              <w:top w:val="single" w:sz="4" w:space="0" w:color="auto"/>
              <w:left w:val="nil"/>
              <w:right w:val="single" w:sz="4" w:space="0" w:color="auto"/>
            </w:tcBorders>
            <w:shd w:val="clear" w:color="auto" w:fill="auto"/>
            <w:vAlign w:val="center"/>
          </w:tcPr>
          <w:p w:rsidR="007E1E0C" w:rsidRPr="00131B9D" w:rsidRDefault="007E1E0C" w:rsidP="007E1E0C">
            <w:pPr>
              <w:widowControl/>
              <w:spacing w:line="0" w:lineRule="atLeast"/>
              <w:jc w:val="center"/>
              <w:rPr>
                <w:color w:val="000000"/>
                <w:kern w:val="0"/>
                <w:sz w:val="20"/>
                <w:szCs w:val="20"/>
              </w:rPr>
            </w:pPr>
            <w:r w:rsidRPr="00131B9D">
              <w:rPr>
                <w:color w:val="000000"/>
                <w:kern w:val="0"/>
                <w:sz w:val="20"/>
                <w:szCs w:val="20"/>
              </w:rPr>
              <w:t>影響因素</w:t>
            </w:r>
          </w:p>
        </w:tc>
      </w:tr>
      <w:tr w:rsidR="007E1E0C" w:rsidRPr="00131B9D" w:rsidTr="00190C2F">
        <w:trPr>
          <w:trHeight w:val="77"/>
          <w:jc w:val="center"/>
        </w:trPr>
        <w:tc>
          <w:tcPr>
            <w:tcW w:w="67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2693"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查價日</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價格</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查價日</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價格</w:t>
            </w:r>
          </w:p>
        </w:tc>
        <w:tc>
          <w:tcPr>
            <w:tcW w:w="1768" w:type="dxa"/>
            <w:vMerge/>
            <w:tcBorders>
              <w:left w:val="nil"/>
              <w:bottom w:val="single" w:sz="4" w:space="0" w:color="auto"/>
              <w:right w:val="single" w:sz="4" w:space="0" w:color="auto"/>
            </w:tcBorders>
            <w:shd w:val="clear" w:color="auto" w:fill="auto"/>
          </w:tcPr>
          <w:p w:rsidR="007E1E0C" w:rsidRPr="00131B9D" w:rsidRDefault="007E1E0C" w:rsidP="00515B9D">
            <w:pPr>
              <w:widowControl/>
              <w:spacing w:line="0" w:lineRule="atLeast"/>
              <w:jc w:val="center"/>
              <w:rPr>
                <w:color w:val="000000"/>
                <w:kern w:val="0"/>
                <w:sz w:val="20"/>
                <w:szCs w:val="20"/>
              </w:rPr>
            </w:pPr>
          </w:p>
        </w:tc>
      </w:tr>
      <w:tr w:rsidR="007E1E0C" w:rsidRPr="00131B9D" w:rsidTr="00190C2F">
        <w:trPr>
          <w:trHeight w:val="20"/>
          <w:jc w:val="center"/>
        </w:trPr>
        <w:tc>
          <w:tcPr>
            <w:tcW w:w="67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米</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便利店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三好米</w:t>
            </w:r>
            <w:r w:rsidRPr="00131B9D">
              <w:rPr>
                <w:color w:val="000000"/>
                <w:kern w:val="0"/>
                <w:sz w:val="20"/>
                <w:szCs w:val="20"/>
              </w:rPr>
              <w:t>2</w:t>
            </w:r>
            <w:r w:rsidRPr="00131B9D">
              <w:rPr>
                <w:color w:val="000000"/>
                <w:kern w:val="0"/>
                <w:sz w:val="20"/>
                <w:szCs w:val="20"/>
              </w:rPr>
              <w:t>公斤</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179</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199</w:t>
            </w:r>
          </w:p>
        </w:tc>
        <w:tc>
          <w:tcPr>
            <w:tcW w:w="1768" w:type="dxa"/>
            <w:vMerge w:val="restart"/>
            <w:tcBorders>
              <w:top w:val="nil"/>
              <w:left w:val="nil"/>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r w:rsidRPr="00131B9D">
              <w:rPr>
                <w:color w:val="000000"/>
                <w:kern w:val="0"/>
                <w:sz w:val="20"/>
                <w:szCs w:val="20"/>
              </w:rPr>
              <w:t>氣候、供需、節慶以及政策。</w:t>
            </w:r>
          </w:p>
        </w:tc>
      </w:tr>
      <w:tr w:rsidR="007E1E0C" w:rsidRPr="00131B9D" w:rsidTr="00190C2F">
        <w:trPr>
          <w:trHeight w:val="20"/>
          <w:jc w:val="center"/>
        </w:trPr>
        <w:tc>
          <w:tcPr>
            <w:tcW w:w="678" w:type="dxa"/>
            <w:vMerge/>
            <w:tcBorders>
              <w:top w:val="nil"/>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超市</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三好米</w:t>
            </w:r>
            <w:r w:rsidRPr="00131B9D">
              <w:rPr>
                <w:color w:val="000000"/>
                <w:kern w:val="0"/>
                <w:sz w:val="20"/>
                <w:szCs w:val="20"/>
              </w:rPr>
              <w:t>4</w:t>
            </w:r>
            <w:r w:rsidRPr="00131B9D">
              <w:rPr>
                <w:color w:val="000000"/>
                <w:kern w:val="0"/>
                <w:sz w:val="20"/>
                <w:szCs w:val="20"/>
              </w:rPr>
              <w:t>公斤</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199</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229</w:t>
            </w:r>
          </w:p>
        </w:tc>
        <w:tc>
          <w:tcPr>
            <w:tcW w:w="1768" w:type="dxa"/>
            <w:vMerge/>
            <w:tcBorders>
              <w:left w:val="nil"/>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p>
        </w:tc>
      </w:tr>
      <w:tr w:rsidR="007E1E0C" w:rsidRPr="00131B9D" w:rsidTr="00190C2F">
        <w:trPr>
          <w:trHeight w:val="20"/>
          <w:jc w:val="center"/>
        </w:trPr>
        <w:tc>
          <w:tcPr>
            <w:tcW w:w="678" w:type="dxa"/>
            <w:vMerge/>
            <w:tcBorders>
              <w:top w:val="nil"/>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三好米</w:t>
            </w:r>
            <w:r w:rsidRPr="00131B9D">
              <w:rPr>
                <w:color w:val="000000"/>
                <w:kern w:val="0"/>
                <w:sz w:val="20"/>
                <w:szCs w:val="20"/>
              </w:rPr>
              <w:t>4</w:t>
            </w:r>
            <w:r w:rsidRPr="00131B9D">
              <w:rPr>
                <w:color w:val="000000"/>
                <w:kern w:val="0"/>
                <w:sz w:val="20"/>
                <w:szCs w:val="20"/>
              </w:rPr>
              <w:t>公斤</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233</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269</w:t>
            </w:r>
          </w:p>
        </w:tc>
        <w:tc>
          <w:tcPr>
            <w:tcW w:w="1768" w:type="dxa"/>
            <w:vMerge/>
            <w:tcBorders>
              <w:left w:val="nil"/>
              <w:bottom w:val="single" w:sz="4" w:space="0" w:color="auto"/>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p>
        </w:tc>
      </w:tr>
      <w:tr w:rsidR="007E1E0C" w:rsidRPr="00131B9D" w:rsidTr="00190C2F">
        <w:trPr>
          <w:trHeight w:val="20"/>
          <w:jc w:val="center"/>
        </w:trPr>
        <w:tc>
          <w:tcPr>
            <w:tcW w:w="67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洗選蛋</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便利店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10</w:t>
            </w:r>
            <w:r w:rsidRPr="00131B9D">
              <w:rPr>
                <w:color w:val="000000"/>
                <w:kern w:val="0"/>
                <w:sz w:val="20"/>
                <w:szCs w:val="20"/>
              </w:rPr>
              <w:t>粒</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51</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55</w:t>
            </w:r>
          </w:p>
        </w:tc>
        <w:tc>
          <w:tcPr>
            <w:tcW w:w="1768" w:type="dxa"/>
            <w:vMerge w:val="restart"/>
            <w:tcBorders>
              <w:top w:val="nil"/>
              <w:left w:val="nil"/>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r w:rsidRPr="00131B9D">
              <w:rPr>
                <w:color w:val="000000"/>
                <w:kern w:val="0"/>
                <w:sz w:val="20"/>
                <w:szCs w:val="20"/>
              </w:rPr>
              <w:t>氣候、政策、疫情以及節慶。</w:t>
            </w:r>
          </w:p>
        </w:tc>
      </w:tr>
      <w:tr w:rsidR="007E1E0C" w:rsidRPr="00131B9D" w:rsidTr="00190C2F">
        <w:trPr>
          <w:trHeight w:val="20"/>
          <w:jc w:val="center"/>
        </w:trPr>
        <w:tc>
          <w:tcPr>
            <w:tcW w:w="678" w:type="dxa"/>
            <w:vMerge/>
            <w:tcBorders>
              <w:top w:val="nil"/>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超市</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10</w:t>
            </w:r>
            <w:r w:rsidRPr="00131B9D">
              <w:rPr>
                <w:color w:val="000000"/>
                <w:kern w:val="0"/>
                <w:sz w:val="20"/>
                <w:szCs w:val="20"/>
              </w:rPr>
              <w:t>粒</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44</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2015/1/20</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53</w:t>
            </w:r>
          </w:p>
        </w:tc>
        <w:tc>
          <w:tcPr>
            <w:tcW w:w="1768" w:type="dxa"/>
            <w:vMerge/>
            <w:tcBorders>
              <w:left w:val="nil"/>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p>
        </w:tc>
      </w:tr>
      <w:tr w:rsidR="007E1E0C" w:rsidRPr="00131B9D" w:rsidTr="00190C2F">
        <w:trPr>
          <w:trHeight w:val="20"/>
          <w:jc w:val="center"/>
        </w:trPr>
        <w:tc>
          <w:tcPr>
            <w:tcW w:w="678" w:type="dxa"/>
            <w:vMerge/>
            <w:tcBorders>
              <w:top w:val="nil"/>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10</w:t>
            </w:r>
            <w:r w:rsidRPr="00131B9D">
              <w:rPr>
                <w:color w:val="000000"/>
                <w:kern w:val="0"/>
                <w:sz w:val="20"/>
                <w:szCs w:val="20"/>
              </w:rPr>
              <w:t>粒</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44</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2015/3/10</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46</w:t>
            </w:r>
          </w:p>
        </w:tc>
        <w:tc>
          <w:tcPr>
            <w:tcW w:w="1768" w:type="dxa"/>
            <w:vMerge/>
            <w:tcBorders>
              <w:left w:val="nil"/>
              <w:bottom w:val="single" w:sz="4" w:space="0" w:color="auto"/>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p>
        </w:tc>
      </w:tr>
      <w:tr w:rsidR="007E1E0C" w:rsidRPr="00131B9D" w:rsidTr="00190C2F">
        <w:trPr>
          <w:trHeight w:val="20"/>
          <w:jc w:val="center"/>
        </w:trPr>
        <w:tc>
          <w:tcPr>
            <w:tcW w:w="67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醬油</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超市</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金蘭醬油</w:t>
            </w:r>
            <w:r w:rsidRPr="00131B9D">
              <w:rPr>
                <w:color w:val="000000"/>
                <w:kern w:val="0"/>
                <w:sz w:val="20"/>
                <w:szCs w:val="20"/>
              </w:rPr>
              <w:t>500</w:t>
            </w:r>
            <w:r w:rsidRPr="00131B9D">
              <w:rPr>
                <w:color w:val="000000"/>
                <w:kern w:val="0"/>
                <w:sz w:val="20"/>
                <w:szCs w:val="20"/>
              </w:rPr>
              <w:t>毫升</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62</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2015/6/9</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69</w:t>
            </w:r>
          </w:p>
        </w:tc>
        <w:tc>
          <w:tcPr>
            <w:tcW w:w="1768" w:type="dxa"/>
            <w:vMerge w:val="restart"/>
            <w:tcBorders>
              <w:top w:val="nil"/>
              <w:left w:val="nil"/>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r w:rsidRPr="00131B9D">
              <w:rPr>
                <w:color w:val="000000"/>
                <w:kern w:val="0"/>
                <w:sz w:val="20"/>
                <w:szCs w:val="20"/>
              </w:rPr>
              <w:t>特定品項價格調整。</w:t>
            </w:r>
          </w:p>
        </w:tc>
      </w:tr>
      <w:tr w:rsidR="007E1E0C" w:rsidRPr="00131B9D" w:rsidTr="00190C2F">
        <w:trPr>
          <w:trHeight w:val="20"/>
          <w:jc w:val="center"/>
        </w:trPr>
        <w:tc>
          <w:tcPr>
            <w:tcW w:w="678" w:type="dxa"/>
            <w:vMerge/>
            <w:tcBorders>
              <w:top w:val="nil"/>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金蘭醬油</w:t>
            </w:r>
            <w:r w:rsidRPr="00131B9D">
              <w:rPr>
                <w:color w:val="000000"/>
                <w:kern w:val="0"/>
                <w:sz w:val="20"/>
                <w:szCs w:val="20"/>
              </w:rPr>
              <w:t>500</w:t>
            </w:r>
            <w:r w:rsidRPr="00131B9D">
              <w:rPr>
                <w:color w:val="000000"/>
                <w:kern w:val="0"/>
                <w:sz w:val="20"/>
                <w:szCs w:val="20"/>
              </w:rPr>
              <w:t>毫升</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60</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2015/2/3</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68</w:t>
            </w:r>
          </w:p>
        </w:tc>
        <w:tc>
          <w:tcPr>
            <w:tcW w:w="1768" w:type="dxa"/>
            <w:vMerge/>
            <w:tcBorders>
              <w:left w:val="nil"/>
              <w:bottom w:val="single" w:sz="4" w:space="0" w:color="auto"/>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p>
        </w:tc>
      </w:tr>
      <w:tr w:rsidR="007E1E0C" w:rsidRPr="00131B9D" w:rsidTr="00190C2F">
        <w:trPr>
          <w:trHeight w:val="20"/>
          <w:jc w:val="center"/>
        </w:trPr>
        <w:tc>
          <w:tcPr>
            <w:tcW w:w="678" w:type="dxa"/>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糖</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超市</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精製特砂</w:t>
            </w:r>
            <w:r w:rsidRPr="00131B9D">
              <w:rPr>
                <w:color w:val="000000"/>
                <w:kern w:val="0"/>
                <w:sz w:val="20"/>
                <w:szCs w:val="20"/>
              </w:rPr>
              <w:t>1</w:t>
            </w:r>
            <w:r w:rsidRPr="00131B9D">
              <w:rPr>
                <w:color w:val="000000"/>
                <w:kern w:val="0"/>
                <w:sz w:val="20"/>
                <w:szCs w:val="20"/>
              </w:rPr>
              <w:t>公斤</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35</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36</w:t>
            </w:r>
          </w:p>
        </w:tc>
        <w:tc>
          <w:tcPr>
            <w:tcW w:w="1768" w:type="dxa"/>
            <w:tcBorders>
              <w:top w:val="nil"/>
              <w:left w:val="nil"/>
              <w:bottom w:val="single" w:sz="4" w:space="0" w:color="auto"/>
              <w:right w:val="single" w:sz="4" w:space="0" w:color="auto"/>
            </w:tcBorders>
            <w:shd w:val="clear" w:color="auto" w:fill="auto"/>
            <w:vAlign w:val="center"/>
          </w:tcPr>
          <w:p w:rsidR="007E1E0C" w:rsidRPr="00131B9D" w:rsidRDefault="006C61BF" w:rsidP="00190C2F">
            <w:pPr>
              <w:widowControl/>
              <w:spacing w:line="0" w:lineRule="atLeast"/>
              <w:jc w:val="both"/>
              <w:rPr>
                <w:color w:val="000000"/>
                <w:kern w:val="0"/>
                <w:sz w:val="20"/>
                <w:szCs w:val="20"/>
              </w:rPr>
            </w:pPr>
            <w:r w:rsidRPr="00131B9D">
              <w:rPr>
                <w:color w:val="000000"/>
                <w:kern w:val="0"/>
                <w:sz w:val="20"/>
                <w:szCs w:val="20"/>
              </w:rPr>
              <w:t>國際食糖價格。</w:t>
            </w:r>
          </w:p>
        </w:tc>
      </w:tr>
      <w:tr w:rsidR="007E1E0C" w:rsidRPr="00131B9D" w:rsidTr="00190C2F">
        <w:trPr>
          <w:trHeight w:val="20"/>
          <w:jc w:val="center"/>
        </w:trPr>
        <w:tc>
          <w:tcPr>
            <w:tcW w:w="678" w:type="dxa"/>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乳品</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味全林鳳營鮮乳</w:t>
            </w:r>
            <w:r w:rsidRPr="00131B9D">
              <w:rPr>
                <w:color w:val="000000"/>
                <w:kern w:val="0"/>
                <w:sz w:val="20"/>
                <w:szCs w:val="20"/>
              </w:rPr>
              <w:t>1857</w:t>
            </w:r>
            <w:r w:rsidRPr="00131B9D">
              <w:rPr>
                <w:color w:val="000000"/>
                <w:kern w:val="0"/>
                <w:sz w:val="20"/>
                <w:szCs w:val="20"/>
              </w:rPr>
              <w:t>毫升</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163</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155</w:t>
            </w:r>
          </w:p>
        </w:tc>
        <w:tc>
          <w:tcPr>
            <w:tcW w:w="1768" w:type="dxa"/>
            <w:tcBorders>
              <w:top w:val="nil"/>
              <w:left w:val="nil"/>
              <w:bottom w:val="single" w:sz="4" w:space="0" w:color="auto"/>
              <w:right w:val="single" w:sz="4" w:space="0" w:color="auto"/>
            </w:tcBorders>
            <w:shd w:val="clear" w:color="auto" w:fill="auto"/>
            <w:vAlign w:val="center"/>
          </w:tcPr>
          <w:p w:rsidR="007E1E0C" w:rsidRPr="00131B9D" w:rsidRDefault="006C61BF" w:rsidP="00190C2F">
            <w:pPr>
              <w:widowControl/>
              <w:spacing w:line="0" w:lineRule="atLeast"/>
              <w:jc w:val="both"/>
              <w:rPr>
                <w:color w:val="000000"/>
                <w:kern w:val="0"/>
                <w:sz w:val="20"/>
                <w:szCs w:val="20"/>
              </w:rPr>
            </w:pPr>
            <w:r w:rsidRPr="00131B9D">
              <w:rPr>
                <w:color w:val="000000"/>
                <w:kern w:val="0"/>
                <w:sz w:val="20"/>
                <w:szCs w:val="20"/>
              </w:rPr>
              <w:t>特定品項價格調整。</w:t>
            </w:r>
          </w:p>
        </w:tc>
      </w:tr>
      <w:tr w:rsidR="007E1E0C" w:rsidRPr="00131B9D" w:rsidTr="00190C2F">
        <w:trPr>
          <w:trHeight w:val="20"/>
          <w:jc w:val="center"/>
        </w:trPr>
        <w:tc>
          <w:tcPr>
            <w:tcW w:w="67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奶粉</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超市</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克寧即溶奶粉</w:t>
            </w:r>
            <w:r w:rsidRPr="00131B9D">
              <w:rPr>
                <w:color w:val="000000"/>
                <w:kern w:val="0"/>
                <w:sz w:val="20"/>
                <w:szCs w:val="20"/>
              </w:rPr>
              <w:t>800</w:t>
            </w:r>
            <w:r w:rsidRPr="00131B9D">
              <w:rPr>
                <w:color w:val="000000"/>
                <w:kern w:val="0"/>
                <w:sz w:val="20"/>
                <w:szCs w:val="20"/>
              </w:rPr>
              <w:t>公克</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469</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2015/4/8</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400</w:t>
            </w:r>
          </w:p>
        </w:tc>
        <w:tc>
          <w:tcPr>
            <w:tcW w:w="1768" w:type="dxa"/>
            <w:vMerge w:val="restart"/>
            <w:tcBorders>
              <w:top w:val="nil"/>
              <w:left w:val="nil"/>
              <w:right w:val="single" w:sz="4" w:space="0" w:color="auto"/>
            </w:tcBorders>
            <w:shd w:val="clear" w:color="auto" w:fill="auto"/>
            <w:vAlign w:val="center"/>
          </w:tcPr>
          <w:p w:rsidR="007E1E0C" w:rsidRPr="00131B9D" w:rsidRDefault="006C61BF" w:rsidP="00190C2F">
            <w:pPr>
              <w:widowControl/>
              <w:spacing w:line="0" w:lineRule="atLeast"/>
              <w:jc w:val="both"/>
              <w:rPr>
                <w:color w:val="000000"/>
                <w:kern w:val="0"/>
                <w:sz w:val="20"/>
                <w:szCs w:val="20"/>
              </w:rPr>
            </w:pPr>
            <w:r w:rsidRPr="00131B9D">
              <w:rPr>
                <w:color w:val="000000"/>
                <w:kern w:val="0"/>
                <w:sz w:val="20"/>
                <w:szCs w:val="20"/>
              </w:rPr>
              <w:t>國際奶粉價格、匯率因素。</w:t>
            </w:r>
          </w:p>
        </w:tc>
      </w:tr>
      <w:tr w:rsidR="007E1E0C" w:rsidRPr="00131B9D" w:rsidTr="00190C2F">
        <w:trPr>
          <w:trHeight w:val="20"/>
          <w:jc w:val="center"/>
        </w:trPr>
        <w:tc>
          <w:tcPr>
            <w:tcW w:w="678" w:type="dxa"/>
            <w:vMerge/>
            <w:tcBorders>
              <w:top w:val="nil"/>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克寧即溶奶粉</w:t>
            </w:r>
            <w:r w:rsidRPr="00131B9D">
              <w:rPr>
                <w:color w:val="000000"/>
                <w:kern w:val="0"/>
                <w:sz w:val="20"/>
                <w:szCs w:val="20"/>
              </w:rPr>
              <w:t>800</w:t>
            </w:r>
            <w:r w:rsidRPr="00131B9D">
              <w:rPr>
                <w:color w:val="000000"/>
                <w:kern w:val="0"/>
                <w:sz w:val="20"/>
                <w:szCs w:val="20"/>
              </w:rPr>
              <w:t>公克</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438</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2015/1/20</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346</w:t>
            </w:r>
          </w:p>
        </w:tc>
        <w:tc>
          <w:tcPr>
            <w:tcW w:w="1768" w:type="dxa"/>
            <w:vMerge/>
            <w:tcBorders>
              <w:left w:val="nil"/>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p>
        </w:tc>
      </w:tr>
      <w:tr w:rsidR="007E1E0C" w:rsidRPr="00131B9D" w:rsidTr="00190C2F">
        <w:trPr>
          <w:trHeight w:val="20"/>
          <w:jc w:val="center"/>
        </w:trPr>
        <w:tc>
          <w:tcPr>
            <w:tcW w:w="678" w:type="dxa"/>
            <w:vMerge/>
            <w:tcBorders>
              <w:top w:val="nil"/>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雀巢超優質奶粉</w:t>
            </w:r>
            <w:r w:rsidRPr="00131B9D">
              <w:rPr>
                <w:color w:val="000000"/>
                <w:kern w:val="0"/>
                <w:sz w:val="20"/>
                <w:szCs w:val="20"/>
              </w:rPr>
              <w:t>800</w:t>
            </w:r>
            <w:r w:rsidRPr="00131B9D">
              <w:rPr>
                <w:color w:val="000000"/>
                <w:kern w:val="0"/>
                <w:sz w:val="20"/>
                <w:szCs w:val="20"/>
              </w:rPr>
              <w:t>公克</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441</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2015/1/20</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395</w:t>
            </w:r>
          </w:p>
        </w:tc>
        <w:tc>
          <w:tcPr>
            <w:tcW w:w="1768" w:type="dxa"/>
            <w:vMerge/>
            <w:tcBorders>
              <w:left w:val="nil"/>
              <w:bottom w:val="single" w:sz="4" w:space="0" w:color="auto"/>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p>
        </w:tc>
      </w:tr>
      <w:tr w:rsidR="007E1E0C" w:rsidRPr="00131B9D" w:rsidTr="00190C2F">
        <w:trPr>
          <w:trHeight w:val="20"/>
          <w:jc w:val="center"/>
        </w:trPr>
        <w:tc>
          <w:tcPr>
            <w:tcW w:w="678" w:type="dxa"/>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麵食</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味味</w:t>
            </w:r>
            <w:r w:rsidRPr="00131B9D">
              <w:rPr>
                <w:color w:val="000000"/>
                <w:kern w:val="0"/>
                <w:sz w:val="20"/>
                <w:szCs w:val="20"/>
              </w:rPr>
              <w:t>A</w:t>
            </w:r>
            <w:r w:rsidRPr="00131B9D">
              <w:rPr>
                <w:color w:val="000000"/>
                <w:kern w:val="0"/>
                <w:sz w:val="20"/>
                <w:szCs w:val="20"/>
              </w:rPr>
              <w:t>排骨雞麵</w:t>
            </w:r>
            <w:r w:rsidRPr="00131B9D">
              <w:rPr>
                <w:color w:val="000000"/>
                <w:kern w:val="0"/>
                <w:sz w:val="20"/>
                <w:szCs w:val="20"/>
              </w:rPr>
              <w:t>(</w:t>
            </w:r>
            <w:r w:rsidRPr="00131B9D">
              <w:rPr>
                <w:color w:val="000000"/>
                <w:kern w:val="0"/>
                <w:sz w:val="20"/>
                <w:szCs w:val="20"/>
              </w:rPr>
              <w:t>袋裝</w:t>
            </w:r>
            <w:r w:rsidRPr="00131B9D">
              <w:rPr>
                <w:color w:val="000000"/>
                <w:kern w:val="0"/>
                <w:sz w:val="20"/>
                <w:szCs w:val="20"/>
              </w:rPr>
              <w:t>)90</w:t>
            </w:r>
            <w:r w:rsidRPr="00131B9D">
              <w:rPr>
                <w:color w:val="000000"/>
                <w:kern w:val="0"/>
                <w:sz w:val="20"/>
                <w:szCs w:val="20"/>
              </w:rPr>
              <w:t>公克</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2015/3/24</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12</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2015/4/8</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14.4</w:t>
            </w:r>
          </w:p>
        </w:tc>
        <w:tc>
          <w:tcPr>
            <w:tcW w:w="1768" w:type="dxa"/>
            <w:tcBorders>
              <w:top w:val="nil"/>
              <w:left w:val="nil"/>
              <w:bottom w:val="single" w:sz="4" w:space="0" w:color="auto"/>
              <w:right w:val="single" w:sz="4" w:space="0" w:color="auto"/>
            </w:tcBorders>
            <w:shd w:val="clear" w:color="auto" w:fill="auto"/>
            <w:vAlign w:val="center"/>
          </w:tcPr>
          <w:p w:rsidR="007E1E0C" w:rsidRPr="00131B9D" w:rsidRDefault="00190C2F" w:rsidP="00190C2F">
            <w:pPr>
              <w:widowControl/>
              <w:spacing w:line="0" w:lineRule="atLeast"/>
              <w:jc w:val="both"/>
              <w:rPr>
                <w:color w:val="000000"/>
                <w:kern w:val="0"/>
                <w:sz w:val="20"/>
                <w:szCs w:val="20"/>
              </w:rPr>
            </w:pPr>
            <w:r w:rsidRPr="00131B9D">
              <w:rPr>
                <w:color w:val="000000"/>
                <w:kern w:val="0"/>
                <w:sz w:val="20"/>
                <w:szCs w:val="20"/>
              </w:rPr>
              <w:t>特定品項價格調整。</w:t>
            </w:r>
          </w:p>
        </w:tc>
      </w:tr>
      <w:tr w:rsidR="007E1E0C" w:rsidRPr="00131B9D" w:rsidTr="00190C2F">
        <w:trPr>
          <w:trHeight w:val="20"/>
          <w:jc w:val="center"/>
        </w:trPr>
        <w:tc>
          <w:tcPr>
            <w:tcW w:w="678" w:type="dxa"/>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洗衣粉</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花王新一匙靈洗衣粉</w:t>
            </w:r>
            <w:r w:rsidRPr="00131B9D">
              <w:rPr>
                <w:color w:val="000000"/>
                <w:kern w:val="0"/>
                <w:sz w:val="20"/>
                <w:szCs w:val="20"/>
              </w:rPr>
              <w:t>1.9</w:t>
            </w:r>
            <w:r w:rsidRPr="00131B9D">
              <w:rPr>
                <w:color w:val="000000"/>
                <w:kern w:val="0"/>
                <w:sz w:val="20"/>
                <w:szCs w:val="20"/>
              </w:rPr>
              <w:t>公斤</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135</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119</w:t>
            </w:r>
          </w:p>
        </w:tc>
        <w:tc>
          <w:tcPr>
            <w:tcW w:w="1768" w:type="dxa"/>
            <w:tcBorders>
              <w:top w:val="nil"/>
              <w:left w:val="nil"/>
              <w:bottom w:val="single" w:sz="4" w:space="0" w:color="auto"/>
              <w:right w:val="single" w:sz="4" w:space="0" w:color="auto"/>
            </w:tcBorders>
            <w:shd w:val="clear" w:color="auto" w:fill="auto"/>
            <w:vAlign w:val="center"/>
          </w:tcPr>
          <w:p w:rsidR="007E1E0C" w:rsidRPr="00131B9D" w:rsidRDefault="00190C2F" w:rsidP="00190C2F">
            <w:pPr>
              <w:widowControl/>
              <w:spacing w:line="0" w:lineRule="atLeast"/>
              <w:jc w:val="both"/>
              <w:rPr>
                <w:color w:val="000000"/>
                <w:kern w:val="0"/>
                <w:sz w:val="20"/>
                <w:szCs w:val="20"/>
              </w:rPr>
            </w:pPr>
            <w:r w:rsidRPr="00131B9D">
              <w:rPr>
                <w:color w:val="000000"/>
                <w:kern w:val="0"/>
                <w:sz w:val="20"/>
                <w:szCs w:val="20"/>
              </w:rPr>
              <w:t>特定品項價格調整。</w:t>
            </w:r>
          </w:p>
        </w:tc>
      </w:tr>
      <w:tr w:rsidR="007E1E0C" w:rsidRPr="00131B9D" w:rsidTr="00190C2F">
        <w:trPr>
          <w:trHeight w:val="20"/>
          <w:jc w:val="center"/>
        </w:trPr>
        <w:tc>
          <w:tcPr>
            <w:tcW w:w="678" w:type="dxa"/>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衛生紙</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五月花平版衛生紙</w:t>
            </w:r>
            <w:r w:rsidRPr="00131B9D">
              <w:rPr>
                <w:color w:val="000000"/>
                <w:kern w:val="0"/>
                <w:sz w:val="20"/>
                <w:szCs w:val="20"/>
              </w:rPr>
              <w:t>320</w:t>
            </w:r>
            <w:r w:rsidRPr="00131B9D">
              <w:rPr>
                <w:color w:val="000000"/>
                <w:kern w:val="0"/>
                <w:sz w:val="20"/>
                <w:szCs w:val="20"/>
              </w:rPr>
              <w:t>張</w:t>
            </w:r>
            <w:r w:rsidRPr="00131B9D">
              <w:rPr>
                <w:color w:val="000000"/>
                <w:kern w:val="0"/>
                <w:sz w:val="20"/>
                <w:szCs w:val="20"/>
              </w:rPr>
              <w:t>6</w:t>
            </w:r>
            <w:r w:rsidRPr="00131B9D">
              <w:rPr>
                <w:color w:val="000000"/>
                <w:kern w:val="0"/>
                <w:sz w:val="20"/>
                <w:szCs w:val="20"/>
              </w:rPr>
              <w:t>包</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111</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2015/3/10</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109</w:t>
            </w:r>
          </w:p>
        </w:tc>
        <w:tc>
          <w:tcPr>
            <w:tcW w:w="1768" w:type="dxa"/>
            <w:tcBorders>
              <w:top w:val="nil"/>
              <w:left w:val="nil"/>
              <w:bottom w:val="single" w:sz="4" w:space="0" w:color="auto"/>
              <w:right w:val="single" w:sz="4" w:space="0" w:color="auto"/>
            </w:tcBorders>
            <w:shd w:val="clear" w:color="auto" w:fill="auto"/>
            <w:vAlign w:val="center"/>
          </w:tcPr>
          <w:p w:rsidR="007E1E0C" w:rsidRPr="00131B9D" w:rsidRDefault="00190C2F" w:rsidP="00190C2F">
            <w:pPr>
              <w:widowControl/>
              <w:spacing w:line="0" w:lineRule="atLeast"/>
              <w:jc w:val="both"/>
              <w:rPr>
                <w:color w:val="000000"/>
                <w:kern w:val="0"/>
                <w:sz w:val="20"/>
                <w:szCs w:val="20"/>
              </w:rPr>
            </w:pPr>
            <w:r w:rsidRPr="00131B9D">
              <w:rPr>
                <w:color w:val="000000"/>
                <w:kern w:val="0"/>
                <w:sz w:val="20"/>
                <w:szCs w:val="20"/>
              </w:rPr>
              <w:t>特定品項價格調整。</w:t>
            </w:r>
          </w:p>
        </w:tc>
      </w:tr>
      <w:tr w:rsidR="007E1E0C" w:rsidRPr="00131B9D" w:rsidTr="00190C2F">
        <w:trPr>
          <w:trHeight w:val="20"/>
          <w:jc w:val="center"/>
        </w:trPr>
        <w:tc>
          <w:tcPr>
            <w:tcW w:w="67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洗髮精</w:t>
            </w: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海倫仙度絲洗髮乳</w:t>
            </w:r>
            <w:r w:rsidRPr="00131B9D">
              <w:rPr>
                <w:color w:val="000000"/>
                <w:kern w:val="0"/>
                <w:sz w:val="20"/>
                <w:szCs w:val="20"/>
              </w:rPr>
              <w:t>400</w:t>
            </w:r>
            <w:r w:rsidRPr="00131B9D">
              <w:rPr>
                <w:color w:val="000000"/>
                <w:kern w:val="0"/>
                <w:sz w:val="20"/>
                <w:szCs w:val="20"/>
              </w:rPr>
              <w:t>毫升</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152</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169</w:t>
            </w:r>
          </w:p>
        </w:tc>
        <w:tc>
          <w:tcPr>
            <w:tcW w:w="1768" w:type="dxa"/>
            <w:vMerge w:val="restart"/>
            <w:tcBorders>
              <w:top w:val="nil"/>
              <w:left w:val="nil"/>
              <w:right w:val="single" w:sz="4" w:space="0" w:color="auto"/>
            </w:tcBorders>
            <w:shd w:val="clear" w:color="auto" w:fill="auto"/>
            <w:vAlign w:val="center"/>
          </w:tcPr>
          <w:p w:rsidR="007E1E0C" w:rsidRPr="00131B9D" w:rsidRDefault="00190C2F" w:rsidP="00190C2F">
            <w:pPr>
              <w:widowControl/>
              <w:spacing w:line="0" w:lineRule="atLeast"/>
              <w:jc w:val="both"/>
              <w:rPr>
                <w:color w:val="000000"/>
                <w:kern w:val="0"/>
                <w:sz w:val="20"/>
                <w:szCs w:val="20"/>
              </w:rPr>
            </w:pPr>
            <w:r w:rsidRPr="00131B9D">
              <w:rPr>
                <w:color w:val="000000"/>
                <w:kern w:val="0"/>
                <w:sz w:val="20"/>
                <w:szCs w:val="20"/>
              </w:rPr>
              <w:t>特定品項價格調整。</w:t>
            </w:r>
          </w:p>
        </w:tc>
      </w:tr>
      <w:tr w:rsidR="007E1E0C" w:rsidRPr="00131B9D" w:rsidTr="00190C2F">
        <w:trPr>
          <w:trHeight w:val="20"/>
          <w:jc w:val="center"/>
        </w:trPr>
        <w:tc>
          <w:tcPr>
            <w:tcW w:w="678" w:type="dxa"/>
            <w:vMerge/>
            <w:tcBorders>
              <w:top w:val="nil"/>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多芬乳霜洗髮乳</w:t>
            </w:r>
            <w:r w:rsidRPr="00131B9D">
              <w:rPr>
                <w:color w:val="000000"/>
                <w:kern w:val="0"/>
                <w:sz w:val="20"/>
                <w:szCs w:val="20"/>
              </w:rPr>
              <w:t>700</w:t>
            </w:r>
            <w:r w:rsidRPr="00131B9D">
              <w:rPr>
                <w:color w:val="000000"/>
                <w:kern w:val="0"/>
                <w:sz w:val="20"/>
                <w:szCs w:val="20"/>
              </w:rPr>
              <w:t>毫升</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179</w:t>
            </w:r>
          </w:p>
        </w:tc>
        <w:tc>
          <w:tcPr>
            <w:tcW w:w="998"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nil"/>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209</w:t>
            </w:r>
          </w:p>
        </w:tc>
        <w:tc>
          <w:tcPr>
            <w:tcW w:w="1768" w:type="dxa"/>
            <w:vMerge/>
            <w:tcBorders>
              <w:left w:val="nil"/>
              <w:bottom w:val="single" w:sz="4" w:space="0" w:color="auto"/>
              <w:right w:val="single" w:sz="4" w:space="0" w:color="auto"/>
            </w:tcBorders>
            <w:shd w:val="clear" w:color="auto" w:fill="auto"/>
            <w:vAlign w:val="center"/>
          </w:tcPr>
          <w:p w:rsidR="007E1E0C" w:rsidRPr="00131B9D" w:rsidRDefault="007E1E0C" w:rsidP="00190C2F">
            <w:pPr>
              <w:widowControl/>
              <w:spacing w:line="0" w:lineRule="atLeast"/>
              <w:jc w:val="both"/>
              <w:rPr>
                <w:color w:val="000000"/>
                <w:kern w:val="0"/>
                <w:sz w:val="20"/>
                <w:szCs w:val="20"/>
              </w:rPr>
            </w:pPr>
          </w:p>
        </w:tc>
      </w:tr>
      <w:tr w:rsidR="007E1E0C" w:rsidRPr="00131B9D" w:rsidTr="00190C2F">
        <w:trPr>
          <w:trHeight w:val="20"/>
          <w:jc w:val="center"/>
        </w:trPr>
        <w:tc>
          <w:tcPr>
            <w:tcW w:w="67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吐司</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便利店</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半條白吐司</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40</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48</w:t>
            </w:r>
          </w:p>
        </w:tc>
        <w:tc>
          <w:tcPr>
            <w:tcW w:w="1768" w:type="dxa"/>
            <w:vMerge w:val="restart"/>
            <w:tcBorders>
              <w:top w:val="single" w:sz="4" w:space="0" w:color="auto"/>
              <w:left w:val="nil"/>
              <w:right w:val="single" w:sz="4" w:space="0" w:color="auto"/>
            </w:tcBorders>
            <w:shd w:val="clear" w:color="auto" w:fill="auto"/>
            <w:vAlign w:val="center"/>
          </w:tcPr>
          <w:p w:rsidR="007E1E0C" w:rsidRPr="00131B9D" w:rsidRDefault="00190C2F" w:rsidP="00190C2F">
            <w:pPr>
              <w:widowControl/>
              <w:spacing w:line="0" w:lineRule="atLeast"/>
              <w:jc w:val="both"/>
              <w:rPr>
                <w:color w:val="000000"/>
                <w:kern w:val="0"/>
                <w:sz w:val="20"/>
                <w:szCs w:val="20"/>
              </w:rPr>
            </w:pPr>
            <w:r w:rsidRPr="00131B9D">
              <w:rPr>
                <w:color w:val="000000"/>
                <w:kern w:val="0"/>
                <w:sz w:val="20"/>
                <w:szCs w:val="20"/>
              </w:rPr>
              <w:t>更換原料。</w:t>
            </w:r>
          </w:p>
        </w:tc>
      </w:tr>
      <w:tr w:rsidR="007E1E0C" w:rsidRPr="00131B9D" w:rsidTr="00190C2F">
        <w:trPr>
          <w:trHeight w:val="20"/>
          <w:jc w:val="center"/>
        </w:trPr>
        <w:tc>
          <w:tcPr>
            <w:tcW w:w="67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超市</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半條白吐司</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2015/4/8</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35</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2015/4/21</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40</w:t>
            </w:r>
          </w:p>
        </w:tc>
        <w:tc>
          <w:tcPr>
            <w:tcW w:w="1768" w:type="dxa"/>
            <w:vMerge/>
            <w:tcBorders>
              <w:left w:val="nil"/>
              <w:right w:val="single" w:sz="4" w:space="0" w:color="auto"/>
            </w:tcBorders>
            <w:shd w:val="clear" w:color="auto" w:fill="auto"/>
          </w:tcPr>
          <w:p w:rsidR="007E1E0C" w:rsidRPr="00131B9D" w:rsidRDefault="007E1E0C" w:rsidP="00515B9D">
            <w:pPr>
              <w:widowControl/>
              <w:spacing w:line="0" w:lineRule="atLeast"/>
              <w:jc w:val="center"/>
              <w:rPr>
                <w:color w:val="000000"/>
                <w:kern w:val="0"/>
                <w:sz w:val="20"/>
                <w:szCs w:val="20"/>
              </w:rPr>
            </w:pPr>
          </w:p>
        </w:tc>
      </w:tr>
      <w:tr w:rsidR="007E1E0C" w:rsidRPr="00131B9D" w:rsidTr="00190C2F">
        <w:trPr>
          <w:trHeight w:val="20"/>
          <w:jc w:val="center"/>
        </w:trPr>
        <w:tc>
          <w:tcPr>
            <w:tcW w:w="67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7E1E0C" w:rsidRPr="00131B9D" w:rsidRDefault="007E1E0C" w:rsidP="00515B9D">
            <w:pPr>
              <w:widowControl/>
              <w:spacing w:line="0" w:lineRule="atLeast"/>
              <w:jc w:val="center"/>
              <w:rPr>
                <w:color w:val="000000"/>
                <w:kern w:val="0"/>
                <w:sz w:val="20"/>
                <w:szCs w:val="20"/>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量販店</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半條白吐司</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2014/1/6</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26</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2015/1/5</w:t>
            </w:r>
          </w:p>
        </w:tc>
        <w:tc>
          <w:tcPr>
            <w:tcW w:w="636" w:type="dxa"/>
            <w:tcBorders>
              <w:top w:val="single" w:sz="4" w:space="0" w:color="auto"/>
              <w:left w:val="nil"/>
              <w:bottom w:val="single" w:sz="4" w:space="0" w:color="auto"/>
              <w:right w:val="single" w:sz="4" w:space="0" w:color="auto"/>
            </w:tcBorders>
            <w:shd w:val="clear" w:color="auto" w:fill="auto"/>
            <w:noWrap/>
            <w:vAlign w:val="center"/>
            <w:hideMark/>
          </w:tcPr>
          <w:p w:rsidR="007E1E0C" w:rsidRPr="00131B9D" w:rsidRDefault="007E1E0C" w:rsidP="00515B9D">
            <w:pPr>
              <w:widowControl/>
              <w:spacing w:line="0" w:lineRule="atLeast"/>
              <w:jc w:val="center"/>
              <w:rPr>
                <w:color w:val="000000"/>
                <w:kern w:val="0"/>
                <w:sz w:val="20"/>
                <w:szCs w:val="20"/>
              </w:rPr>
            </w:pPr>
            <w:r w:rsidRPr="00131B9D">
              <w:rPr>
                <w:color w:val="000000"/>
                <w:kern w:val="0"/>
                <w:sz w:val="20"/>
                <w:szCs w:val="20"/>
              </w:rPr>
              <w:t>32</w:t>
            </w:r>
          </w:p>
        </w:tc>
        <w:tc>
          <w:tcPr>
            <w:tcW w:w="1768" w:type="dxa"/>
            <w:vMerge/>
            <w:tcBorders>
              <w:left w:val="nil"/>
              <w:bottom w:val="single" w:sz="4" w:space="0" w:color="auto"/>
              <w:right w:val="single" w:sz="4" w:space="0" w:color="auto"/>
            </w:tcBorders>
            <w:shd w:val="clear" w:color="auto" w:fill="auto"/>
          </w:tcPr>
          <w:p w:rsidR="007E1E0C" w:rsidRPr="00131B9D" w:rsidRDefault="007E1E0C" w:rsidP="00515B9D">
            <w:pPr>
              <w:widowControl/>
              <w:spacing w:line="0" w:lineRule="atLeast"/>
              <w:jc w:val="center"/>
              <w:rPr>
                <w:color w:val="000000"/>
                <w:kern w:val="0"/>
                <w:sz w:val="20"/>
                <w:szCs w:val="20"/>
              </w:rPr>
            </w:pPr>
          </w:p>
        </w:tc>
      </w:tr>
      <w:tr w:rsidR="00643EF1" w:rsidRPr="00131B9D" w:rsidTr="00DF1B7D">
        <w:trPr>
          <w:trHeight w:val="20"/>
          <w:jc w:val="center"/>
        </w:trPr>
        <w:tc>
          <w:tcPr>
            <w:tcW w:w="9258" w:type="dxa"/>
            <w:gridSpan w:val="8"/>
            <w:tcBorders>
              <w:top w:val="single" w:sz="4" w:space="0" w:color="auto"/>
            </w:tcBorders>
            <w:shd w:val="clear" w:color="auto" w:fill="auto"/>
            <w:vAlign w:val="center"/>
          </w:tcPr>
          <w:p w:rsidR="00643EF1" w:rsidRPr="00131B9D" w:rsidRDefault="00643EF1" w:rsidP="00515B9D">
            <w:pPr>
              <w:widowControl/>
              <w:spacing w:line="0" w:lineRule="atLeast"/>
              <w:rPr>
                <w:color w:val="000000"/>
                <w:kern w:val="0"/>
                <w:sz w:val="20"/>
                <w:szCs w:val="20"/>
              </w:rPr>
            </w:pPr>
            <w:r w:rsidRPr="00131B9D">
              <w:rPr>
                <w:color w:val="000000"/>
                <w:kern w:val="0"/>
                <w:sz w:val="20"/>
                <w:szCs w:val="20"/>
              </w:rPr>
              <w:t>備註</w:t>
            </w:r>
            <w:r w:rsidRPr="00131B9D">
              <w:rPr>
                <w:color w:val="000000"/>
                <w:kern w:val="0"/>
                <w:sz w:val="20"/>
                <w:szCs w:val="20"/>
              </w:rPr>
              <w:t>1</w:t>
            </w:r>
            <w:r w:rsidRPr="00131B9D">
              <w:rPr>
                <w:color w:val="000000"/>
                <w:kern w:val="0"/>
                <w:sz w:val="20"/>
                <w:szCs w:val="20"/>
              </w:rPr>
              <w:t>：由於各通路因銷售策略考量，原價略有差異，故本表僅節錄</w:t>
            </w:r>
            <w:r w:rsidR="00B22890" w:rsidRPr="00131B9D">
              <w:rPr>
                <w:color w:val="000000"/>
                <w:kern w:val="0"/>
                <w:sz w:val="20"/>
                <w:szCs w:val="20"/>
              </w:rPr>
              <w:t>部分</w:t>
            </w:r>
            <w:r w:rsidRPr="00131B9D">
              <w:rPr>
                <w:color w:val="000000"/>
                <w:kern w:val="0"/>
                <w:sz w:val="20"/>
                <w:szCs w:val="20"/>
              </w:rPr>
              <w:t>通路報價。</w:t>
            </w:r>
          </w:p>
          <w:p w:rsidR="00643EF1" w:rsidRPr="00131B9D" w:rsidRDefault="00643EF1" w:rsidP="00515B9D">
            <w:pPr>
              <w:widowControl/>
              <w:spacing w:line="0" w:lineRule="atLeast"/>
              <w:rPr>
                <w:color w:val="000000"/>
                <w:kern w:val="0"/>
                <w:sz w:val="20"/>
                <w:szCs w:val="20"/>
              </w:rPr>
            </w:pPr>
            <w:r w:rsidRPr="00131B9D">
              <w:rPr>
                <w:color w:val="000000"/>
                <w:kern w:val="0"/>
                <w:sz w:val="20"/>
                <w:szCs w:val="20"/>
              </w:rPr>
              <w:t>備註</w:t>
            </w:r>
            <w:r w:rsidRPr="00131B9D">
              <w:rPr>
                <w:color w:val="000000"/>
                <w:kern w:val="0"/>
                <w:sz w:val="20"/>
                <w:szCs w:val="20"/>
              </w:rPr>
              <w:t>2</w:t>
            </w:r>
            <w:r w:rsidRPr="00131B9D">
              <w:rPr>
                <w:color w:val="000000"/>
                <w:kern w:val="0"/>
                <w:sz w:val="20"/>
                <w:szCs w:val="20"/>
              </w:rPr>
              <w:t>：由於不同通路所販售之品項規格不同，且部分通路並未標示原價，故以查價員所能取得之原價為主。</w:t>
            </w:r>
          </w:p>
        </w:tc>
      </w:tr>
    </w:tbl>
    <w:p w:rsidR="004C7B35" w:rsidRPr="00131B9D" w:rsidRDefault="004C7B35" w:rsidP="00BF467C">
      <w:pPr>
        <w:sectPr w:rsidR="004C7B35" w:rsidRPr="00131B9D">
          <w:pgSz w:w="11906" w:h="16838"/>
          <w:pgMar w:top="1440" w:right="1800" w:bottom="1440" w:left="1800" w:header="851" w:footer="992" w:gutter="0"/>
          <w:cols w:space="425"/>
          <w:docGrid w:type="lines" w:linePitch="360"/>
        </w:sectPr>
      </w:pPr>
    </w:p>
    <w:p w:rsidR="00D75780" w:rsidRPr="00131B9D" w:rsidRDefault="00D75780" w:rsidP="00D75780">
      <w:pPr>
        <w:pStyle w:val="-"/>
        <w:spacing w:before="72" w:after="72"/>
        <w:ind w:firstLine="560"/>
      </w:pPr>
      <w:r w:rsidRPr="00131B9D">
        <w:lastRenderedPageBreak/>
        <w:t>民生物價除了受到國際原物料的波動影響外，國內季節性供需消長與氣候變化等皆為影響因素之一。以下就各類商品調查結果提出分析：</w:t>
      </w:r>
    </w:p>
    <w:p w:rsidR="00D75780" w:rsidRPr="00131B9D" w:rsidRDefault="00D75780" w:rsidP="007E3690"/>
    <w:p w:rsidR="00D75780" w:rsidRPr="00131B9D" w:rsidRDefault="00D75780" w:rsidP="00D56976">
      <w:pPr>
        <w:pStyle w:val="2"/>
        <w:spacing w:before="108" w:after="108"/>
        <w:rPr>
          <w:rFonts w:ascii="Times New Roman" w:hAnsi="Times New Roman"/>
        </w:rPr>
      </w:pPr>
      <w:bookmarkStart w:id="405" w:name="_Toc439162960"/>
      <w:r w:rsidRPr="00131B9D">
        <w:rPr>
          <w:rFonts w:ascii="Times New Roman" w:hAnsi="Times New Roman"/>
        </w:rPr>
        <w:t>一、米</w:t>
      </w:r>
      <w:bookmarkEnd w:id="405"/>
    </w:p>
    <w:p w:rsidR="00D75780" w:rsidRPr="00131B9D" w:rsidRDefault="00D75780" w:rsidP="00D75780">
      <w:pPr>
        <w:pStyle w:val="-"/>
        <w:spacing w:before="72" w:after="72"/>
        <w:ind w:firstLine="560"/>
      </w:pPr>
      <w:r w:rsidRPr="00131B9D">
        <w:t>主要影響米價之因素可歸納為四大類，分別為氣候、供需</w:t>
      </w:r>
      <w:r w:rsidR="00F763B1" w:rsidRPr="00131B9D">
        <w:t>以及</w:t>
      </w:r>
      <w:r w:rsidRPr="00131B9D">
        <w:t>節慶等，</w:t>
      </w:r>
      <w:r w:rsidRPr="00131B9D">
        <w:t>2013</w:t>
      </w:r>
      <w:r w:rsidRPr="00131B9D">
        <w:t>年至</w:t>
      </w:r>
      <w:r w:rsidRPr="00131B9D">
        <w:t>2015</w:t>
      </w:r>
      <w:r w:rsidRPr="00131B9D">
        <w:t>年</w:t>
      </w:r>
      <w:r w:rsidR="0029073B" w:rsidRPr="00131B9D">
        <w:t>11</w:t>
      </w:r>
      <w:r w:rsidRPr="00131B9D">
        <w:t>月各通路米價走勢彙整如圖</w:t>
      </w:r>
      <w:r w:rsidR="00BF1790" w:rsidRPr="00131B9D">
        <w:t>4</w:t>
      </w:r>
      <w:r w:rsidRPr="00131B9D">
        <w:t>-1</w:t>
      </w:r>
      <w:r w:rsidRPr="00131B9D">
        <w:t>，</w:t>
      </w:r>
      <w:r w:rsidR="00384781" w:rsidRPr="00131B9D">
        <w:t>2015</w:t>
      </w:r>
      <w:r w:rsidR="00384781" w:rsidRPr="00131B9D">
        <w:t>上半年受到限水影響價格，下半年變動幅度</w:t>
      </w:r>
      <w:r w:rsidR="0007549D" w:rsidRPr="00131B9D">
        <w:t>則多</w:t>
      </w:r>
      <w:r w:rsidR="00384781" w:rsidRPr="00131B9D">
        <w:t>維持於標準範圍內。</w:t>
      </w:r>
      <w:r w:rsidR="00677D16" w:rsidRPr="00131B9D">
        <w:t>以下列出過去曾</w:t>
      </w:r>
      <w:r w:rsidRPr="00131B9D">
        <w:t>影響價格之因素</w:t>
      </w:r>
      <w:r w:rsidR="00677D16" w:rsidRPr="00131B9D">
        <w:t>以及輿論</w:t>
      </w:r>
      <w:r w:rsidRPr="00131B9D">
        <w:t>詳加說明。</w:t>
      </w:r>
    </w:p>
    <w:p w:rsidR="00D75780" w:rsidRPr="00131B9D" w:rsidRDefault="00D75780" w:rsidP="00D75780"/>
    <w:p w:rsidR="00D75780" w:rsidRPr="00131B9D" w:rsidRDefault="0029073B" w:rsidP="00D75780">
      <w:pPr>
        <w:spacing w:line="0" w:lineRule="atLeast"/>
      </w:pPr>
      <w:r w:rsidRPr="00131B9D">
        <w:rPr>
          <w:noProof/>
        </w:rPr>
        <w:drawing>
          <wp:inline distT="0" distB="0" distL="0" distR="0" wp14:anchorId="193A6EB3" wp14:editId="71B58258">
            <wp:extent cx="5274310" cy="2419200"/>
            <wp:effectExtent l="0" t="0" r="2540" b="0"/>
            <wp:docPr id="20" name="圖表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資料來源：本文整理</w:t>
      </w:r>
    </w:p>
    <w:p w:rsidR="00D75780" w:rsidRPr="00131B9D" w:rsidRDefault="00190C2F" w:rsidP="00BF1790">
      <w:pPr>
        <w:pStyle w:val="afff5"/>
        <w:spacing w:line="0" w:lineRule="atLeast"/>
        <w:jc w:val="center"/>
        <w:rPr>
          <w:rFonts w:eastAsia="標楷體"/>
          <w:b/>
          <w:bCs/>
          <w:kern w:val="52"/>
          <w:sz w:val="28"/>
          <w:szCs w:val="28"/>
        </w:rPr>
      </w:pPr>
      <w:bookmarkStart w:id="406" w:name="_Toc437958972"/>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w:t>
      </w:r>
      <w:r w:rsidRPr="00131B9D">
        <w:rPr>
          <w:rFonts w:eastAsia="標楷體"/>
          <w:b/>
          <w:bCs/>
          <w:kern w:val="52"/>
          <w:sz w:val="28"/>
          <w:szCs w:val="28"/>
        </w:rPr>
        <w:fldChar w:fldCharType="end"/>
      </w:r>
      <w:r w:rsidR="00D75780" w:rsidRPr="00131B9D">
        <w:rPr>
          <w:rFonts w:eastAsia="標楷體"/>
          <w:b/>
          <w:bCs/>
          <w:kern w:val="52"/>
          <w:sz w:val="28"/>
          <w:szCs w:val="28"/>
        </w:rPr>
        <w:t xml:space="preserve">　米價長期走勢圖</w:t>
      </w:r>
      <w:bookmarkEnd w:id="406"/>
    </w:p>
    <w:p w:rsidR="00D75780" w:rsidRPr="00131B9D" w:rsidRDefault="00D75780" w:rsidP="00D75780"/>
    <w:p w:rsidR="00D75780" w:rsidRPr="00131B9D" w:rsidRDefault="00800CEC" w:rsidP="00800CEC">
      <w:pPr>
        <w:pStyle w:val="-"/>
        <w:spacing w:before="72" w:after="72"/>
        <w:ind w:firstLineChars="0" w:firstLine="0"/>
        <w:rPr>
          <w:b/>
        </w:rPr>
      </w:pPr>
      <w:r w:rsidRPr="00131B9D">
        <w:rPr>
          <w:b/>
        </w:rPr>
        <w:t>1.</w:t>
      </w:r>
      <w:r w:rsidRPr="00131B9D">
        <w:rPr>
          <w:b/>
        </w:rPr>
        <w:t xml:space="preserve">　</w:t>
      </w:r>
      <w:r w:rsidR="00D75780" w:rsidRPr="00131B9D">
        <w:rPr>
          <w:b/>
        </w:rPr>
        <w:t>氣候因素</w:t>
      </w:r>
    </w:p>
    <w:p w:rsidR="00D75780" w:rsidRPr="00131B9D" w:rsidRDefault="00D75780" w:rsidP="00D75780">
      <w:pPr>
        <w:pStyle w:val="-"/>
        <w:spacing w:before="72" w:after="72"/>
        <w:ind w:firstLine="560"/>
        <w:sectPr w:rsidR="00D75780" w:rsidRPr="00131B9D">
          <w:pgSz w:w="11906" w:h="16838"/>
          <w:pgMar w:top="1440" w:right="1800" w:bottom="1440" w:left="1800" w:header="851" w:footer="992" w:gutter="0"/>
          <w:cols w:space="425"/>
          <w:docGrid w:type="lines" w:linePitch="360"/>
        </w:sectPr>
      </w:pPr>
      <w:r w:rsidRPr="00131B9D">
        <w:t>近年來旱災頻繁，根據中央氣象局統計資料，</w:t>
      </w:r>
      <w:r w:rsidRPr="00131B9D">
        <w:t>2015</w:t>
      </w:r>
      <w:r w:rsidRPr="00131B9D">
        <w:t>年</w:t>
      </w:r>
      <w:r w:rsidRPr="00131B9D">
        <w:t>1</w:t>
      </w:r>
      <w:r w:rsidRPr="00131B9D">
        <w:t>月至</w:t>
      </w:r>
      <w:r w:rsidRPr="00131B9D">
        <w:t>4</w:t>
      </w:r>
      <w:r w:rsidRPr="00131B9D">
        <w:t>月降雨量皆低於</w:t>
      </w:r>
      <w:r w:rsidRPr="00131B9D">
        <w:t>1981</w:t>
      </w:r>
      <w:r w:rsidRPr="00131B9D">
        <w:t>年以來平均降雨量，</w:t>
      </w:r>
      <w:r w:rsidR="00962D99" w:rsidRPr="00131B9D">
        <w:t>惟</w:t>
      </w:r>
      <w:r w:rsidR="00962D99" w:rsidRPr="00131B9D">
        <w:t>2015</w:t>
      </w:r>
      <w:r w:rsidR="00962D99" w:rsidRPr="00131B9D">
        <w:t>年僅上半年出現乾旱情形，故針對</w:t>
      </w:r>
      <w:r w:rsidR="00DA2B2C" w:rsidRPr="00131B9D">
        <w:t>過去</w:t>
      </w:r>
      <w:r w:rsidR="00962D99" w:rsidRPr="00131B9D">
        <w:t>上半年度平均降雨量進行統計</w:t>
      </w:r>
      <w:r w:rsidRPr="00131B9D">
        <w:t>（如圖</w:t>
      </w:r>
      <w:r w:rsidR="00BF1790" w:rsidRPr="00131B9D">
        <w:t>4</w:t>
      </w:r>
      <w:r w:rsidRPr="00131B9D">
        <w:t>-2</w:t>
      </w:r>
      <w:r w:rsidRPr="00131B9D">
        <w:t>），根據水利署南區水資源局表示，高屏溪攔河堰流向一度降至每秒僅約</w:t>
      </w:r>
      <w:r w:rsidRPr="00131B9D">
        <w:t>12</w:t>
      </w:r>
      <w:r w:rsidRPr="00131B9D">
        <w:t>立方公尺，為營運</w:t>
      </w:r>
      <w:r w:rsidRPr="00131B9D">
        <w:t>15</w:t>
      </w:r>
      <w:r w:rsidRPr="00131B9D">
        <w:t>年來同期最低。此外石門水庫水位於</w:t>
      </w:r>
      <w:r w:rsidRPr="00131B9D">
        <w:t>3</w:t>
      </w:r>
      <w:r w:rsidRPr="00131B9D">
        <w:t>月</w:t>
      </w:r>
      <w:r w:rsidRPr="00131B9D">
        <w:t>7</w:t>
      </w:r>
      <w:r w:rsidRPr="00131B9D">
        <w:t>日亦降至營運</w:t>
      </w:r>
      <w:r w:rsidRPr="00131B9D">
        <w:t>45</w:t>
      </w:r>
      <w:r w:rsidRPr="00131B9D">
        <w:t>年以來同期最低紀錄</w:t>
      </w:r>
      <w:r w:rsidRPr="00131B9D">
        <w:t>220.26</w:t>
      </w:r>
      <w:r w:rsidRPr="00131B9D">
        <w:t>公尺。</w:t>
      </w:r>
    </w:p>
    <w:p w:rsidR="00D75780" w:rsidRPr="00131B9D" w:rsidRDefault="00D75780" w:rsidP="00D75780">
      <w:pPr>
        <w:jc w:val="center"/>
      </w:pPr>
      <w:r w:rsidRPr="00131B9D">
        <w:rPr>
          <w:noProof/>
        </w:rPr>
        <w:lastRenderedPageBreak/>
        <w:drawing>
          <wp:inline distT="0" distB="0" distL="0" distR="0" wp14:anchorId="5B566872" wp14:editId="1CF1CEA2">
            <wp:extent cx="4572000" cy="2200275"/>
            <wp:effectExtent l="0" t="0" r="0" b="9525"/>
            <wp:docPr id="49" name="圖表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D75780" w:rsidRPr="00131B9D" w:rsidRDefault="00D75780" w:rsidP="00D75780">
      <w:pPr>
        <w:pStyle w:val="-"/>
        <w:snapToGrid/>
        <w:spacing w:beforeLines="0" w:afterLines="0" w:line="0" w:lineRule="atLeast"/>
        <w:ind w:leftChars="118" w:left="283" w:firstLineChars="213" w:firstLine="426"/>
        <w:rPr>
          <w:kern w:val="0"/>
          <w:sz w:val="20"/>
          <w:szCs w:val="20"/>
        </w:rPr>
      </w:pPr>
      <w:r w:rsidRPr="00131B9D">
        <w:rPr>
          <w:kern w:val="0"/>
          <w:sz w:val="20"/>
          <w:szCs w:val="20"/>
        </w:rPr>
        <w:t>資料來源：中央氣象局，</w:t>
      </w:r>
      <w:r w:rsidRPr="00131B9D">
        <w:rPr>
          <w:kern w:val="0"/>
          <w:sz w:val="20"/>
          <w:szCs w:val="20"/>
        </w:rPr>
        <w:t>1981</w:t>
      </w:r>
      <w:r w:rsidRPr="00131B9D">
        <w:rPr>
          <w:kern w:val="0"/>
          <w:sz w:val="20"/>
          <w:szCs w:val="20"/>
        </w:rPr>
        <w:t>年至</w:t>
      </w:r>
      <w:r w:rsidRPr="00131B9D">
        <w:rPr>
          <w:kern w:val="0"/>
          <w:sz w:val="20"/>
          <w:szCs w:val="20"/>
        </w:rPr>
        <w:t>2015</w:t>
      </w:r>
      <w:r w:rsidRPr="00131B9D">
        <w:rPr>
          <w:kern w:val="0"/>
          <w:sz w:val="20"/>
          <w:szCs w:val="20"/>
        </w:rPr>
        <w:t>年</w:t>
      </w:r>
      <w:r w:rsidRPr="00131B9D">
        <w:rPr>
          <w:kern w:val="0"/>
          <w:sz w:val="20"/>
          <w:szCs w:val="20"/>
        </w:rPr>
        <w:t>6</w:t>
      </w:r>
      <w:r w:rsidRPr="00131B9D">
        <w:rPr>
          <w:kern w:val="0"/>
          <w:sz w:val="20"/>
          <w:szCs w:val="20"/>
        </w:rPr>
        <w:t>月。</w:t>
      </w:r>
    </w:p>
    <w:p w:rsidR="00D75780" w:rsidRPr="00131B9D" w:rsidRDefault="00BF1790" w:rsidP="00BF1790">
      <w:pPr>
        <w:pStyle w:val="afff5"/>
        <w:spacing w:line="0" w:lineRule="atLeast"/>
        <w:jc w:val="center"/>
        <w:rPr>
          <w:rFonts w:eastAsia="標楷體"/>
          <w:b/>
          <w:bCs/>
          <w:kern w:val="52"/>
          <w:sz w:val="28"/>
          <w:szCs w:val="28"/>
        </w:rPr>
      </w:pPr>
      <w:bookmarkStart w:id="407" w:name="_Toc437958973"/>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w:t>
      </w:r>
      <w:r w:rsidRPr="00131B9D">
        <w:rPr>
          <w:rFonts w:eastAsia="標楷體"/>
          <w:b/>
          <w:bCs/>
          <w:kern w:val="52"/>
          <w:sz w:val="28"/>
          <w:szCs w:val="28"/>
        </w:rPr>
        <w:fldChar w:fldCharType="end"/>
      </w:r>
      <w:r w:rsidR="00D75780" w:rsidRPr="00131B9D">
        <w:rPr>
          <w:rFonts w:eastAsia="標楷體"/>
          <w:b/>
          <w:bCs/>
          <w:kern w:val="52"/>
          <w:sz w:val="28"/>
          <w:szCs w:val="28"/>
        </w:rPr>
        <w:t xml:space="preserve">　</w:t>
      </w:r>
      <w:r w:rsidR="00D75780" w:rsidRPr="00131B9D">
        <w:rPr>
          <w:rFonts w:eastAsia="標楷體"/>
          <w:b/>
          <w:bCs/>
          <w:kern w:val="52"/>
          <w:sz w:val="28"/>
          <w:szCs w:val="28"/>
        </w:rPr>
        <w:t>1981</w:t>
      </w:r>
      <w:r w:rsidR="00D75780" w:rsidRPr="00131B9D">
        <w:rPr>
          <w:rFonts w:eastAsia="標楷體"/>
          <w:b/>
          <w:bCs/>
          <w:kern w:val="52"/>
          <w:sz w:val="28"/>
          <w:szCs w:val="28"/>
        </w:rPr>
        <w:t>年以來上半年平均降雨量比較</w:t>
      </w:r>
      <w:bookmarkEnd w:id="407"/>
    </w:p>
    <w:p w:rsidR="00D75780" w:rsidRPr="00131B9D" w:rsidRDefault="00D75780" w:rsidP="00D75780"/>
    <w:p w:rsidR="00D75780" w:rsidRPr="00131B9D" w:rsidRDefault="00D75780" w:rsidP="00D75780">
      <w:pPr>
        <w:pStyle w:val="-"/>
        <w:spacing w:before="48" w:after="48"/>
        <w:ind w:firstLine="560"/>
      </w:pPr>
      <w:r w:rsidRPr="00131B9D">
        <w:t>由於旱象已成常態，第一階段限水年年實施，今年</w:t>
      </w:r>
      <w:r w:rsidR="00B22890" w:rsidRPr="00131B9D">
        <w:t>部分</w:t>
      </w:r>
      <w:r w:rsidRPr="00131B9D">
        <w:t>地區甚至進入三階限水，根據經濟部水利署公告，第一階段黃燈僅於離峰時間降低管壓供水，第二階段橙燈於夜間減壓供水，工業區、游泳池等單位亦將減量供應自來水。第三階段紅燈則分區輪流或全區定時停止供水，由於</w:t>
      </w:r>
      <w:r w:rsidRPr="00131B9D">
        <w:t>2015</w:t>
      </w:r>
      <w:r w:rsidRPr="00131B9D">
        <w:t>年上半年水情吃緊，新北市板新、林口地區、桃園市以及高雄市一度實施第三階段限水。隨著時序進入梅雨季節，</w:t>
      </w:r>
      <w:r w:rsidRPr="00131B9D">
        <w:t>2015</w:t>
      </w:r>
      <w:r w:rsidRPr="00131B9D">
        <w:t>年</w:t>
      </w:r>
      <w:r w:rsidRPr="00131B9D">
        <w:t>5</w:t>
      </w:r>
      <w:r w:rsidRPr="00131B9D">
        <w:t>月下旬連日豪雨累計為各地水庫帶來</w:t>
      </w:r>
      <w:r w:rsidRPr="00131B9D">
        <w:t>2.3</w:t>
      </w:r>
      <w:r w:rsidRPr="00131B9D">
        <w:t>億立方公尺以上的水量，國內旱象因這波梅雨獲得明顯紓解。截至</w:t>
      </w:r>
      <w:r w:rsidRPr="00131B9D">
        <w:t>5</w:t>
      </w:r>
      <w:r w:rsidRPr="00131B9D">
        <w:t>月</w:t>
      </w:r>
      <w:r w:rsidRPr="00131B9D">
        <w:t>25</w:t>
      </w:r>
      <w:r w:rsidRPr="00131B9D">
        <w:t>日，除新北市部分地區、桃園、苗栗、</w:t>
      </w:r>
      <w:r w:rsidR="00D20FD8" w:rsidRPr="00131B9D">
        <w:t>臺</w:t>
      </w:r>
      <w:r w:rsidRPr="00131B9D">
        <w:t>中、嘉義及</w:t>
      </w:r>
      <w:r w:rsidR="00D20FD8" w:rsidRPr="00131B9D">
        <w:t>臺</w:t>
      </w:r>
      <w:r w:rsidRPr="00131B9D">
        <w:t>南市維持夜間減壓供水的一階限水外，其餘均無限水。</w:t>
      </w:r>
    </w:p>
    <w:p w:rsidR="00D75780" w:rsidRPr="00131B9D" w:rsidRDefault="00D75780" w:rsidP="00D75780">
      <w:pPr>
        <w:pStyle w:val="-"/>
        <w:spacing w:before="48" w:after="48"/>
        <w:ind w:firstLine="560"/>
      </w:pPr>
      <w:r w:rsidRPr="00131B9D">
        <w:t>根據</w:t>
      </w:r>
      <w:r w:rsidRPr="00131B9D">
        <w:t>2013</w:t>
      </w:r>
      <w:r w:rsidRPr="00131B9D">
        <w:t>年底農委會耕地統計，我國耕作面積約為</w:t>
      </w:r>
      <w:r w:rsidRPr="00131B9D">
        <w:t>799,830</w:t>
      </w:r>
      <w:r w:rsidRPr="00131B9D">
        <w:t>公頃，並區分為四大區塊，分別為旱作、一期稻作、二期稻作以及兩期作田。由於</w:t>
      </w:r>
      <w:r w:rsidRPr="00131B9D">
        <w:t>2014</w:t>
      </w:r>
      <w:r w:rsidRPr="00131B9D">
        <w:t>年底各地區水庫蓄水量不足而實施第一階段限水，影響兩期作田與一期稻作共</w:t>
      </w:r>
      <w:r w:rsidRPr="00131B9D">
        <w:t>275,093</w:t>
      </w:r>
      <w:r w:rsidRPr="00131B9D">
        <w:t>公頃，休耕</w:t>
      </w:r>
      <w:r w:rsidRPr="00131B9D">
        <w:t>4.3</w:t>
      </w:r>
      <w:r w:rsidRPr="00131B9D">
        <w:t>萬公頃，僅次於</w:t>
      </w:r>
      <w:r w:rsidRPr="00131B9D">
        <w:t>2004</w:t>
      </w:r>
      <w:r w:rsidRPr="00131B9D">
        <w:t>年的</w:t>
      </w:r>
      <w:r w:rsidRPr="00131B9D">
        <w:t>6</w:t>
      </w:r>
      <w:r w:rsidRPr="00131B9D">
        <w:t>萬</w:t>
      </w:r>
      <w:r w:rsidRPr="00131B9D">
        <w:t>5385</w:t>
      </w:r>
      <w:r w:rsidRPr="00131B9D">
        <w:t>公頃。本次停灌面積中，稻作面積為</w:t>
      </w:r>
      <w:r w:rsidRPr="00131B9D">
        <w:t>2.35</w:t>
      </w:r>
      <w:r w:rsidRPr="00131B9D">
        <w:t>萬，預估將減產</w:t>
      </w:r>
      <w:r w:rsidRPr="00131B9D">
        <w:t>12.8</w:t>
      </w:r>
      <w:r w:rsidR="00D20FD8" w:rsidRPr="00131B9D">
        <w:t>萬公噸糙米，僅占整年度全臺</w:t>
      </w:r>
      <w:r w:rsidRPr="00131B9D">
        <w:t>可生產</w:t>
      </w:r>
      <w:r w:rsidRPr="00131B9D">
        <w:t>180</w:t>
      </w:r>
      <w:r w:rsidRPr="00131B9D">
        <w:t>萬公噸水稻中約</w:t>
      </w:r>
      <w:r w:rsidRPr="00131B9D">
        <w:t>1</w:t>
      </w:r>
      <w:r w:rsidRPr="00131B9D">
        <w:t>成產量，根據農委會表示，</w:t>
      </w:r>
      <w:r w:rsidR="008D4BC5" w:rsidRPr="00131B9D">
        <w:t>截至</w:t>
      </w:r>
      <w:r w:rsidR="008D4BC5" w:rsidRPr="00131B9D">
        <w:t>3</w:t>
      </w:r>
      <w:r w:rsidR="008D4BC5" w:rsidRPr="00131B9D">
        <w:t>月，</w:t>
      </w:r>
      <w:r w:rsidRPr="00131B9D">
        <w:t>公糧庫存</w:t>
      </w:r>
      <w:r w:rsidRPr="00131B9D">
        <w:t>83</w:t>
      </w:r>
      <w:r w:rsidRPr="00131B9D">
        <w:t>萬公噸，一年新期庫存</w:t>
      </w:r>
      <w:r w:rsidRPr="00131B9D">
        <w:t>31</w:t>
      </w:r>
      <w:r w:rsidRPr="00131B9D">
        <w:t>萬公噸糙米，供應無虞。</w:t>
      </w:r>
    </w:p>
    <w:p w:rsidR="00324BE7" w:rsidRPr="00131B9D" w:rsidRDefault="00324BE7" w:rsidP="00324BE7"/>
    <w:p w:rsidR="00D75780" w:rsidRPr="00131B9D" w:rsidRDefault="00F763B1" w:rsidP="00800CEC">
      <w:pPr>
        <w:pStyle w:val="-"/>
        <w:spacing w:before="48" w:after="48"/>
        <w:ind w:firstLineChars="0" w:firstLine="0"/>
        <w:rPr>
          <w:b/>
        </w:rPr>
      </w:pPr>
      <w:r w:rsidRPr="00131B9D">
        <w:rPr>
          <w:b/>
        </w:rPr>
        <w:t>2</w:t>
      </w:r>
      <w:r w:rsidR="00800CEC" w:rsidRPr="00131B9D">
        <w:rPr>
          <w:b/>
        </w:rPr>
        <w:t>.</w:t>
      </w:r>
      <w:r w:rsidR="00800CEC" w:rsidRPr="00131B9D">
        <w:rPr>
          <w:b/>
        </w:rPr>
        <w:t xml:space="preserve">　</w:t>
      </w:r>
      <w:r w:rsidR="00D75780" w:rsidRPr="00131B9D">
        <w:rPr>
          <w:b/>
        </w:rPr>
        <w:t>節慶因素</w:t>
      </w:r>
    </w:p>
    <w:p w:rsidR="00E6156E" w:rsidRPr="00131B9D" w:rsidRDefault="00D75780" w:rsidP="00D75780">
      <w:pPr>
        <w:pStyle w:val="-"/>
        <w:spacing w:before="48" w:after="48"/>
        <w:ind w:firstLine="560"/>
        <w:sectPr w:rsidR="00E6156E" w:rsidRPr="00131B9D" w:rsidSect="002611FA">
          <w:footerReference w:type="default" r:id="rId81"/>
          <w:pgSz w:w="11906" w:h="16838"/>
          <w:pgMar w:top="851" w:right="1644" w:bottom="851" w:left="1440" w:header="851" w:footer="992" w:gutter="0"/>
          <w:cols w:space="425"/>
          <w:docGrid w:linePitch="360"/>
        </w:sectPr>
      </w:pPr>
      <w:r w:rsidRPr="00131B9D">
        <w:t>粽子是端午節代表食品，而影響粽子原料價格之因素包括糯米、蛋黃以及內含餡料等。</w:t>
      </w:r>
      <w:r w:rsidRPr="00131B9D">
        <w:t>2015</w:t>
      </w:r>
      <w:r w:rsidRPr="00131B9D">
        <w:t>上半年受到旱災影響，</w:t>
      </w:r>
      <w:r w:rsidR="00D20FD8" w:rsidRPr="00131B9D">
        <w:t>臺</w:t>
      </w:r>
      <w:r w:rsidRPr="00131B9D">
        <w:t>南部分稻作地區因缺水</w:t>
      </w:r>
    </w:p>
    <w:p w:rsidR="00E6156E" w:rsidRPr="00131B9D" w:rsidRDefault="00E6156E" w:rsidP="00E6156E">
      <w:pPr>
        <w:pStyle w:val="aff1"/>
        <w:spacing w:line="0" w:lineRule="atLeast"/>
        <w:rPr>
          <w:b w:val="0"/>
          <w:bCs/>
          <w:kern w:val="52"/>
          <w:szCs w:val="28"/>
        </w:rPr>
      </w:pPr>
      <w:bookmarkStart w:id="408" w:name="_Toc439163006"/>
      <w:r w:rsidRPr="00131B9D">
        <w:rPr>
          <w:bCs/>
          <w:kern w:val="52"/>
          <w:szCs w:val="28"/>
        </w:rPr>
        <w:lastRenderedPageBreak/>
        <w:t>表</w:t>
      </w:r>
      <w:r w:rsidRPr="00131B9D">
        <w:rPr>
          <w:bCs/>
          <w:kern w:val="52"/>
          <w:szCs w:val="28"/>
        </w:rPr>
        <w:t xml:space="preserve">4- </w:t>
      </w:r>
      <w:r w:rsidRPr="00131B9D">
        <w:rPr>
          <w:b w:val="0"/>
          <w:bCs/>
          <w:kern w:val="52"/>
          <w:szCs w:val="28"/>
        </w:rPr>
        <w:fldChar w:fldCharType="begin"/>
      </w:r>
      <w:r w:rsidRPr="00131B9D">
        <w:rPr>
          <w:bCs/>
          <w:kern w:val="52"/>
          <w:szCs w:val="28"/>
        </w:rPr>
        <w:instrText xml:space="preserve"> SEQ </w:instrText>
      </w:r>
      <w:r w:rsidRPr="00131B9D">
        <w:rPr>
          <w:bCs/>
          <w:kern w:val="52"/>
          <w:szCs w:val="28"/>
        </w:rPr>
        <w:instrText>表</w:instrText>
      </w:r>
      <w:r w:rsidRPr="00131B9D">
        <w:rPr>
          <w:bCs/>
          <w:kern w:val="52"/>
          <w:szCs w:val="28"/>
        </w:rPr>
        <w:instrText xml:space="preserve">4- \* ARABIC </w:instrText>
      </w:r>
      <w:r w:rsidRPr="00131B9D">
        <w:rPr>
          <w:b w:val="0"/>
          <w:bCs/>
          <w:kern w:val="52"/>
          <w:szCs w:val="28"/>
        </w:rPr>
        <w:fldChar w:fldCharType="separate"/>
      </w:r>
      <w:r w:rsidR="001641D3">
        <w:rPr>
          <w:bCs/>
          <w:noProof/>
          <w:kern w:val="52"/>
          <w:szCs w:val="28"/>
        </w:rPr>
        <w:t>2</w:t>
      </w:r>
      <w:r w:rsidRPr="00131B9D">
        <w:rPr>
          <w:b w:val="0"/>
          <w:bCs/>
          <w:kern w:val="52"/>
          <w:szCs w:val="28"/>
        </w:rPr>
        <w:fldChar w:fldCharType="end"/>
      </w:r>
      <w:r w:rsidRPr="00131B9D">
        <w:rPr>
          <w:bCs/>
          <w:kern w:val="52"/>
          <w:szCs w:val="28"/>
        </w:rPr>
        <w:t xml:space="preserve">　端午節前相關</w:t>
      </w:r>
      <w:r w:rsidRPr="00131B9D">
        <w:rPr>
          <w:szCs w:val="28"/>
        </w:rPr>
        <w:t>原料</w:t>
      </w:r>
      <w:r w:rsidRPr="00131B9D">
        <w:rPr>
          <w:bCs/>
          <w:kern w:val="52"/>
          <w:szCs w:val="28"/>
        </w:rPr>
        <w:t>價格變化</w:t>
      </w:r>
      <w:r w:rsidR="00962D99" w:rsidRPr="00131B9D">
        <w:rPr>
          <w:bCs/>
          <w:kern w:val="52"/>
          <w:szCs w:val="28"/>
        </w:rPr>
        <w:t>歷史資料</w:t>
      </w:r>
      <w:bookmarkEnd w:id="408"/>
    </w:p>
    <w:tbl>
      <w:tblPr>
        <w:tblStyle w:val="aff5"/>
        <w:tblW w:w="0" w:type="auto"/>
        <w:jc w:val="center"/>
        <w:tblLook w:val="04A0" w:firstRow="1" w:lastRow="0" w:firstColumn="1" w:lastColumn="0" w:noHBand="0" w:noVBand="1"/>
      </w:tblPr>
      <w:tblGrid>
        <w:gridCol w:w="1659"/>
        <w:gridCol w:w="1993"/>
        <w:gridCol w:w="1718"/>
        <w:gridCol w:w="1498"/>
      </w:tblGrid>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
                <w:bCs/>
                <w:kern w:val="24"/>
                <w:sz w:val="22"/>
                <w:szCs w:val="22"/>
              </w:rPr>
              <w:t>粽子原料</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
                <w:bCs/>
                <w:kern w:val="24"/>
                <w:sz w:val="22"/>
                <w:szCs w:val="22"/>
              </w:rPr>
              <w:t>2014</w:t>
            </w:r>
            <w:r w:rsidRPr="00131B9D">
              <w:rPr>
                <w:rFonts w:ascii="Times New Roman" w:eastAsia="標楷體" w:hAnsi="Times New Roman" w:cs="Times New Roman"/>
                <w:b/>
                <w:bCs/>
                <w:kern w:val="24"/>
                <w:sz w:val="22"/>
                <w:szCs w:val="22"/>
              </w:rPr>
              <w:t>年同期價格</w:t>
            </w:r>
          </w:p>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
                <w:bCs/>
                <w:kern w:val="24"/>
                <w:sz w:val="22"/>
                <w:szCs w:val="22"/>
              </w:rPr>
              <w:t>(</w:t>
            </w:r>
            <w:r w:rsidRPr="00131B9D">
              <w:rPr>
                <w:rFonts w:ascii="Times New Roman" w:eastAsia="標楷體" w:hAnsi="Times New Roman" w:cs="Times New Roman"/>
                <w:b/>
                <w:bCs/>
                <w:kern w:val="24"/>
                <w:sz w:val="22"/>
                <w:szCs w:val="22"/>
              </w:rPr>
              <w:t>元</w:t>
            </w:r>
            <w:r w:rsidRPr="00131B9D">
              <w:rPr>
                <w:rFonts w:ascii="Times New Roman" w:eastAsia="標楷體" w:hAnsi="Times New Roman" w:cs="Times New Roman"/>
                <w:b/>
                <w:bCs/>
                <w:kern w:val="24"/>
                <w:sz w:val="22"/>
                <w:szCs w:val="22"/>
              </w:rPr>
              <w:t>/</w:t>
            </w:r>
            <w:r w:rsidRPr="00131B9D">
              <w:rPr>
                <w:rFonts w:ascii="Times New Roman" w:eastAsia="標楷體" w:hAnsi="Times New Roman" w:cs="Times New Roman"/>
                <w:b/>
                <w:bCs/>
                <w:kern w:val="24"/>
                <w:sz w:val="22"/>
                <w:szCs w:val="22"/>
              </w:rPr>
              <w:t>台斤</w:t>
            </w:r>
            <w:r w:rsidRPr="00131B9D">
              <w:rPr>
                <w:rFonts w:ascii="Times New Roman" w:eastAsia="標楷體" w:hAnsi="Times New Roman" w:cs="Times New Roman"/>
                <w:b/>
                <w:bCs/>
                <w:kern w:val="24"/>
                <w:sz w:val="22"/>
                <w:szCs w:val="22"/>
              </w:rPr>
              <w:t>)</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
                <w:bCs/>
                <w:kern w:val="24"/>
                <w:sz w:val="22"/>
                <w:szCs w:val="22"/>
              </w:rPr>
              <w:t>端午節前價格</w:t>
            </w:r>
          </w:p>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
                <w:bCs/>
                <w:kern w:val="24"/>
                <w:sz w:val="22"/>
                <w:szCs w:val="22"/>
              </w:rPr>
              <w:t>(</w:t>
            </w:r>
            <w:r w:rsidRPr="00131B9D">
              <w:rPr>
                <w:rFonts w:ascii="Times New Roman" w:eastAsia="標楷體" w:hAnsi="Times New Roman" w:cs="Times New Roman"/>
                <w:b/>
                <w:bCs/>
                <w:kern w:val="24"/>
                <w:sz w:val="22"/>
                <w:szCs w:val="22"/>
              </w:rPr>
              <w:t>元</w:t>
            </w:r>
            <w:r w:rsidRPr="00131B9D">
              <w:rPr>
                <w:rFonts w:ascii="Times New Roman" w:eastAsia="標楷體" w:hAnsi="Times New Roman" w:cs="Times New Roman"/>
                <w:b/>
                <w:bCs/>
                <w:kern w:val="24"/>
                <w:sz w:val="22"/>
                <w:szCs w:val="22"/>
              </w:rPr>
              <w:t>/</w:t>
            </w:r>
            <w:r w:rsidRPr="00131B9D">
              <w:rPr>
                <w:rFonts w:ascii="Times New Roman" w:eastAsia="標楷體" w:hAnsi="Times New Roman" w:cs="Times New Roman"/>
                <w:b/>
                <w:bCs/>
                <w:kern w:val="24"/>
                <w:sz w:val="22"/>
                <w:szCs w:val="22"/>
              </w:rPr>
              <w:t>台斤</w:t>
            </w:r>
            <w:r w:rsidRPr="00131B9D">
              <w:rPr>
                <w:rFonts w:ascii="Times New Roman" w:eastAsia="標楷體" w:hAnsi="Times New Roman" w:cs="Times New Roman"/>
                <w:b/>
                <w:bCs/>
                <w:kern w:val="24"/>
                <w:sz w:val="22"/>
                <w:szCs w:val="22"/>
              </w:rPr>
              <w:t>)</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
                <w:bCs/>
                <w:kern w:val="24"/>
                <w:sz w:val="22"/>
                <w:szCs w:val="22"/>
              </w:rPr>
              <w:t>漲、跌比率</w:t>
            </w:r>
          </w:p>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
                <w:bCs/>
                <w:kern w:val="24"/>
                <w:sz w:val="22"/>
                <w:szCs w:val="22"/>
              </w:rPr>
              <w:t>(+</w:t>
            </w:r>
            <w:r w:rsidRPr="00131B9D">
              <w:rPr>
                <w:rFonts w:ascii="Times New Roman" w:eastAsia="標楷體" w:hAnsi="Times New Roman" w:cs="Times New Roman"/>
                <w:b/>
                <w:bCs/>
                <w:kern w:val="24"/>
                <w:sz w:val="22"/>
                <w:szCs w:val="22"/>
              </w:rPr>
              <w:t>或</w:t>
            </w:r>
            <w:r w:rsidRPr="00131B9D">
              <w:rPr>
                <w:rFonts w:ascii="Times New Roman" w:eastAsia="標楷體" w:hAnsi="Times New Roman" w:cs="Times New Roman"/>
                <w:b/>
                <w:bCs/>
                <w:kern w:val="24"/>
                <w:sz w:val="22"/>
                <w:szCs w:val="22"/>
              </w:rPr>
              <w:t>-%)</w:t>
            </w:r>
          </w:p>
        </w:tc>
      </w:tr>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糯米</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27</w:t>
            </w:r>
            <w:r w:rsidRPr="00131B9D">
              <w:rPr>
                <w:rFonts w:ascii="Times New Roman" w:eastAsia="標楷體" w:hAnsi="Times New Roman" w:cs="Times New Roman"/>
                <w:kern w:val="24"/>
              </w:rPr>
              <w:t>元</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35</w:t>
            </w:r>
            <w:r w:rsidRPr="00131B9D">
              <w:rPr>
                <w:rFonts w:ascii="Times New Roman" w:eastAsia="標楷體" w:hAnsi="Times New Roman" w:cs="Times New Roman"/>
                <w:kern w:val="24"/>
              </w:rPr>
              <w:t>元</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+30%</w:t>
            </w:r>
          </w:p>
        </w:tc>
      </w:tr>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蛋黃</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130</w:t>
            </w:r>
            <w:r w:rsidRPr="00131B9D">
              <w:rPr>
                <w:rFonts w:ascii="Times New Roman" w:eastAsia="標楷體" w:hAnsi="Times New Roman" w:cs="Times New Roman"/>
                <w:kern w:val="24"/>
              </w:rPr>
              <w:t>元</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150</w:t>
            </w:r>
            <w:r w:rsidRPr="00131B9D">
              <w:rPr>
                <w:rFonts w:ascii="Times New Roman" w:eastAsia="標楷體" w:hAnsi="Times New Roman" w:cs="Times New Roman"/>
                <w:kern w:val="24"/>
              </w:rPr>
              <w:t>元</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+15%</w:t>
            </w:r>
          </w:p>
        </w:tc>
      </w:tr>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栗子</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320</w:t>
            </w:r>
            <w:r w:rsidRPr="00131B9D">
              <w:rPr>
                <w:rFonts w:ascii="Times New Roman" w:eastAsia="標楷體" w:hAnsi="Times New Roman" w:cs="Times New Roman"/>
                <w:kern w:val="24"/>
              </w:rPr>
              <w:t>元</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350</w:t>
            </w:r>
            <w:r w:rsidRPr="00131B9D">
              <w:rPr>
                <w:rFonts w:ascii="Times New Roman" w:eastAsia="標楷體" w:hAnsi="Times New Roman" w:cs="Times New Roman"/>
                <w:kern w:val="24"/>
              </w:rPr>
              <w:t>元</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+9%</w:t>
            </w:r>
          </w:p>
        </w:tc>
      </w:tr>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蝦米</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240</w:t>
            </w:r>
            <w:r w:rsidRPr="00131B9D">
              <w:rPr>
                <w:rFonts w:ascii="Times New Roman" w:eastAsia="標楷體" w:hAnsi="Times New Roman" w:cs="Times New Roman"/>
                <w:kern w:val="24"/>
              </w:rPr>
              <w:t>元</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260</w:t>
            </w:r>
            <w:r w:rsidRPr="00131B9D">
              <w:rPr>
                <w:rFonts w:ascii="Times New Roman" w:eastAsia="標楷體" w:hAnsi="Times New Roman" w:cs="Times New Roman"/>
                <w:kern w:val="24"/>
              </w:rPr>
              <w:t>元</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+8%</w:t>
            </w:r>
          </w:p>
        </w:tc>
      </w:tr>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粽葉</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80</w:t>
            </w:r>
            <w:r w:rsidRPr="00131B9D">
              <w:rPr>
                <w:rFonts w:ascii="Times New Roman" w:eastAsia="標楷體" w:hAnsi="Times New Roman" w:cs="Times New Roman"/>
                <w:kern w:val="24"/>
              </w:rPr>
              <w:t>元</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80</w:t>
            </w:r>
            <w:r w:rsidRPr="00131B9D">
              <w:rPr>
                <w:rFonts w:ascii="Times New Roman" w:eastAsia="標楷體" w:hAnsi="Times New Roman" w:cs="Times New Roman"/>
                <w:kern w:val="24"/>
              </w:rPr>
              <w:t>元</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+0%</w:t>
            </w:r>
          </w:p>
        </w:tc>
      </w:tr>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花生</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120</w:t>
            </w:r>
            <w:r w:rsidRPr="00131B9D">
              <w:rPr>
                <w:rFonts w:ascii="Times New Roman" w:eastAsia="標楷體" w:hAnsi="Times New Roman" w:cs="Times New Roman"/>
                <w:kern w:val="24"/>
              </w:rPr>
              <w:t>元</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110</w:t>
            </w:r>
            <w:r w:rsidRPr="00131B9D">
              <w:rPr>
                <w:rFonts w:ascii="Times New Roman" w:eastAsia="標楷體" w:hAnsi="Times New Roman" w:cs="Times New Roman"/>
                <w:kern w:val="24"/>
              </w:rPr>
              <w:t>元</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-8%</w:t>
            </w:r>
          </w:p>
        </w:tc>
      </w:tr>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豬肉</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140</w:t>
            </w:r>
            <w:r w:rsidRPr="00131B9D">
              <w:rPr>
                <w:rFonts w:ascii="Times New Roman" w:eastAsia="標楷體" w:hAnsi="Times New Roman" w:cs="Times New Roman"/>
                <w:kern w:val="24"/>
              </w:rPr>
              <w:t>元</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150</w:t>
            </w:r>
            <w:r w:rsidRPr="00131B9D">
              <w:rPr>
                <w:rFonts w:ascii="Times New Roman" w:eastAsia="標楷體" w:hAnsi="Times New Roman" w:cs="Times New Roman"/>
                <w:kern w:val="24"/>
              </w:rPr>
              <w:t>元</w:t>
            </w:r>
            <w:r w:rsidRPr="00131B9D">
              <w:rPr>
                <w:rFonts w:ascii="Times New Roman" w:eastAsia="標楷體" w:hAnsi="Times New Roman" w:cs="Times New Roman"/>
                <w:kern w:val="24"/>
              </w:rPr>
              <w:t>*</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kern w:val="24"/>
              </w:rPr>
              <w:t>+7%*</w:t>
            </w:r>
          </w:p>
        </w:tc>
      </w:tr>
      <w:tr w:rsidR="00E6156E" w:rsidRPr="00131B9D" w:rsidTr="004C5B0A">
        <w:trPr>
          <w:jc w:val="center"/>
        </w:trPr>
        <w:tc>
          <w:tcPr>
            <w:tcW w:w="1659"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Cs/>
                <w:kern w:val="24"/>
              </w:rPr>
              <w:t>香菇</w:t>
            </w:r>
          </w:p>
        </w:tc>
        <w:tc>
          <w:tcPr>
            <w:tcW w:w="1993"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Cs/>
                <w:kern w:val="24"/>
              </w:rPr>
              <w:t>1200</w:t>
            </w:r>
            <w:r w:rsidRPr="00131B9D">
              <w:rPr>
                <w:rFonts w:ascii="Times New Roman" w:eastAsia="標楷體" w:hAnsi="Times New Roman" w:cs="Times New Roman"/>
                <w:bCs/>
                <w:kern w:val="24"/>
              </w:rPr>
              <w:t>元</w:t>
            </w:r>
          </w:p>
        </w:tc>
        <w:tc>
          <w:tcPr>
            <w:tcW w:w="171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Cs/>
                <w:kern w:val="24"/>
              </w:rPr>
              <w:t>1800</w:t>
            </w:r>
            <w:r w:rsidRPr="00131B9D">
              <w:rPr>
                <w:rFonts w:ascii="Times New Roman" w:eastAsia="標楷體" w:hAnsi="Times New Roman" w:cs="Times New Roman"/>
                <w:bCs/>
                <w:kern w:val="24"/>
              </w:rPr>
              <w:t>元</w:t>
            </w:r>
            <w:r w:rsidRPr="00131B9D">
              <w:rPr>
                <w:rFonts w:ascii="Times New Roman" w:eastAsia="標楷體" w:hAnsi="Times New Roman" w:cs="Times New Roman"/>
                <w:bCs/>
                <w:kern w:val="24"/>
              </w:rPr>
              <w:t>*</w:t>
            </w:r>
          </w:p>
        </w:tc>
        <w:tc>
          <w:tcPr>
            <w:tcW w:w="1498" w:type="dxa"/>
            <w:vAlign w:val="center"/>
          </w:tcPr>
          <w:p w:rsidR="00E6156E" w:rsidRPr="00131B9D" w:rsidRDefault="00E6156E" w:rsidP="004C5B0A">
            <w:pPr>
              <w:pStyle w:val="Web"/>
              <w:spacing w:before="0" w:beforeAutospacing="0" w:after="0" w:afterAutospacing="0" w:line="0" w:lineRule="atLeast"/>
              <w:jc w:val="center"/>
              <w:rPr>
                <w:rFonts w:ascii="Times New Roman" w:hAnsi="Times New Roman" w:cs="Times New Roman"/>
                <w:sz w:val="36"/>
                <w:szCs w:val="36"/>
              </w:rPr>
            </w:pPr>
            <w:r w:rsidRPr="00131B9D">
              <w:rPr>
                <w:rFonts w:ascii="Times New Roman" w:eastAsia="標楷體" w:hAnsi="Times New Roman" w:cs="Times New Roman"/>
                <w:bCs/>
                <w:kern w:val="24"/>
              </w:rPr>
              <w:t>+50%*</w:t>
            </w:r>
          </w:p>
        </w:tc>
      </w:tr>
    </w:tbl>
    <w:p w:rsidR="00E6156E" w:rsidRPr="00131B9D" w:rsidRDefault="00E6156E" w:rsidP="00E6156E">
      <w:pPr>
        <w:pStyle w:val="-"/>
        <w:snapToGrid/>
        <w:spacing w:beforeLines="0" w:afterLines="0" w:line="0" w:lineRule="atLeast"/>
        <w:ind w:firstLineChars="354" w:firstLine="708"/>
        <w:rPr>
          <w:kern w:val="0"/>
          <w:sz w:val="20"/>
          <w:szCs w:val="20"/>
        </w:rPr>
      </w:pPr>
      <w:r w:rsidRPr="00131B9D">
        <w:rPr>
          <w:kern w:val="0"/>
          <w:sz w:val="20"/>
          <w:szCs w:val="20"/>
        </w:rPr>
        <w:t>資料來源：聯合新聞網統計，</w:t>
      </w:r>
      <w:r w:rsidRPr="00131B9D">
        <w:rPr>
          <w:kern w:val="0"/>
          <w:sz w:val="20"/>
          <w:szCs w:val="20"/>
        </w:rPr>
        <w:t>2015</w:t>
      </w:r>
      <w:r w:rsidRPr="00131B9D">
        <w:rPr>
          <w:kern w:val="0"/>
          <w:sz w:val="20"/>
          <w:szCs w:val="20"/>
        </w:rPr>
        <w:t>年</w:t>
      </w:r>
      <w:r w:rsidRPr="00131B9D">
        <w:rPr>
          <w:kern w:val="0"/>
          <w:sz w:val="20"/>
          <w:szCs w:val="20"/>
        </w:rPr>
        <w:t>5</w:t>
      </w:r>
      <w:r w:rsidRPr="00131B9D">
        <w:rPr>
          <w:kern w:val="0"/>
          <w:sz w:val="20"/>
          <w:szCs w:val="20"/>
        </w:rPr>
        <w:t>月</w:t>
      </w:r>
      <w:r w:rsidRPr="00131B9D">
        <w:rPr>
          <w:kern w:val="0"/>
          <w:sz w:val="20"/>
          <w:szCs w:val="20"/>
        </w:rPr>
        <w:t>11</w:t>
      </w:r>
      <w:r w:rsidRPr="00131B9D">
        <w:rPr>
          <w:kern w:val="0"/>
          <w:sz w:val="20"/>
          <w:szCs w:val="20"/>
        </w:rPr>
        <w:t>日。</w:t>
      </w:r>
      <w:r w:rsidR="00B22890" w:rsidRPr="00131B9D">
        <w:rPr>
          <w:kern w:val="0"/>
          <w:sz w:val="20"/>
          <w:szCs w:val="20"/>
        </w:rPr>
        <w:t>部分</w:t>
      </w:r>
      <w:r w:rsidRPr="00131B9D">
        <w:rPr>
          <w:kern w:val="0"/>
          <w:sz w:val="20"/>
          <w:szCs w:val="20"/>
        </w:rPr>
        <w:t>價格更新至</w:t>
      </w:r>
      <w:r w:rsidRPr="00131B9D">
        <w:rPr>
          <w:kern w:val="0"/>
          <w:sz w:val="20"/>
          <w:szCs w:val="20"/>
        </w:rPr>
        <w:t>5</w:t>
      </w:r>
      <w:r w:rsidRPr="00131B9D">
        <w:rPr>
          <w:kern w:val="0"/>
          <w:sz w:val="20"/>
          <w:szCs w:val="20"/>
        </w:rPr>
        <w:t>月</w:t>
      </w:r>
      <w:r w:rsidRPr="00131B9D">
        <w:rPr>
          <w:kern w:val="0"/>
          <w:sz w:val="20"/>
          <w:szCs w:val="20"/>
        </w:rPr>
        <w:t>28</w:t>
      </w:r>
      <w:r w:rsidRPr="00131B9D">
        <w:rPr>
          <w:kern w:val="0"/>
          <w:sz w:val="20"/>
          <w:szCs w:val="20"/>
        </w:rPr>
        <w:t>日。</w:t>
      </w:r>
    </w:p>
    <w:p w:rsidR="00E6156E" w:rsidRPr="00131B9D" w:rsidRDefault="00E6156E" w:rsidP="00E6156E"/>
    <w:p w:rsidR="00D75780" w:rsidRPr="00131B9D" w:rsidRDefault="00D75780" w:rsidP="00E6156E">
      <w:pPr>
        <w:pStyle w:val="-"/>
        <w:spacing w:before="48" w:after="48"/>
        <w:ind w:firstLineChars="0" w:firstLine="0"/>
      </w:pPr>
      <w:r w:rsidRPr="00131B9D">
        <w:t>停灌，在市場預期心理與提前反應的狀況下，糯米批發價節節攀升，由每台斤</w:t>
      </w:r>
      <w:r w:rsidRPr="00131B9D">
        <w:t>21</w:t>
      </w:r>
      <w:r w:rsidRPr="00131B9D">
        <w:t>元上漲至</w:t>
      </w:r>
      <w:r w:rsidRPr="00131B9D">
        <w:t>28</w:t>
      </w:r>
      <w:r w:rsidRPr="00131B9D">
        <w:t>元，零售價則由每台斤</w:t>
      </w:r>
      <w:r w:rsidRPr="00131B9D">
        <w:t>30</w:t>
      </w:r>
      <w:r w:rsidRPr="00131B9D">
        <w:t>元，上漲到</w:t>
      </w:r>
      <w:r w:rsidRPr="00131B9D">
        <w:t>35</w:t>
      </w:r>
      <w:r w:rsidRPr="00131B9D">
        <w:t>至</w:t>
      </w:r>
      <w:r w:rsidRPr="00131B9D">
        <w:t>40</w:t>
      </w:r>
      <w:r w:rsidRPr="00131B9D">
        <w:t>元左右</w:t>
      </w:r>
      <w:r w:rsidR="00E6156E" w:rsidRPr="00131B9D">
        <w:t>(</w:t>
      </w:r>
      <w:r w:rsidR="00E6156E" w:rsidRPr="00131B9D">
        <w:t>表</w:t>
      </w:r>
      <w:r w:rsidR="00E6156E" w:rsidRPr="00131B9D">
        <w:t>4-2)</w:t>
      </w:r>
      <w:r w:rsidRPr="00131B9D">
        <w:t>。</w:t>
      </w:r>
    </w:p>
    <w:p w:rsidR="00D75780" w:rsidRPr="00131B9D" w:rsidRDefault="00D75780" w:rsidP="00D75780">
      <w:pPr>
        <w:pStyle w:val="-"/>
        <w:spacing w:before="48" w:after="48"/>
        <w:ind w:firstLine="560"/>
      </w:pPr>
      <w:r w:rsidRPr="00131B9D">
        <w:t>根據行政院農業委員會農糧署於</w:t>
      </w:r>
      <w:r w:rsidRPr="00131B9D">
        <w:t>5</w:t>
      </w:r>
      <w:r w:rsidRPr="00131B9D">
        <w:t>月</w:t>
      </w:r>
      <w:r w:rsidRPr="00131B9D">
        <w:t>13</w:t>
      </w:r>
      <w:r w:rsidRPr="00131B9D">
        <w:t>日發佈之新聞稿，端午節包粽主要材料糯米之需求量約</w:t>
      </w:r>
      <w:r w:rsidRPr="00131B9D">
        <w:t>1</w:t>
      </w:r>
      <w:r w:rsidR="00D20FD8" w:rsidRPr="00131B9D">
        <w:t>萬公噸。國內糯米主要產區為彰化、雲林及臺</w:t>
      </w:r>
      <w:r w:rsidRPr="00131B9D">
        <w:t>南，第</w:t>
      </w:r>
      <w:r w:rsidRPr="00131B9D">
        <w:t>1</w:t>
      </w:r>
      <w:r w:rsidRPr="00131B9D">
        <w:t>期稻作部分地區雖因缺水停灌，惟糯米產區非位於停灌區內，對於糯米產量影響不大。且</w:t>
      </w:r>
      <w:r w:rsidRPr="00131B9D">
        <w:t>2015</w:t>
      </w:r>
      <w:r w:rsidRPr="00131B9D">
        <w:t>年糯稻生育情形良好，端午節前約有</w:t>
      </w:r>
      <w:r w:rsidRPr="00131B9D">
        <w:t>2,768</w:t>
      </w:r>
      <w:r w:rsidRPr="00131B9D">
        <w:t>公頃</w:t>
      </w:r>
      <w:r w:rsidRPr="00131B9D">
        <w:t>(</w:t>
      </w:r>
      <w:r w:rsidRPr="00131B9D">
        <w:t>約</w:t>
      </w:r>
      <w:r w:rsidRPr="00131B9D">
        <w:t>13,091</w:t>
      </w:r>
      <w:r w:rsidRPr="00131B9D">
        <w:t>公噸</w:t>
      </w:r>
      <w:r w:rsidRPr="00131B9D">
        <w:t>)</w:t>
      </w:r>
      <w:r w:rsidRPr="00131B9D">
        <w:t>糯白米可收穫上市。在農糧署持續密切注意糯米價格及供需情形下，端午節前糯米價格再度回穩。</w:t>
      </w:r>
    </w:p>
    <w:p w:rsidR="00F763B1" w:rsidRPr="00131B9D" w:rsidRDefault="00F763B1" w:rsidP="00E6156E"/>
    <w:p w:rsidR="00D75780" w:rsidRPr="00131B9D" w:rsidRDefault="00F763B1" w:rsidP="00800CEC">
      <w:pPr>
        <w:pStyle w:val="-"/>
        <w:spacing w:before="48" w:after="48"/>
        <w:ind w:firstLineChars="0" w:firstLine="0"/>
        <w:rPr>
          <w:b/>
        </w:rPr>
      </w:pPr>
      <w:r w:rsidRPr="00131B9D">
        <w:rPr>
          <w:b/>
        </w:rPr>
        <w:t>3</w:t>
      </w:r>
      <w:r w:rsidR="00800CEC" w:rsidRPr="00131B9D">
        <w:rPr>
          <w:b/>
        </w:rPr>
        <w:t>.</w:t>
      </w:r>
      <w:r w:rsidR="00800CEC" w:rsidRPr="00131B9D">
        <w:rPr>
          <w:b/>
        </w:rPr>
        <w:t xml:space="preserve">　</w:t>
      </w:r>
      <w:r w:rsidR="00D75780" w:rsidRPr="00131B9D">
        <w:rPr>
          <w:b/>
        </w:rPr>
        <w:t>供需因素</w:t>
      </w:r>
    </w:p>
    <w:p w:rsidR="00D75780" w:rsidRPr="00131B9D" w:rsidRDefault="00800CEC" w:rsidP="00D75780">
      <w:pPr>
        <w:pStyle w:val="-"/>
        <w:spacing w:before="48" w:after="48"/>
        <w:ind w:firstLineChars="0" w:firstLine="0"/>
        <w:rPr>
          <w:b/>
        </w:rPr>
      </w:pPr>
      <w:r w:rsidRPr="00131B9D">
        <w:rPr>
          <w:b/>
        </w:rPr>
        <w:t>(1)</w:t>
      </w:r>
      <w:r w:rsidR="00D75780" w:rsidRPr="00131B9D">
        <w:rPr>
          <w:b/>
        </w:rPr>
        <w:t xml:space="preserve">　短期</w:t>
      </w:r>
    </w:p>
    <w:p w:rsidR="00D75780" w:rsidRPr="00131B9D" w:rsidRDefault="00D75780" w:rsidP="00D75780">
      <w:pPr>
        <w:pStyle w:val="-"/>
        <w:spacing w:before="48" w:after="48"/>
        <w:ind w:firstLine="560"/>
      </w:pPr>
      <w:r w:rsidRPr="00131B9D">
        <w:t>根據聯合國糧農組織</w:t>
      </w:r>
      <w:r w:rsidRPr="00131B9D">
        <w:t>(FAO)</w:t>
      </w:r>
      <w:r w:rsidRPr="00131B9D">
        <w:t>於</w:t>
      </w:r>
      <w:r w:rsidRPr="00131B9D">
        <w:t>6</w:t>
      </w:r>
      <w:r w:rsidRPr="00131B9D">
        <w:t>月</w:t>
      </w:r>
      <w:r w:rsidRPr="00131B9D">
        <w:t>4</w:t>
      </w:r>
      <w:r w:rsidRPr="00131B9D">
        <w:t>日發布之供需概況，由於非洲今年小麥產量提升，故</w:t>
      </w:r>
      <w:r w:rsidRPr="00131B9D">
        <w:t>2015</w:t>
      </w:r>
      <w:r w:rsidRPr="00131B9D">
        <w:t>年預期全球小麥產量上調至</w:t>
      </w:r>
      <w:r w:rsidRPr="00131B9D">
        <w:t>7.23</w:t>
      </w:r>
      <w:r w:rsidRPr="00131B9D">
        <w:t>億噸。粗糧之產量預估值則上調至</w:t>
      </w:r>
      <w:r w:rsidRPr="00131B9D">
        <w:t>13</w:t>
      </w:r>
      <w:r w:rsidRPr="00131B9D">
        <w:t>億噸，主因為中國與墨西哥之玉米供給狀況改善，此外美國高粱產量亦將增加。全球稻米供應量則因亞洲國家產量大增，預期</w:t>
      </w:r>
      <w:r w:rsidRPr="00131B9D">
        <w:t>2015</w:t>
      </w:r>
      <w:r w:rsidRPr="00131B9D">
        <w:t>年全球稻米產量將較去年同期增加</w:t>
      </w:r>
      <w:r w:rsidRPr="00131B9D">
        <w:t>1.3%</w:t>
      </w:r>
      <w:r w:rsidRPr="00131B9D">
        <w:t>來到</w:t>
      </w:r>
      <w:r w:rsidRPr="00131B9D">
        <w:t>5</w:t>
      </w:r>
      <w:r w:rsidRPr="00131B9D">
        <w:t>億噸。聯合國糧農組織發佈之</w:t>
      </w:r>
      <w:r w:rsidRPr="00131B9D">
        <w:t>2015</w:t>
      </w:r>
      <w:r w:rsidRPr="00131B9D">
        <w:t>年</w:t>
      </w:r>
      <w:r w:rsidRPr="00131B9D">
        <w:t>5</w:t>
      </w:r>
      <w:r w:rsidRPr="00131B9D">
        <w:t>月食品價格指數為</w:t>
      </w:r>
      <w:r w:rsidRPr="00131B9D">
        <w:t>166.8(2002-2004</w:t>
      </w:r>
      <w:r w:rsidRPr="00131B9D">
        <w:t>年</w:t>
      </w:r>
      <w:r w:rsidRPr="00131B9D">
        <w:t>=100)</w:t>
      </w:r>
      <w:r w:rsidRPr="00131B9D">
        <w:t>，較</w:t>
      </w:r>
      <w:r w:rsidRPr="00131B9D">
        <w:t>4</w:t>
      </w:r>
      <w:r w:rsidRPr="00131B9D">
        <w:t>月下跌</w:t>
      </w:r>
      <w:r w:rsidRPr="00131B9D">
        <w:t>1.4%</w:t>
      </w:r>
      <w:r w:rsidRPr="00131B9D">
        <w:t>來到</w:t>
      </w:r>
      <w:r w:rsidRPr="00131B9D">
        <w:t>2009</w:t>
      </w:r>
      <w:r w:rsidRPr="00131B9D">
        <w:t>年</w:t>
      </w:r>
      <w:r w:rsidRPr="00131B9D">
        <w:t>9</w:t>
      </w:r>
      <w:r w:rsidRPr="00131B9D">
        <w:t>月以來最低點。五項組成指標中，穀物價格指數較</w:t>
      </w:r>
      <w:r w:rsidRPr="00131B9D">
        <w:t>4</w:t>
      </w:r>
      <w:r w:rsidRPr="00131B9D">
        <w:t>月下跌</w:t>
      </w:r>
      <w:r w:rsidRPr="00131B9D">
        <w:t>3.8%</w:t>
      </w:r>
      <w:r w:rsidRPr="00131B9D">
        <w:t>來到</w:t>
      </w:r>
      <w:r w:rsidRPr="00131B9D">
        <w:t>160.8</w:t>
      </w:r>
      <w:r w:rsidRPr="00131B9D">
        <w:t>，較去年同期下跌</w:t>
      </w:r>
      <w:r w:rsidRPr="00131B9D">
        <w:t>22.4%</w:t>
      </w:r>
      <w:r w:rsidRPr="00131B9D">
        <w:t>，顯示</w:t>
      </w:r>
      <w:r w:rsidR="008D4BC5" w:rsidRPr="00131B9D">
        <w:t>上半年</w:t>
      </w:r>
      <w:r w:rsidRPr="00131B9D">
        <w:t>全球穀物庫存充足，短期內恐將持續壓低國際價格。</w:t>
      </w:r>
    </w:p>
    <w:p w:rsidR="00E6156E" w:rsidRPr="00131B9D" w:rsidRDefault="00A67A16" w:rsidP="00A67A16">
      <w:pPr>
        <w:pStyle w:val="-"/>
        <w:spacing w:before="48" w:after="48"/>
        <w:ind w:firstLine="560"/>
        <w:sectPr w:rsidR="00E6156E" w:rsidRPr="00131B9D" w:rsidSect="002611FA">
          <w:pgSz w:w="11906" w:h="16838"/>
          <w:pgMar w:top="851" w:right="1644" w:bottom="851" w:left="1440" w:header="851" w:footer="992" w:gutter="0"/>
          <w:cols w:space="425"/>
          <w:docGrid w:linePitch="360"/>
        </w:sectPr>
      </w:pPr>
      <w:r w:rsidRPr="00131B9D">
        <w:t>時序進入下半年，截至</w:t>
      </w:r>
      <w:r w:rsidRPr="00131B9D">
        <w:t>11</w:t>
      </w:r>
      <w:r w:rsidRPr="00131B9D">
        <w:t>月</w:t>
      </w:r>
      <w:r w:rsidRPr="00131B9D">
        <w:t>5</w:t>
      </w:r>
      <w:r w:rsidRPr="00131B9D">
        <w:t>日，聯合國糧農組織預期</w:t>
      </w:r>
      <w:r w:rsidRPr="00131B9D">
        <w:t>2015</w:t>
      </w:r>
      <w:r w:rsidRPr="00131B9D">
        <w:t>年全球</w:t>
      </w:r>
    </w:p>
    <w:tbl>
      <w:tblPr>
        <w:tblStyle w:val="aff5"/>
        <w:tblW w:w="765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90"/>
        <w:gridCol w:w="4360"/>
      </w:tblGrid>
      <w:tr w:rsidR="00D75780" w:rsidRPr="00131B9D" w:rsidTr="00E6156E">
        <w:trPr>
          <w:jc w:val="center"/>
        </w:trPr>
        <w:tc>
          <w:tcPr>
            <w:tcW w:w="3290" w:type="dxa"/>
          </w:tcPr>
          <w:p w:rsidR="00D75780" w:rsidRPr="00131B9D" w:rsidRDefault="008D4BC5" w:rsidP="00515B9D">
            <w:pPr>
              <w:pStyle w:val="-"/>
              <w:spacing w:beforeLines="0" w:afterLines="0" w:line="0" w:lineRule="atLeast"/>
              <w:ind w:firstLineChars="0" w:firstLine="0"/>
              <w:jc w:val="center"/>
            </w:pPr>
            <w:r w:rsidRPr="00131B9D">
              <w:rPr>
                <w:noProof/>
              </w:rPr>
              <w:lastRenderedPageBreak/>
              <w:drawing>
                <wp:inline distT="0" distB="0" distL="0" distR="0" wp14:anchorId="0390E1F1" wp14:editId="683879CB">
                  <wp:extent cx="1952234" cy="1734820"/>
                  <wp:effectExtent l="0" t="0" r="0" b="0"/>
                  <wp:docPr id="12319" name="Picture 34" descr="http://www.fao.org/fileadmin/templates/worldfood/images/home_graph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9" name="Picture 34" descr="http://www.fao.org/fileadmin/templates/worldfood/images/home_graph_1.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955736" cy="1737932"/>
                          </a:xfrm>
                          <a:prstGeom prst="rect">
                            <a:avLst/>
                          </a:prstGeom>
                          <a:noFill/>
                          <a:ln>
                            <a:noFill/>
                          </a:ln>
                          <a:extLst/>
                        </pic:spPr>
                      </pic:pic>
                    </a:graphicData>
                  </a:graphic>
                </wp:inline>
              </w:drawing>
            </w:r>
          </w:p>
        </w:tc>
        <w:tc>
          <w:tcPr>
            <w:tcW w:w="4360" w:type="dxa"/>
          </w:tcPr>
          <w:p w:rsidR="00D75780" w:rsidRPr="00131B9D" w:rsidRDefault="008D4BC5" w:rsidP="00515B9D">
            <w:pPr>
              <w:pStyle w:val="-"/>
              <w:spacing w:beforeLines="0" w:afterLines="0" w:line="0" w:lineRule="atLeast"/>
              <w:ind w:firstLineChars="0" w:firstLine="0"/>
              <w:jc w:val="center"/>
            </w:pPr>
            <w:r w:rsidRPr="00131B9D">
              <w:rPr>
                <w:noProof/>
              </w:rPr>
              <w:drawing>
                <wp:inline distT="0" distB="0" distL="0" distR="0" wp14:anchorId="59A55722" wp14:editId="370C8CE4">
                  <wp:extent cx="2076450" cy="1735137"/>
                  <wp:effectExtent l="0" t="0" r="0" b="0"/>
                  <wp:docPr id="12320" name="Picture 36" descr="http://www.fao.org/fileadmin/templates/worldfood/images/home-graph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0" name="Picture 36" descr="http://www.fao.org/fileadmin/templates/worldfood/images/home-graph_4.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076450" cy="17351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tc>
      </w:tr>
      <w:tr w:rsidR="00D75780" w:rsidRPr="00131B9D" w:rsidTr="00E6156E">
        <w:trPr>
          <w:jc w:val="center"/>
        </w:trPr>
        <w:tc>
          <w:tcPr>
            <w:tcW w:w="3290" w:type="dxa"/>
          </w:tcPr>
          <w:p w:rsidR="00D75780" w:rsidRPr="00131B9D" w:rsidRDefault="00D75780" w:rsidP="00515B9D">
            <w:pPr>
              <w:spacing w:line="0" w:lineRule="atLeast"/>
              <w:jc w:val="center"/>
              <w:rPr>
                <w:rFonts w:eastAsia="標楷體"/>
                <w:bCs/>
                <w:kern w:val="52"/>
                <w:szCs w:val="28"/>
              </w:rPr>
            </w:pPr>
            <w:r w:rsidRPr="00131B9D">
              <w:rPr>
                <w:rFonts w:eastAsia="標楷體"/>
                <w:bCs/>
                <w:kern w:val="52"/>
                <w:szCs w:val="28"/>
              </w:rPr>
              <w:t>Panel A</w:t>
            </w:r>
            <w:r w:rsidRPr="00131B9D">
              <w:rPr>
                <w:rFonts w:eastAsia="標楷體"/>
                <w:bCs/>
                <w:kern w:val="52"/>
                <w:szCs w:val="28"/>
              </w:rPr>
              <w:t>食品價格指數走勢</w:t>
            </w:r>
          </w:p>
        </w:tc>
        <w:tc>
          <w:tcPr>
            <w:tcW w:w="4360" w:type="dxa"/>
          </w:tcPr>
          <w:p w:rsidR="00D75780" w:rsidRPr="00131B9D" w:rsidRDefault="00D75780" w:rsidP="00515B9D">
            <w:pPr>
              <w:spacing w:line="0" w:lineRule="atLeast"/>
              <w:jc w:val="center"/>
              <w:rPr>
                <w:rFonts w:eastAsia="標楷體"/>
                <w:bCs/>
                <w:kern w:val="52"/>
                <w:szCs w:val="28"/>
              </w:rPr>
            </w:pPr>
            <w:r w:rsidRPr="00131B9D">
              <w:rPr>
                <w:rFonts w:eastAsia="標楷體"/>
                <w:bCs/>
                <w:kern w:val="52"/>
                <w:szCs w:val="28"/>
              </w:rPr>
              <w:t xml:space="preserve">Panel B </w:t>
            </w:r>
            <w:r w:rsidRPr="00131B9D">
              <w:rPr>
                <w:rFonts w:eastAsia="標楷體"/>
                <w:bCs/>
                <w:kern w:val="52"/>
                <w:szCs w:val="28"/>
              </w:rPr>
              <w:t>穀物產量、利用率與庫存量變化</w:t>
            </w:r>
          </w:p>
        </w:tc>
      </w:tr>
      <w:tr w:rsidR="00D75780" w:rsidRPr="00131B9D" w:rsidTr="00515B9D">
        <w:trPr>
          <w:jc w:val="center"/>
        </w:trPr>
        <w:tc>
          <w:tcPr>
            <w:tcW w:w="7650" w:type="dxa"/>
            <w:gridSpan w:val="2"/>
          </w:tcPr>
          <w:p w:rsidR="00D75780" w:rsidRPr="00131B9D" w:rsidRDefault="00D75780" w:rsidP="00515B9D">
            <w:pPr>
              <w:pStyle w:val="-"/>
              <w:snapToGrid/>
              <w:spacing w:beforeLines="0" w:afterLines="0" w:line="0" w:lineRule="atLeast"/>
              <w:ind w:firstLineChars="17" w:firstLine="34"/>
              <w:rPr>
                <w:rFonts w:eastAsiaTheme="minorEastAsia"/>
                <w:kern w:val="2"/>
                <w:szCs w:val="20"/>
              </w:rPr>
            </w:pPr>
            <w:r w:rsidRPr="00131B9D">
              <w:rPr>
                <w:sz w:val="20"/>
                <w:szCs w:val="20"/>
              </w:rPr>
              <w:t>圖片來源：聯合國糧農組織</w:t>
            </w:r>
            <w:r w:rsidRPr="00131B9D">
              <w:rPr>
                <w:sz w:val="20"/>
                <w:szCs w:val="20"/>
              </w:rPr>
              <w:t>(FAO)</w:t>
            </w:r>
            <w:r w:rsidRPr="00131B9D">
              <w:rPr>
                <w:sz w:val="20"/>
                <w:szCs w:val="20"/>
              </w:rPr>
              <w:t>，</w:t>
            </w:r>
            <w:r w:rsidRPr="00131B9D">
              <w:rPr>
                <w:sz w:val="20"/>
                <w:szCs w:val="20"/>
              </w:rPr>
              <w:t>2015</w:t>
            </w:r>
            <w:r w:rsidRPr="00131B9D">
              <w:rPr>
                <w:sz w:val="20"/>
                <w:szCs w:val="20"/>
              </w:rPr>
              <w:t>年</w:t>
            </w:r>
            <w:r w:rsidR="008D4BC5" w:rsidRPr="00131B9D">
              <w:rPr>
                <w:sz w:val="20"/>
                <w:szCs w:val="20"/>
              </w:rPr>
              <w:t>11</w:t>
            </w:r>
            <w:r w:rsidRPr="00131B9D">
              <w:rPr>
                <w:sz w:val="20"/>
                <w:szCs w:val="20"/>
              </w:rPr>
              <w:t>月</w:t>
            </w:r>
            <w:r w:rsidR="008D4BC5" w:rsidRPr="00131B9D">
              <w:rPr>
                <w:sz w:val="20"/>
                <w:szCs w:val="20"/>
              </w:rPr>
              <w:t>5</w:t>
            </w:r>
            <w:r w:rsidRPr="00131B9D">
              <w:rPr>
                <w:sz w:val="20"/>
                <w:szCs w:val="20"/>
              </w:rPr>
              <w:t>日</w:t>
            </w:r>
          </w:p>
        </w:tc>
      </w:tr>
    </w:tbl>
    <w:p w:rsidR="00D75780" w:rsidRPr="00131B9D" w:rsidRDefault="00BF1790" w:rsidP="00BF1790">
      <w:pPr>
        <w:pStyle w:val="afff5"/>
        <w:spacing w:line="0" w:lineRule="atLeast"/>
        <w:jc w:val="center"/>
        <w:rPr>
          <w:rFonts w:eastAsia="標楷體"/>
          <w:b/>
          <w:bCs/>
          <w:kern w:val="52"/>
          <w:sz w:val="28"/>
          <w:szCs w:val="28"/>
        </w:rPr>
      </w:pPr>
      <w:bookmarkStart w:id="409" w:name="_Toc437958974"/>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w:t>
      </w:r>
      <w:r w:rsidRPr="00131B9D">
        <w:rPr>
          <w:rFonts w:eastAsia="標楷體"/>
          <w:b/>
          <w:bCs/>
          <w:kern w:val="52"/>
          <w:sz w:val="28"/>
          <w:szCs w:val="28"/>
        </w:rPr>
        <w:fldChar w:fldCharType="end"/>
      </w:r>
      <w:r w:rsidR="00D75780" w:rsidRPr="00131B9D">
        <w:rPr>
          <w:rFonts w:eastAsia="標楷體"/>
          <w:b/>
          <w:bCs/>
          <w:kern w:val="52"/>
          <w:sz w:val="28"/>
          <w:szCs w:val="28"/>
        </w:rPr>
        <w:t xml:space="preserve">　食品價格指數走勢與穀物概況</w:t>
      </w:r>
      <w:bookmarkEnd w:id="409"/>
    </w:p>
    <w:p w:rsidR="00F763B1" w:rsidRPr="00131B9D" w:rsidRDefault="00F763B1" w:rsidP="00E6156E"/>
    <w:p w:rsidR="00E6156E" w:rsidRPr="00131B9D" w:rsidRDefault="00E6156E" w:rsidP="00E6156E">
      <w:pPr>
        <w:pStyle w:val="-"/>
        <w:spacing w:before="48" w:after="48"/>
        <w:ind w:firstLineChars="0" w:firstLine="0"/>
      </w:pPr>
      <w:r w:rsidRPr="00131B9D">
        <w:t>穀物產量為</w:t>
      </w:r>
      <w:r w:rsidRPr="00131B9D">
        <w:t>25.30</w:t>
      </w:r>
      <w:r w:rsidRPr="00131B9D">
        <w:t>億噸。</w:t>
      </w:r>
      <w:r w:rsidRPr="00131B9D">
        <w:t>11</w:t>
      </w:r>
      <w:r w:rsidRPr="00131B9D">
        <w:t>月供需概況則顯示，美國與部分國家預期穀物產量下修，國際粗糧與稻米各下修至</w:t>
      </w:r>
      <w:r w:rsidRPr="00131B9D">
        <w:t>13.02</w:t>
      </w:r>
      <w:r w:rsidRPr="00131B9D">
        <w:t>與</w:t>
      </w:r>
      <w:r w:rsidRPr="00131B9D">
        <w:t>4.91</w:t>
      </w:r>
      <w:r w:rsidRPr="00131B9D">
        <w:t>億噸，小麥則受到歐盟產量預期增加而上調至</w:t>
      </w:r>
      <w:r w:rsidRPr="00131B9D">
        <w:t>7.36</w:t>
      </w:r>
      <w:r w:rsidRPr="00131B9D">
        <w:t>億噸，整體而言，全球產量仍供應充足。</w:t>
      </w:r>
      <w:r w:rsidRPr="00131B9D">
        <w:t>2015</w:t>
      </w:r>
      <w:r w:rsidRPr="00131B9D">
        <w:t>年</w:t>
      </w:r>
      <w:r w:rsidRPr="00131B9D">
        <w:t>10</w:t>
      </w:r>
      <w:r w:rsidRPr="00131B9D">
        <w:t>月之食品價格指數為</w:t>
      </w:r>
      <w:r w:rsidRPr="00131B9D">
        <w:t>162.0</w:t>
      </w:r>
      <w:r w:rsidRPr="00131B9D">
        <w:t>，較前月上揚</w:t>
      </w:r>
      <w:r w:rsidRPr="00131B9D">
        <w:t>3.9</w:t>
      </w:r>
      <w:r w:rsidRPr="00131B9D">
        <w:t>個百分點，為</w:t>
      </w:r>
      <w:r w:rsidRPr="00131B9D">
        <w:t>2012</w:t>
      </w:r>
      <w:r w:rsidRPr="00131B9D">
        <w:t>年</w:t>
      </w:r>
      <w:r w:rsidRPr="00131B9D">
        <w:t>7</w:t>
      </w:r>
      <w:r w:rsidRPr="00131B9D">
        <w:t>月以來最大漲幅。指數攀升主因為食糖、植物油以及乳製品報價上漲所致，惟與去年同期相比，國際市場仍下跌</w:t>
      </w:r>
      <w:r w:rsidRPr="00131B9D">
        <w:t>16.0%</w:t>
      </w:r>
      <w:r w:rsidRPr="00131B9D">
        <w:t>（如圖</w:t>
      </w:r>
      <w:r w:rsidRPr="00131B9D">
        <w:t>4-3</w:t>
      </w:r>
      <w:r w:rsidRPr="00131B9D">
        <w:t>）。</w:t>
      </w:r>
    </w:p>
    <w:p w:rsidR="00E6156E" w:rsidRPr="00131B9D" w:rsidRDefault="00E6156E" w:rsidP="00E6156E"/>
    <w:p w:rsidR="00D75780" w:rsidRPr="00131B9D" w:rsidRDefault="00800CEC" w:rsidP="00D75780">
      <w:pPr>
        <w:pStyle w:val="-"/>
        <w:spacing w:before="48" w:after="48"/>
        <w:ind w:firstLineChars="0" w:firstLine="0"/>
        <w:rPr>
          <w:b/>
        </w:rPr>
      </w:pPr>
      <w:r w:rsidRPr="00131B9D">
        <w:rPr>
          <w:b/>
        </w:rPr>
        <w:t>(2)</w:t>
      </w:r>
      <w:r w:rsidR="00D75780" w:rsidRPr="00131B9D">
        <w:rPr>
          <w:b/>
        </w:rPr>
        <w:t xml:space="preserve">　中長期</w:t>
      </w:r>
    </w:p>
    <w:p w:rsidR="00E6156E" w:rsidRPr="00131B9D" w:rsidRDefault="00D75780" w:rsidP="00D77E08">
      <w:pPr>
        <w:pStyle w:val="-"/>
        <w:spacing w:before="48" w:after="48"/>
        <w:ind w:firstLine="560"/>
      </w:pPr>
      <w:r w:rsidRPr="00131B9D">
        <w:t>隨著氣候異常頻繁發生，未來糧價恐漸攀升。根據行政院農委會研究，目前我國所面臨之挑戰包括「進口糧食與自給自足的落差」以及「可耕地的破碎化與縮減」，而在國際方面，全球稻米產量則將受聖嬰現象以及氣候變遷影響。此外，節能減碳觀念與替代能源逐漸受到重視，糧食作物中包括玉米與黃豆等皆因生質能源需求提高造成價格波動。我國應針對國內生產、庫存，以及進口等三方面建立適當組合，並因時制宜進行調整。</w:t>
      </w:r>
    </w:p>
    <w:p w:rsidR="00D77E08" w:rsidRPr="00131B9D" w:rsidRDefault="00D77E08" w:rsidP="00D77E08"/>
    <w:p w:rsidR="00D75780" w:rsidRPr="00131B9D" w:rsidRDefault="00800CEC" w:rsidP="00D56976">
      <w:pPr>
        <w:pStyle w:val="2"/>
        <w:spacing w:before="72" w:after="72"/>
        <w:rPr>
          <w:rFonts w:ascii="Times New Roman" w:hAnsi="Times New Roman"/>
        </w:rPr>
      </w:pPr>
      <w:bookmarkStart w:id="410" w:name="_Toc439162961"/>
      <w:r w:rsidRPr="00131B9D">
        <w:rPr>
          <w:rFonts w:ascii="Times New Roman" w:hAnsi="Times New Roman"/>
        </w:rPr>
        <w:t>二</w:t>
      </w:r>
      <w:r w:rsidR="00D75780" w:rsidRPr="00131B9D">
        <w:rPr>
          <w:rFonts w:ascii="Times New Roman" w:hAnsi="Times New Roman"/>
        </w:rPr>
        <w:t>、蛋</w:t>
      </w:r>
      <w:bookmarkEnd w:id="410"/>
    </w:p>
    <w:p w:rsidR="00D75780" w:rsidRPr="00131B9D" w:rsidRDefault="00D75780" w:rsidP="00D75780">
      <w:pPr>
        <w:pStyle w:val="-"/>
        <w:spacing w:before="48" w:after="48"/>
        <w:ind w:firstLine="560"/>
      </w:pPr>
      <w:r w:rsidRPr="00131B9D">
        <w:t>主要影響蛋價之因素可歸納為四大類，分別為氣候、政策、疫情以及節慶等，</w:t>
      </w:r>
      <w:r w:rsidRPr="00131B9D">
        <w:t>2013</w:t>
      </w:r>
      <w:r w:rsidRPr="00131B9D">
        <w:t>年至</w:t>
      </w:r>
      <w:r w:rsidRPr="00131B9D">
        <w:t>2015</w:t>
      </w:r>
      <w:r w:rsidRPr="00131B9D">
        <w:t>年</w:t>
      </w:r>
      <w:r w:rsidR="005D6D16" w:rsidRPr="00131B9D">
        <w:t>11</w:t>
      </w:r>
      <w:r w:rsidRPr="00131B9D">
        <w:t>月各通路蛋價走勢彙整如圖</w:t>
      </w:r>
      <w:r w:rsidR="00BF1790" w:rsidRPr="00131B9D">
        <w:t>4</w:t>
      </w:r>
      <w:r w:rsidRPr="00131B9D">
        <w:t>-</w:t>
      </w:r>
      <w:r w:rsidR="0020098F" w:rsidRPr="00131B9D">
        <w:t>4</w:t>
      </w:r>
      <w:r w:rsidRPr="00131B9D">
        <w:t>，</w:t>
      </w:r>
      <w:r w:rsidR="00384781" w:rsidRPr="00131B9D">
        <w:t>2015</w:t>
      </w:r>
      <w:r w:rsidR="00384781" w:rsidRPr="00131B9D">
        <w:t>上半年蛋價受到疫情影響甚劇，此外傳統節慶亦造成價格波動，下半年則仍有零星禽流感</w:t>
      </w:r>
      <w:r w:rsidR="0007549D" w:rsidRPr="00131B9D">
        <w:t>案例使得價格仍有所波動</w:t>
      </w:r>
      <w:r w:rsidR="00384781" w:rsidRPr="00131B9D">
        <w:t>。</w:t>
      </w:r>
      <w:r w:rsidR="00677D16" w:rsidRPr="00131B9D">
        <w:t>以下列出過去曾影響價格之國內外因素以及輿論詳加說明。</w:t>
      </w:r>
    </w:p>
    <w:p w:rsidR="00D75780" w:rsidRPr="00131B9D" w:rsidRDefault="00D75780" w:rsidP="00D75780"/>
    <w:p w:rsidR="00D75780" w:rsidRPr="00131B9D" w:rsidRDefault="005D6D16" w:rsidP="00B22890">
      <w:pPr>
        <w:spacing w:line="0" w:lineRule="atLeast"/>
        <w:jc w:val="center"/>
      </w:pPr>
      <w:r w:rsidRPr="00131B9D">
        <w:rPr>
          <w:noProof/>
        </w:rPr>
        <w:lastRenderedPageBreak/>
        <w:drawing>
          <wp:inline distT="0" distB="0" distL="0" distR="0" wp14:anchorId="7785E2FD" wp14:editId="6661EDC8">
            <wp:extent cx="5274310" cy="2419200"/>
            <wp:effectExtent l="0" t="0" r="0" b="0"/>
            <wp:docPr id="22" name="圖表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資料來源：本文整理</w:t>
      </w:r>
    </w:p>
    <w:p w:rsidR="00D75780" w:rsidRPr="00131B9D" w:rsidRDefault="00BF1790" w:rsidP="00BF1790">
      <w:pPr>
        <w:pStyle w:val="afff5"/>
        <w:spacing w:line="0" w:lineRule="atLeast"/>
        <w:jc w:val="center"/>
        <w:rPr>
          <w:rFonts w:eastAsia="標楷體"/>
          <w:b/>
          <w:bCs/>
          <w:kern w:val="52"/>
          <w:sz w:val="28"/>
          <w:szCs w:val="28"/>
        </w:rPr>
      </w:pPr>
      <w:bookmarkStart w:id="411" w:name="_Toc437958975"/>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4</w:t>
      </w:r>
      <w:r w:rsidRPr="00131B9D">
        <w:rPr>
          <w:rFonts w:eastAsia="標楷體"/>
          <w:b/>
          <w:bCs/>
          <w:kern w:val="52"/>
          <w:sz w:val="28"/>
          <w:szCs w:val="28"/>
        </w:rPr>
        <w:fldChar w:fldCharType="end"/>
      </w:r>
      <w:r w:rsidR="00D75780" w:rsidRPr="00131B9D">
        <w:rPr>
          <w:rFonts w:eastAsia="標楷體"/>
          <w:b/>
          <w:bCs/>
          <w:kern w:val="52"/>
          <w:sz w:val="28"/>
          <w:szCs w:val="28"/>
        </w:rPr>
        <w:t xml:space="preserve">　蛋價長期走勢圖</w:t>
      </w:r>
      <w:bookmarkEnd w:id="411"/>
    </w:p>
    <w:p w:rsidR="00D75780" w:rsidRPr="00131B9D" w:rsidRDefault="00D75780" w:rsidP="00D75780"/>
    <w:p w:rsidR="00D75780" w:rsidRPr="00131B9D" w:rsidRDefault="00800CEC" w:rsidP="00800CEC">
      <w:pPr>
        <w:pStyle w:val="-"/>
        <w:spacing w:before="48" w:after="48"/>
        <w:ind w:firstLineChars="0" w:firstLine="0"/>
        <w:rPr>
          <w:b/>
        </w:rPr>
      </w:pPr>
      <w:r w:rsidRPr="00131B9D">
        <w:rPr>
          <w:b/>
        </w:rPr>
        <w:t>1.</w:t>
      </w:r>
      <w:r w:rsidRPr="00131B9D">
        <w:rPr>
          <w:b/>
        </w:rPr>
        <w:t xml:space="preserve">　</w:t>
      </w:r>
      <w:r w:rsidR="00D75780" w:rsidRPr="00131B9D">
        <w:rPr>
          <w:b/>
        </w:rPr>
        <w:t>氣候因素</w:t>
      </w:r>
    </w:p>
    <w:p w:rsidR="00405C15" w:rsidRPr="00131B9D" w:rsidRDefault="00D75780" w:rsidP="00405C15">
      <w:pPr>
        <w:pStyle w:val="-"/>
        <w:spacing w:before="48" w:after="48"/>
        <w:ind w:firstLine="560"/>
      </w:pPr>
      <w:r w:rsidRPr="00131B9D">
        <w:t>根據中央氣象局統計，</w:t>
      </w:r>
      <w:r w:rsidRPr="00131B9D">
        <w:t>2014</w:t>
      </w:r>
      <w:r w:rsidRPr="00131B9D">
        <w:t>年</w:t>
      </w:r>
      <w:r w:rsidRPr="00131B9D">
        <w:t>1</w:t>
      </w:r>
      <w:r w:rsidRPr="00131B9D">
        <w:t>、</w:t>
      </w:r>
      <w:r w:rsidRPr="00131B9D">
        <w:t>2</w:t>
      </w:r>
      <w:r w:rsidRPr="00131B9D">
        <w:t>月總計發布</w:t>
      </w:r>
      <w:r w:rsidRPr="00131B9D">
        <w:t>174</w:t>
      </w:r>
      <w:r w:rsidRPr="00131B9D">
        <w:t>次低溫特報，相較</w:t>
      </w:r>
      <w:r w:rsidRPr="00131B9D">
        <w:t>2013</w:t>
      </w:r>
      <w:r w:rsidRPr="00131B9D">
        <w:t>年僅</w:t>
      </w:r>
      <w:r w:rsidRPr="00131B9D">
        <w:t>26</w:t>
      </w:r>
      <w:r w:rsidRPr="00131B9D">
        <w:t>次，受到低溫影響，</w:t>
      </w:r>
      <w:r w:rsidR="005D6D16" w:rsidRPr="00131B9D">
        <w:t>2014</w:t>
      </w:r>
      <w:r w:rsidR="005D6D16" w:rsidRPr="00131B9D">
        <w:t>年雞蛋</w:t>
      </w:r>
      <w:r w:rsidRPr="00131B9D">
        <w:t>產量</w:t>
      </w:r>
      <w:r w:rsidR="005D6D16" w:rsidRPr="00131B9D">
        <w:t>較</w:t>
      </w:r>
      <w:r w:rsidR="005D6D16" w:rsidRPr="00131B9D">
        <w:t>2013</w:t>
      </w:r>
      <w:r w:rsidRPr="00131B9D">
        <w:t>年同期</w:t>
      </w:r>
      <w:r w:rsidR="005D6D16" w:rsidRPr="00131B9D">
        <w:t>下降</w:t>
      </w:r>
      <w:r w:rsidRPr="00131B9D">
        <w:t>了</w:t>
      </w:r>
      <w:r w:rsidRPr="00131B9D">
        <w:t>2%</w:t>
      </w:r>
      <w:r w:rsidRPr="00131B9D">
        <w:t>到</w:t>
      </w:r>
      <w:r w:rsidRPr="00131B9D">
        <w:t>3%</w:t>
      </w:r>
      <w:r w:rsidR="005D6D16" w:rsidRPr="00131B9D">
        <w:t>左右。</w:t>
      </w:r>
      <w:r w:rsidR="00242869" w:rsidRPr="00131B9D">
        <w:t>時序</w:t>
      </w:r>
      <w:r w:rsidR="00522DA0" w:rsidRPr="00131B9D">
        <w:t>邁入</w:t>
      </w:r>
      <w:r w:rsidR="00A41BDC" w:rsidRPr="00131B9D">
        <w:t>冬季</w:t>
      </w:r>
      <w:r w:rsidR="00522DA0" w:rsidRPr="00131B9D">
        <w:t>，氣溫驟降將影響產蛋率，故仍須密切觀察後續雞蛋供應量。</w:t>
      </w:r>
      <w:r w:rsidR="00405C15" w:rsidRPr="00131B9D">
        <w:t>此外，臺灣夏秋多颱風過境，部分禽類受到驚嚇導致產蛋率亦下滑，今年</w:t>
      </w:r>
      <w:r w:rsidR="00405C15" w:rsidRPr="00131B9D">
        <w:t>8</w:t>
      </w:r>
      <w:r w:rsidR="00405C15" w:rsidRPr="00131B9D">
        <w:t>月蘇迪勒颱風侵臺，鴨蛋減產約</w:t>
      </w:r>
      <w:r w:rsidR="00405C15" w:rsidRPr="00131B9D">
        <w:t>4</w:t>
      </w:r>
      <w:r w:rsidR="00405C15" w:rsidRPr="00131B9D">
        <w:t>成，</w:t>
      </w:r>
      <w:r w:rsidR="00ED328F" w:rsidRPr="00131B9D">
        <w:t>後續</w:t>
      </w:r>
      <w:r w:rsidR="00405C15" w:rsidRPr="00131B9D">
        <w:t>價格</w:t>
      </w:r>
      <w:r w:rsidR="00ED328F" w:rsidRPr="00131B9D">
        <w:t>上揚</w:t>
      </w:r>
      <w:r w:rsidR="00ED328F" w:rsidRPr="00131B9D">
        <w:t>5.71%</w:t>
      </w:r>
      <w:r w:rsidR="00ED328F" w:rsidRPr="00131B9D">
        <w:t>，</w:t>
      </w:r>
      <w:r w:rsidR="00A70B9E" w:rsidRPr="00131B9D">
        <w:t>隨著颱風季節結束，</w:t>
      </w:r>
      <w:r w:rsidR="00A70B9E" w:rsidRPr="00131B9D">
        <w:t>11</w:t>
      </w:r>
      <w:r w:rsidR="00A70B9E" w:rsidRPr="00131B9D">
        <w:t>月鴨蛋價格</w:t>
      </w:r>
      <w:r w:rsidR="00ED328F" w:rsidRPr="00131B9D">
        <w:t>已回落至每台斤</w:t>
      </w:r>
      <w:r w:rsidR="00ED328F" w:rsidRPr="00131B9D">
        <w:t>32</w:t>
      </w:r>
      <w:r w:rsidR="00ED328F" w:rsidRPr="00131B9D">
        <w:t>元</w:t>
      </w:r>
      <w:r w:rsidR="00405C15" w:rsidRPr="00131B9D">
        <w:t>。</w:t>
      </w:r>
    </w:p>
    <w:p w:rsidR="00D75780" w:rsidRPr="00131B9D" w:rsidRDefault="00800CEC" w:rsidP="00800CEC">
      <w:pPr>
        <w:pStyle w:val="-"/>
        <w:spacing w:before="48" w:after="48"/>
        <w:ind w:firstLineChars="0" w:firstLine="0"/>
        <w:rPr>
          <w:b/>
        </w:rPr>
      </w:pPr>
      <w:r w:rsidRPr="00131B9D">
        <w:rPr>
          <w:b/>
        </w:rPr>
        <w:t>2.</w:t>
      </w:r>
      <w:r w:rsidRPr="00131B9D">
        <w:rPr>
          <w:b/>
        </w:rPr>
        <w:t xml:space="preserve">　</w:t>
      </w:r>
      <w:r w:rsidR="00D75780" w:rsidRPr="00131B9D">
        <w:rPr>
          <w:b/>
        </w:rPr>
        <w:t>政策因素</w:t>
      </w:r>
    </w:p>
    <w:p w:rsidR="00D75780" w:rsidRPr="00131B9D" w:rsidRDefault="00D75780" w:rsidP="00D75780">
      <w:pPr>
        <w:pStyle w:val="-"/>
        <w:spacing w:before="48" w:after="48"/>
        <w:ind w:firstLine="560"/>
      </w:pPr>
      <w:r w:rsidRPr="00131B9D">
        <w:t>2015</w:t>
      </w:r>
      <w:r w:rsidRPr="00131B9D">
        <w:t>年起，美國加州實施蛋雞飼養空間新規定，於加州販售之雞蛋必須來自擁有足夠雞舍空間的母雞，蛋農因而必須斥資擴大雞舍，或減少飼養數量。新法的實施將使得雞蛋生產成本增加並反映在蛋價上，</w:t>
      </w:r>
      <w:r w:rsidRPr="00131B9D">
        <w:t>2014</w:t>
      </w:r>
      <w:r w:rsidRPr="00131B9D">
        <w:t>年底零售蛋價已因假期及農民預期心理提前開漲，漲幅達</w:t>
      </w:r>
      <w:r w:rsidRPr="00131B9D">
        <w:t>25%</w:t>
      </w:r>
      <w:r w:rsidRPr="00131B9D">
        <w:t>。</w:t>
      </w:r>
      <w:r w:rsidR="0027632F" w:rsidRPr="00131B9D">
        <w:t>由於規範雞隻飼養空間有助於降低禽流感發生機率，未來我國若同步跟進也將對禽類與蛋價帶來影響。</w:t>
      </w:r>
      <w:r w:rsidR="00522DA0" w:rsidRPr="00131B9D">
        <w:t>根據宜蘭縣府農業處表示，除了防疫，縣府積極推行友善畜牧，以往鴨農每平方公尺飼養三隻鴨，友善畜牧則僅飼養一隻，以增加鴨子活動空間，減少交叉感染機率，目前縣府也正和專家學者討論，預計明年初起輔導鴨戶轉型友善畜牧。</w:t>
      </w:r>
    </w:p>
    <w:p w:rsidR="00D77E08" w:rsidRPr="00131B9D" w:rsidRDefault="00D77E08" w:rsidP="0027632F">
      <w:pPr>
        <w:sectPr w:rsidR="00D77E08" w:rsidRPr="00131B9D" w:rsidSect="002611FA">
          <w:pgSz w:w="11906" w:h="16838"/>
          <w:pgMar w:top="851" w:right="1644" w:bottom="851" w:left="1440" w:header="851" w:footer="992" w:gutter="0"/>
          <w:cols w:space="425"/>
          <w:docGrid w:linePitch="360"/>
        </w:sectPr>
      </w:pPr>
    </w:p>
    <w:p w:rsidR="00D75780" w:rsidRPr="00131B9D" w:rsidRDefault="00800CEC" w:rsidP="00800CEC">
      <w:pPr>
        <w:pStyle w:val="-"/>
        <w:spacing w:before="48" w:after="48"/>
        <w:ind w:firstLineChars="0" w:firstLine="0"/>
        <w:rPr>
          <w:b/>
        </w:rPr>
      </w:pPr>
      <w:r w:rsidRPr="00131B9D">
        <w:rPr>
          <w:b/>
        </w:rPr>
        <w:lastRenderedPageBreak/>
        <w:t>3.</w:t>
      </w:r>
      <w:r w:rsidRPr="00131B9D">
        <w:rPr>
          <w:b/>
        </w:rPr>
        <w:t xml:space="preserve">　</w:t>
      </w:r>
      <w:r w:rsidR="00D75780" w:rsidRPr="00131B9D">
        <w:rPr>
          <w:b/>
        </w:rPr>
        <w:t>疫情因素</w:t>
      </w:r>
    </w:p>
    <w:p w:rsidR="00D75780" w:rsidRPr="00131B9D" w:rsidRDefault="00800CEC" w:rsidP="00D75780">
      <w:pPr>
        <w:pStyle w:val="-"/>
        <w:spacing w:before="48" w:after="48"/>
        <w:ind w:firstLineChars="0" w:firstLine="0"/>
        <w:rPr>
          <w:b/>
        </w:rPr>
      </w:pPr>
      <w:r w:rsidRPr="00131B9D">
        <w:rPr>
          <w:b/>
        </w:rPr>
        <w:t>(1)</w:t>
      </w:r>
      <w:r w:rsidR="00D75780" w:rsidRPr="00131B9D">
        <w:rPr>
          <w:b/>
        </w:rPr>
        <w:t xml:space="preserve">　</w:t>
      </w:r>
      <w:r w:rsidR="00D75780" w:rsidRPr="00131B9D">
        <w:rPr>
          <w:b/>
        </w:rPr>
        <w:t>2015</w:t>
      </w:r>
      <w:r w:rsidR="00D75780" w:rsidRPr="00131B9D">
        <w:rPr>
          <w:b/>
        </w:rPr>
        <w:t>年禽流感概況</w:t>
      </w:r>
    </w:p>
    <w:p w:rsidR="00D75780" w:rsidRPr="00131B9D" w:rsidRDefault="00D75780" w:rsidP="00D75780">
      <w:pPr>
        <w:pStyle w:val="-"/>
        <w:spacing w:before="48" w:after="48"/>
        <w:ind w:firstLine="560"/>
      </w:pPr>
      <w:r w:rsidRPr="00131B9D">
        <w:t>禽流感病毒可區分為高病原性與低病原性，低病原性僅引起家禽類輕微症狀，而本次禽流感病毒為高病原性</w:t>
      </w:r>
      <w:r w:rsidRPr="00131B9D">
        <w:t>H5N2</w:t>
      </w:r>
      <w:r w:rsidRPr="00131B9D">
        <w:t>及</w:t>
      </w:r>
      <w:r w:rsidRPr="00131B9D">
        <w:t>H5N8</w:t>
      </w:r>
      <w:r w:rsidRPr="00131B9D">
        <w:t>病毒，具高致死率，經統計已感染病毒之養殖場平均死亡率達</w:t>
      </w:r>
      <w:r w:rsidRPr="00131B9D">
        <w:t>40%</w:t>
      </w:r>
      <w:r w:rsidRPr="00131B9D">
        <w:t>。</w:t>
      </w:r>
      <w:r w:rsidR="00ED328F" w:rsidRPr="00131B9D">
        <w:t>儘管</w:t>
      </w:r>
      <w:r w:rsidR="00ED328F" w:rsidRPr="00131B9D">
        <w:t>7</w:t>
      </w:r>
      <w:r w:rsidR="00ED328F" w:rsidRPr="00131B9D">
        <w:t>、</w:t>
      </w:r>
      <w:r w:rsidR="00ED328F" w:rsidRPr="00131B9D">
        <w:t>8</w:t>
      </w:r>
      <w:r w:rsidR="00ED328F" w:rsidRPr="00131B9D">
        <w:t>月疫情趨緩，僅零星案例發生，然而入秋後氣溫逐漸下降，候鳥大舉來臺過冬，</w:t>
      </w:r>
      <w:r w:rsidR="001465C1" w:rsidRPr="00131B9D">
        <w:t>為禽流感好發季節，</w:t>
      </w:r>
      <w:r w:rsidR="00ED328F" w:rsidRPr="00131B9D">
        <w:t>恐將引發另一波疫情</w:t>
      </w:r>
      <w:r w:rsidR="001465C1" w:rsidRPr="00131B9D">
        <w:t>，動保處</w:t>
      </w:r>
      <w:r w:rsidR="00ED328F" w:rsidRPr="00131B9D">
        <w:t>已通令各禽場提高警覺。</w:t>
      </w:r>
      <w:r w:rsidR="001465C1" w:rsidRPr="00131B9D">
        <w:t xml:space="preserve"> </w:t>
      </w:r>
    </w:p>
    <w:p w:rsidR="00D75780" w:rsidRPr="00131B9D" w:rsidRDefault="00D75780" w:rsidP="00D75780"/>
    <w:p w:rsidR="00D75780" w:rsidRPr="00131B9D" w:rsidRDefault="00800CEC" w:rsidP="00D75780">
      <w:pPr>
        <w:pStyle w:val="-"/>
        <w:spacing w:before="48" w:after="48"/>
        <w:ind w:firstLineChars="0" w:firstLine="0"/>
        <w:rPr>
          <w:b/>
        </w:rPr>
      </w:pPr>
      <w:r w:rsidRPr="00131B9D">
        <w:rPr>
          <w:b/>
        </w:rPr>
        <w:t>(2)</w:t>
      </w:r>
      <w:r w:rsidR="00D75780" w:rsidRPr="00131B9D">
        <w:rPr>
          <w:b/>
        </w:rPr>
        <w:t xml:space="preserve">　染病養殖場區域分佈</w:t>
      </w:r>
    </w:p>
    <w:p w:rsidR="00D75780" w:rsidRPr="00131B9D" w:rsidRDefault="00D75780" w:rsidP="00D75780">
      <w:pPr>
        <w:pStyle w:val="-"/>
        <w:spacing w:before="48" w:after="48"/>
        <w:ind w:firstLine="560"/>
      </w:pPr>
      <w:r w:rsidRPr="00131B9D">
        <w:t>受影響養殖場包含彰化、雲林、嘉義、</w:t>
      </w:r>
      <w:r w:rsidR="00D20FD8" w:rsidRPr="00131B9D">
        <w:t>臺</w:t>
      </w:r>
      <w:r w:rsidRPr="00131B9D">
        <w:t>南、屏東</w:t>
      </w:r>
      <w:r w:rsidR="00ED328F" w:rsidRPr="00131B9D">
        <w:t>、臺東與花蓮</w:t>
      </w:r>
      <w:r w:rsidRPr="00131B9D">
        <w:t>等地區。其中雲嘉南及屏東為</w:t>
      </w:r>
      <w:r w:rsidR="00595FF8" w:rsidRPr="00131B9D">
        <w:t>臺灣</w:t>
      </w:r>
      <w:r w:rsidRPr="00131B9D">
        <w:t>家禽主要養殖區域。</w:t>
      </w:r>
    </w:p>
    <w:p w:rsidR="00324BE7" w:rsidRPr="00131B9D" w:rsidRDefault="00324BE7" w:rsidP="00324BE7"/>
    <w:p w:rsidR="00D75780" w:rsidRPr="00131B9D" w:rsidRDefault="00800CEC" w:rsidP="00D75780">
      <w:pPr>
        <w:pStyle w:val="-"/>
        <w:spacing w:before="48" w:after="48"/>
        <w:ind w:firstLineChars="0" w:firstLine="0"/>
        <w:rPr>
          <w:b/>
        </w:rPr>
      </w:pPr>
      <w:r w:rsidRPr="00131B9D">
        <w:rPr>
          <w:b/>
        </w:rPr>
        <w:t>(3)</w:t>
      </w:r>
      <w:r w:rsidR="00D75780" w:rsidRPr="00131B9D">
        <w:rPr>
          <w:b/>
        </w:rPr>
        <w:t xml:space="preserve">　家禽類與雞蛋價格波動</w:t>
      </w:r>
    </w:p>
    <w:p w:rsidR="00D75780" w:rsidRPr="00131B9D" w:rsidRDefault="00D75780" w:rsidP="00D75780">
      <w:pPr>
        <w:pStyle w:val="-"/>
        <w:spacing w:before="48" w:after="48"/>
        <w:ind w:firstLine="560"/>
      </w:pPr>
      <w:r w:rsidRPr="00131B9D">
        <w:t>染病蛋雞撲殺造成民眾心理恐慌，雖短期內對雞蛋需求減少，然而飼料價格仍偏高，此外冬令進補及春節亦將增加民眾對雞蛋之需求，導致雞蛋價格上漲。春節過後國內雞肉價格不跌反漲，主因為產量減少，惟需求量未減。</w:t>
      </w:r>
    </w:p>
    <w:p w:rsidR="00D75780" w:rsidRPr="00131B9D" w:rsidRDefault="001465C1" w:rsidP="00D75780">
      <w:pPr>
        <w:pStyle w:val="-"/>
        <w:spacing w:before="48" w:after="48"/>
        <w:ind w:firstLine="560"/>
      </w:pPr>
      <w:r w:rsidRPr="00131B9D">
        <w:t>夏季</w:t>
      </w:r>
      <w:r w:rsidR="00D20FD8" w:rsidRPr="00131B9D">
        <w:t>隨著臺</w:t>
      </w:r>
      <w:r w:rsidR="00D75780" w:rsidRPr="00131B9D">
        <w:t>南沿海的蒼鷺、雁鴨科等冬候鳥陸續離境，禽流感逐漸趨緩，國內僅出現零星禽流感案例，顯示</w:t>
      </w:r>
      <w:r w:rsidR="00B41F6F" w:rsidRPr="00131B9D">
        <w:t>防疫</w:t>
      </w:r>
      <w:r w:rsidR="00D75780" w:rsidRPr="00131B9D">
        <w:t>不夠落實造成漏洞。儘管南部再傳禽流感疫情，惟國內業者指出，多數進口商已囤購美國進口雞肉至年底，雞肉供應無虞。根據行政院農委會統計，春節過後禽類價格逐漸攀升，</w:t>
      </w:r>
      <w:r w:rsidRPr="00131B9D">
        <w:t>截至</w:t>
      </w:r>
      <w:r w:rsidRPr="00131B9D">
        <w:t>7</w:t>
      </w:r>
      <w:r w:rsidRPr="00131B9D">
        <w:t>月</w:t>
      </w:r>
      <w:r w:rsidRPr="00131B9D">
        <w:t>15</w:t>
      </w:r>
      <w:r w:rsidRPr="00131B9D">
        <w:t>日</w:t>
      </w:r>
      <w:r w:rsidR="00D75780" w:rsidRPr="00131B9D">
        <w:t>土雞與白肉雞每公斤價格分別回跌至</w:t>
      </w:r>
      <w:r w:rsidR="00D75780" w:rsidRPr="00131B9D">
        <w:t>101</w:t>
      </w:r>
      <w:r w:rsidR="00D75780" w:rsidRPr="00131B9D">
        <w:t>與</w:t>
      </w:r>
      <w:r w:rsidR="00D75780" w:rsidRPr="00131B9D">
        <w:t>57.5</w:t>
      </w:r>
      <w:r w:rsidR="00D75780" w:rsidRPr="00131B9D">
        <w:t>元，白毛鴨則維持在每公斤</w:t>
      </w:r>
      <w:r w:rsidR="00D75780" w:rsidRPr="00131B9D">
        <w:t>81.67</w:t>
      </w:r>
      <w:r w:rsidR="00D75780" w:rsidRPr="00131B9D">
        <w:t>元（如圖</w:t>
      </w:r>
      <w:r w:rsidR="00F20AF7" w:rsidRPr="00131B9D">
        <w:t>4</w:t>
      </w:r>
      <w:r w:rsidR="00D75780" w:rsidRPr="00131B9D">
        <w:t>-</w:t>
      </w:r>
      <w:r w:rsidR="0020098F" w:rsidRPr="00131B9D">
        <w:t>5</w:t>
      </w:r>
      <w:r w:rsidR="00D75780" w:rsidRPr="00131B9D">
        <w:t>）。</w:t>
      </w:r>
    </w:p>
    <w:p w:rsidR="00D75780" w:rsidRPr="00131B9D" w:rsidRDefault="00D75780" w:rsidP="00D75780"/>
    <w:p w:rsidR="00D75780" w:rsidRPr="00131B9D" w:rsidRDefault="00914D3E" w:rsidP="00D75780">
      <w:pPr>
        <w:spacing w:line="0" w:lineRule="atLeast"/>
        <w:jc w:val="center"/>
      </w:pPr>
      <w:r w:rsidRPr="00131B9D">
        <w:rPr>
          <w:noProof/>
        </w:rPr>
        <w:lastRenderedPageBreak/>
        <w:drawing>
          <wp:inline distT="0" distB="0" distL="0" distR="0" wp14:anchorId="55EC04D2" wp14:editId="5A81CD18">
            <wp:extent cx="4895215" cy="3083442"/>
            <wp:effectExtent l="0" t="0" r="635" b="3175"/>
            <wp:docPr id="23" name="圖表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資料來源：行政院農委會畜產行情資訊網，</w:t>
      </w:r>
      <w:r w:rsidRPr="00131B9D">
        <w:rPr>
          <w:kern w:val="0"/>
          <w:sz w:val="20"/>
          <w:szCs w:val="20"/>
        </w:rPr>
        <w:t>2014</w:t>
      </w:r>
      <w:r w:rsidRPr="00131B9D">
        <w:rPr>
          <w:kern w:val="0"/>
          <w:sz w:val="20"/>
          <w:szCs w:val="20"/>
        </w:rPr>
        <w:t>年</w:t>
      </w:r>
      <w:r w:rsidRPr="00131B9D">
        <w:rPr>
          <w:kern w:val="0"/>
          <w:sz w:val="20"/>
          <w:szCs w:val="20"/>
        </w:rPr>
        <w:t>12</w:t>
      </w:r>
      <w:r w:rsidRPr="00131B9D">
        <w:rPr>
          <w:kern w:val="0"/>
          <w:sz w:val="20"/>
          <w:szCs w:val="20"/>
        </w:rPr>
        <w:t>月</w:t>
      </w:r>
      <w:r w:rsidRPr="00131B9D">
        <w:rPr>
          <w:kern w:val="0"/>
          <w:sz w:val="20"/>
          <w:szCs w:val="20"/>
        </w:rPr>
        <w:t>1</w:t>
      </w:r>
      <w:r w:rsidRPr="00131B9D">
        <w:rPr>
          <w:kern w:val="0"/>
          <w:sz w:val="20"/>
          <w:szCs w:val="20"/>
        </w:rPr>
        <w:t>日至</w:t>
      </w:r>
      <w:r w:rsidRPr="00131B9D">
        <w:rPr>
          <w:kern w:val="0"/>
          <w:sz w:val="20"/>
          <w:szCs w:val="20"/>
        </w:rPr>
        <w:t>2015</w:t>
      </w:r>
      <w:r w:rsidRPr="00131B9D">
        <w:rPr>
          <w:kern w:val="0"/>
          <w:sz w:val="20"/>
          <w:szCs w:val="20"/>
        </w:rPr>
        <w:t>年</w:t>
      </w:r>
      <w:r w:rsidR="00914D3E" w:rsidRPr="00131B9D">
        <w:rPr>
          <w:kern w:val="0"/>
          <w:sz w:val="20"/>
          <w:szCs w:val="20"/>
        </w:rPr>
        <w:t>11</w:t>
      </w:r>
      <w:r w:rsidRPr="00131B9D">
        <w:rPr>
          <w:kern w:val="0"/>
          <w:sz w:val="20"/>
          <w:szCs w:val="20"/>
        </w:rPr>
        <w:t>月</w:t>
      </w:r>
      <w:r w:rsidR="00914D3E" w:rsidRPr="00131B9D">
        <w:rPr>
          <w:kern w:val="0"/>
          <w:sz w:val="20"/>
          <w:szCs w:val="20"/>
        </w:rPr>
        <w:t>26</w:t>
      </w:r>
      <w:r w:rsidRPr="00131B9D">
        <w:rPr>
          <w:kern w:val="0"/>
          <w:sz w:val="20"/>
          <w:szCs w:val="20"/>
        </w:rPr>
        <w:t>日。</w:t>
      </w:r>
    </w:p>
    <w:p w:rsidR="00D75780" w:rsidRPr="00131B9D" w:rsidRDefault="00F20AF7" w:rsidP="00F20AF7">
      <w:pPr>
        <w:pStyle w:val="afff5"/>
        <w:spacing w:line="0" w:lineRule="atLeast"/>
        <w:jc w:val="center"/>
        <w:rPr>
          <w:rFonts w:eastAsia="標楷體"/>
          <w:b/>
          <w:bCs/>
          <w:kern w:val="52"/>
          <w:sz w:val="28"/>
          <w:szCs w:val="28"/>
        </w:rPr>
      </w:pPr>
      <w:bookmarkStart w:id="412" w:name="_Toc437958976"/>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5</w:t>
      </w:r>
      <w:r w:rsidRPr="00131B9D">
        <w:rPr>
          <w:rFonts w:eastAsia="標楷體"/>
          <w:b/>
          <w:bCs/>
          <w:kern w:val="52"/>
          <w:sz w:val="28"/>
          <w:szCs w:val="28"/>
        </w:rPr>
        <w:fldChar w:fldCharType="end"/>
      </w:r>
      <w:r w:rsidR="00D75780" w:rsidRPr="00131B9D">
        <w:rPr>
          <w:rFonts w:eastAsia="標楷體"/>
          <w:b/>
          <w:bCs/>
          <w:kern w:val="52"/>
          <w:sz w:val="28"/>
          <w:szCs w:val="28"/>
        </w:rPr>
        <w:t xml:space="preserve">　雞鴨肉價格走勢圖</w:t>
      </w:r>
      <w:r w:rsidR="00D75780" w:rsidRPr="00131B9D">
        <w:rPr>
          <w:rFonts w:eastAsia="標楷體"/>
          <w:b/>
          <w:bCs/>
          <w:kern w:val="52"/>
          <w:sz w:val="28"/>
          <w:szCs w:val="28"/>
        </w:rPr>
        <w:t>(201412-2015</w:t>
      </w:r>
      <w:r w:rsidR="00914D3E" w:rsidRPr="00131B9D">
        <w:rPr>
          <w:rFonts w:eastAsia="標楷體"/>
          <w:b/>
          <w:bCs/>
          <w:kern w:val="52"/>
          <w:sz w:val="28"/>
          <w:szCs w:val="28"/>
        </w:rPr>
        <w:t>11</w:t>
      </w:r>
      <w:r w:rsidR="00D75780" w:rsidRPr="00131B9D">
        <w:rPr>
          <w:rFonts w:eastAsia="標楷體"/>
          <w:b/>
          <w:bCs/>
          <w:kern w:val="52"/>
          <w:sz w:val="28"/>
          <w:szCs w:val="28"/>
        </w:rPr>
        <w:t>)</w:t>
      </w:r>
      <w:bookmarkEnd w:id="412"/>
    </w:p>
    <w:p w:rsidR="00D75780" w:rsidRPr="00131B9D" w:rsidRDefault="00800CEC" w:rsidP="00800CEC">
      <w:pPr>
        <w:pStyle w:val="-"/>
        <w:spacing w:before="48" w:after="48"/>
        <w:ind w:firstLineChars="0" w:firstLine="0"/>
        <w:rPr>
          <w:b/>
        </w:rPr>
      </w:pPr>
      <w:r w:rsidRPr="00131B9D">
        <w:rPr>
          <w:b/>
        </w:rPr>
        <w:t>4.</w:t>
      </w:r>
      <w:r w:rsidRPr="00131B9D">
        <w:rPr>
          <w:b/>
        </w:rPr>
        <w:t xml:space="preserve">　</w:t>
      </w:r>
      <w:r w:rsidR="00D75780" w:rsidRPr="00131B9D">
        <w:rPr>
          <w:b/>
        </w:rPr>
        <w:t>節慶因素</w:t>
      </w:r>
    </w:p>
    <w:p w:rsidR="00D75780" w:rsidRPr="00131B9D" w:rsidRDefault="00800CEC" w:rsidP="00D75780">
      <w:pPr>
        <w:pStyle w:val="-"/>
        <w:spacing w:before="48" w:after="48"/>
        <w:ind w:firstLineChars="0" w:firstLine="0"/>
      </w:pPr>
      <w:r w:rsidRPr="00131B9D">
        <w:rPr>
          <w:b/>
        </w:rPr>
        <w:t>(1)</w:t>
      </w:r>
      <w:r w:rsidR="00D75780" w:rsidRPr="00131B9D">
        <w:rPr>
          <w:b/>
        </w:rPr>
        <w:t xml:space="preserve">　農曆春節</w:t>
      </w:r>
    </w:p>
    <w:p w:rsidR="00D75780" w:rsidRPr="00131B9D" w:rsidRDefault="00D75780" w:rsidP="00D75780">
      <w:pPr>
        <w:pStyle w:val="-"/>
        <w:spacing w:before="48" w:after="48"/>
        <w:ind w:firstLine="560"/>
      </w:pPr>
      <w:r w:rsidRPr="00131B9D">
        <w:t>除短期心理因素將影響家禽類價格外，年後禽類價格變化也須留意。根據行政院農委會調查，肉鴨和肉鵝平均出售週齡為</w:t>
      </w:r>
      <w:r w:rsidRPr="00131B9D">
        <w:t>2</w:t>
      </w:r>
      <w:r w:rsidRPr="00131B9D">
        <w:t>至</w:t>
      </w:r>
      <w:r w:rsidRPr="00131B9D">
        <w:t>3</w:t>
      </w:r>
      <w:r w:rsidRPr="00131B9D">
        <w:t>個月，而蛋雞亦至少須養殖</w:t>
      </w:r>
      <w:r w:rsidRPr="00131B9D">
        <w:t>4</w:t>
      </w:r>
      <w:r w:rsidRPr="00131B9D">
        <w:t>個月以上方具有產蛋能力。若疫情無法控制，恐將出現供給不足之情況，並造成家禽類及雞蛋價格波動。</w:t>
      </w:r>
    </w:p>
    <w:p w:rsidR="00D75780" w:rsidRPr="00131B9D" w:rsidRDefault="00D75780" w:rsidP="00D75780">
      <w:pPr>
        <w:pStyle w:val="-"/>
        <w:spacing w:before="48" w:after="48"/>
        <w:ind w:firstLine="560"/>
      </w:pPr>
      <w:r w:rsidRPr="00131B9D">
        <w:t>根據主計總處統計，</w:t>
      </w:r>
      <w:r w:rsidRPr="00131B9D">
        <w:t>2</w:t>
      </w:r>
      <w:r w:rsidRPr="00131B9D">
        <w:t>月散裝雞蛋產地價格平均約每台斤</w:t>
      </w:r>
      <w:r w:rsidRPr="00131B9D">
        <w:t>31.6</w:t>
      </w:r>
      <w:r w:rsidRPr="00131B9D">
        <w:t>元，較</w:t>
      </w:r>
      <w:r w:rsidRPr="00131B9D">
        <w:t>1</w:t>
      </w:r>
      <w:r w:rsidRPr="00131B9D">
        <w:t>月的</w:t>
      </w:r>
      <w:r w:rsidRPr="00131B9D">
        <w:t>32.8</w:t>
      </w:r>
      <w:r w:rsidRPr="00131B9D">
        <w:t>元回穩，惟因適逢農曆春節，餐飲及糕餅業者需求增加，導致雞蛋零售端價格較去年同月上漲</w:t>
      </w:r>
      <w:r w:rsidRPr="00131B9D">
        <w:t>13.51%</w:t>
      </w:r>
      <w:r w:rsidRPr="00131B9D">
        <w:t>。</w:t>
      </w:r>
    </w:p>
    <w:p w:rsidR="00D77E08" w:rsidRPr="00131B9D" w:rsidRDefault="00D77E08" w:rsidP="00D77E08"/>
    <w:p w:rsidR="00104B2D" w:rsidRPr="00131B9D" w:rsidRDefault="00F20AF7" w:rsidP="00CD2B44">
      <w:pPr>
        <w:pStyle w:val="aff1"/>
        <w:spacing w:line="0" w:lineRule="atLeast"/>
        <w:rPr>
          <w:b w:val="0"/>
          <w:bCs/>
          <w:kern w:val="52"/>
          <w:szCs w:val="28"/>
        </w:rPr>
      </w:pPr>
      <w:bookmarkStart w:id="413" w:name="_Toc439163007"/>
      <w:r w:rsidRPr="00131B9D">
        <w:rPr>
          <w:bCs/>
          <w:kern w:val="52"/>
          <w:szCs w:val="28"/>
        </w:rPr>
        <w:t>表</w:t>
      </w:r>
      <w:r w:rsidRPr="00131B9D">
        <w:rPr>
          <w:bCs/>
          <w:kern w:val="52"/>
          <w:szCs w:val="28"/>
        </w:rPr>
        <w:t xml:space="preserve">4- </w:t>
      </w:r>
      <w:r w:rsidR="00572B36" w:rsidRPr="00131B9D">
        <w:rPr>
          <w:bCs/>
          <w:kern w:val="52"/>
          <w:szCs w:val="28"/>
        </w:rPr>
        <w:t>3</w:t>
      </w:r>
      <w:r w:rsidR="00104B2D" w:rsidRPr="00131B9D">
        <w:rPr>
          <w:bCs/>
          <w:kern w:val="52"/>
          <w:szCs w:val="28"/>
        </w:rPr>
        <w:t xml:space="preserve">　家禽類與雞蛋平均產出週齡</w:t>
      </w:r>
      <w:bookmarkEnd w:id="413"/>
    </w:p>
    <w:tbl>
      <w:tblPr>
        <w:tblStyle w:val="aff5"/>
        <w:tblW w:w="0" w:type="auto"/>
        <w:jc w:val="center"/>
        <w:tblBorders>
          <w:top w:val="single" w:sz="12" w:space="0" w:color="auto"/>
          <w:left w:val="none" w:sz="0" w:space="0" w:color="auto"/>
          <w:bottom w:val="single" w:sz="12" w:space="0" w:color="auto"/>
          <w:right w:val="none" w:sz="0" w:space="0" w:color="auto"/>
          <w:insideV w:val="none" w:sz="0" w:space="0" w:color="auto"/>
        </w:tblBorders>
        <w:tblLayout w:type="fixed"/>
        <w:tblLook w:val="04A0" w:firstRow="1" w:lastRow="0" w:firstColumn="1" w:lastColumn="0" w:noHBand="0" w:noVBand="1"/>
      </w:tblPr>
      <w:tblGrid>
        <w:gridCol w:w="796"/>
        <w:gridCol w:w="2181"/>
        <w:gridCol w:w="236"/>
        <w:gridCol w:w="876"/>
        <w:gridCol w:w="2074"/>
      </w:tblGrid>
      <w:tr w:rsidR="00104B2D" w:rsidRPr="00131B9D" w:rsidTr="00F70766">
        <w:trPr>
          <w:jc w:val="center"/>
        </w:trPr>
        <w:tc>
          <w:tcPr>
            <w:tcW w:w="796" w:type="dxa"/>
            <w:tcBorders>
              <w:top w:val="single" w:sz="12" w:space="0" w:color="auto"/>
              <w:bottom w:val="single" w:sz="6" w:space="0" w:color="auto"/>
            </w:tcBorders>
            <w:shd w:val="clear" w:color="auto" w:fill="auto"/>
          </w:tcPr>
          <w:p w:rsidR="00104B2D" w:rsidRPr="00131B9D" w:rsidRDefault="00104B2D" w:rsidP="00F70766">
            <w:pPr>
              <w:spacing w:line="0" w:lineRule="atLeast"/>
              <w:jc w:val="center"/>
              <w:rPr>
                <w:rFonts w:eastAsia="標楷體"/>
                <w:b/>
                <w:szCs w:val="20"/>
              </w:rPr>
            </w:pPr>
            <w:r w:rsidRPr="00131B9D">
              <w:rPr>
                <w:rFonts w:eastAsia="標楷體"/>
                <w:b/>
                <w:szCs w:val="20"/>
              </w:rPr>
              <w:t>產品</w:t>
            </w:r>
          </w:p>
        </w:tc>
        <w:tc>
          <w:tcPr>
            <w:tcW w:w="2181" w:type="dxa"/>
            <w:tcBorders>
              <w:top w:val="single" w:sz="12" w:space="0" w:color="auto"/>
              <w:bottom w:val="single" w:sz="6" w:space="0" w:color="auto"/>
            </w:tcBorders>
            <w:shd w:val="clear" w:color="auto" w:fill="auto"/>
          </w:tcPr>
          <w:p w:rsidR="00104B2D" w:rsidRPr="00131B9D" w:rsidRDefault="00104B2D" w:rsidP="00F70766">
            <w:pPr>
              <w:spacing w:line="0" w:lineRule="atLeast"/>
              <w:jc w:val="center"/>
              <w:rPr>
                <w:rFonts w:eastAsia="標楷體"/>
                <w:b/>
                <w:szCs w:val="20"/>
              </w:rPr>
            </w:pPr>
            <w:r w:rsidRPr="00131B9D">
              <w:rPr>
                <w:rFonts w:eastAsia="標楷體"/>
                <w:b/>
                <w:szCs w:val="20"/>
              </w:rPr>
              <w:t>平均出售週齡</w:t>
            </w:r>
          </w:p>
        </w:tc>
        <w:tc>
          <w:tcPr>
            <w:tcW w:w="236" w:type="dxa"/>
            <w:tcBorders>
              <w:bottom w:val="nil"/>
            </w:tcBorders>
          </w:tcPr>
          <w:p w:rsidR="00104B2D" w:rsidRPr="00131B9D" w:rsidRDefault="00104B2D" w:rsidP="00F70766">
            <w:pPr>
              <w:spacing w:line="0" w:lineRule="atLeast"/>
              <w:jc w:val="center"/>
              <w:rPr>
                <w:rFonts w:eastAsia="標楷體"/>
                <w:b/>
                <w:szCs w:val="20"/>
              </w:rPr>
            </w:pPr>
          </w:p>
        </w:tc>
        <w:tc>
          <w:tcPr>
            <w:tcW w:w="876" w:type="dxa"/>
            <w:tcBorders>
              <w:top w:val="single" w:sz="12" w:space="0" w:color="auto"/>
              <w:bottom w:val="single" w:sz="6" w:space="0" w:color="auto"/>
            </w:tcBorders>
            <w:shd w:val="clear" w:color="auto" w:fill="auto"/>
          </w:tcPr>
          <w:p w:rsidR="00104B2D" w:rsidRPr="00131B9D" w:rsidRDefault="00104B2D" w:rsidP="00F70766">
            <w:pPr>
              <w:spacing w:line="0" w:lineRule="atLeast"/>
              <w:jc w:val="center"/>
              <w:rPr>
                <w:rFonts w:eastAsia="標楷體"/>
                <w:b/>
                <w:szCs w:val="20"/>
              </w:rPr>
            </w:pPr>
            <w:r w:rsidRPr="00131B9D">
              <w:rPr>
                <w:rFonts w:eastAsia="標楷體"/>
                <w:b/>
                <w:szCs w:val="20"/>
              </w:rPr>
              <w:t>產品</w:t>
            </w:r>
          </w:p>
        </w:tc>
        <w:tc>
          <w:tcPr>
            <w:tcW w:w="2074" w:type="dxa"/>
            <w:tcBorders>
              <w:top w:val="single" w:sz="12" w:space="0" w:color="auto"/>
              <w:bottom w:val="single" w:sz="6" w:space="0" w:color="auto"/>
            </w:tcBorders>
            <w:shd w:val="clear" w:color="auto" w:fill="auto"/>
          </w:tcPr>
          <w:p w:rsidR="00104B2D" w:rsidRPr="00131B9D" w:rsidRDefault="00104B2D" w:rsidP="00F70766">
            <w:pPr>
              <w:spacing w:line="0" w:lineRule="atLeast"/>
              <w:jc w:val="center"/>
              <w:rPr>
                <w:rFonts w:eastAsia="標楷體"/>
                <w:b/>
                <w:szCs w:val="20"/>
              </w:rPr>
            </w:pPr>
            <w:r w:rsidRPr="00131B9D">
              <w:rPr>
                <w:rFonts w:eastAsia="標楷體"/>
                <w:b/>
                <w:szCs w:val="20"/>
              </w:rPr>
              <w:t>平均初產週齡</w:t>
            </w:r>
          </w:p>
        </w:tc>
      </w:tr>
      <w:tr w:rsidR="00104B2D" w:rsidRPr="00131B9D" w:rsidTr="00F70766">
        <w:trPr>
          <w:jc w:val="center"/>
        </w:trPr>
        <w:tc>
          <w:tcPr>
            <w:tcW w:w="796" w:type="dxa"/>
            <w:tcBorders>
              <w:top w:val="single" w:sz="6" w:space="0" w:color="auto"/>
              <w:bottom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肉雞</w:t>
            </w:r>
          </w:p>
        </w:tc>
        <w:tc>
          <w:tcPr>
            <w:tcW w:w="2181" w:type="dxa"/>
            <w:tcBorders>
              <w:top w:val="single" w:sz="6" w:space="0" w:color="auto"/>
              <w:bottom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5</w:t>
            </w:r>
            <w:r w:rsidRPr="00131B9D">
              <w:rPr>
                <w:rFonts w:eastAsia="標楷體"/>
                <w:szCs w:val="20"/>
              </w:rPr>
              <w:t>週</w:t>
            </w:r>
          </w:p>
        </w:tc>
        <w:tc>
          <w:tcPr>
            <w:tcW w:w="236" w:type="dxa"/>
            <w:tcBorders>
              <w:top w:val="nil"/>
              <w:bottom w:val="nil"/>
            </w:tcBorders>
          </w:tcPr>
          <w:p w:rsidR="00104B2D" w:rsidRPr="00131B9D" w:rsidRDefault="00104B2D" w:rsidP="00F70766">
            <w:pPr>
              <w:spacing w:line="0" w:lineRule="atLeast"/>
              <w:jc w:val="center"/>
              <w:rPr>
                <w:rFonts w:eastAsia="標楷體"/>
                <w:szCs w:val="20"/>
              </w:rPr>
            </w:pPr>
          </w:p>
        </w:tc>
        <w:tc>
          <w:tcPr>
            <w:tcW w:w="876" w:type="dxa"/>
            <w:tcBorders>
              <w:top w:val="single" w:sz="6" w:space="0" w:color="auto"/>
              <w:bottom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蛋雞</w:t>
            </w:r>
          </w:p>
        </w:tc>
        <w:tc>
          <w:tcPr>
            <w:tcW w:w="2074" w:type="dxa"/>
            <w:tcBorders>
              <w:top w:val="single" w:sz="6" w:space="0" w:color="auto"/>
              <w:bottom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18</w:t>
            </w:r>
            <w:r w:rsidRPr="00131B9D">
              <w:rPr>
                <w:rFonts w:eastAsia="標楷體"/>
                <w:szCs w:val="20"/>
              </w:rPr>
              <w:t>週</w:t>
            </w:r>
          </w:p>
        </w:tc>
      </w:tr>
      <w:tr w:rsidR="00104B2D" w:rsidRPr="00131B9D" w:rsidTr="00F70766">
        <w:trPr>
          <w:jc w:val="center"/>
        </w:trPr>
        <w:tc>
          <w:tcPr>
            <w:tcW w:w="796" w:type="dxa"/>
            <w:tcBorders>
              <w:top w:val="nil"/>
              <w:bottom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肉鴨</w:t>
            </w:r>
          </w:p>
        </w:tc>
        <w:tc>
          <w:tcPr>
            <w:tcW w:w="2181" w:type="dxa"/>
            <w:tcBorders>
              <w:top w:val="nil"/>
              <w:bottom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9</w:t>
            </w:r>
            <w:r w:rsidRPr="00131B9D">
              <w:rPr>
                <w:rFonts w:eastAsia="標楷體"/>
                <w:szCs w:val="20"/>
              </w:rPr>
              <w:t>週</w:t>
            </w:r>
          </w:p>
        </w:tc>
        <w:tc>
          <w:tcPr>
            <w:tcW w:w="236" w:type="dxa"/>
            <w:tcBorders>
              <w:top w:val="nil"/>
              <w:bottom w:val="nil"/>
            </w:tcBorders>
          </w:tcPr>
          <w:p w:rsidR="00104B2D" w:rsidRPr="00131B9D" w:rsidRDefault="00104B2D" w:rsidP="00F70766">
            <w:pPr>
              <w:spacing w:line="0" w:lineRule="atLeast"/>
              <w:jc w:val="center"/>
              <w:rPr>
                <w:rFonts w:eastAsia="標楷體"/>
                <w:szCs w:val="20"/>
              </w:rPr>
            </w:pPr>
          </w:p>
        </w:tc>
        <w:tc>
          <w:tcPr>
            <w:tcW w:w="876" w:type="dxa"/>
            <w:tcBorders>
              <w:top w:val="nil"/>
              <w:bottom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蛋鴨</w:t>
            </w:r>
          </w:p>
        </w:tc>
        <w:tc>
          <w:tcPr>
            <w:tcW w:w="2074" w:type="dxa"/>
            <w:tcBorders>
              <w:top w:val="nil"/>
              <w:bottom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14</w:t>
            </w:r>
            <w:r w:rsidRPr="00131B9D">
              <w:rPr>
                <w:rFonts w:eastAsia="標楷體"/>
                <w:szCs w:val="20"/>
              </w:rPr>
              <w:t>週</w:t>
            </w:r>
          </w:p>
        </w:tc>
      </w:tr>
      <w:tr w:rsidR="00104B2D" w:rsidRPr="00131B9D" w:rsidTr="00F70766">
        <w:trPr>
          <w:jc w:val="center"/>
        </w:trPr>
        <w:tc>
          <w:tcPr>
            <w:tcW w:w="796" w:type="dxa"/>
            <w:tcBorders>
              <w:top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肉鵝</w:t>
            </w:r>
          </w:p>
        </w:tc>
        <w:tc>
          <w:tcPr>
            <w:tcW w:w="2181" w:type="dxa"/>
            <w:tcBorders>
              <w:top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11-12</w:t>
            </w:r>
            <w:r w:rsidRPr="00131B9D">
              <w:rPr>
                <w:rFonts w:eastAsia="標楷體"/>
                <w:szCs w:val="20"/>
              </w:rPr>
              <w:t>週</w:t>
            </w:r>
          </w:p>
        </w:tc>
        <w:tc>
          <w:tcPr>
            <w:tcW w:w="236" w:type="dxa"/>
            <w:tcBorders>
              <w:top w:val="nil"/>
            </w:tcBorders>
          </w:tcPr>
          <w:p w:rsidR="00104B2D" w:rsidRPr="00131B9D" w:rsidRDefault="00104B2D" w:rsidP="00F70766">
            <w:pPr>
              <w:spacing w:line="0" w:lineRule="atLeast"/>
              <w:jc w:val="center"/>
              <w:rPr>
                <w:rFonts w:eastAsia="標楷體"/>
                <w:szCs w:val="20"/>
              </w:rPr>
            </w:pPr>
          </w:p>
        </w:tc>
        <w:tc>
          <w:tcPr>
            <w:tcW w:w="876" w:type="dxa"/>
            <w:tcBorders>
              <w:top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蛋鵝</w:t>
            </w:r>
          </w:p>
        </w:tc>
        <w:tc>
          <w:tcPr>
            <w:tcW w:w="2074" w:type="dxa"/>
            <w:tcBorders>
              <w:top w:val="nil"/>
            </w:tcBorders>
            <w:shd w:val="clear" w:color="auto" w:fill="auto"/>
          </w:tcPr>
          <w:p w:rsidR="00104B2D" w:rsidRPr="00131B9D" w:rsidRDefault="00104B2D" w:rsidP="00F70766">
            <w:pPr>
              <w:spacing w:line="0" w:lineRule="atLeast"/>
              <w:jc w:val="center"/>
              <w:rPr>
                <w:rFonts w:eastAsia="標楷體"/>
                <w:szCs w:val="20"/>
              </w:rPr>
            </w:pPr>
            <w:r w:rsidRPr="00131B9D">
              <w:rPr>
                <w:rFonts w:eastAsia="標楷體"/>
                <w:szCs w:val="20"/>
              </w:rPr>
              <w:t>17</w:t>
            </w:r>
            <w:r w:rsidRPr="00131B9D">
              <w:rPr>
                <w:rFonts w:eastAsia="標楷體"/>
                <w:szCs w:val="20"/>
              </w:rPr>
              <w:t>週</w:t>
            </w:r>
          </w:p>
        </w:tc>
      </w:tr>
    </w:tbl>
    <w:p w:rsidR="00D75780" w:rsidRPr="00131B9D" w:rsidRDefault="00D75780" w:rsidP="00D75780"/>
    <w:p w:rsidR="00D75780" w:rsidRPr="00131B9D" w:rsidRDefault="00800CEC" w:rsidP="00D75780">
      <w:pPr>
        <w:pStyle w:val="-"/>
        <w:spacing w:before="48" w:after="48"/>
        <w:ind w:firstLineChars="0" w:firstLine="0"/>
        <w:rPr>
          <w:b/>
        </w:rPr>
      </w:pPr>
      <w:r w:rsidRPr="00131B9D">
        <w:rPr>
          <w:b/>
        </w:rPr>
        <w:t>(2)</w:t>
      </w:r>
      <w:r w:rsidR="00D75780" w:rsidRPr="00131B9D">
        <w:rPr>
          <w:b/>
        </w:rPr>
        <w:t xml:space="preserve">　端午節</w:t>
      </w:r>
    </w:p>
    <w:p w:rsidR="00D75780" w:rsidRPr="00131B9D" w:rsidRDefault="00D75780" w:rsidP="00D75780">
      <w:pPr>
        <w:pStyle w:val="-"/>
        <w:spacing w:before="48" w:after="48"/>
        <w:ind w:firstLine="560"/>
      </w:pPr>
      <w:r w:rsidRPr="00131B9D">
        <w:t>2015</w:t>
      </w:r>
      <w:r w:rsidRPr="00131B9D">
        <w:t>上半年受到禽流感影響，蛋雞蛋鴨等禽類大量撲殺，造成蛋供給量下降，由於端午節粽子內含餡料蛋黃主要係以鴨蛋製作，而非雞蛋，在供給量下降、需求仍高的情況下，鴨蛋價格在端午節前皆維持在高檔每</w:t>
      </w:r>
      <w:r w:rsidRPr="00131B9D">
        <w:lastRenderedPageBreak/>
        <w:t>台斤</w:t>
      </w:r>
      <w:r w:rsidRPr="00131B9D">
        <w:t>40</w:t>
      </w:r>
      <w:r w:rsidRPr="00131B9D">
        <w:t>元，</w:t>
      </w:r>
      <w:r w:rsidRPr="00131B9D">
        <w:t>6</w:t>
      </w:r>
      <w:r w:rsidRPr="00131B9D">
        <w:t>月後則逐漸下降，截至</w:t>
      </w:r>
      <w:r w:rsidRPr="00131B9D">
        <w:t>7</w:t>
      </w:r>
      <w:r w:rsidRPr="00131B9D">
        <w:t>月已降至每台斤</w:t>
      </w:r>
      <w:r w:rsidRPr="00131B9D">
        <w:t>35</w:t>
      </w:r>
      <w:r w:rsidRPr="00131B9D">
        <w:t>元，而雞蛋價格則自農曆春節過後便呈現下跌趨勢（如圖</w:t>
      </w:r>
      <w:r w:rsidR="00F20AF7" w:rsidRPr="00131B9D">
        <w:t>4</w:t>
      </w:r>
      <w:r w:rsidR="00157707" w:rsidRPr="00131B9D">
        <w:t>-</w:t>
      </w:r>
      <w:r w:rsidR="0020098F" w:rsidRPr="00131B9D">
        <w:t>6</w:t>
      </w:r>
      <w:r w:rsidRPr="00131B9D">
        <w:t>）。</w:t>
      </w:r>
    </w:p>
    <w:p w:rsidR="00D75780" w:rsidRPr="00131B9D" w:rsidRDefault="00D75780" w:rsidP="00104B2D"/>
    <w:tbl>
      <w:tblPr>
        <w:tblStyle w:val="aff5"/>
        <w:tblW w:w="992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6"/>
        <w:gridCol w:w="4907"/>
      </w:tblGrid>
      <w:tr w:rsidR="00D75780" w:rsidRPr="00131B9D" w:rsidTr="00515B9D">
        <w:trPr>
          <w:trHeight w:val="4106"/>
          <w:jc w:val="center"/>
        </w:trPr>
        <w:tc>
          <w:tcPr>
            <w:tcW w:w="5016" w:type="dxa"/>
          </w:tcPr>
          <w:p w:rsidR="00D75780" w:rsidRPr="00131B9D" w:rsidRDefault="00D75780" w:rsidP="00515B9D">
            <w:pPr>
              <w:spacing w:line="0" w:lineRule="atLeast"/>
            </w:pPr>
            <w:r w:rsidRPr="00131B9D">
              <w:rPr>
                <w:noProof/>
              </w:rPr>
              <w:drawing>
                <wp:inline distT="0" distB="0" distL="0" distR="0" wp14:anchorId="40A605A2" wp14:editId="3C32F19E">
                  <wp:extent cx="3038475" cy="2590800"/>
                  <wp:effectExtent l="0" t="0" r="9525" b="0"/>
                  <wp:docPr id="69" name="圖表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c>
          <w:tcPr>
            <w:tcW w:w="4907" w:type="dxa"/>
          </w:tcPr>
          <w:p w:rsidR="00D75780" w:rsidRPr="00131B9D" w:rsidRDefault="00D75780" w:rsidP="00515B9D">
            <w:pPr>
              <w:spacing w:line="0" w:lineRule="atLeast"/>
            </w:pPr>
            <w:r w:rsidRPr="00131B9D">
              <w:rPr>
                <w:noProof/>
              </w:rPr>
              <w:drawing>
                <wp:inline distT="0" distB="0" distL="0" distR="0" wp14:anchorId="096C051B" wp14:editId="100C93F6">
                  <wp:extent cx="2943225" cy="2786380"/>
                  <wp:effectExtent l="0" t="0" r="9525" b="0"/>
                  <wp:docPr id="70" name="圖表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r w:rsidR="00D75780" w:rsidRPr="00131B9D" w:rsidTr="00515B9D">
        <w:trPr>
          <w:trHeight w:val="50"/>
          <w:jc w:val="center"/>
        </w:trPr>
        <w:tc>
          <w:tcPr>
            <w:tcW w:w="4789" w:type="dxa"/>
          </w:tcPr>
          <w:p w:rsidR="00D75780" w:rsidRPr="00131B9D" w:rsidRDefault="00D75780" w:rsidP="00515B9D">
            <w:pPr>
              <w:spacing w:line="0" w:lineRule="atLeast"/>
              <w:jc w:val="center"/>
              <w:rPr>
                <w:rFonts w:eastAsia="標楷體"/>
                <w:noProof/>
              </w:rPr>
            </w:pPr>
            <w:r w:rsidRPr="00131B9D">
              <w:rPr>
                <w:rFonts w:eastAsia="標楷體"/>
                <w:noProof/>
              </w:rPr>
              <w:t xml:space="preserve">Panel A </w:t>
            </w:r>
            <w:r w:rsidRPr="00131B9D">
              <w:rPr>
                <w:rFonts w:eastAsia="標楷體"/>
                <w:noProof/>
              </w:rPr>
              <w:t>雞蛋價格走勢</w:t>
            </w:r>
          </w:p>
        </w:tc>
        <w:tc>
          <w:tcPr>
            <w:tcW w:w="5134" w:type="dxa"/>
          </w:tcPr>
          <w:p w:rsidR="00D75780" w:rsidRPr="00131B9D" w:rsidRDefault="00D75780" w:rsidP="00515B9D">
            <w:pPr>
              <w:spacing w:line="0" w:lineRule="atLeast"/>
              <w:jc w:val="center"/>
              <w:rPr>
                <w:rFonts w:eastAsia="標楷體"/>
                <w:noProof/>
              </w:rPr>
            </w:pPr>
            <w:r w:rsidRPr="00131B9D">
              <w:rPr>
                <w:rFonts w:eastAsia="標楷體"/>
                <w:noProof/>
              </w:rPr>
              <w:t xml:space="preserve">Panel B </w:t>
            </w:r>
            <w:r w:rsidRPr="00131B9D">
              <w:rPr>
                <w:rFonts w:eastAsia="標楷體"/>
                <w:noProof/>
              </w:rPr>
              <w:t>鴨蛋價格走勢</w:t>
            </w:r>
          </w:p>
        </w:tc>
      </w:tr>
      <w:tr w:rsidR="00D75780" w:rsidRPr="00131B9D" w:rsidTr="00515B9D">
        <w:trPr>
          <w:trHeight w:val="50"/>
          <w:jc w:val="center"/>
        </w:trPr>
        <w:tc>
          <w:tcPr>
            <w:tcW w:w="9923" w:type="dxa"/>
            <w:gridSpan w:val="2"/>
          </w:tcPr>
          <w:p w:rsidR="00D75780" w:rsidRPr="00131B9D" w:rsidRDefault="00D75780" w:rsidP="00515B9D">
            <w:pPr>
              <w:pStyle w:val="-"/>
              <w:snapToGrid/>
              <w:spacing w:beforeLines="0" w:afterLines="0" w:line="0" w:lineRule="atLeast"/>
              <w:ind w:firstLineChars="584" w:firstLine="1168"/>
              <w:rPr>
                <w:noProof/>
              </w:rPr>
            </w:pPr>
            <w:r w:rsidRPr="00131B9D">
              <w:rPr>
                <w:sz w:val="20"/>
                <w:szCs w:val="20"/>
              </w:rPr>
              <w:t>資料來源：中華民國養雞協會、財團法人中央畜產協會，</w:t>
            </w:r>
            <w:r w:rsidRPr="00131B9D">
              <w:rPr>
                <w:sz w:val="20"/>
                <w:szCs w:val="20"/>
              </w:rPr>
              <w:t>2015</w:t>
            </w:r>
            <w:r w:rsidRPr="00131B9D">
              <w:rPr>
                <w:sz w:val="20"/>
                <w:szCs w:val="20"/>
              </w:rPr>
              <w:t>年</w:t>
            </w:r>
            <w:r w:rsidRPr="00131B9D">
              <w:rPr>
                <w:sz w:val="20"/>
                <w:szCs w:val="20"/>
              </w:rPr>
              <w:t>1</w:t>
            </w:r>
            <w:r w:rsidRPr="00131B9D">
              <w:rPr>
                <w:sz w:val="20"/>
                <w:szCs w:val="20"/>
              </w:rPr>
              <w:t>月至</w:t>
            </w:r>
            <w:r w:rsidRPr="00131B9D">
              <w:rPr>
                <w:sz w:val="20"/>
                <w:szCs w:val="20"/>
              </w:rPr>
              <w:t>7</w:t>
            </w:r>
            <w:r w:rsidRPr="00131B9D">
              <w:rPr>
                <w:sz w:val="20"/>
                <w:szCs w:val="20"/>
              </w:rPr>
              <w:t>月</w:t>
            </w:r>
            <w:r w:rsidRPr="00131B9D">
              <w:rPr>
                <w:sz w:val="20"/>
                <w:szCs w:val="20"/>
              </w:rPr>
              <w:t>14</w:t>
            </w:r>
            <w:r w:rsidRPr="00131B9D">
              <w:rPr>
                <w:sz w:val="20"/>
                <w:szCs w:val="20"/>
              </w:rPr>
              <w:t>日。</w:t>
            </w:r>
          </w:p>
        </w:tc>
      </w:tr>
    </w:tbl>
    <w:p w:rsidR="00D75780" w:rsidRPr="00131B9D" w:rsidRDefault="00F20AF7" w:rsidP="00F20AF7">
      <w:pPr>
        <w:pStyle w:val="afff5"/>
        <w:spacing w:line="0" w:lineRule="atLeast"/>
        <w:jc w:val="center"/>
        <w:rPr>
          <w:rFonts w:eastAsia="標楷體"/>
          <w:b/>
          <w:bCs/>
          <w:kern w:val="52"/>
          <w:sz w:val="28"/>
          <w:szCs w:val="28"/>
        </w:rPr>
      </w:pPr>
      <w:bookmarkStart w:id="414" w:name="_Toc437958977"/>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6</w:t>
      </w:r>
      <w:r w:rsidRPr="00131B9D">
        <w:rPr>
          <w:rFonts w:eastAsia="標楷體"/>
          <w:b/>
          <w:bCs/>
          <w:kern w:val="52"/>
          <w:sz w:val="28"/>
          <w:szCs w:val="28"/>
        </w:rPr>
        <w:fldChar w:fldCharType="end"/>
      </w:r>
      <w:r w:rsidR="00D75780" w:rsidRPr="00131B9D">
        <w:rPr>
          <w:rFonts w:eastAsia="標楷體"/>
          <w:b/>
          <w:bCs/>
          <w:kern w:val="52"/>
          <w:sz w:val="28"/>
          <w:szCs w:val="28"/>
        </w:rPr>
        <w:t xml:space="preserve">　</w:t>
      </w:r>
      <w:r w:rsidR="00D75780" w:rsidRPr="00131B9D">
        <w:rPr>
          <w:rFonts w:eastAsia="標楷體"/>
          <w:b/>
          <w:bCs/>
          <w:kern w:val="52"/>
          <w:sz w:val="28"/>
          <w:szCs w:val="28"/>
        </w:rPr>
        <w:t>2015</w:t>
      </w:r>
      <w:r w:rsidR="00D75780" w:rsidRPr="00131B9D">
        <w:rPr>
          <w:rFonts w:eastAsia="標楷體"/>
          <w:b/>
          <w:bCs/>
          <w:kern w:val="52"/>
          <w:sz w:val="28"/>
          <w:szCs w:val="28"/>
        </w:rPr>
        <w:t>上半年蛋價</w:t>
      </w:r>
      <w:r w:rsidR="0033514E" w:rsidRPr="00131B9D">
        <w:rPr>
          <w:rFonts w:eastAsia="標楷體"/>
          <w:b/>
          <w:bCs/>
          <w:kern w:val="52"/>
          <w:sz w:val="28"/>
          <w:szCs w:val="28"/>
        </w:rPr>
        <w:t>歷史資料</w:t>
      </w:r>
      <w:bookmarkEnd w:id="414"/>
    </w:p>
    <w:p w:rsidR="00F763B1" w:rsidRPr="00131B9D" w:rsidRDefault="00F763B1" w:rsidP="00F763B1"/>
    <w:p w:rsidR="00895B25" w:rsidRPr="00131B9D" w:rsidRDefault="00895B25" w:rsidP="00895B25">
      <w:pPr>
        <w:pStyle w:val="-"/>
        <w:spacing w:before="48" w:after="48"/>
        <w:ind w:firstLineChars="0" w:firstLine="0"/>
        <w:rPr>
          <w:b/>
        </w:rPr>
      </w:pPr>
      <w:r w:rsidRPr="00131B9D">
        <w:rPr>
          <w:b/>
        </w:rPr>
        <w:t>(3)</w:t>
      </w:r>
      <w:r w:rsidRPr="00131B9D">
        <w:rPr>
          <w:b/>
        </w:rPr>
        <w:t xml:space="preserve">　萬聖節與聖誕節</w:t>
      </w:r>
    </w:p>
    <w:p w:rsidR="00895B25" w:rsidRPr="00131B9D" w:rsidRDefault="001116D6" w:rsidP="00895B25">
      <w:pPr>
        <w:pStyle w:val="-"/>
        <w:spacing w:before="48" w:after="48"/>
        <w:ind w:firstLine="560"/>
      </w:pPr>
      <w:r w:rsidRPr="00131B9D">
        <w:t>年底為蛋類消費旺季，</w:t>
      </w:r>
      <w:r w:rsidR="00B22890" w:rsidRPr="00131B9D">
        <w:t>部分</w:t>
      </w:r>
      <w:r w:rsidRPr="00131B9D">
        <w:t>雞農提早讓蛋雞換羽進入第二春，期望提高年底產蛋量以作為因應，惟換羽過渡期產蛋量會下降，且下半年</w:t>
      </w:r>
      <w:r w:rsidR="00895B25" w:rsidRPr="00131B9D">
        <w:t>適逢萬聖節、聖誕節等節慶，</w:t>
      </w:r>
      <w:r w:rsidRPr="00131B9D">
        <w:t>餅乾與</w:t>
      </w:r>
      <w:r w:rsidR="00895B25" w:rsidRPr="00131B9D">
        <w:t>蛋糕</w:t>
      </w:r>
      <w:r w:rsidRPr="00131B9D">
        <w:t>等相關食品</w:t>
      </w:r>
      <w:r w:rsidR="00895B25" w:rsidRPr="00131B9D">
        <w:t>需求</w:t>
      </w:r>
      <w:r w:rsidRPr="00131B9D">
        <w:t>量提升</w:t>
      </w:r>
      <w:r w:rsidR="00895B25" w:rsidRPr="00131B9D">
        <w:t>，</w:t>
      </w:r>
      <w:r w:rsidRPr="00131B9D">
        <w:t>此外進入秋冬後日夜溫差大，產蛋率下滑，在</w:t>
      </w:r>
      <w:r w:rsidR="00895B25" w:rsidRPr="00131B9D">
        <w:t>雞蛋供不應求</w:t>
      </w:r>
      <w:r w:rsidRPr="00131B9D">
        <w:t>情況下蛋價亦走揚，</w:t>
      </w:r>
      <w:r w:rsidR="00D95D61" w:rsidRPr="00131B9D">
        <w:t>截至</w:t>
      </w:r>
      <w:r w:rsidR="00D95D61" w:rsidRPr="00131B9D">
        <w:t>11</w:t>
      </w:r>
      <w:r w:rsidR="00D95D61" w:rsidRPr="00131B9D">
        <w:t>月</w:t>
      </w:r>
      <w:r w:rsidR="00D95D61" w:rsidRPr="00131B9D">
        <w:t>23</w:t>
      </w:r>
      <w:r w:rsidR="00D95D61" w:rsidRPr="00131B9D">
        <w:t>日產地之雞蛋價格已來到每台斤</w:t>
      </w:r>
      <w:r w:rsidR="00D95D61" w:rsidRPr="00131B9D">
        <w:t>31.5</w:t>
      </w:r>
      <w:r w:rsidR="00D95D61" w:rsidRPr="00131B9D">
        <w:t>元</w:t>
      </w:r>
      <w:r w:rsidRPr="00131B9D">
        <w:t>（如圖</w:t>
      </w:r>
      <w:r w:rsidRPr="00131B9D">
        <w:t>4-</w:t>
      </w:r>
      <w:r w:rsidR="00D95D61" w:rsidRPr="00131B9D">
        <w:t>7</w:t>
      </w:r>
      <w:r w:rsidRPr="00131B9D">
        <w:t>）</w:t>
      </w:r>
      <w:r w:rsidR="00895B25" w:rsidRPr="00131B9D">
        <w:t>。</w:t>
      </w:r>
    </w:p>
    <w:p w:rsidR="00895B25" w:rsidRPr="00131B9D" w:rsidRDefault="001116D6" w:rsidP="001116D6">
      <w:pPr>
        <w:jc w:val="center"/>
      </w:pPr>
      <w:r w:rsidRPr="00131B9D">
        <w:rPr>
          <w:noProof/>
        </w:rPr>
        <w:drawing>
          <wp:inline distT="0" distB="0" distL="0" distR="0" wp14:anchorId="4D94EBDB" wp14:editId="6528FFD5">
            <wp:extent cx="5274000" cy="2419200"/>
            <wp:effectExtent l="0" t="0" r="3175" b="635"/>
            <wp:docPr id="24" name="圖表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1116D6" w:rsidRPr="00131B9D" w:rsidRDefault="001116D6" w:rsidP="001116D6">
      <w:pPr>
        <w:pStyle w:val="afff5"/>
        <w:spacing w:line="0" w:lineRule="atLeast"/>
        <w:ind w:firstLineChars="142" w:firstLine="284"/>
        <w:rPr>
          <w:rFonts w:eastAsia="標楷體"/>
          <w:kern w:val="0"/>
        </w:rPr>
      </w:pPr>
      <w:r w:rsidRPr="00131B9D">
        <w:rPr>
          <w:rFonts w:eastAsia="標楷體"/>
          <w:kern w:val="0"/>
        </w:rPr>
        <w:t>資料來源：財團法人中央畜產協會，</w:t>
      </w:r>
      <w:r w:rsidRPr="00131B9D">
        <w:rPr>
          <w:rFonts w:eastAsia="標楷體"/>
          <w:kern w:val="0"/>
        </w:rPr>
        <w:t>2015</w:t>
      </w:r>
      <w:r w:rsidRPr="00131B9D">
        <w:rPr>
          <w:rFonts w:eastAsia="標楷體"/>
          <w:kern w:val="0"/>
        </w:rPr>
        <w:t>年</w:t>
      </w:r>
      <w:r w:rsidRPr="00131B9D">
        <w:rPr>
          <w:rFonts w:eastAsia="標楷體"/>
          <w:kern w:val="0"/>
        </w:rPr>
        <w:t>1</w:t>
      </w:r>
      <w:r w:rsidRPr="00131B9D">
        <w:rPr>
          <w:rFonts w:eastAsia="標楷體"/>
          <w:kern w:val="0"/>
        </w:rPr>
        <w:t>月至</w:t>
      </w:r>
      <w:r w:rsidRPr="00131B9D">
        <w:rPr>
          <w:rFonts w:eastAsia="標楷體"/>
          <w:kern w:val="0"/>
        </w:rPr>
        <w:t>11</w:t>
      </w:r>
      <w:r w:rsidRPr="00131B9D">
        <w:rPr>
          <w:rFonts w:eastAsia="標楷體"/>
          <w:kern w:val="0"/>
        </w:rPr>
        <w:t>月</w:t>
      </w:r>
      <w:r w:rsidRPr="00131B9D">
        <w:rPr>
          <w:rFonts w:eastAsia="標楷體"/>
          <w:kern w:val="0"/>
        </w:rPr>
        <w:t>23</w:t>
      </w:r>
      <w:r w:rsidRPr="00131B9D">
        <w:rPr>
          <w:rFonts w:eastAsia="標楷體"/>
          <w:kern w:val="0"/>
        </w:rPr>
        <w:t>日。</w:t>
      </w:r>
    </w:p>
    <w:p w:rsidR="001116D6" w:rsidRPr="00131B9D" w:rsidRDefault="001116D6" w:rsidP="001116D6">
      <w:pPr>
        <w:pStyle w:val="afff5"/>
        <w:spacing w:line="0" w:lineRule="atLeast"/>
        <w:jc w:val="center"/>
        <w:rPr>
          <w:rFonts w:eastAsia="標楷體"/>
          <w:b/>
          <w:bCs/>
          <w:kern w:val="52"/>
          <w:sz w:val="28"/>
          <w:szCs w:val="28"/>
        </w:rPr>
      </w:pPr>
      <w:bookmarkStart w:id="415" w:name="_Toc437958978"/>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7</w:t>
      </w:r>
      <w:r w:rsidRPr="00131B9D">
        <w:rPr>
          <w:rFonts w:eastAsia="標楷體"/>
          <w:b/>
          <w:bCs/>
          <w:kern w:val="52"/>
          <w:sz w:val="28"/>
          <w:szCs w:val="28"/>
        </w:rPr>
        <w:fldChar w:fldCharType="end"/>
      </w:r>
      <w:r w:rsidRPr="00131B9D">
        <w:rPr>
          <w:rFonts w:eastAsia="標楷體"/>
          <w:b/>
          <w:bCs/>
          <w:kern w:val="52"/>
          <w:sz w:val="28"/>
          <w:szCs w:val="28"/>
        </w:rPr>
        <w:t xml:space="preserve">　</w:t>
      </w:r>
      <w:r w:rsidRPr="00131B9D">
        <w:rPr>
          <w:rFonts w:eastAsia="標楷體"/>
          <w:b/>
          <w:bCs/>
          <w:kern w:val="52"/>
          <w:sz w:val="28"/>
          <w:szCs w:val="28"/>
        </w:rPr>
        <w:t>2015</w:t>
      </w:r>
      <w:r w:rsidRPr="00131B9D">
        <w:rPr>
          <w:rFonts w:eastAsia="標楷體"/>
          <w:b/>
          <w:bCs/>
          <w:kern w:val="52"/>
          <w:sz w:val="28"/>
          <w:szCs w:val="28"/>
        </w:rPr>
        <w:t>年雞蛋</w:t>
      </w:r>
      <w:r w:rsidRPr="00131B9D">
        <w:rPr>
          <w:rFonts w:eastAsia="標楷體"/>
          <w:b/>
          <w:bCs/>
          <w:kern w:val="52"/>
          <w:sz w:val="28"/>
          <w:szCs w:val="28"/>
        </w:rPr>
        <w:t>(</w:t>
      </w:r>
      <w:r w:rsidRPr="00131B9D">
        <w:rPr>
          <w:rFonts w:eastAsia="標楷體"/>
          <w:b/>
          <w:bCs/>
          <w:kern w:val="52"/>
          <w:sz w:val="28"/>
          <w:szCs w:val="28"/>
        </w:rPr>
        <w:t>產地</w:t>
      </w:r>
      <w:r w:rsidRPr="00131B9D">
        <w:rPr>
          <w:rFonts w:eastAsia="標楷體"/>
          <w:b/>
          <w:bCs/>
          <w:kern w:val="52"/>
          <w:sz w:val="28"/>
          <w:szCs w:val="28"/>
        </w:rPr>
        <w:t>)</w:t>
      </w:r>
      <w:r w:rsidRPr="00131B9D">
        <w:rPr>
          <w:rFonts w:eastAsia="標楷體"/>
          <w:b/>
          <w:bCs/>
          <w:kern w:val="52"/>
          <w:sz w:val="28"/>
          <w:szCs w:val="28"/>
        </w:rPr>
        <w:t>價格走勢圖</w:t>
      </w:r>
      <w:bookmarkEnd w:id="415"/>
    </w:p>
    <w:p w:rsidR="001116D6" w:rsidRPr="00131B9D" w:rsidRDefault="001116D6" w:rsidP="00F763B1"/>
    <w:p w:rsidR="00800CEC" w:rsidRPr="00131B9D" w:rsidRDefault="00800CEC" w:rsidP="00800CEC">
      <w:pPr>
        <w:pStyle w:val="2"/>
        <w:spacing w:before="72" w:after="72"/>
        <w:rPr>
          <w:rFonts w:ascii="Times New Roman" w:hAnsi="Times New Roman"/>
        </w:rPr>
      </w:pPr>
      <w:bookmarkStart w:id="416" w:name="_Toc439162962"/>
      <w:r w:rsidRPr="00131B9D">
        <w:rPr>
          <w:rFonts w:ascii="Times New Roman" w:hAnsi="Times New Roman"/>
        </w:rPr>
        <w:t>三、麵粉及衍生商品類</w:t>
      </w:r>
      <w:bookmarkEnd w:id="416"/>
    </w:p>
    <w:p w:rsidR="00800CEC" w:rsidRPr="00131B9D" w:rsidRDefault="000B2AA7" w:rsidP="000B2AA7">
      <w:pPr>
        <w:pStyle w:val="3"/>
        <w:rPr>
          <w:rFonts w:ascii="Times New Roman" w:hAnsi="Times New Roman"/>
        </w:rPr>
      </w:pPr>
      <w:r w:rsidRPr="00131B9D">
        <w:rPr>
          <w:rFonts w:ascii="Times New Roman" w:hAnsi="Times New Roman"/>
        </w:rPr>
        <w:t>（一）麵粉類</w:t>
      </w:r>
    </w:p>
    <w:p w:rsidR="00800CEC" w:rsidRPr="00131B9D" w:rsidRDefault="00800CEC" w:rsidP="00800CEC">
      <w:pPr>
        <w:pStyle w:val="-"/>
        <w:spacing w:before="48" w:after="48"/>
        <w:ind w:firstLine="560"/>
      </w:pPr>
      <w:r w:rsidRPr="00131B9D">
        <w:t>主要影響麵粉價格之因素可區分為三大類，分別為匯率、國際小麥價格以及其他國內因素等，</w:t>
      </w:r>
      <w:r w:rsidRPr="00131B9D">
        <w:t>2012</w:t>
      </w:r>
      <w:r w:rsidRPr="00131B9D">
        <w:t>年至</w:t>
      </w:r>
      <w:r w:rsidRPr="00131B9D">
        <w:t>2015</w:t>
      </w:r>
      <w:r w:rsidRPr="00131B9D">
        <w:t>年</w:t>
      </w:r>
      <w:r w:rsidR="00DB3062" w:rsidRPr="00131B9D">
        <w:t>11</w:t>
      </w:r>
      <w:r w:rsidRPr="00131B9D">
        <w:t>月各通路麵粉價格走勢彙整如圖</w:t>
      </w:r>
      <w:r w:rsidR="00F20AF7" w:rsidRPr="00131B9D">
        <w:t>4</w:t>
      </w:r>
      <w:r w:rsidRPr="00131B9D">
        <w:t>-</w:t>
      </w:r>
      <w:r w:rsidR="00DB3062" w:rsidRPr="00131B9D">
        <w:t>8</w:t>
      </w:r>
      <w:r w:rsidRPr="00131B9D">
        <w:t>，影響價格之因素分項詳加說明如下。</w:t>
      </w:r>
    </w:p>
    <w:p w:rsidR="00F20AF7" w:rsidRPr="00131B9D" w:rsidRDefault="00F20AF7" w:rsidP="00F20AF7"/>
    <w:p w:rsidR="00800CEC" w:rsidRPr="00131B9D" w:rsidRDefault="00443C93" w:rsidP="006956DA">
      <w:pPr>
        <w:spacing w:line="0" w:lineRule="atLeast"/>
        <w:jc w:val="center"/>
      </w:pPr>
      <w:r w:rsidRPr="00131B9D">
        <w:rPr>
          <w:noProof/>
        </w:rPr>
        <w:drawing>
          <wp:inline distT="0" distB="0" distL="0" distR="0" wp14:anchorId="70EB6EF5" wp14:editId="130CB261">
            <wp:extent cx="5274310" cy="2955851"/>
            <wp:effectExtent l="0" t="0" r="2540" b="0"/>
            <wp:docPr id="32" name="圖表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800CEC" w:rsidRPr="00131B9D" w:rsidRDefault="00800CEC" w:rsidP="00800CEC">
      <w:pPr>
        <w:pStyle w:val="-"/>
        <w:snapToGrid/>
        <w:spacing w:beforeLines="0" w:afterLines="0" w:line="0" w:lineRule="atLeast"/>
        <w:ind w:firstLine="400"/>
        <w:rPr>
          <w:kern w:val="0"/>
          <w:sz w:val="20"/>
          <w:szCs w:val="20"/>
        </w:rPr>
      </w:pPr>
      <w:r w:rsidRPr="00131B9D">
        <w:rPr>
          <w:kern w:val="0"/>
          <w:sz w:val="20"/>
          <w:szCs w:val="20"/>
        </w:rPr>
        <w:t>資料來源：本文整理</w:t>
      </w:r>
    </w:p>
    <w:p w:rsidR="00800CEC" w:rsidRPr="00131B9D" w:rsidRDefault="00F20AF7" w:rsidP="00F20AF7">
      <w:pPr>
        <w:pStyle w:val="afff5"/>
        <w:spacing w:line="0" w:lineRule="atLeast"/>
        <w:jc w:val="center"/>
        <w:rPr>
          <w:rFonts w:eastAsia="標楷體"/>
          <w:b/>
          <w:bCs/>
          <w:kern w:val="52"/>
          <w:sz w:val="28"/>
          <w:szCs w:val="28"/>
        </w:rPr>
      </w:pPr>
      <w:bookmarkStart w:id="417" w:name="_Toc437958979"/>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8</w:t>
      </w:r>
      <w:r w:rsidRPr="00131B9D">
        <w:rPr>
          <w:rFonts w:eastAsia="標楷體"/>
          <w:b/>
          <w:bCs/>
          <w:kern w:val="52"/>
          <w:sz w:val="28"/>
          <w:szCs w:val="28"/>
        </w:rPr>
        <w:fldChar w:fldCharType="end"/>
      </w:r>
      <w:r w:rsidR="00800CEC" w:rsidRPr="00131B9D">
        <w:rPr>
          <w:rFonts w:eastAsia="標楷體"/>
          <w:b/>
          <w:bCs/>
          <w:kern w:val="52"/>
          <w:sz w:val="28"/>
          <w:szCs w:val="28"/>
        </w:rPr>
        <w:t xml:space="preserve">　麵粉價格長期走勢圖</w:t>
      </w:r>
      <w:bookmarkEnd w:id="417"/>
    </w:p>
    <w:p w:rsidR="00800CEC" w:rsidRPr="00131B9D" w:rsidRDefault="00800CEC" w:rsidP="00800CEC"/>
    <w:p w:rsidR="00800CEC" w:rsidRPr="00131B9D" w:rsidRDefault="000B2AA7" w:rsidP="000B2AA7">
      <w:pPr>
        <w:pStyle w:val="-"/>
        <w:spacing w:before="48" w:after="48"/>
        <w:ind w:firstLineChars="0" w:firstLine="0"/>
        <w:rPr>
          <w:b/>
        </w:rPr>
      </w:pPr>
      <w:r w:rsidRPr="00131B9D">
        <w:rPr>
          <w:b/>
        </w:rPr>
        <w:t>1.</w:t>
      </w:r>
      <w:r w:rsidRPr="00131B9D">
        <w:rPr>
          <w:b/>
        </w:rPr>
        <w:t xml:space="preserve">　</w:t>
      </w:r>
      <w:r w:rsidR="00800CEC" w:rsidRPr="00131B9D">
        <w:rPr>
          <w:b/>
        </w:rPr>
        <w:t>匯率因素</w:t>
      </w:r>
    </w:p>
    <w:p w:rsidR="00800CEC" w:rsidRPr="00131B9D" w:rsidRDefault="00800CEC" w:rsidP="00800CEC">
      <w:pPr>
        <w:pStyle w:val="-"/>
        <w:spacing w:before="48" w:after="48"/>
        <w:ind w:firstLine="560"/>
      </w:pPr>
      <w:r w:rsidRPr="00131B9D">
        <w:t>經麵粉工業同業公會估算，每噸小麥可製成</w:t>
      </w:r>
      <w:r w:rsidRPr="00131B9D">
        <w:t>33</w:t>
      </w:r>
      <w:r w:rsidRPr="00131B9D">
        <w:t>包</w:t>
      </w:r>
      <w:r w:rsidRPr="00131B9D">
        <w:t>22</w:t>
      </w:r>
      <w:r w:rsidRPr="00131B9D">
        <w:t>公斤的麵粉，若以進口小麥一噸</w:t>
      </w:r>
      <w:r w:rsidRPr="00131B9D">
        <w:t>400</w:t>
      </w:r>
      <w:r w:rsidRPr="00131B9D">
        <w:t>美元計算，新台幣每貶值</w:t>
      </w:r>
      <w:r w:rsidRPr="00131B9D">
        <w:t>1</w:t>
      </w:r>
      <w:r w:rsidRPr="00131B9D">
        <w:t>元增加的匯率成本，則每包麵粉要增加</w:t>
      </w:r>
      <w:r w:rsidRPr="00131B9D">
        <w:t>12</w:t>
      </w:r>
      <w:r w:rsidRPr="00131B9D">
        <w:t>元的成本。根據央行統計資料，</w:t>
      </w:r>
      <w:r w:rsidRPr="00131B9D">
        <w:t>2015</w:t>
      </w:r>
      <w:r w:rsidRPr="00131B9D">
        <w:t>上半年美元兌新台幣一度攀升至</w:t>
      </w:r>
      <w:r w:rsidRPr="00131B9D">
        <w:t>32.006</w:t>
      </w:r>
      <w:r w:rsidRPr="00131B9D">
        <w:t>，</w:t>
      </w:r>
      <w:r w:rsidR="00BF18C0" w:rsidRPr="00131B9D">
        <w:t>然而</w:t>
      </w:r>
      <w:r w:rsidRPr="00131B9D">
        <w:t>隨著美國</w:t>
      </w:r>
      <w:r w:rsidRPr="00131B9D">
        <w:t>Q1</w:t>
      </w:r>
      <w:r w:rsidRPr="00131B9D">
        <w:t>經濟數據表現不佳，使得美元走弱，</w:t>
      </w:r>
      <w:r w:rsidR="00BF18C0" w:rsidRPr="00131B9D">
        <w:t>截至</w:t>
      </w:r>
      <w:r w:rsidR="00BF18C0" w:rsidRPr="00131B9D">
        <w:t>5</w:t>
      </w:r>
      <w:r w:rsidR="00BF18C0" w:rsidRPr="00131B9D">
        <w:t>月</w:t>
      </w:r>
      <w:r w:rsidR="00BF18C0" w:rsidRPr="00131B9D">
        <w:t>31</w:t>
      </w:r>
      <w:r w:rsidR="00BF18C0" w:rsidRPr="00131B9D">
        <w:t>日</w:t>
      </w:r>
      <w:r w:rsidRPr="00131B9D">
        <w:t>新台幣相對升值來到</w:t>
      </w:r>
      <w:r w:rsidRPr="00131B9D">
        <w:t>30.541</w:t>
      </w:r>
      <w:r w:rsidRPr="00131B9D">
        <w:t>，麵粉業者成本壓力亦獲得減輕</w:t>
      </w:r>
      <w:r w:rsidR="00542B7D" w:rsidRPr="00131B9D">
        <w:t>。惟下半年美元再度走強，截至</w:t>
      </w:r>
      <w:r w:rsidR="00542B7D" w:rsidRPr="00131B9D">
        <w:t>12</w:t>
      </w:r>
      <w:r w:rsidR="00542B7D" w:rsidRPr="00131B9D">
        <w:t>月</w:t>
      </w:r>
      <w:r w:rsidR="00542B7D" w:rsidRPr="00131B9D">
        <w:t>25</w:t>
      </w:r>
      <w:r w:rsidR="00542B7D" w:rsidRPr="00131B9D">
        <w:t>日新台幣兌美元已攀升至</w:t>
      </w:r>
      <w:r w:rsidR="00542B7D" w:rsidRPr="00131B9D">
        <w:t>33.005</w:t>
      </w:r>
      <w:r w:rsidR="00542B7D" w:rsidRPr="00131B9D">
        <w:t>，後續麵粉價格走勢仍須密切觀察（如圖</w:t>
      </w:r>
      <w:r w:rsidR="00542B7D" w:rsidRPr="00131B9D">
        <w:t>4-9</w:t>
      </w:r>
      <w:r w:rsidR="00542B7D" w:rsidRPr="00131B9D">
        <w:t>）</w:t>
      </w:r>
      <w:r w:rsidRPr="00131B9D">
        <w:t>。</w:t>
      </w:r>
    </w:p>
    <w:p w:rsidR="00D77E08" w:rsidRPr="00131B9D" w:rsidRDefault="00D77E08" w:rsidP="00F20AF7">
      <w:pPr>
        <w:sectPr w:rsidR="00D77E08" w:rsidRPr="00131B9D" w:rsidSect="002611FA">
          <w:pgSz w:w="11906" w:h="16838"/>
          <w:pgMar w:top="851" w:right="1644" w:bottom="851" w:left="1440" w:header="851" w:footer="992" w:gutter="0"/>
          <w:cols w:space="425"/>
          <w:docGrid w:linePitch="360"/>
        </w:sectPr>
      </w:pPr>
    </w:p>
    <w:p w:rsidR="00800CEC" w:rsidRPr="00131B9D" w:rsidRDefault="006956DA" w:rsidP="00542B7D">
      <w:pPr>
        <w:ind w:leftChars="-118" w:left="-283"/>
        <w:jc w:val="center"/>
        <w:rPr>
          <w:rFonts w:eastAsia="標楷體"/>
          <w:kern w:val="52"/>
          <w:sz w:val="28"/>
          <w:szCs w:val="28"/>
        </w:rPr>
      </w:pPr>
      <w:r w:rsidRPr="00131B9D">
        <w:rPr>
          <w:noProof/>
        </w:rPr>
        <w:lastRenderedPageBreak/>
        <w:drawing>
          <wp:inline distT="0" distB="0" distL="0" distR="0" wp14:anchorId="6923F300" wp14:editId="232E36F2">
            <wp:extent cx="5962650" cy="2371725"/>
            <wp:effectExtent l="0" t="0" r="0" b="0"/>
            <wp:docPr id="6" name="圖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800CEC" w:rsidRPr="00131B9D" w:rsidRDefault="00800CEC" w:rsidP="00800CEC">
      <w:pPr>
        <w:pStyle w:val="-"/>
        <w:snapToGrid/>
        <w:spacing w:beforeLines="0" w:afterLines="0" w:line="0" w:lineRule="atLeast"/>
        <w:ind w:firstLineChars="0" w:firstLine="0"/>
        <w:rPr>
          <w:kern w:val="0"/>
          <w:sz w:val="20"/>
          <w:szCs w:val="20"/>
        </w:rPr>
      </w:pPr>
      <w:r w:rsidRPr="00131B9D">
        <w:rPr>
          <w:kern w:val="0"/>
          <w:sz w:val="20"/>
          <w:szCs w:val="20"/>
        </w:rPr>
        <w:t>資料來源：中央銀行，中經院整理，</w:t>
      </w:r>
      <w:r w:rsidRPr="00131B9D">
        <w:rPr>
          <w:kern w:val="0"/>
          <w:sz w:val="20"/>
          <w:szCs w:val="20"/>
        </w:rPr>
        <w:t>2013</w:t>
      </w:r>
      <w:r w:rsidRPr="00131B9D">
        <w:rPr>
          <w:kern w:val="0"/>
          <w:sz w:val="20"/>
          <w:szCs w:val="20"/>
        </w:rPr>
        <w:t>年</w:t>
      </w:r>
      <w:r w:rsidRPr="00131B9D">
        <w:rPr>
          <w:kern w:val="0"/>
          <w:sz w:val="20"/>
          <w:szCs w:val="20"/>
        </w:rPr>
        <w:t>1</w:t>
      </w:r>
      <w:r w:rsidRPr="00131B9D">
        <w:rPr>
          <w:kern w:val="0"/>
          <w:sz w:val="20"/>
          <w:szCs w:val="20"/>
        </w:rPr>
        <w:t>月至</w:t>
      </w:r>
      <w:r w:rsidRPr="00131B9D">
        <w:rPr>
          <w:kern w:val="0"/>
          <w:sz w:val="20"/>
          <w:szCs w:val="20"/>
        </w:rPr>
        <w:t>2015</w:t>
      </w:r>
      <w:r w:rsidRPr="00131B9D">
        <w:rPr>
          <w:kern w:val="0"/>
          <w:sz w:val="20"/>
          <w:szCs w:val="20"/>
        </w:rPr>
        <w:t>年</w:t>
      </w:r>
      <w:r w:rsidR="006956DA" w:rsidRPr="00131B9D">
        <w:rPr>
          <w:kern w:val="0"/>
          <w:sz w:val="20"/>
          <w:szCs w:val="20"/>
        </w:rPr>
        <w:t>12</w:t>
      </w:r>
      <w:r w:rsidRPr="00131B9D">
        <w:rPr>
          <w:kern w:val="0"/>
          <w:sz w:val="20"/>
          <w:szCs w:val="20"/>
        </w:rPr>
        <w:t>月。</w:t>
      </w:r>
    </w:p>
    <w:p w:rsidR="00800CEC" w:rsidRPr="00131B9D" w:rsidRDefault="00F20AF7" w:rsidP="00F20AF7">
      <w:pPr>
        <w:pStyle w:val="afff5"/>
        <w:spacing w:line="0" w:lineRule="atLeast"/>
        <w:jc w:val="center"/>
        <w:rPr>
          <w:rFonts w:eastAsia="標楷體"/>
          <w:b/>
          <w:bCs/>
          <w:kern w:val="52"/>
          <w:sz w:val="28"/>
          <w:szCs w:val="28"/>
        </w:rPr>
      </w:pPr>
      <w:bookmarkStart w:id="418" w:name="_Toc437958980"/>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9</w:t>
      </w:r>
      <w:r w:rsidRPr="00131B9D">
        <w:rPr>
          <w:rFonts w:eastAsia="標楷體"/>
          <w:b/>
          <w:bCs/>
          <w:kern w:val="52"/>
          <w:sz w:val="28"/>
          <w:szCs w:val="28"/>
        </w:rPr>
        <w:fldChar w:fldCharType="end"/>
      </w:r>
      <w:r w:rsidR="00800CEC" w:rsidRPr="00131B9D">
        <w:rPr>
          <w:rFonts w:eastAsia="標楷體"/>
          <w:b/>
          <w:bCs/>
          <w:kern w:val="52"/>
          <w:sz w:val="28"/>
          <w:szCs w:val="28"/>
        </w:rPr>
        <w:t xml:space="preserve">　過去</w:t>
      </w:r>
      <w:r w:rsidR="00800CEC" w:rsidRPr="00131B9D">
        <w:rPr>
          <w:rFonts w:eastAsia="標楷體"/>
          <w:b/>
          <w:bCs/>
          <w:kern w:val="52"/>
          <w:sz w:val="28"/>
          <w:szCs w:val="28"/>
        </w:rPr>
        <w:t>3</w:t>
      </w:r>
      <w:r w:rsidR="00800CEC" w:rsidRPr="00131B9D">
        <w:rPr>
          <w:rFonts w:eastAsia="標楷體"/>
          <w:b/>
          <w:bCs/>
          <w:kern w:val="52"/>
          <w:sz w:val="28"/>
          <w:szCs w:val="28"/>
        </w:rPr>
        <w:t>年美元兌新台幣</w:t>
      </w:r>
      <w:r w:rsidR="0033514E" w:rsidRPr="00131B9D">
        <w:rPr>
          <w:rFonts w:eastAsia="標楷體"/>
          <w:b/>
          <w:bCs/>
          <w:kern w:val="52"/>
          <w:sz w:val="28"/>
          <w:szCs w:val="28"/>
        </w:rPr>
        <w:t>歷史資料</w:t>
      </w:r>
      <w:r w:rsidR="00800CEC" w:rsidRPr="00131B9D">
        <w:rPr>
          <w:rFonts w:eastAsia="標楷體"/>
          <w:b/>
          <w:bCs/>
          <w:kern w:val="52"/>
          <w:sz w:val="28"/>
          <w:szCs w:val="28"/>
        </w:rPr>
        <w:t>(</w:t>
      </w:r>
      <w:r w:rsidR="00800CEC" w:rsidRPr="00131B9D">
        <w:rPr>
          <w:rFonts w:eastAsia="標楷體"/>
          <w:b/>
          <w:bCs/>
          <w:kern w:val="52"/>
          <w:sz w:val="28"/>
          <w:szCs w:val="28"/>
        </w:rPr>
        <w:t>統計至</w:t>
      </w:r>
      <w:r w:rsidR="00800CEC" w:rsidRPr="00131B9D">
        <w:rPr>
          <w:rFonts w:eastAsia="標楷體"/>
          <w:b/>
          <w:bCs/>
          <w:kern w:val="52"/>
          <w:sz w:val="28"/>
          <w:szCs w:val="28"/>
        </w:rPr>
        <w:t>2015</w:t>
      </w:r>
      <w:r w:rsidR="00800CEC" w:rsidRPr="00131B9D">
        <w:rPr>
          <w:rFonts w:eastAsia="標楷體"/>
          <w:b/>
          <w:bCs/>
          <w:kern w:val="52"/>
          <w:sz w:val="28"/>
          <w:szCs w:val="28"/>
        </w:rPr>
        <w:t>年</w:t>
      </w:r>
      <w:r w:rsidR="006956DA" w:rsidRPr="00131B9D">
        <w:rPr>
          <w:rFonts w:eastAsia="標楷體"/>
          <w:b/>
          <w:bCs/>
          <w:kern w:val="52"/>
          <w:sz w:val="28"/>
          <w:szCs w:val="28"/>
        </w:rPr>
        <w:t>12</w:t>
      </w:r>
      <w:r w:rsidR="00800CEC" w:rsidRPr="00131B9D">
        <w:rPr>
          <w:rFonts w:eastAsia="標楷體"/>
          <w:b/>
          <w:bCs/>
          <w:kern w:val="52"/>
          <w:sz w:val="28"/>
          <w:szCs w:val="28"/>
        </w:rPr>
        <w:t>月</w:t>
      </w:r>
      <w:r w:rsidR="006956DA" w:rsidRPr="00131B9D">
        <w:rPr>
          <w:rFonts w:eastAsia="標楷體"/>
          <w:b/>
          <w:bCs/>
          <w:kern w:val="52"/>
          <w:sz w:val="28"/>
          <w:szCs w:val="28"/>
        </w:rPr>
        <w:t>25</w:t>
      </w:r>
      <w:r w:rsidR="00800CEC" w:rsidRPr="00131B9D">
        <w:rPr>
          <w:rFonts w:eastAsia="標楷體"/>
          <w:b/>
          <w:bCs/>
          <w:kern w:val="52"/>
          <w:sz w:val="28"/>
          <w:szCs w:val="28"/>
        </w:rPr>
        <w:t>日</w:t>
      </w:r>
      <w:r w:rsidR="00800CEC" w:rsidRPr="00131B9D">
        <w:rPr>
          <w:rFonts w:eastAsia="標楷體"/>
          <w:b/>
          <w:bCs/>
          <w:kern w:val="52"/>
          <w:sz w:val="28"/>
          <w:szCs w:val="28"/>
        </w:rPr>
        <w:t>)</w:t>
      </w:r>
      <w:bookmarkEnd w:id="418"/>
    </w:p>
    <w:p w:rsidR="00BF18C0" w:rsidRPr="00131B9D" w:rsidRDefault="00BF18C0" w:rsidP="00BF18C0"/>
    <w:p w:rsidR="00800CEC" w:rsidRPr="00131B9D" w:rsidRDefault="000B2AA7" w:rsidP="000B2AA7">
      <w:pPr>
        <w:pStyle w:val="-"/>
        <w:spacing w:before="48" w:after="48"/>
        <w:ind w:firstLineChars="0" w:firstLine="0"/>
        <w:rPr>
          <w:b/>
        </w:rPr>
      </w:pPr>
      <w:r w:rsidRPr="00131B9D">
        <w:rPr>
          <w:b/>
        </w:rPr>
        <w:t>2.</w:t>
      </w:r>
      <w:r w:rsidRPr="00131B9D">
        <w:rPr>
          <w:b/>
        </w:rPr>
        <w:t xml:space="preserve">　</w:t>
      </w:r>
      <w:r w:rsidR="00800CEC" w:rsidRPr="00131B9D">
        <w:rPr>
          <w:b/>
        </w:rPr>
        <w:t>國際小麥價格</w:t>
      </w:r>
    </w:p>
    <w:p w:rsidR="00800CEC" w:rsidRPr="00131B9D" w:rsidRDefault="00800CEC" w:rsidP="00800CEC">
      <w:pPr>
        <w:pStyle w:val="-"/>
        <w:spacing w:before="48" w:after="48"/>
        <w:ind w:firstLine="560"/>
      </w:pPr>
      <w:r w:rsidRPr="00131B9D">
        <w:t>2014</w:t>
      </w:r>
      <w:r w:rsidRPr="00131B9D">
        <w:t>年底受到全球小麥種植區天候異常影響，市場憂慮恐將導致作物產量及良率下降，使得麵粉之主要原料國際小麥</w:t>
      </w:r>
      <w:r w:rsidRPr="00131B9D">
        <w:t>(CBOT)</w:t>
      </w:r>
      <w:r w:rsidRPr="00131B9D">
        <w:t>價格由</w:t>
      </w:r>
      <w:r w:rsidRPr="00131B9D">
        <w:t>2014</w:t>
      </w:r>
      <w:r w:rsidRPr="00131B9D">
        <w:t>年</w:t>
      </w:r>
      <w:r w:rsidRPr="00131B9D">
        <w:t>10</w:t>
      </w:r>
      <w:r w:rsidRPr="00131B9D">
        <w:t>月初每公噸</w:t>
      </w:r>
      <w:r w:rsidRPr="00131B9D">
        <w:t>176.00</w:t>
      </w:r>
      <w:r w:rsidRPr="00131B9D">
        <w:t>美元攀升至</w:t>
      </w:r>
      <w:r w:rsidRPr="00131B9D">
        <w:t>12</w:t>
      </w:r>
      <w:r w:rsidRPr="00131B9D">
        <w:t>月底</w:t>
      </w:r>
      <w:r w:rsidRPr="00131B9D">
        <w:t>221.20</w:t>
      </w:r>
      <w:r w:rsidRPr="00131B9D">
        <w:t>美元，漲幅達</w:t>
      </w:r>
      <w:r w:rsidRPr="00131B9D">
        <w:t>25.68%</w:t>
      </w:r>
      <w:r w:rsidRPr="00131B9D">
        <w:t>（如圖</w:t>
      </w:r>
      <w:r w:rsidR="00F20AF7" w:rsidRPr="00131B9D">
        <w:t>4-</w:t>
      </w:r>
      <w:r w:rsidR="008F04DC" w:rsidRPr="00131B9D">
        <w:t>10</w:t>
      </w:r>
      <w:r w:rsidRPr="00131B9D">
        <w:t>）。</w:t>
      </w:r>
      <w:r w:rsidR="009977E9" w:rsidRPr="00131B9D">
        <w:t>2015</w:t>
      </w:r>
      <w:r w:rsidR="009977E9" w:rsidRPr="00131B9D">
        <w:t>上半年</w:t>
      </w:r>
      <w:r w:rsidRPr="00131B9D">
        <w:t>隨著上游原物料小麥價格回穩，國內麵粉價格波動皆維持於標準範圍區間內。</w:t>
      </w:r>
    </w:p>
    <w:p w:rsidR="00800CEC" w:rsidRPr="00131B9D" w:rsidRDefault="00800CEC" w:rsidP="00800CEC"/>
    <w:p w:rsidR="00800CEC" w:rsidRPr="00131B9D" w:rsidRDefault="009977E9" w:rsidP="00800CEC">
      <w:pPr>
        <w:spacing w:line="0" w:lineRule="atLeast"/>
        <w:rPr>
          <w:rFonts w:eastAsia="標楷體"/>
          <w:kern w:val="52"/>
          <w:sz w:val="28"/>
          <w:szCs w:val="28"/>
        </w:rPr>
      </w:pPr>
      <w:r w:rsidRPr="00131B9D">
        <w:rPr>
          <w:noProof/>
        </w:rPr>
        <w:drawing>
          <wp:inline distT="0" distB="0" distL="0" distR="0" wp14:anchorId="3EFEA3A0" wp14:editId="49D8166E">
            <wp:extent cx="5274310" cy="1954530"/>
            <wp:effectExtent l="0" t="0" r="0" b="7620"/>
            <wp:docPr id="37" name="圖表 37"/>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800CEC" w:rsidRPr="00131B9D" w:rsidRDefault="00800CEC" w:rsidP="00800CEC">
      <w:pPr>
        <w:pStyle w:val="-"/>
        <w:snapToGrid/>
        <w:spacing w:beforeLines="0" w:afterLines="0" w:line="0" w:lineRule="atLeast"/>
        <w:ind w:firstLine="400"/>
        <w:rPr>
          <w:kern w:val="0"/>
          <w:sz w:val="20"/>
          <w:szCs w:val="20"/>
        </w:rPr>
      </w:pPr>
      <w:r w:rsidRPr="00131B9D">
        <w:rPr>
          <w:kern w:val="0"/>
          <w:sz w:val="20"/>
          <w:szCs w:val="20"/>
        </w:rPr>
        <w:t>資料來源：</w:t>
      </w:r>
      <w:r w:rsidR="008F04DC" w:rsidRPr="00131B9D">
        <w:rPr>
          <w:kern w:val="0"/>
          <w:sz w:val="20"/>
          <w:szCs w:val="20"/>
        </w:rPr>
        <w:t>情報贏家</w:t>
      </w:r>
    </w:p>
    <w:p w:rsidR="00800CEC" w:rsidRPr="00131B9D" w:rsidRDefault="00F20AF7" w:rsidP="00F20AF7">
      <w:pPr>
        <w:pStyle w:val="afff5"/>
        <w:spacing w:line="0" w:lineRule="atLeast"/>
        <w:jc w:val="center"/>
        <w:rPr>
          <w:rFonts w:eastAsia="標楷體"/>
          <w:b/>
          <w:bCs/>
          <w:kern w:val="52"/>
          <w:sz w:val="28"/>
          <w:szCs w:val="28"/>
        </w:rPr>
      </w:pPr>
      <w:bookmarkStart w:id="419" w:name="_Toc437958981"/>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10</w:t>
      </w:r>
      <w:r w:rsidRPr="00131B9D">
        <w:rPr>
          <w:rFonts w:eastAsia="標楷體"/>
          <w:b/>
          <w:bCs/>
          <w:kern w:val="52"/>
          <w:sz w:val="28"/>
          <w:szCs w:val="28"/>
        </w:rPr>
        <w:fldChar w:fldCharType="end"/>
      </w:r>
      <w:r w:rsidR="00800CEC" w:rsidRPr="00131B9D">
        <w:rPr>
          <w:rFonts w:eastAsia="標楷體"/>
          <w:b/>
          <w:bCs/>
          <w:kern w:val="52"/>
          <w:sz w:val="28"/>
          <w:szCs w:val="28"/>
        </w:rPr>
        <w:t xml:space="preserve">　</w:t>
      </w:r>
      <w:r w:rsidR="008F04DC" w:rsidRPr="00131B9D">
        <w:rPr>
          <w:rFonts w:eastAsia="標楷體"/>
          <w:b/>
          <w:bCs/>
          <w:kern w:val="52"/>
          <w:sz w:val="28"/>
          <w:szCs w:val="28"/>
        </w:rPr>
        <w:t>2015</w:t>
      </w:r>
      <w:r w:rsidR="00800CEC" w:rsidRPr="00131B9D">
        <w:rPr>
          <w:rFonts w:eastAsia="標楷體"/>
          <w:b/>
          <w:bCs/>
          <w:kern w:val="52"/>
          <w:sz w:val="28"/>
          <w:szCs w:val="28"/>
        </w:rPr>
        <w:t>年小麥期貨價走勢圖</w:t>
      </w:r>
      <w:bookmarkEnd w:id="419"/>
    </w:p>
    <w:p w:rsidR="00800CEC" w:rsidRPr="00131B9D" w:rsidRDefault="00800CEC" w:rsidP="00800CEC"/>
    <w:p w:rsidR="00800CEC" w:rsidRPr="00131B9D" w:rsidRDefault="000B2AA7" w:rsidP="000B2AA7">
      <w:pPr>
        <w:pStyle w:val="-"/>
        <w:spacing w:before="48" w:after="48"/>
        <w:ind w:firstLineChars="0" w:firstLine="0"/>
        <w:rPr>
          <w:b/>
        </w:rPr>
      </w:pPr>
      <w:r w:rsidRPr="00131B9D">
        <w:rPr>
          <w:b/>
        </w:rPr>
        <w:t>3.</w:t>
      </w:r>
      <w:r w:rsidRPr="00131B9D">
        <w:rPr>
          <w:b/>
        </w:rPr>
        <w:t xml:space="preserve">　</w:t>
      </w:r>
      <w:r w:rsidR="00800CEC" w:rsidRPr="00131B9D">
        <w:rPr>
          <w:b/>
        </w:rPr>
        <w:t>其他國內因素</w:t>
      </w:r>
    </w:p>
    <w:p w:rsidR="00800CEC" w:rsidRPr="00131B9D" w:rsidRDefault="00800CEC" w:rsidP="00800CEC">
      <w:pPr>
        <w:pStyle w:val="-"/>
        <w:spacing w:before="48" w:after="48"/>
        <w:ind w:firstLine="560"/>
      </w:pPr>
      <w:r w:rsidRPr="00131B9D">
        <w:t>根據</w:t>
      </w:r>
      <w:r w:rsidRPr="00131B9D">
        <w:t>2014</w:t>
      </w:r>
      <w:r w:rsidRPr="00131B9D">
        <w:t>年</w:t>
      </w:r>
      <w:r w:rsidRPr="00131B9D">
        <w:t>12</w:t>
      </w:r>
      <w:r w:rsidRPr="00131B9D">
        <w:t>月</w:t>
      </w:r>
      <w:r w:rsidRPr="00131B9D">
        <w:t>19</w:t>
      </w:r>
      <w:r w:rsidRPr="00131B9D">
        <w:t>日自由時報報導，統一企業於</w:t>
      </w:r>
      <w:r w:rsidRPr="00131B9D">
        <w:t>2014</w:t>
      </w:r>
      <w:r w:rsidRPr="00131B9D">
        <w:t>年</w:t>
      </w:r>
      <w:r w:rsidRPr="00131B9D">
        <w:t>10</w:t>
      </w:r>
      <w:r w:rsidRPr="00131B9D">
        <w:t>月</w:t>
      </w:r>
      <w:r w:rsidRPr="00131B9D">
        <w:t>27</w:t>
      </w:r>
      <w:r w:rsidRPr="00131B9D">
        <w:t>日發函致各通路經銷商，表示因新台幣兌美元匯率從</w:t>
      </w:r>
      <w:r w:rsidRPr="00131B9D">
        <w:t>29.5</w:t>
      </w:r>
      <w:r w:rsidRPr="00131B9D">
        <w:t>貶至</w:t>
      </w:r>
      <w:r w:rsidRPr="00131B9D">
        <w:t>31</w:t>
      </w:r>
      <w:r w:rsidRPr="00131B9D">
        <w:t>元，</w:t>
      </w:r>
      <w:r w:rsidR="00B72E87" w:rsidRPr="00131B9D">
        <w:t>進口成本增加</w:t>
      </w:r>
      <w:r w:rsidRPr="00131B9D">
        <w:t>，為反映成本，高筋、中筋與低筋麵粉每包分別上漲至</w:t>
      </w:r>
      <w:r w:rsidRPr="00131B9D">
        <w:t>40</w:t>
      </w:r>
      <w:r w:rsidRPr="00131B9D">
        <w:t>、</w:t>
      </w:r>
      <w:r w:rsidRPr="00131B9D">
        <w:t>30</w:t>
      </w:r>
      <w:r w:rsidRPr="00131B9D">
        <w:t>與</w:t>
      </w:r>
      <w:r w:rsidRPr="00131B9D">
        <w:t>20</w:t>
      </w:r>
      <w:r w:rsidRPr="00131B9D">
        <w:t>元。本研究計畫所調查品項中筋麵粉之原價與賣價彙整如表</w:t>
      </w:r>
      <w:r w:rsidR="00F20AF7" w:rsidRPr="00131B9D">
        <w:t>4-5</w:t>
      </w:r>
      <w:r w:rsidRPr="00131B9D">
        <w:t>，</w:t>
      </w:r>
      <w:r w:rsidRPr="00131B9D">
        <w:lastRenderedPageBreak/>
        <w:t>由表中可觀察出，</w:t>
      </w:r>
      <w:r w:rsidR="00520CD4" w:rsidRPr="00131B9D">
        <w:t>近一年</w:t>
      </w:r>
      <w:r w:rsidRPr="00131B9D">
        <w:t>超市與量販店原價無調漲，分別維持在</w:t>
      </w:r>
      <w:r w:rsidRPr="00131B9D">
        <w:t>69</w:t>
      </w:r>
      <w:r w:rsidRPr="00131B9D">
        <w:t>與</w:t>
      </w:r>
      <w:r w:rsidRPr="00131B9D">
        <w:t>63</w:t>
      </w:r>
      <w:r w:rsidRPr="00131B9D">
        <w:t>元，僅賣價部分進行調整，顯示國內業者在價格策略上傾向以優先調整賣價為主，而非調整原價。</w:t>
      </w:r>
    </w:p>
    <w:p w:rsidR="00B72E87" w:rsidRPr="00131B9D" w:rsidRDefault="00B72E87" w:rsidP="00800CEC">
      <w:pPr>
        <w:pStyle w:val="-"/>
        <w:spacing w:before="48" w:after="48"/>
        <w:ind w:firstLine="560"/>
      </w:pPr>
    </w:p>
    <w:p w:rsidR="00B72E87" w:rsidRPr="00131B9D" w:rsidRDefault="00B72E87" w:rsidP="00D2493C">
      <w:pPr>
        <w:pStyle w:val="aff1"/>
        <w:spacing w:line="0" w:lineRule="atLeast"/>
        <w:jc w:val="right"/>
        <w:rPr>
          <w:b w:val="0"/>
          <w:bCs/>
          <w:kern w:val="52"/>
          <w:szCs w:val="28"/>
        </w:rPr>
      </w:pPr>
      <w:bookmarkStart w:id="420" w:name="_Toc439163008"/>
      <w:r w:rsidRPr="00131B9D">
        <w:rPr>
          <w:bCs/>
          <w:kern w:val="52"/>
          <w:szCs w:val="28"/>
        </w:rPr>
        <w:t>表</w:t>
      </w:r>
      <w:r w:rsidRPr="00131B9D">
        <w:rPr>
          <w:bCs/>
          <w:kern w:val="52"/>
          <w:szCs w:val="28"/>
        </w:rPr>
        <w:t xml:space="preserve">4- </w:t>
      </w:r>
      <w:r w:rsidR="00572B36" w:rsidRPr="00131B9D">
        <w:rPr>
          <w:bCs/>
          <w:kern w:val="52"/>
          <w:szCs w:val="28"/>
        </w:rPr>
        <w:t>4</w:t>
      </w:r>
      <w:r w:rsidRPr="00131B9D">
        <w:rPr>
          <w:bCs/>
          <w:kern w:val="52"/>
          <w:szCs w:val="28"/>
        </w:rPr>
        <w:t xml:space="preserve">　近一年各通路麵粉價格</w:t>
      </w:r>
      <w:r w:rsidR="00D2493C" w:rsidRPr="00131B9D">
        <w:rPr>
          <w:bCs/>
          <w:kern w:val="52"/>
          <w:szCs w:val="28"/>
        </w:rPr>
        <w:t xml:space="preserve">       </w:t>
      </w:r>
      <w:r w:rsidR="00D2493C" w:rsidRPr="00131B9D">
        <w:rPr>
          <w:b w:val="0"/>
          <w:bCs/>
          <w:kern w:val="52"/>
          <w:sz w:val="20"/>
        </w:rPr>
        <w:t>單位：台幣</w:t>
      </w:r>
      <w:r w:rsidR="00D2493C" w:rsidRPr="00131B9D">
        <w:rPr>
          <w:b w:val="0"/>
          <w:bCs/>
          <w:kern w:val="52"/>
          <w:sz w:val="20"/>
        </w:rPr>
        <w:t>(</w:t>
      </w:r>
      <w:r w:rsidR="00D2493C" w:rsidRPr="00131B9D">
        <w:rPr>
          <w:b w:val="0"/>
          <w:bCs/>
          <w:kern w:val="52"/>
          <w:sz w:val="20"/>
        </w:rPr>
        <w:t>元</w:t>
      </w:r>
      <w:r w:rsidR="00D2493C" w:rsidRPr="00131B9D">
        <w:rPr>
          <w:b w:val="0"/>
          <w:bCs/>
          <w:kern w:val="52"/>
          <w:sz w:val="20"/>
        </w:rPr>
        <w:t>)</w:t>
      </w:r>
      <w:bookmarkEnd w:id="420"/>
    </w:p>
    <w:tbl>
      <w:tblPr>
        <w:tblW w:w="9976" w:type="dxa"/>
        <w:jc w:val="center"/>
        <w:tblCellMar>
          <w:left w:w="28" w:type="dxa"/>
          <w:right w:w="28" w:type="dxa"/>
        </w:tblCellMar>
        <w:tblLook w:val="04A0" w:firstRow="1" w:lastRow="0" w:firstColumn="1" w:lastColumn="0" w:noHBand="0" w:noVBand="1"/>
      </w:tblPr>
      <w:tblGrid>
        <w:gridCol w:w="1216"/>
        <w:gridCol w:w="1080"/>
        <w:gridCol w:w="100"/>
        <w:gridCol w:w="1080"/>
        <w:gridCol w:w="80"/>
        <w:gridCol w:w="1080"/>
        <w:gridCol w:w="100"/>
        <w:gridCol w:w="1400"/>
        <w:gridCol w:w="80"/>
        <w:gridCol w:w="1420"/>
        <w:gridCol w:w="100"/>
        <w:gridCol w:w="1080"/>
        <w:gridCol w:w="80"/>
        <w:gridCol w:w="1080"/>
      </w:tblGrid>
      <w:tr w:rsidR="00B72E87" w:rsidRPr="00131B9D" w:rsidTr="00520CD4">
        <w:trPr>
          <w:trHeight w:val="20"/>
          <w:jc w:val="center"/>
        </w:trPr>
        <w:tc>
          <w:tcPr>
            <w:tcW w:w="1216" w:type="dxa"/>
            <w:vMerge w:val="restart"/>
            <w:tcBorders>
              <w:top w:val="single" w:sz="12" w:space="0" w:color="auto"/>
              <w:left w:val="nil"/>
              <w:bottom w:val="nil"/>
              <w:right w:val="nil"/>
              <w:tl2br w:val="single" w:sz="4" w:space="0" w:color="auto"/>
            </w:tcBorders>
            <w:shd w:val="clear" w:color="auto" w:fill="auto"/>
            <w:noWrap/>
            <w:vAlign w:val="center"/>
            <w:hideMark/>
          </w:tcPr>
          <w:p w:rsidR="00B72E87" w:rsidRPr="00131B9D" w:rsidRDefault="00B72E87" w:rsidP="00520CD4">
            <w:pPr>
              <w:widowControl/>
              <w:spacing w:line="0" w:lineRule="atLeast"/>
              <w:jc w:val="center"/>
              <w:rPr>
                <w:color w:val="000000"/>
                <w:kern w:val="0"/>
                <w:sz w:val="20"/>
                <w:szCs w:val="20"/>
              </w:rPr>
            </w:pPr>
            <w:r w:rsidRPr="00131B9D">
              <w:rPr>
                <w:color w:val="000000"/>
                <w:kern w:val="0"/>
                <w:sz w:val="20"/>
                <w:szCs w:val="20"/>
              </w:rPr>
              <w:t xml:space="preserve">    </w:t>
            </w:r>
            <w:r w:rsidRPr="00131B9D">
              <w:rPr>
                <w:color w:val="000000"/>
                <w:kern w:val="0"/>
                <w:sz w:val="20"/>
                <w:szCs w:val="20"/>
              </w:rPr>
              <w:t>通路</w:t>
            </w:r>
          </w:p>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 xml:space="preserve"> </w:t>
            </w:r>
            <w:r w:rsidRPr="00131B9D">
              <w:rPr>
                <w:color w:val="000000"/>
                <w:kern w:val="0"/>
                <w:sz w:val="20"/>
                <w:szCs w:val="20"/>
              </w:rPr>
              <w:t>日期</w:t>
            </w:r>
          </w:p>
        </w:tc>
        <w:tc>
          <w:tcPr>
            <w:tcW w:w="1080" w:type="dxa"/>
            <w:tcBorders>
              <w:top w:val="single" w:sz="12" w:space="0" w:color="auto"/>
              <w:left w:val="nil"/>
              <w:bottom w:val="single" w:sz="4" w:space="0" w:color="auto"/>
              <w:right w:val="nil"/>
            </w:tcBorders>
            <w:shd w:val="clear" w:color="auto" w:fill="auto"/>
            <w:vAlign w:val="center"/>
            <w:hideMark/>
          </w:tcPr>
          <w:p w:rsidR="00B72E87" w:rsidRPr="00131B9D" w:rsidRDefault="00B72E87" w:rsidP="00520CD4">
            <w:pPr>
              <w:widowControl/>
              <w:spacing w:line="0" w:lineRule="atLeast"/>
              <w:jc w:val="center"/>
              <w:rPr>
                <w:color w:val="000000"/>
                <w:kern w:val="0"/>
                <w:sz w:val="20"/>
                <w:szCs w:val="20"/>
              </w:rPr>
            </w:pPr>
            <w:r w:rsidRPr="00131B9D">
              <w:rPr>
                <w:color w:val="000000"/>
                <w:kern w:val="0"/>
                <w:sz w:val="20"/>
                <w:szCs w:val="20"/>
              </w:rPr>
              <w:t>便利店</w:t>
            </w:r>
          </w:p>
        </w:tc>
        <w:tc>
          <w:tcPr>
            <w:tcW w:w="100" w:type="dxa"/>
            <w:tcBorders>
              <w:top w:val="single" w:sz="12" w:space="0" w:color="auto"/>
              <w:left w:val="nil"/>
              <w:bottom w:val="nil"/>
              <w:right w:val="nil"/>
            </w:tcBorders>
            <w:shd w:val="clear" w:color="auto" w:fill="auto"/>
            <w:vAlign w:val="center"/>
            <w:hideMark/>
          </w:tcPr>
          <w:p w:rsidR="00B72E87" w:rsidRPr="00131B9D" w:rsidRDefault="00B72E87" w:rsidP="00520CD4">
            <w:pPr>
              <w:widowControl/>
              <w:spacing w:line="0" w:lineRule="atLeast"/>
              <w:jc w:val="center"/>
              <w:rPr>
                <w:color w:val="000000"/>
                <w:kern w:val="0"/>
                <w:sz w:val="20"/>
                <w:szCs w:val="20"/>
              </w:rPr>
            </w:pPr>
            <w:r w:rsidRPr="00131B9D">
              <w:rPr>
                <w:color w:val="000000"/>
                <w:kern w:val="0"/>
                <w:sz w:val="20"/>
                <w:szCs w:val="20"/>
              </w:rPr>
              <w:t xml:space="preserve">　</w:t>
            </w:r>
          </w:p>
        </w:tc>
        <w:tc>
          <w:tcPr>
            <w:tcW w:w="2240" w:type="dxa"/>
            <w:gridSpan w:val="3"/>
            <w:tcBorders>
              <w:top w:val="single" w:sz="12" w:space="0" w:color="auto"/>
              <w:left w:val="nil"/>
              <w:bottom w:val="single" w:sz="4" w:space="0" w:color="auto"/>
              <w:right w:val="nil"/>
            </w:tcBorders>
            <w:shd w:val="clear" w:color="auto" w:fill="auto"/>
            <w:noWrap/>
            <w:vAlign w:val="center"/>
            <w:hideMark/>
          </w:tcPr>
          <w:p w:rsidR="00B72E87" w:rsidRPr="00131B9D" w:rsidRDefault="00B72E87" w:rsidP="00520CD4">
            <w:pPr>
              <w:widowControl/>
              <w:spacing w:line="0" w:lineRule="atLeast"/>
              <w:jc w:val="center"/>
              <w:rPr>
                <w:color w:val="000000"/>
                <w:kern w:val="0"/>
                <w:sz w:val="20"/>
                <w:szCs w:val="20"/>
              </w:rPr>
            </w:pPr>
            <w:r w:rsidRPr="00131B9D">
              <w:rPr>
                <w:color w:val="000000"/>
                <w:kern w:val="0"/>
                <w:sz w:val="20"/>
                <w:szCs w:val="20"/>
              </w:rPr>
              <w:t>超市</w:t>
            </w:r>
          </w:p>
        </w:tc>
        <w:tc>
          <w:tcPr>
            <w:tcW w:w="100" w:type="dxa"/>
            <w:tcBorders>
              <w:top w:val="single" w:sz="12" w:space="0" w:color="auto"/>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color w:val="000000"/>
                <w:kern w:val="0"/>
                <w:sz w:val="20"/>
                <w:szCs w:val="20"/>
              </w:rPr>
            </w:pPr>
            <w:r w:rsidRPr="00131B9D">
              <w:rPr>
                <w:color w:val="000000"/>
                <w:kern w:val="0"/>
                <w:sz w:val="20"/>
                <w:szCs w:val="20"/>
              </w:rPr>
              <w:t xml:space="preserve">　</w:t>
            </w:r>
          </w:p>
        </w:tc>
        <w:tc>
          <w:tcPr>
            <w:tcW w:w="5240" w:type="dxa"/>
            <w:gridSpan w:val="7"/>
            <w:tcBorders>
              <w:top w:val="single" w:sz="12" w:space="0" w:color="auto"/>
              <w:left w:val="nil"/>
              <w:bottom w:val="single" w:sz="4" w:space="0" w:color="auto"/>
              <w:right w:val="nil"/>
            </w:tcBorders>
            <w:shd w:val="clear" w:color="auto" w:fill="auto"/>
            <w:noWrap/>
            <w:vAlign w:val="center"/>
            <w:hideMark/>
          </w:tcPr>
          <w:p w:rsidR="00B72E87" w:rsidRPr="00131B9D" w:rsidRDefault="00B72E87" w:rsidP="00520CD4">
            <w:pPr>
              <w:widowControl/>
              <w:spacing w:line="0" w:lineRule="atLeast"/>
              <w:jc w:val="center"/>
              <w:rPr>
                <w:color w:val="000000"/>
                <w:kern w:val="0"/>
                <w:sz w:val="20"/>
                <w:szCs w:val="20"/>
              </w:rPr>
            </w:pPr>
            <w:r w:rsidRPr="00131B9D">
              <w:rPr>
                <w:color w:val="000000"/>
                <w:kern w:val="0"/>
                <w:sz w:val="20"/>
                <w:szCs w:val="20"/>
              </w:rPr>
              <w:t>量販店</w:t>
            </w:r>
          </w:p>
        </w:tc>
      </w:tr>
      <w:tr w:rsidR="00B72E87" w:rsidRPr="00131B9D" w:rsidTr="00520CD4">
        <w:trPr>
          <w:trHeight w:val="20"/>
          <w:jc w:val="center"/>
        </w:trPr>
        <w:tc>
          <w:tcPr>
            <w:tcW w:w="1216" w:type="dxa"/>
            <w:vMerge/>
            <w:tcBorders>
              <w:top w:val="single" w:sz="4" w:space="0" w:color="auto"/>
              <w:left w:val="nil"/>
              <w:bottom w:val="nil"/>
              <w:right w:val="nil"/>
            </w:tcBorders>
            <w:vAlign w:val="center"/>
            <w:hideMark/>
          </w:tcPr>
          <w:p w:rsidR="00B72E87" w:rsidRPr="00131B9D" w:rsidRDefault="00B72E87" w:rsidP="00520CD4">
            <w:pPr>
              <w:widowControl/>
              <w:spacing w:line="0" w:lineRule="atLeast"/>
              <w:rPr>
                <w:color w:val="000000"/>
                <w:kern w:val="0"/>
                <w:sz w:val="20"/>
                <w:szCs w:val="20"/>
              </w:rPr>
            </w:pPr>
          </w:p>
        </w:tc>
        <w:tc>
          <w:tcPr>
            <w:tcW w:w="1080" w:type="dxa"/>
            <w:tcBorders>
              <w:top w:val="nil"/>
              <w:left w:val="nil"/>
              <w:bottom w:val="single" w:sz="4" w:space="0" w:color="auto"/>
              <w:right w:val="nil"/>
            </w:tcBorders>
            <w:shd w:val="clear" w:color="auto" w:fill="auto"/>
            <w:noWrap/>
            <w:vAlign w:val="center"/>
            <w:hideMark/>
          </w:tcPr>
          <w:p w:rsidR="00B72E87" w:rsidRPr="00131B9D" w:rsidRDefault="00B72E87" w:rsidP="00520CD4">
            <w:pPr>
              <w:widowControl/>
              <w:spacing w:line="0" w:lineRule="atLeast"/>
              <w:jc w:val="center"/>
              <w:rPr>
                <w:rFonts w:eastAsia="細明體"/>
                <w:color w:val="000000"/>
                <w:kern w:val="0"/>
                <w:sz w:val="20"/>
                <w:szCs w:val="20"/>
              </w:rPr>
            </w:pPr>
            <w:r w:rsidRPr="00131B9D">
              <w:rPr>
                <w:rFonts w:eastAsia="細明體"/>
                <w:color w:val="000000"/>
                <w:kern w:val="0"/>
                <w:sz w:val="20"/>
                <w:szCs w:val="20"/>
              </w:rPr>
              <w:t>平均賣價</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rFonts w:eastAsia="細明體"/>
                <w:color w:val="000000"/>
                <w:kern w:val="0"/>
                <w:sz w:val="20"/>
                <w:szCs w:val="20"/>
              </w:rPr>
            </w:pPr>
          </w:p>
        </w:tc>
        <w:tc>
          <w:tcPr>
            <w:tcW w:w="1080" w:type="dxa"/>
            <w:tcBorders>
              <w:top w:val="nil"/>
              <w:left w:val="nil"/>
              <w:bottom w:val="single" w:sz="4" w:space="0" w:color="auto"/>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r w:rsidRPr="00131B9D">
              <w:rPr>
                <w:rFonts w:eastAsia="細明體"/>
                <w:color w:val="000000"/>
                <w:kern w:val="0"/>
                <w:sz w:val="20"/>
                <w:szCs w:val="20"/>
              </w:rPr>
              <w:t>頂好原價</w:t>
            </w:r>
          </w:p>
        </w:tc>
        <w:tc>
          <w:tcPr>
            <w:tcW w:w="80" w:type="dxa"/>
            <w:tcBorders>
              <w:top w:val="nil"/>
              <w:left w:val="nil"/>
              <w:bottom w:val="nil"/>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p>
        </w:tc>
        <w:tc>
          <w:tcPr>
            <w:tcW w:w="1080" w:type="dxa"/>
            <w:tcBorders>
              <w:top w:val="nil"/>
              <w:left w:val="nil"/>
              <w:bottom w:val="single" w:sz="4" w:space="0" w:color="auto"/>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r w:rsidRPr="00131B9D">
              <w:rPr>
                <w:rFonts w:eastAsia="細明體"/>
                <w:color w:val="000000"/>
                <w:kern w:val="0"/>
                <w:sz w:val="20"/>
                <w:szCs w:val="20"/>
              </w:rPr>
              <w:t>平均賣價</w:t>
            </w:r>
          </w:p>
        </w:tc>
        <w:tc>
          <w:tcPr>
            <w:tcW w:w="100" w:type="dxa"/>
            <w:tcBorders>
              <w:top w:val="nil"/>
              <w:left w:val="nil"/>
              <w:bottom w:val="nil"/>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p>
        </w:tc>
        <w:tc>
          <w:tcPr>
            <w:tcW w:w="1400" w:type="dxa"/>
            <w:tcBorders>
              <w:top w:val="nil"/>
              <w:left w:val="nil"/>
              <w:bottom w:val="single" w:sz="4" w:space="0" w:color="auto"/>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r w:rsidRPr="00131B9D">
              <w:rPr>
                <w:rFonts w:eastAsia="細明體"/>
                <w:color w:val="000000"/>
                <w:kern w:val="0"/>
                <w:sz w:val="20"/>
                <w:szCs w:val="20"/>
              </w:rPr>
              <w:t>家樂福原價</w:t>
            </w:r>
          </w:p>
        </w:tc>
        <w:tc>
          <w:tcPr>
            <w:tcW w:w="80" w:type="dxa"/>
            <w:tcBorders>
              <w:top w:val="nil"/>
              <w:left w:val="nil"/>
              <w:bottom w:val="nil"/>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p>
        </w:tc>
        <w:tc>
          <w:tcPr>
            <w:tcW w:w="1420" w:type="dxa"/>
            <w:tcBorders>
              <w:top w:val="nil"/>
              <w:left w:val="nil"/>
              <w:bottom w:val="single" w:sz="4" w:space="0" w:color="auto"/>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r w:rsidRPr="00131B9D">
              <w:rPr>
                <w:rFonts w:eastAsia="細明體"/>
                <w:color w:val="000000"/>
                <w:kern w:val="0"/>
                <w:sz w:val="20"/>
                <w:szCs w:val="20"/>
              </w:rPr>
              <w:t>大潤發原價</w:t>
            </w:r>
          </w:p>
        </w:tc>
        <w:tc>
          <w:tcPr>
            <w:tcW w:w="100" w:type="dxa"/>
            <w:tcBorders>
              <w:top w:val="nil"/>
              <w:left w:val="nil"/>
              <w:bottom w:val="nil"/>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p>
        </w:tc>
        <w:tc>
          <w:tcPr>
            <w:tcW w:w="1080" w:type="dxa"/>
            <w:tcBorders>
              <w:top w:val="nil"/>
              <w:left w:val="nil"/>
              <w:bottom w:val="single" w:sz="4" w:space="0" w:color="auto"/>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r w:rsidRPr="00131B9D">
              <w:rPr>
                <w:rFonts w:eastAsia="細明體"/>
                <w:color w:val="000000"/>
                <w:kern w:val="0"/>
                <w:sz w:val="20"/>
                <w:szCs w:val="20"/>
              </w:rPr>
              <w:t>愛買原價</w:t>
            </w:r>
          </w:p>
        </w:tc>
        <w:tc>
          <w:tcPr>
            <w:tcW w:w="80" w:type="dxa"/>
            <w:tcBorders>
              <w:top w:val="nil"/>
              <w:left w:val="nil"/>
              <w:bottom w:val="nil"/>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p>
        </w:tc>
        <w:tc>
          <w:tcPr>
            <w:tcW w:w="1080" w:type="dxa"/>
            <w:tcBorders>
              <w:top w:val="nil"/>
              <w:left w:val="nil"/>
              <w:bottom w:val="single" w:sz="4" w:space="0" w:color="auto"/>
              <w:right w:val="nil"/>
            </w:tcBorders>
            <w:shd w:val="clear" w:color="auto" w:fill="auto"/>
            <w:vAlign w:val="center"/>
            <w:hideMark/>
          </w:tcPr>
          <w:p w:rsidR="00B72E87" w:rsidRPr="00131B9D" w:rsidRDefault="00B72E87" w:rsidP="00520CD4">
            <w:pPr>
              <w:widowControl/>
              <w:spacing w:line="0" w:lineRule="atLeast"/>
              <w:jc w:val="center"/>
              <w:rPr>
                <w:rFonts w:eastAsia="細明體"/>
                <w:color w:val="000000"/>
                <w:kern w:val="0"/>
                <w:sz w:val="20"/>
                <w:szCs w:val="20"/>
              </w:rPr>
            </w:pPr>
            <w:r w:rsidRPr="00131B9D">
              <w:rPr>
                <w:rFonts w:eastAsia="細明體"/>
                <w:color w:val="000000"/>
                <w:kern w:val="0"/>
                <w:sz w:val="20"/>
                <w:szCs w:val="20"/>
              </w:rPr>
              <w:t>平均賣價</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2014/7/7</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62.75</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52.91</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2014/7/21</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64.78</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54.09</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2014/8/4</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64.25</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53.36</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2014/8/18</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64.00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55.91</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2014/9/9</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61.33</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52.45</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2014/9/22</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63.80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53.73</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2014/10/6</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63.11</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54.00</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2014/10/20</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64.00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54.18</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2014/11/3</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64.00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55.27</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2014/11/17</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63.67</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55.27</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2014/12/8</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63.56</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54.64</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2014/12/22</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64.30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53.27</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2015/1/5</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63.20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52.45</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2015/1/19</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62.44</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53.64</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2015/2/2</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64.44</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54.45</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2015/2/16</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64.00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52.91</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2015/3/9</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66.22</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53.27</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2015/3/23</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66.22</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53.36</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2015/4/7</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66.22</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53.73</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2015/4/20</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66.22</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53.36</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2015/5/11</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66.22</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53.09</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2015/5/25</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66.22</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52.45</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2015/6/8</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66.22</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51.64</w:t>
            </w:r>
          </w:p>
        </w:tc>
      </w:tr>
      <w:tr w:rsidR="00B72E87" w:rsidRPr="00131B9D" w:rsidTr="00520CD4">
        <w:trPr>
          <w:trHeight w:val="20"/>
          <w:jc w:val="center"/>
        </w:trPr>
        <w:tc>
          <w:tcPr>
            <w:tcW w:w="1216"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rPr>
                <w:color w:val="000000"/>
                <w:kern w:val="0"/>
                <w:sz w:val="20"/>
                <w:szCs w:val="20"/>
              </w:rPr>
            </w:pPr>
            <w:r w:rsidRPr="00131B9D">
              <w:rPr>
                <w:color w:val="000000"/>
                <w:kern w:val="0"/>
                <w:sz w:val="20"/>
                <w:szCs w:val="20"/>
              </w:rPr>
              <w:t>2015/6/15</w:t>
            </w: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28.00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69.00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65.11</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00" w:type="dxa"/>
            <w:tcBorders>
              <w:top w:val="nil"/>
              <w:left w:val="nil"/>
              <w:bottom w:val="nil"/>
              <w:right w:val="nil"/>
            </w:tcBorders>
            <w:shd w:val="clear" w:color="auto" w:fill="auto"/>
            <w:noWrap/>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42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10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63.00</w:t>
            </w:r>
          </w:p>
        </w:tc>
        <w:tc>
          <w:tcPr>
            <w:tcW w:w="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p>
        </w:tc>
        <w:tc>
          <w:tcPr>
            <w:tcW w:w="1080" w:type="dxa"/>
            <w:tcBorders>
              <w:top w:val="nil"/>
              <w:left w:val="nil"/>
              <w:bottom w:val="nil"/>
              <w:right w:val="nil"/>
            </w:tcBorders>
            <w:shd w:val="clear" w:color="auto" w:fill="auto"/>
            <w:noWrap/>
            <w:vAlign w:val="center"/>
            <w:hideMark/>
          </w:tcPr>
          <w:p w:rsidR="00B72E87" w:rsidRPr="00131B9D" w:rsidRDefault="00B72E87" w:rsidP="00520CD4">
            <w:pPr>
              <w:widowControl/>
              <w:spacing w:line="0" w:lineRule="atLeast"/>
              <w:jc w:val="center"/>
              <w:rPr>
                <w:kern w:val="0"/>
                <w:sz w:val="20"/>
                <w:szCs w:val="20"/>
              </w:rPr>
            </w:pPr>
            <w:r w:rsidRPr="00131B9D">
              <w:rPr>
                <w:kern w:val="0"/>
                <w:sz w:val="20"/>
                <w:szCs w:val="20"/>
              </w:rPr>
              <w:t>50.73</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2015/7/6</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65.11</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49.64</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2015/7/20</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65.00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50.27</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2015/8/3</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65.78</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51.64</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2015/8/17</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65.56</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52.09</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2015/9/7</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65.56</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49.45</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2015/9/21</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63.56</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48.82</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2015/10/5</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61.63</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53.09</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2015/10/19</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65.38</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49.55</w:t>
            </w:r>
          </w:p>
        </w:tc>
      </w:tr>
      <w:tr w:rsidR="00520CD4" w:rsidRPr="00131B9D" w:rsidTr="00520CD4">
        <w:trPr>
          <w:trHeight w:val="20"/>
          <w:jc w:val="center"/>
        </w:trPr>
        <w:tc>
          <w:tcPr>
            <w:tcW w:w="1216"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2015/11/9</w:t>
            </w: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63.56</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nil"/>
              <w:right w:val="nil"/>
            </w:tcBorders>
            <w:shd w:val="clear" w:color="auto" w:fill="auto"/>
            <w:noWrap/>
            <w:vAlign w:val="center"/>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50.27</w:t>
            </w:r>
          </w:p>
        </w:tc>
      </w:tr>
      <w:tr w:rsidR="00520CD4" w:rsidRPr="00131B9D" w:rsidTr="00520CD4">
        <w:trPr>
          <w:trHeight w:val="20"/>
          <w:jc w:val="center"/>
        </w:trPr>
        <w:tc>
          <w:tcPr>
            <w:tcW w:w="1216"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rPr>
                <w:color w:val="000000"/>
                <w:kern w:val="0"/>
                <w:sz w:val="20"/>
                <w:szCs w:val="20"/>
              </w:rPr>
            </w:pPr>
            <w:r w:rsidRPr="00131B9D">
              <w:rPr>
                <w:color w:val="000000"/>
                <w:kern w:val="0"/>
                <w:sz w:val="20"/>
                <w:szCs w:val="20"/>
              </w:rPr>
              <w:t>2015/11/23</w:t>
            </w:r>
          </w:p>
        </w:tc>
        <w:tc>
          <w:tcPr>
            <w:tcW w:w="108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28.00</w:t>
            </w:r>
          </w:p>
        </w:tc>
        <w:tc>
          <w:tcPr>
            <w:tcW w:w="10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69.00</w:t>
            </w:r>
          </w:p>
        </w:tc>
        <w:tc>
          <w:tcPr>
            <w:tcW w:w="8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64.89</w:t>
            </w:r>
          </w:p>
        </w:tc>
        <w:tc>
          <w:tcPr>
            <w:tcW w:w="10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p>
        </w:tc>
        <w:tc>
          <w:tcPr>
            <w:tcW w:w="140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p>
        </w:tc>
        <w:tc>
          <w:tcPr>
            <w:tcW w:w="142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10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63.00</w:t>
            </w:r>
          </w:p>
        </w:tc>
        <w:tc>
          <w:tcPr>
            <w:tcW w:w="8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hideMark/>
          </w:tcPr>
          <w:p w:rsidR="00520CD4" w:rsidRPr="00131B9D" w:rsidRDefault="00520CD4" w:rsidP="00520CD4">
            <w:pPr>
              <w:widowControl/>
              <w:spacing w:line="0" w:lineRule="atLeast"/>
              <w:jc w:val="center"/>
              <w:rPr>
                <w:color w:val="000000"/>
                <w:kern w:val="0"/>
                <w:sz w:val="20"/>
                <w:szCs w:val="20"/>
              </w:rPr>
            </w:pPr>
            <w:r w:rsidRPr="00131B9D">
              <w:rPr>
                <w:color w:val="000000"/>
                <w:kern w:val="0"/>
                <w:sz w:val="20"/>
                <w:szCs w:val="20"/>
              </w:rPr>
              <w:t>48.50</w:t>
            </w:r>
          </w:p>
        </w:tc>
      </w:tr>
      <w:tr w:rsidR="00B72E87" w:rsidRPr="00131B9D" w:rsidTr="00520CD4">
        <w:trPr>
          <w:trHeight w:val="20"/>
          <w:jc w:val="center"/>
        </w:trPr>
        <w:tc>
          <w:tcPr>
            <w:tcW w:w="9976" w:type="dxa"/>
            <w:gridSpan w:val="14"/>
            <w:tcBorders>
              <w:top w:val="single" w:sz="12" w:space="0" w:color="auto"/>
              <w:left w:val="nil"/>
              <w:right w:val="nil"/>
            </w:tcBorders>
            <w:shd w:val="clear" w:color="auto" w:fill="auto"/>
            <w:noWrap/>
            <w:vAlign w:val="center"/>
          </w:tcPr>
          <w:p w:rsidR="00B72E87" w:rsidRPr="00131B9D" w:rsidRDefault="00B72E87" w:rsidP="00520CD4">
            <w:pPr>
              <w:rPr>
                <w:color w:val="000000"/>
                <w:kern w:val="0"/>
                <w:sz w:val="20"/>
                <w:szCs w:val="20"/>
              </w:rPr>
            </w:pPr>
            <w:r w:rsidRPr="00131B9D">
              <w:rPr>
                <w:color w:val="000000"/>
                <w:kern w:val="0"/>
                <w:sz w:val="20"/>
                <w:szCs w:val="20"/>
              </w:rPr>
              <w:t>備註：原價係指產品原始售價，賣價則為賣場實際販售價格。</w:t>
            </w:r>
          </w:p>
        </w:tc>
      </w:tr>
    </w:tbl>
    <w:p w:rsidR="00E6156E" w:rsidRPr="00131B9D" w:rsidRDefault="00E6156E" w:rsidP="00800CEC">
      <w:pPr>
        <w:sectPr w:rsidR="00E6156E" w:rsidRPr="00131B9D" w:rsidSect="002611FA">
          <w:pgSz w:w="11906" w:h="16838"/>
          <w:pgMar w:top="851" w:right="1644" w:bottom="851" w:left="1440" w:header="851" w:footer="992" w:gutter="0"/>
          <w:cols w:space="425"/>
          <w:docGrid w:linePitch="360"/>
        </w:sectPr>
      </w:pPr>
    </w:p>
    <w:p w:rsidR="000B2AA7" w:rsidRPr="00131B9D" w:rsidRDefault="000B2AA7" w:rsidP="000B2AA7">
      <w:pPr>
        <w:pStyle w:val="3"/>
        <w:rPr>
          <w:rFonts w:ascii="Times New Roman" w:hAnsi="Times New Roman"/>
        </w:rPr>
      </w:pPr>
      <w:r w:rsidRPr="00131B9D">
        <w:rPr>
          <w:rFonts w:ascii="Times New Roman" w:hAnsi="Times New Roman"/>
        </w:rPr>
        <w:lastRenderedPageBreak/>
        <w:t>（二）麵食類</w:t>
      </w:r>
    </w:p>
    <w:p w:rsidR="000B2AA7" w:rsidRPr="00131B9D" w:rsidRDefault="000B2AA7" w:rsidP="000B2AA7">
      <w:pPr>
        <w:pStyle w:val="-"/>
        <w:spacing w:before="72" w:after="72"/>
        <w:ind w:firstLine="560"/>
      </w:pPr>
      <w:r w:rsidRPr="00131B9D">
        <w:t>2012</w:t>
      </w:r>
      <w:r w:rsidRPr="00131B9D">
        <w:t>年</w:t>
      </w:r>
      <w:r w:rsidRPr="00131B9D">
        <w:t>1</w:t>
      </w:r>
      <w:r w:rsidRPr="00131B9D">
        <w:t>月至</w:t>
      </w:r>
      <w:r w:rsidRPr="00131B9D">
        <w:t>2015</w:t>
      </w:r>
      <w:r w:rsidRPr="00131B9D">
        <w:t>年</w:t>
      </w:r>
      <w:r w:rsidR="00520CD4" w:rsidRPr="00131B9D">
        <w:t>11</w:t>
      </w:r>
      <w:r w:rsidRPr="00131B9D">
        <w:t>月各通路麵食價格走勢彙整如圖</w:t>
      </w:r>
      <w:r w:rsidR="00F20AF7" w:rsidRPr="00131B9D">
        <w:t>4-</w:t>
      </w:r>
      <w:r w:rsidR="0020098F" w:rsidRPr="00131B9D">
        <w:t>1</w:t>
      </w:r>
      <w:r w:rsidR="00520CD4" w:rsidRPr="00131B9D">
        <w:t>1</w:t>
      </w:r>
      <w:r w:rsidRPr="00131B9D">
        <w:t>、</w:t>
      </w:r>
      <w:r w:rsidR="00157707" w:rsidRPr="00131B9D">
        <w:t>4</w:t>
      </w:r>
      <w:r w:rsidR="00F20AF7" w:rsidRPr="00131B9D">
        <w:t>-1</w:t>
      </w:r>
      <w:r w:rsidR="00520CD4" w:rsidRPr="00131B9D">
        <w:t>2</w:t>
      </w:r>
      <w:r w:rsidRPr="00131B9D">
        <w:t>。本研究調查主要關注品項為味味</w:t>
      </w:r>
      <w:r w:rsidRPr="00131B9D">
        <w:t>A</w:t>
      </w:r>
      <w:r w:rsidRPr="00131B9D">
        <w:t>排骨雞麵與統一好勁道家常麵條，</w:t>
      </w:r>
      <w:r w:rsidR="0007549D" w:rsidRPr="00131B9D">
        <w:t>2015</w:t>
      </w:r>
      <w:r w:rsidR="0007549D" w:rsidRPr="00131B9D">
        <w:t>年間</w:t>
      </w:r>
      <w:r w:rsidRPr="00131B9D">
        <w:t>通路業者因銷售策略考量而不定期進行促銷活動，價格漲跌互見，其中以味味</w:t>
      </w:r>
      <w:r w:rsidRPr="00131B9D">
        <w:t>A</w:t>
      </w:r>
      <w:r w:rsidRPr="00131B9D">
        <w:t>排骨雞麵價格波動較大，此外，根據查價結果顯示，該品項於</w:t>
      </w:r>
      <w:r w:rsidRPr="00131B9D">
        <w:t>4</w:t>
      </w:r>
      <w:r w:rsidRPr="00131B9D">
        <w:t>月</w:t>
      </w:r>
      <w:r w:rsidRPr="00131B9D">
        <w:t>8</w:t>
      </w:r>
      <w:r w:rsidRPr="00131B9D">
        <w:t>日起由每包</w:t>
      </w:r>
      <w:r w:rsidRPr="00131B9D">
        <w:t>12</w:t>
      </w:r>
      <w:r w:rsidRPr="00131B9D">
        <w:t>元調漲至</w:t>
      </w:r>
      <w:r w:rsidRPr="00131B9D">
        <w:t>14.4</w:t>
      </w:r>
      <w:r w:rsidRPr="00131B9D">
        <w:t>元，後續實際販售價格亦逐步攀升，統一好勁道家常麵條價格走勢則較為平緩。</w:t>
      </w:r>
    </w:p>
    <w:p w:rsidR="00CB049E" w:rsidRPr="00131B9D" w:rsidRDefault="00CB049E" w:rsidP="00CB049E"/>
    <w:p w:rsidR="000B2AA7" w:rsidRPr="00131B9D" w:rsidRDefault="00520CD4" w:rsidP="000B2AA7">
      <w:pPr>
        <w:spacing w:line="0" w:lineRule="atLeast"/>
        <w:jc w:val="center"/>
      </w:pPr>
      <w:r w:rsidRPr="00131B9D">
        <w:rPr>
          <w:noProof/>
        </w:rPr>
        <w:drawing>
          <wp:inline distT="0" distB="0" distL="0" distR="0" wp14:anchorId="01E1439F" wp14:editId="39EBCD14">
            <wp:extent cx="5274000" cy="2419200"/>
            <wp:effectExtent l="0" t="0" r="0" b="0"/>
            <wp:docPr id="38" name="圖表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0B2AA7" w:rsidRPr="00131B9D" w:rsidRDefault="000B2AA7" w:rsidP="000B2AA7">
      <w:pPr>
        <w:pStyle w:val="-"/>
        <w:snapToGrid/>
        <w:spacing w:beforeLines="0" w:afterLines="0" w:line="0" w:lineRule="atLeast"/>
        <w:ind w:firstLine="400"/>
        <w:rPr>
          <w:kern w:val="0"/>
          <w:sz w:val="20"/>
          <w:szCs w:val="20"/>
        </w:rPr>
      </w:pPr>
      <w:r w:rsidRPr="00131B9D">
        <w:rPr>
          <w:kern w:val="0"/>
          <w:sz w:val="20"/>
          <w:szCs w:val="20"/>
        </w:rPr>
        <w:t>資料來源：本文整理</w:t>
      </w:r>
    </w:p>
    <w:p w:rsidR="000B2AA7" w:rsidRPr="00131B9D" w:rsidRDefault="00F20AF7" w:rsidP="00F20AF7">
      <w:pPr>
        <w:pStyle w:val="afff5"/>
        <w:spacing w:line="0" w:lineRule="atLeast"/>
        <w:jc w:val="center"/>
        <w:rPr>
          <w:rFonts w:eastAsia="標楷體"/>
          <w:b/>
          <w:bCs/>
          <w:kern w:val="52"/>
          <w:sz w:val="28"/>
          <w:szCs w:val="28"/>
        </w:rPr>
      </w:pPr>
      <w:bookmarkStart w:id="421" w:name="_Toc437958982"/>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11</w:t>
      </w:r>
      <w:r w:rsidRPr="00131B9D">
        <w:rPr>
          <w:rFonts w:eastAsia="標楷體"/>
          <w:b/>
          <w:bCs/>
          <w:kern w:val="52"/>
          <w:sz w:val="28"/>
          <w:szCs w:val="28"/>
        </w:rPr>
        <w:fldChar w:fldCharType="end"/>
      </w:r>
      <w:r w:rsidR="000B2AA7" w:rsidRPr="00131B9D">
        <w:rPr>
          <w:rFonts w:eastAsia="標楷體"/>
          <w:b/>
          <w:bCs/>
          <w:kern w:val="52"/>
          <w:sz w:val="28"/>
          <w:szCs w:val="28"/>
        </w:rPr>
        <w:t xml:space="preserve">　味味</w:t>
      </w:r>
      <w:r w:rsidR="000B2AA7" w:rsidRPr="00131B9D">
        <w:rPr>
          <w:rFonts w:eastAsia="標楷體"/>
          <w:b/>
          <w:bCs/>
          <w:kern w:val="52"/>
          <w:sz w:val="28"/>
          <w:szCs w:val="28"/>
        </w:rPr>
        <w:t>A</w:t>
      </w:r>
      <w:r w:rsidR="000B2AA7" w:rsidRPr="00131B9D">
        <w:rPr>
          <w:rFonts w:eastAsia="標楷體"/>
          <w:b/>
          <w:bCs/>
          <w:kern w:val="52"/>
          <w:sz w:val="28"/>
          <w:szCs w:val="28"/>
        </w:rPr>
        <w:t>排骨雞麵價格長期走勢</w:t>
      </w:r>
      <w:r w:rsidR="00FD4A1A" w:rsidRPr="00131B9D">
        <w:rPr>
          <w:rFonts w:eastAsia="標楷體"/>
          <w:b/>
          <w:bCs/>
          <w:kern w:val="52"/>
          <w:sz w:val="28"/>
          <w:szCs w:val="28"/>
        </w:rPr>
        <w:t>圖</w:t>
      </w:r>
      <w:bookmarkEnd w:id="421"/>
    </w:p>
    <w:p w:rsidR="000B2AA7" w:rsidRPr="00131B9D" w:rsidRDefault="000B2AA7" w:rsidP="000B2AA7"/>
    <w:p w:rsidR="000B2AA7" w:rsidRPr="00131B9D" w:rsidRDefault="00520CD4" w:rsidP="000B2AA7">
      <w:pPr>
        <w:spacing w:line="0" w:lineRule="atLeast"/>
        <w:jc w:val="center"/>
      </w:pPr>
      <w:r w:rsidRPr="00131B9D">
        <w:rPr>
          <w:noProof/>
        </w:rPr>
        <w:drawing>
          <wp:inline distT="0" distB="0" distL="0" distR="0" wp14:anchorId="26275974" wp14:editId="4E9F71CF">
            <wp:extent cx="5274000" cy="2419200"/>
            <wp:effectExtent l="0" t="0" r="0" b="0"/>
            <wp:docPr id="39" name="圖表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0B2AA7" w:rsidRPr="00131B9D" w:rsidRDefault="000B2AA7" w:rsidP="000B2AA7">
      <w:pPr>
        <w:pStyle w:val="-"/>
        <w:snapToGrid/>
        <w:spacing w:beforeLines="0" w:afterLines="0" w:line="0" w:lineRule="atLeast"/>
        <w:ind w:firstLine="400"/>
        <w:rPr>
          <w:kern w:val="0"/>
          <w:sz w:val="20"/>
          <w:szCs w:val="20"/>
        </w:rPr>
      </w:pPr>
      <w:r w:rsidRPr="00131B9D">
        <w:rPr>
          <w:kern w:val="0"/>
          <w:sz w:val="20"/>
          <w:szCs w:val="20"/>
        </w:rPr>
        <w:t>資料來源：本文整理</w:t>
      </w:r>
    </w:p>
    <w:p w:rsidR="000B2AA7" w:rsidRPr="00131B9D" w:rsidRDefault="00F20AF7" w:rsidP="00F20AF7">
      <w:pPr>
        <w:pStyle w:val="afff5"/>
        <w:spacing w:line="0" w:lineRule="atLeast"/>
        <w:jc w:val="center"/>
        <w:rPr>
          <w:rFonts w:eastAsia="標楷體"/>
          <w:b/>
          <w:bCs/>
          <w:kern w:val="52"/>
          <w:sz w:val="28"/>
          <w:szCs w:val="28"/>
        </w:rPr>
      </w:pPr>
      <w:bookmarkStart w:id="422" w:name="_Toc437958983"/>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12</w:t>
      </w:r>
      <w:r w:rsidRPr="00131B9D">
        <w:rPr>
          <w:rFonts w:eastAsia="標楷體"/>
          <w:b/>
          <w:bCs/>
          <w:kern w:val="52"/>
          <w:sz w:val="28"/>
          <w:szCs w:val="28"/>
        </w:rPr>
        <w:fldChar w:fldCharType="end"/>
      </w:r>
      <w:r w:rsidR="000B2AA7" w:rsidRPr="00131B9D">
        <w:rPr>
          <w:rFonts w:eastAsia="標楷體"/>
          <w:b/>
          <w:bCs/>
          <w:kern w:val="52"/>
          <w:sz w:val="28"/>
          <w:szCs w:val="28"/>
        </w:rPr>
        <w:t xml:space="preserve">　統一好勁道家常麵條價格長期走勢</w:t>
      </w:r>
      <w:r w:rsidR="00FD4A1A" w:rsidRPr="00131B9D">
        <w:rPr>
          <w:rFonts w:eastAsia="標楷體"/>
          <w:b/>
          <w:bCs/>
          <w:kern w:val="52"/>
          <w:sz w:val="28"/>
          <w:szCs w:val="28"/>
        </w:rPr>
        <w:t>圖</w:t>
      </w:r>
      <w:bookmarkEnd w:id="422"/>
    </w:p>
    <w:p w:rsidR="00520CD4" w:rsidRPr="00131B9D" w:rsidRDefault="00520CD4" w:rsidP="00520CD4"/>
    <w:p w:rsidR="000B2AA7" w:rsidRPr="00131B9D" w:rsidRDefault="000B2AA7" w:rsidP="000B2AA7">
      <w:pPr>
        <w:pStyle w:val="3"/>
        <w:rPr>
          <w:rFonts w:ascii="Times New Roman" w:hAnsi="Times New Roman"/>
        </w:rPr>
      </w:pPr>
      <w:r w:rsidRPr="00131B9D">
        <w:rPr>
          <w:rFonts w:ascii="Times New Roman" w:hAnsi="Times New Roman"/>
        </w:rPr>
        <w:lastRenderedPageBreak/>
        <w:t>（三）吐司類</w:t>
      </w:r>
    </w:p>
    <w:p w:rsidR="000B2AA7" w:rsidRPr="00131B9D" w:rsidRDefault="000B2AA7" w:rsidP="000B2AA7">
      <w:pPr>
        <w:pStyle w:val="-"/>
        <w:spacing w:before="72" w:after="72"/>
        <w:ind w:firstLine="560"/>
      </w:pPr>
      <w:r w:rsidRPr="00131B9D">
        <w:t>2012</w:t>
      </w:r>
      <w:r w:rsidRPr="00131B9D">
        <w:t>年</w:t>
      </w:r>
      <w:r w:rsidRPr="00131B9D">
        <w:t>1</w:t>
      </w:r>
      <w:r w:rsidRPr="00131B9D">
        <w:t>月至</w:t>
      </w:r>
      <w:r w:rsidRPr="00131B9D">
        <w:t>2015</w:t>
      </w:r>
      <w:r w:rsidRPr="00131B9D">
        <w:t>年</w:t>
      </w:r>
      <w:r w:rsidR="00520CD4" w:rsidRPr="00131B9D">
        <w:t>11</w:t>
      </w:r>
      <w:r w:rsidRPr="00131B9D">
        <w:t>月各通路吐司價格走勢彙整如圖</w:t>
      </w:r>
      <w:r w:rsidR="00F20AF7" w:rsidRPr="00131B9D">
        <w:t>4-1</w:t>
      </w:r>
      <w:r w:rsidR="00520CD4" w:rsidRPr="00131B9D">
        <w:t>3</w:t>
      </w:r>
      <w:r w:rsidRPr="00131B9D">
        <w:t>。根據本研究查價資料顯示，與去年同期相比，三大通路吐司價格出現調漲情事，主因為受到</w:t>
      </w:r>
      <w:r w:rsidRPr="00131B9D">
        <w:t>2013</w:t>
      </w:r>
      <w:r w:rsidRPr="00131B9D">
        <w:t>年黑心油事件影響，部分業者將原先製作麵包原料中的酥油，更換為進口奶油以及橄欖油，量販店業者自製麵包亦調整奶油來源為紐西蘭進口，使得成本增加，此外</w:t>
      </w:r>
      <w:r w:rsidRPr="00131B9D">
        <w:t>2015</w:t>
      </w:r>
      <w:r w:rsidRPr="00131B9D">
        <w:t>上半年</w:t>
      </w:r>
      <w:r w:rsidR="00520CD4" w:rsidRPr="00131B9D">
        <w:t>臺</w:t>
      </w:r>
      <w:r w:rsidRPr="00131B9D">
        <w:t>幣走貶造成業者原料進口成本上升，故採取價格調漲，惟</w:t>
      </w:r>
      <w:r w:rsidR="00871F8F" w:rsidRPr="00131B9D">
        <w:t>今年以來</w:t>
      </w:r>
      <w:r w:rsidRPr="00131B9D">
        <w:t>紐幣</w:t>
      </w:r>
      <w:r w:rsidR="00871F8F" w:rsidRPr="00131B9D">
        <w:t>兌臺幣相對</w:t>
      </w:r>
      <w:r w:rsidRPr="00131B9D">
        <w:t>貶值，仍</w:t>
      </w:r>
      <w:r w:rsidR="00871F8F" w:rsidRPr="00131B9D">
        <w:t>須</w:t>
      </w:r>
      <w:r w:rsidRPr="00131B9D">
        <w:t>密切觀察吐司價格</w:t>
      </w:r>
      <w:r w:rsidR="00871F8F" w:rsidRPr="00131B9D">
        <w:t>後續</w:t>
      </w:r>
      <w:r w:rsidRPr="00131B9D">
        <w:t>走勢。</w:t>
      </w:r>
    </w:p>
    <w:p w:rsidR="000B2AA7" w:rsidRPr="00131B9D" w:rsidRDefault="000B2AA7" w:rsidP="000B2AA7"/>
    <w:p w:rsidR="000B2AA7" w:rsidRPr="00131B9D" w:rsidRDefault="00871F8F" w:rsidP="000B2AA7">
      <w:pPr>
        <w:spacing w:line="0" w:lineRule="atLeast"/>
      </w:pPr>
      <w:r w:rsidRPr="00131B9D">
        <w:rPr>
          <w:noProof/>
        </w:rPr>
        <w:drawing>
          <wp:inline distT="0" distB="0" distL="0" distR="0" wp14:anchorId="55DDF4A7" wp14:editId="3EFF9E6F">
            <wp:extent cx="5274000" cy="2419200"/>
            <wp:effectExtent l="0" t="0" r="0" b="0"/>
            <wp:docPr id="40" name="圖表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rsidR="000B2AA7" w:rsidRPr="00131B9D" w:rsidRDefault="000B2AA7" w:rsidP="000B2AA7">
      <w:pPr>
        <w:pStyle w:val="-"/>
        <w:snapToGrid/>
        <w:spacing w:beforeLines="0" w:afterLines="0" w:line="0" w:lineRule="atLeast"/>
        <w:ind w:firstLine="400"/>
        <w:rPr>
          <w:kern w:val="0"/>
          <w:sz w:val="20"/>
          <w:szCs w:val="20"/>
        </w:rPr>
      </w:pPr>
      <w:r w:rsidRPr="00131B9D">
        <w:rPr>
          <w:kern w:val="0"/>
          <w:sz w:val="20"/>
          <w:szCs w:val="20"/>
        </w:rPr>
        <w:t>資料來源：本文整理</w:t>
      </w:r>
    </w:p>
    <w:p w:rsidR="000B2AA7" w:rsidRPr="00131B9D" w:rsidRDefault="00F20AF7" w:rsidP="00F20AF7">
      <w:pPr>
        <w:pStyle w:val="afff5"/>
        <w:spacing w:line="0" w:lineRule="atLeast"/>
        <w:jc w:val="center"/>
      </w:pPr>
      <w:bookmarkStart w:id="423" w:name="_Toc437958984"/>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13</w:t>
      </w:r>
      <w:r w:rsidRPr="00131B9D">
        <w:rPr>
          <w:rFonts w:eastAsia="標楷體"/>
          <w:b/>
          <w:bCs/>
          <w:kern w:val="52"/>
          <w:sz w:val="28"/>
          <w:szCs w:val="28"/>
        </w:rPr>
        <w:fldChar w:fldCharType="end"/>
      </w:r>
      <w:r w:rsidR="000B2AA7" w:rsidRPr="00131B9D">
        <w:rPr>
          <w:rFonts w:eastAsia="標楷體"/>
          <w:b/>
          <w:bCs/>
          <w:kern w:val="52"/>
          <w:sz w:val="28"/>
          <w:szCs w:val="28"/>
        </w:rPr>
        <w:t xml:space="preserve">　吐司價格長期走勢</w:t>
      </w:r>
      <w:r w:rsidR="00FD4A1A" w:rsidRPr="00131B9D">
        <w:rPr>
          <w:rFonts w:eastAsia="標楷體"/>
          <w:b/>
          <w:bCs/>
          <w:kern w:val="52"/>
          <w:sz w:val="28"/>
          <w:szCs w:val="28"/>
        </w:rPr>
        <w:t>圖</w:t>
      </w:r>
      <w:bookmarkEnd w:id="423"/>
    </w:p>
    <w:p w:rsidR="00CB049E" w:rsidRPr="00131B9D" w:rsidRDefault="00CB049E" w:rsidP="00CB049E"/>
    <w:p w:rsidR="000B2AA7" w:rsidRPr="00131B9D" w:rsidRDefault="000B2AA7" w:rsidP="000B2AA7">
      <w:pPr>
        <w:pStyle w:val="2"/>
        <w:spacing w:before="108" w:after="108"/>
        <w:rPr>
          <w:rFonts w:ascii="Times New Roman" w:hAnsi="Times New Roman"/>
        </w:rPr>
      </w:pPr>
      <w:bookmarkStart w:id="424" w:name="_Toc439162963"/>
      <w:r w:rsidRPr="00131B9D">
        <w:rPr>
          <w:rFonts w:ascii="Times New Roman" w:hAnsi="Times New Roman"/>
        </w:rPr>
        <w:t>四、加工肉品類</w:t>
      </w:r>
      <w:bookmarkEnd w:id="424"/>
    </w:p>
    <w:p w:rsidR="000850CD" w:rsidRPr="00131B9D" w:rsidRDefault="000850CD" w:rsidP="000850CD">
      <w:pPr>
        <w:pStyle w:val="-"/>
        <w:spacing w:before="72" w:after="72"/>
        <w:ind w:firstLine="560"/>
      </w:pPr>
      <w:r w:rsidRPr="00131B9D">
        <w:t>2014</w:t>
      </w:r>
      <w:r w:rsidRPr="00131B9D">
        <w:t>年</w:t>
      </w:r>
      <w:r w:rsidRPr="00131B9D">
        <w:t>1</w:t>
      </w:r>
      <w:r w:rsidRPr="00131B9D">
        <w:t>月至</w:t>
      </w:r>
      <w:r w:rsidRPr="00131B9D">
        <w:t>2015</w:t>
      </w:r>
      <w:r w:rsidRPr="00131B9D">
        <w:t>年</w:t>
      </w:r>
      <w:r w:rsidR="00871F8F" w:rsidRPr="00131B9D">
        <w:t>11</w:t>
      </w:r>
      <w:r w:rsidRPr="00131B9D">
        <w:t>月各通路加工肉品價格走勢彙整如圖</w:t>
      </w:r>
      <w:r w:rsidR="00A65AB2" w:rsidRPr="00131B9D">
        <w:t>4-1</w:t>
      </w:r>
      <w:r w:rsidR="00B22245" w:rsidRPr="00131B9D">
        <w:t>4</w:t>
      </w:r>
      <w:r w:rsidR="00157707" w:rsidRPr="00131B9D">
        <w:t>、</w:t>
      </w:r>
      <w:r w:rsidR="00A65AB2" w:rsidRPr="00131B9D">
        <w:t>4-1</w:t>
      </w:r>
      <w:r w:rsidR="00B22245" w:rsidRPr="00131B9D">
        <w:t>5</w:t>
      </w:r>
      <w:r w:rsidR="00157707" w:rsidRPr="00131B9D">
        <w:t>與</w:t>
      </w:r>
      <w:r w:rsidR="00A65AB2" w:rsidRPr="00131B9D">
        <w:t>4-1</w:t>
      </w:r>
      <w:r w:rsidR="00B22245" w:rsidRPr="00131B9D">
        <w:t>6</w:t>
      </w:r>
      <w:r w:rsidRPr="00131B9D">
        <w:t>。本研究調查品項包括桂冠牌貢丸、黑橋牌香腸以及新東陽肉鬆等，</w:t>
      </w:r>
      <w:r w:rsidRPr="00131B9D">
        <w:t>2015</w:t>
      </w:r>
      <w:r w:rsidRPr="00131B9D">
        <w:t>年</w:t>
      </w:r>
      <w:r w:rsidRPr="00131B9D">
        <w:t>1</w:t>
      </w:r>
      <w:r w:rsidRPr="00131B9D">
        <w:t>月至</w:t>
      </w:r>
      <w:r w:rsidR="00B22245" w:rsidRPr="00131B9D">
        <w:t>11</w:t>
      </w:r>
      <w:r w:rsidRPr="00131B9D">
        <w:t>月平均價格彙整如表</w:t>
      </w:r>
      <w:r w:rsidR="00A65AB2" w:rsidRPr="00131B9D">
        <w:t>4</w:t>
      </w:r>
      <w:r w:rsidR="00157707" w:rsidRPr="00131B9D">
        <w:t>-</w:t>
      </w:r>
      <w:r w:rsidR="00572B36" w:rsidRPr="00131B9D">
        <w:t>5</w:t>
      </w:r>
      <w:r w:rsidRPr="00131B9D">
        <w:t>，除特定品項新東陽肉鬆價格變動幅度較大，其餘加工肉品類價格則呈震盪走勢。</w:t>
      </w:r>
    </w:p>
    <w:p w:rsidR="00A42BA2" w:rsidRPr="00131B9D" w:rsidRDefault="00B22245" w:rsidP="00A42BA2">
      <w:r w:rsidRPr="00131B9D">
        <w:rPr>
          <w:noProof/>
        </w:rPr>
        <w:lastRenderedPageBreak/>
        <w:drawing>
          <wp:inline distT="0" distB="0" distL="0" distR="0" wp14:anchorId="6F6DD426" wp14:editId="6370AF1D">
            <wp:extent cx="5273675" cy="2076450"/>
            <wp:effectExtent l="0" t="0" r="3175" b="0"/>
            <wp:docPr id="45" name="圖表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5260CB" w:rsidRPr="00131B9D" w:rsidRDefault="00A65AB2" w:rsidP="00A65AB2">
      <w:pPr>
        <w:pStyle w:val="afff5"/>
        <w:spacing w:line="0" w:lineRule="atLeast"/>
        <w:jc w:val="center"/>
      </w:pPr>
      <w:bookmarkStart w:id="425" w:name="_Toc437958985"/>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14</w:t>
      </w:r>
      <w:r w:rsidRPr="00131B9D">
        <w:rPr>
          <w:rFonts w:eastAsia="標楷體"/>
          <w:b/>
          <w:bCs/>
          <w:kern w:val="52"/>
          <w:sz w:val="28"/>
          <w:szCs w:val="28"/>
        </w:rPr>
        <w:fldChar w:fldCharType="end"/>
      </w:r>
      <w:r w:rsidR="005260CB" w:rsidRPr="00131B9D">
        <w:rPr>
          <w:rFonts w:eastAsia="標楷體"/>
          <w:b/>
          <w:bCs/>
          <w:kern w:val="52"/>
          <w:sz w:val="28"/>
          <w:szCs w:val="28"/>
        </w:rPr>
        <w:t xml:space="preserve">　桂冠牌貢丸價格長期走勢</w:t>
      </w:r>
      <w:r w:rsidR="00FD4A1A" w:rsidRPr="00131B9D">
        <w:rPr>
          <w:rFonts w:eastAsia="標楷體"/>
          <w:b/>
          <w:bCs/>
          <w:kern w:val="52"/>
          <w:sz w:val="28"/>
          <w:szCs w:val="28"/>
        </w:rPr>
        <w:t>圖</w:t>
      </w:r>
      <w:bookmarkEnd w:id="425"/>
    </w:p>
    <w:p w:rsidR="005260CB" w:rsidRPr="00131B9D" w:rsidRDefault="005260CB" w:rsidP="00A42BA2"/>
    <w:p w:rsidR="005260CB" w:rsidRPr="00131B9D" w:rsidRDefault="00834209" w:rsidP="00A42BA2">
      <w:r w:rsidRPr="00131B9D">
        <w:rPr>
          <w:noProof/>
        </w:rPr>
        <w:drawing>
          <wp:inline distT="0" distB="0" distL="0" distR="0" wp14:anchorId="74FAC85E" wp14:editId="53E5C05F">
            <wp:extent cx="5248275" cy="2257425"/>
            <wp:effectExtent l="0" t="0" r="0" b="0"/>
            <wp:docPr id="47" name="圖表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5260CB" w:rsidRPr="00131B9D" w:rsidRDefault="00A65AB2" w:rsidP="00A65AB2">
      <w:pPr>
        <w:pStyle w:val="afff5"/>
        <w:spacing w:line="0" w:lineRule="atLeast"/>
        <w:jc w:val="center"/>
      </w:pPr>
      <w:bookmarkStart w:id="426" w:name="_Toc437958986"/>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15</w:t>
      </w:r>
      <w:r w:rsidRPr="00131B9D">
        <w:rPr>
          <w:rFonts w:eastAsia="標楷體"/>
          <w:b/>
          <w:bCs/>
          <w:kern w:val="52"/>
          <w:sz w:val="28"/>
          <w:szCs w:val="28"/>
        </w:rPr>
        <w:fldChar w:fldCharType="end"/>
      </w:r>
      <w:r w:rsidR="005260CB" w:rsidRPr="00131B9D">
        <w:rPr>
          <w:rFonts w:eastAsia="標楷體"/>
          <w:b/>
          <w:bCs/>
          <w:kern w:val="52"/>
          <w:sz w:val="28"/>
          <w:szCs w:val="28"/>
        </w:rPr>
        <w:t xml:space="preserve">　黑橋牌香腸價格長期走勢</w:t>
      </w:r>
      <w:r w:rsidR="00FD4A1A" w:rsidRPr="00131B9D">
        <w:rPr>
          <w:rFonts w:eastAsia="標楷體"/>
          <w:b/>
          <w:bCs/>
          <w:kern w:val="52"/>
          <w:sz w:val="28"/>
          <w:szCs w:val="28"/>
        </w:rPr>
        <w:t>圖</w:t>
      </w:r>
      <w:bookmarkEnd w:id="426"/>
    </w:p>
    <w:p w:rsidR="005260CB" w:rsidRPr="00131B9D" w:rsidRDefault="005260CB" w:rsidP="00A42BA2">
      <w:pPr>
        <w:rPr>
          <w:sz w:val="16"/>
        </w:rPr>
      </w:pPr>
    </w:p>
    <w:p w:rsidR="005260CB" w:rsidRPr="00131B9D" w:rsidRDefault="00074B7C" w:rsidP="00A42BA2">
      <w:r w:rsidRPr="00131B9D">
        <w:rPr>
          <w:noProof/>
        </w:rPr>
        <w:drawing>
          <wp:inline distT="0" distB="0" distL="0" distR="0" wp14:anchorId="3011F107" wp14:editId="3B585E54">
            <wp:extent cx="5334635" cy="2371725"/>
            <wp:effectExtent l="0" t="0" r="0" b="0"/>
            <wp:docPr id="52" name="圖表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E6156E" w:rsidRPr="00131B9D" w:rsidRDefault="00A65AB2" w:rsidP="00A65AB2">
      <w:pPr>
        <w:pStyle w:val="afff5"/>
        <w:spacing w:line="0" w:lineRule="atLeast"/>
        <w:jc w:val="center"/>
        <w:rPr>
          <w:rFonts w:eastAsia="標楷體"/>
          <w:b/>
          <w:bCs/>
          <w:kern w:val="52"/>
          <w:sz w:val="28"/>
          <w:szCs w:val="28"/>
        </w:rPr>
        <w:sectPr w:rsidR="00E6156E" w:rsidRPr="00131B9D" w:rsidSect="005D32EF">
          <w:pgSz w:w="11906" w:h="16838"/>
          <w:pgMar w:top="1440" w:right="1800" w:bottom="1440" w:left="1800" w:header="851" w:footer="992" w:gutter="0"/>
          <w:cols w:space="425"/>
          <w:docGrid w:type="linesAndChars" w:linePitch="360"/>
        </w:sectPr>
      </w:pPr>
      <w:bookmarkStart w:id="427" w:name="_Toc437958987"/>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16</w:t>
      </w:r>
      <w:r w:rsidRPr="00131B9D">
        <w:rPr>
          <w:rFonts w:eastAsia="標楷體"/>
          <w:b/>
          <w:bCs/>
          <w:kern w:val="52"/>
          <w:sz w:val="28"/>
          <w:szCs w:val="28"/>
        </w:rPr>
        <w:fldChar w:fldCharType="end"/>
      </w:r>
      <w:r w:rsidR="005260CB" w:rsidRPr="00131B9D">
        <w:rPr>
          <w:rFonts w:eastAsia="標楷體"/>
          <w:b/>
          <w:bCs/>
          <w:kern w:val="52"/>
          <w:sz w:val="28"/>
          <w:szCs w:val="28"/>
        </w:rPr>
        <w:t xml:space="preserve">　新東陽肉鬆價格長期走勢</w:t>
      </w:r>
      <w:r w:rsidR="00FD4A1A" w:rsidRPr="00131B9D">
        <w:rPr>
          <w:rFonts w:eastAsia="標楷體"/>
          <w:b/>
          <w:bCs/>
          <w:kern w:val="52"/>
          <w:sz w:val="28"/>
          <w:szCs w:val="28"/>
        </w:rPr>
        <w:t>圖</w:t>
      </w:r>
      <w:bookmarkEnd w:id="427"/>
    </w:p>
    <w:p w:rsidR="004A537F" w:rsidRPr="00131B9D" w:rsidRDefault="00A65AB2" w:rsidP="00D2493C">
      <w:pPr>
        <w:pStyle w:val="aff1"/>
        <w:spacing w:line="0" w:lineRule="atLeast"/>
        <w:rPr>
          <w:b w:val="0"/>
          <w:bCs/>
          <w:kern w:val="52"/>
          <w:szCs w:val="28"/>
        </w:rPr>
      </w:pPr>
      <w:bookmarkStart w:id="428" w:name="_Toc439163009"/>
      <w:r w:rsidRPr="00131B9D">
        <w:rPr>
          <w:bCs/>
          <w:kern w:val="52"/>
          <w:szCs w:val="28"/>
        </w:rPr>
        <w:lastRenderedPageBreak/>
        <w:t>表</w:t>
      </w:r>
      <w:r w:rsidRPr="00131B9D">
        <w:rPr>
          <w:bCs/>
          <w:kern w:val="52"/>
          <w:szCs w:val="28"/>
        </w:rPr>
        <w:t xml:space="preserve">4- </w:t>
      </w:r>
      <w:r w:rsidR="00572B36" w:rsidRPr="00131B9D">
        <w:rPr>
          <w:bCs/>
          <w:kern w:val="52"/>
          <w:szCs w:val="28"/>
        </w:rPr>
        <w:t>5</w:t>
      </w:r>
      <w:r w:rsidR="004A537F" w:rsidRPr="00131B9D">
        <w:rPr>
          <w:bCs/>
          <w:kern w:val="52"/>
          <w:szCs w:val="28"/>
        </w:rPr>
        <w:t xml:space="preserve">　加工肉品價格</w:t>
      </w:r>
      <w:r w:rsidR="004A537F" w:rsidRPr="00131B9D">
        <w:rPr>
          <w:szCs w:val="28"/>
        </w:rPr>
        <w:t>變化</w:t>
      </w:r>
      <w:bookmarkEnd w:id="428"/>
    </w:p>
    <w:tbl>
      <w:tblPr>
        <w:tblStyle w:val="a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2"/>
        <w:gridCol w:w="1231"/>
        <w:gridCol w:w="1081"/>
        <w:gridCol w:w="1349"/>
        <w:gridCol w:w="1279"/>
        <w:gridCol w:w="1151"/>
      </w:tblGrid>
      <w:tr w:rsidR="000850CD" w:rsidRPr="00131B9D" w:rsidTr="00834209">
        <w:trPr>
          <w:jc w:val="center"/>
        </w:trPr>
        <w:tc>
          <w:tcPr>
            <w:tcW w:w="1232" w:type="dxa"/>
            <w:tcBorders>
              <w:top w:val="single" w:sz="12" w:space="0" w:color="auto"/>
              <w:bottom w:val="single" w:sz="4" w:space="0" w:color="auto"/>
            </w:tcBorders>
            <w:vAlign w:val="center"/>
          </w:tcPr>
          <w:p w:rsidR="000850CD" w:rsidRPr="00131B9D" w:rsidRDefault="000850CD" w:rsidP="000850CD">
            <w:pPr>
              <w:spacing w:line="0" w:lineRule="atLeast"/>
              <w:jc w:val="center"/>
            </w:pPr>
            <w:r w:rsidRPr="00131B9D">
              <w:t>品項</w:t>
            </w:r>
          </w:p>
        </w:tc>
        <w:tc>
          <w:tcPr>
            <w:tcW w:w="1231" w:type="dxa"/>
            <w:tcBorders>
              <w:top w:val="single" w:sz="12" w:space="0" w:color="auto"/>
              <w:bottom w:val="single" w:sz="4" w:space="0" w:color="auto"/>
            </w:tcBorders>
            <w:vAlign w:val="center"/>
          </w:tcPr>
          <w:p w:rsidR="000850CD" w:rsidRPr="00131B9D" w:rsidRDefault="000850CD" w:rsidP="000850CD">
            <w:pPr>
              <w:widowControl/>
              <w:spacing w:line="0" w:lineRule="atLeast"/>
              <w:jc w:val="center"/>
              <w:rPr>
                <w:color w:val="000000"/>
              </w:rPr>
            </w:pPr>
            <w:r w:rsidRPr="00131B9D">
              <w:rPr>
                <w:color w:val="000000"/>
              </w:rPr>
              <w:t>通路</w:t>
            </w:r>
          </w:p>
        </w:tc>
        <w:tc>
          <w:tcPr>
            <w:tcW w:w="1081" w:type="dxa"/>
            <w:tcBorders>
              <w:top w:val="single" w:sz="12" w:space="0" w:color="auto"/>
              <w:bottom w:val="single" w:sz="4" w:space="0" w:color="auto"/>
            </w:tcBorders>
            <w:vAlign w:val="center"/>
          </w:tcPr>
          <w:p w:rsidR="000850CD" w:rsidRPr="00131B9D" w:rsidRDefault="000850CD" w:rsidP="000850CD">
            <w:pPr>
              <w:widowControl/>
              <w:spacing w:line="0" w:lineRule="atLeast"/>
              <w:jc w:val="center"/>
            </w:pPr>
            <w:r w:rsidRPr="00131B9D">
              <w:t>規格</w:t>
            </w:r>
          </w:p>
        </w:tc>
        <w:tc>
          <w:tcPr>
            <w:tcW w:w="1349" w:type="dxa"/>
            <w:tcBorders>
              <w:top w:val="single" w:sz="12" w:space="0" w:color="auto"/>
              <w:bottom w:val="single" w:sz="4" w:space="0" w:color="auto"/>
            </w:tcBorders>
            <w:vAlign w:val="center"/>
          </w:tcPr>
          <w:p w:rsidR="004A537F" w:rsidRPr="00131B9D" w:rsidRDefault="000850CD" w:rsidP="000850CD">
            <w:pPr>
              <w:widowControl/>
              <w:spacing w:line="0" w:lineRule="atLeast"/>
              <w:jc w:val="center"/>
              <w:rPr>
                <w:color w:val="000000"/>
              </w:rPr>
            </w:pPr>
            <w:r w:rsidRPr="00131B9D">
              <w:rPr>
                <w:color w:val="000000"/>
              </w:rPr>
              <w:t>2014</w:t>
            </w:r>
          </w:p>
          <w:p w:rsidR="000850CD" w:rsidRPr="00131B9D" w:rsidRDefault="004A537F" w:rsidP="000850CD">
            <w:pPr>
              <w:widowControl/>
              <w:spacing w:line="0" w:lineRule="atLeast"/>
              <w:jc w:val="center"/>
              <w:rPr>
                <w:color w:val="000000"/>
              </w:rPr>
            </w:pPr>
            <w:r w:rsidRPr="00131B9D">
              <w:rPr>
                <w:color w:val="000000"/>
              </w:rPr>
              <w:t>1-</w:t>
            </w:r>
            <w:r w:rsidR="00834209" w:rsidRPr="00131B9D">
              <w:rPr>
                <w:color w:val="000000"/>
              </w:rPr>
              <w:t>11</w:t>
            </w:r>
            <w:r w:rsidRPr="00131B9D">
              <w:rPr>
                <w:color w:val="000000"/>
              </w:rPr>
              <w:t>月</w:t>
            </w:r>
            <w:r w:rsidR="000850CD" w:rsidRPr="00131B9D">
              <w:rPr>
                <w:color w:val="000000"/>
              </w:rPr>
              <w:t>平均</w:t>
            </w:r>
          </w:p>
        </w:tc>
        <w:tc>
          <w:tcPr>
            <w:tcW w:w="1279" w:type="dxa"/>
            <w:tcBorders>
              <w:top w:val="single" w:sz="12" w:space="0" w:color="auto"/>
              <w:bottom w:val="single" w:sz="4" w:space="0" w:color="auto"/>
            </w:tcBorders>
            <w:vAlign w:val="center"/>
          </w:tcPr>
          <w:p w:rsidR="004A537F" w:rsidRPr="00131B9D" w:rsidRDefault="000850CD" w:rsidP="000850CD">
            <w:pPr>
              <w:widowControl/>
              <w:spacing w:line="0" w:lineRule="atLeast"/>
              <w:jc w:val="center"/>
              <w:rPr>
                <w:color w:val="000000"/>
              </w:rPr>
            </w:pPr>
            <w:r w:rsidRPr="00131B9D">
              <w:rPr>
                <w:color w:val="000000"/>
              </w:rPr>
              <w:t>2015</w:t>
            </w:r>
          </w:p>
          <w:p w:rsidR="000850CD" w:rsidRPr="00131B9D" w:rsidRDefault="00834209" w:rsidP="000850CD">
            <w:pPr>
              <w:widowControl/>
              <w:spacing w:line="0" w:lineRule="atLeast"/>
              <w:jc w:val="center"/>
              <w:rPr>
                <w:color w:val="000000"/>
              </w:rPr>
            </w:pPr>
            <w:r w:rsidRPr="00131B9D">
              <w:rPr>
                <w:color w:val="000000"/>
              </w:rPr>
              <w:t>1-11</w:t>
            </w:r>
            <w:r w:rsidR="004A537F" w:rsidRPr="00131B9D">
              <w:rPr>
                <w:color w:val="000000"/>
              </w:rPr>
              <w:t>月</w:t>
            </w:r>
            <w:r w:rsidR="000850CD" w:rsidRPr="00131B9D">
              <w:rPr>
                <w:color w:val="000000"/>
              </w:rPr>
              <w:t>平均</w:t>
            </w:r>
          </w:p>
        </w:tc>
        <w:tc>
          <w:tcPr>
            <w:tcW w:w="1151" w:type="dxa"/>
            <w:tcBorders>
              <w:top w:val="single" w:sz="12" w:space="0" w:color="auto"/>
              <w:bottom w:val="single" w:sz="4" w:space="0" w:color="auto"/>
            </w:tcBorders>
            <w:vAlign w:val="center"/>
          </w:tcPr>
          <w:p w:rsidR="00BC5A34" w:rsidRPr="00131B9D" w:rsidRDefault="00FE5933" w:rsidP="000850CD">
            <w:pPr>
              <w:widowControl/>
              <w:spacing w:line="0" w:lineRule="atLeast"/>
              <w:jc w:val="center"/>
              <w:rPr>
                <w:color w:val="000000"/>
              </w:rPr>
            </w:pPr>
            <w:r w:rsidRPr="00131B9D">
              <w:rPr>
                <w:color w:val="000000"/>
              </w:rPr>
              <w:t>累計</w:t>
            </w:r>
          </w:p>
          <w:p w:rsidR="000850CD" w:rsidRPr="00131B9D" w:rsidRDefault="000850CD" w:rsidP="000850CD">
            <w:pPr>
              <w:widowControl/>
              <w:spacing w:line="0" w:lineRule="atLeast"/>
              <w:jc w:val="center"/>
              <w:rPr>
                <w:color w:val="000000"/>
              </w:rPr>
            </w:pPr>
            <w:r w:rsidRPr="00131B9D">
              <w:rPr>
                <w:color w:val="000000"/>
              </w:rPr>
              <w:t>變動幅度</w:t>
            </w:r>
          </w:p>
        </w:tc>
      </w:tr>
      <w:tr w:rsidR="00834209" w:rsidRPr="00131B9D" w:rsidTr="00834209">
        <w:trPr>
          <w:trHeight w:val="133"/>
          <w:jc w:val="center"/>
        </w:trPr>
        <w:tc>
          <w:tcPr>
            <w:tcW w:w="1232" w:type="dxa"/>
            <w:vMerge w:val="restart"/>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桂冠牌貢丸</w:t>
            </w:r>
          </w:p>
        </w:tc>
        <w:tc>
          <w:tcPr>
            <w:tcW w:w="1231" w:type="dxa"/>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便利店</w:t>
            </w:r>
          </w:p>
        </w:tc>
        <w:tc>
          <w:tcPr>
            <w:tcW w:w="1081" w:type="dxa"/>
            <w:tcBorders>
              <w:top w:val="single" w:sz="4" w:space="0" w:color="auto"/>
            </w:tcBorders>
            <w:vAlign w:val="center"/>
          </w:tcPr>
          <w:p w:rsidR="00834209" w:rsidRPr="00131B9D" w:rsidRDefault="00834209" w:rsidP="00834209">
            <w:pPr>
              <w:widowControl/>
              <w:spacing w:line="0" w:lineRule="atLeast"/>
              <w:jc w:val="center"/>
            </w:pPr>
            <w:r w:rsidRPr="00131B9D">
              <w:rPr>
                <w:color w:val="000000"/>
              </w:rPr>
              <w:t>185</w:t>
            </w:r>
            <w:r w:rsidRPr="00131B9D">
              <w:rPr>
                <w:color w:val="000000"/>
              </w:rPr>
              <w:t>公克</w:t>
            </w:r>
          </w:p>
        </w:tc>
        <w:tc>
          <w:tcPr>
            <w:tcW w:w="1349" w:type="dxa"/>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52.0 </w:t>
            </w:r>
          </w:p>
        </w:tc>
        <w:tc>
          <w:tcPr>
            <w:tcW w:w="1279" w:type="dxa"/>
            <w:tcBorders>
              <w:top w:val="single" w:sz="4" w:space="0" w:color="auto"/>
            </w:tcBorders>
            <w:vAlign w:val="center"/>
          </w:tcPr>
          <w:p w:rsidR="00834209" w:rsidRPr="00131B9D" w:rsidRDefault="00834209" w:rsidP="00834209">
            <w:pPr>
              <w:spacing w:line="0" w:lineRule="atLeast"/>
              <w:jc w:val="center"/>
              <w:rPr>
                <w:color w:val="000000"/>
              </w:rPr>
            </w:pPr>
            <w:r w:rsidRPr="00131B9D">
              <w:rPr>
                <w:color w:val="000000"/>
              </w:rPr>
              <w:t xml:space="preserve">52.0 </w:t>
            </w:r>
          </w:p>
        </w:tc>
        <w:tc>
          <w:tcPr>
            <w:tcW w:w="1151" w:type="dxa"/>
            <w:tcBorders>
              <w:top w:val="single" w:sz="4" w:space="0" w:color="auto"/>
            </w:tcBorders>
            <w:vAlign w:val="center"/>
          </w:tcPr>
          <w:p w:rsidR="00834209" w:rsidRPr="00131B9D" w:rsidRDefault="00834209" w:rsidP="00834209">
            <w:pPr>
              <w:spacing w:line="0" w:lineRule="atLeast"/>
              <w:jc w:val="center"/>
              <w:rPr>
                <w:color w:val="000000"/>
              </w:rPr>
            </w:pPr>
            <w:r w:rsidRPr="00131B9D">
              <w:rPr>
                <w:color w:val="000000"/>
              </w:rPr>
              <w:t>0.00%</w:t>
            </w:r>
          </w:p>
        </w:tc>
      </w:tr>
      <w:tr w:rsidR="00834209" w:rsidRPr="00131B9D" w:rsidTr="00834209">
        <w:trPr>
          <w:jc w:val="center"/>
        </w:trPr>
        <w:tc>
          <w:tcPr>
            <w:tcW w:w="1232" w:type="dxa"/>
            <w:vMerge/>
            <w:vAlign w:val="center"/>
          </w:tcPr>
          <w:p w:rsidR="00834209" w:rsidRPr="00131B9D" w:rsidRDefault="00834209" w:rsidP="00834209">
            <w:pPr>
              <w:spacing w:line="0" w:lineRule="atLeast"/>
              <w:jc w:val="center"/>
            </w:pPr>
          </w:p>
        </w:tc>
        <w:tc>
          <w:tcPr>
            <w:tcW w:w="1231" w:type="dxa"/>
            <w:vAlign w:val="center"/>
          </w:tcPr>
          <w:p w:rsidR="00834209" w:rsidRPr="00131B9D" w:rsidRDefault="00834209" w:rsidP="00834209">
            <w:pPr>
              <w:spacing w:line="0" w:lineRule="atLeast"/>
              <w:jc w:val="center"/>
            </w:pPr>
            <w:r w:rsidRPr="00131B9D">
              <w:rPr>
                <w:color w:val="000000"/>
              </w:rPr>
              <w:t>超市</w:t>
            </w:r>
          </w:p>
        </w:tc>
        <w:tc>
          <w:tcPr>
            <w:tcW w:w="1081" w:type="dxa"/>
            <w:vAlign w:val="center"/>
          </w:tcPr>
          <w:p w:rsidR="00834209" w:rsidRPr="00131B9D" w:rsidRDefault="00834209" w:rsidP="00834209">
            <w:pPr>
              <w:widowControl/>
              <w:spacing w:line="0" w:lineRule="atLeast"/>
              <w:jc w:val="center"/>
              <w:rPr>
                <w:color w:val="000000"/>
              </w:rPr>
            </w:pPr>
            <w:r w:rsidRPr="00131B9D">
              <w:rPr>
                <w:color w:val="000000"/>
              </w:rPr>
              <w:t>430</w:t>
            </w:r>
            <w:r w:rsidRPr="00131B9D">
              <w:rPr>
                <w:color w:val="000000"/>
              </w:rPr>
              <w:t>公克</w:t>
            </w:r>
          </w:p>
        </w:tc>
        <w:tc>
          <w:tcPr>
            <w:tcW w:w="1349" w:type="dxa"/>
            <w:vAlign w:val="center"/>
          </w:tcPr>
          <w:p w:rsidR="00834209" w:rsidRPr="00131B9D" w:rsidRDefault="00834209" w:rsidP="00834209">
            <w:pPr>
              <w:widowControl/>
              <w:spacing w:line="0" w:lineRule="atLeast"/>
              <w:jc w:val="center"/>
              <w:rPr>
                <w:color w:val="000000"/>
              </w:rPr>
            </w:pPr>
            <w:r w:rsidRPr="00131B9D">
              <w:rPr>
                <w:color w:val="000000"/>
              </w:rPr>
              <w:t xml:space="preserve">105.2 </w:t>
            </w:r>
          </w:p>
        </w:tc>
        <w:tc>
          <w:tcPr>
            <w:tcW w:w="1279" w:type="dxa"/>
            <w:vAlign w:val="center"/>
          </w:tcPr>
          <w:p w:rsidR="00834209" w:rsidRPr="00131B9D" w:rsidRDefault="00834209" w:rsidP="00834209">
            <w:pPr>
              <w:widowControl/>
              <w:spacing w:line="0" w:lineRule="atLeast"/>
              <w:jc w:val="center"/>
              <w:rPr>
                <w:color w:val="000000"/>
              </w:rPr>
            </w:pPr>
            <w:r w:rsidRPr="00131B9D">
              <w:rPr>
                <w:color w:val="000000"/>
              </w:rPr>
              <w:t xml:space="preserve">106.4 </w:t>
            </w:r>
          </w:p>
        </w:tc>
        <w:tc>
          <w:tcPr>
            <w:tcW w:w="1151" w:type="dxa"/>
            <w:vAlign w:val="center"/>
          </w:tcPr>
          <w:p w:rsidR="00834209" w:rsidRPr="00131B9D" w:rsidRDefault="00834209" w:rsidP="00834209">
            <w:pPr>
              <w:widowControl/>
              <w:spacing w:line="0" w:lineRule="atLeast"/>
              <w:jc w:val="center"/>
              <w:rPr>
                <w:color w:val="000000"/>
              </w:rPr>
            </w:pPr>
            <w:r w:rsidRPr="00131B9D">
              <w:rPr>
                <w:color w:val="000000"/>
              </w:rPr>
              <w:t>1.14%</w:t>
            </w:r>
          </w:p>
        </w:tc>
      </w:tr>
      <w:tr w:rsidR="00834209" w:rsidRPr="00131B9D" w:rsidTr="00834209">
        <w:trPr>
          <w:jc w:val="center"/>
        </w:trPr>
        <w:tc>
          <w:tcPr>
            <w:tcW w:w="1232" w:type="dxa"/>
            <w:vMerge/>
            <w:tcBorders>
              <w:bottom w:val="single" w:sz="4" w:space="0" w:color="auto"/>
            </w:tcBorders>
            <w:vAlign w:val="center"/>
          </w:tcPr>
          <w:p w:rsidR="00834209" w:rsidRPr="00131B9D" w:rsidRDefault="00834209" w:rsidP="00834209">
            <w:pPr>
              <w:spacing w:line="0" w:lineRule="atLeast"/>
              <w:jc w:val="center"/>
              <w:rPr>
                <w:color w:val="000000"/>
              </w:rPr>
            </w:pPr>
          </w:p>
        </w:tc>
        <w:tc>
          <w:tcPr>
            <w:tcW w:w="1231" w:type="dxa"/>
            <w:tcBorders>
              <w:bottom w:val="single" w:sz="4" w:space="0" w:color="auto"/>
            </w:tcBorders>
            <w:vAlign w:val="center"/>
          </w:tcPr>
          <w:p w:rsidR="00834209" w:rsidRPr="00131B9D" w:rsidRDefault="00834209" w:rsidP="00834209">
            <w:pPr>
              <w:spacing w:line="0" w:lineRule="atLeast"/>
              <w:jc w:val="center"/>
              <w:rPr>
                <w:color w:val="000000"/>
              </w:rPr>
            </w:pPr>
            <w:r w:rsidRPr="00131B9D">
              <w:rPr>
                <w:color w:val="000000"/>
              </w:rPr>
              <w:t>量販店</w:t>
            </w:r>
          </w:p>
        </w:tc>
        <w:tc>
          <w:tcPr>
            <w:tcW w:w="1081" w:type="dxa"/>
            <w:tcBorders>
              <w:bottom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430</w:t>
            </w:r>
            <w:r w:rsidRPr="00131B9D">
              <w:rPr>
                <w:color w:val="000000"/>
              </w:rPr>
              <w:t>公克</w:t>
            </w:r>
          </w:p>
        </w:tc>
        <w:tc>
          <w:tcPr>
            <w:tcW w:w="1349" w:type="dxa"/>
            <w:tcBorders>
              <w:bottom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87.1 </w:t>
            </w:r>
          </w:p>
        </w:tc>
        <w:tc>
          <w:tcPr>
            <w:tcW w:w="1279" w:type="dxa"/>
            <w:tcBorders>
              <w:bottom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92.5 </w:t>
            </w:r>
          </w:p>
        </w:tc>
        <w:tc>
          <w:tcPr>
            <w:tcW w:w="1151" w:type="dxa"/>
            <w:tcBorders>
              <w:bottom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6.12%</w:t>
            </w:r>
          </w:p>
        </w:tc>
      </w:tr>
      <w:tr w:rsidR="00834209" w:rsidRPr="00131B9D" w:rsidTr="00834209">
        <w:trPr>
          <w:jc w:val="center"/>
        </w:trPr>
        <w:tc>
          <w:tcPr>
            <w:tcW w:w="1232" w:type="dxa"/>
            <w:vMerge w:val="restart"/>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黑橋牌香腸</w:t>
            </w:r>
          </w:p>
        </w:tc>
        <w:tc>
          <w:tcPr>
            <w:tcW w:w="1231" w:type="dxa"/>
            <w:tcBorders>
              <w:top w:val="single" w:sz="4" w:space="0" w:color="auto"/>
            </w:tcBorders>
            <w:vAlign w:val="center"/>
          </w:tcPr>
          <w:p w:rsidR="00834209" w:rsidRPr="00131B9D" w:rsidRDefault="00834209" w:rsidP="00834209">
            <w:pPr>
              <w:spacing w:line="0" w:lineRule="atLeast"/>
              <w:jc w:val="center"/>
            </w:pPr>
            <w:r w:rsidRPr="00131B9D">
              <w:rPr>
                <w:color w:val="000000"/>
              </w:rPr>
              <w:t>超市</w:t>
            </w:r>
          </w:p>
        </w:tc>
        <w:tc>
          <w:tcPr>
            <w:tcW w:w="1081" w:type="dxa"/>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320</w:t>
            </w:r>
            <w:r w:rsidRPr="00131B9D">
              <w:rPr>
                <w:color w:val="000000"/>
              </w:rPr>
              <w:t>公克</w:t>
            </w:r>
          </w:p>
        </w:tc>
        <w:tc>
          <w:tcPr>
            <w:tcW w:w="1349" w:type="dxa"/>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123.7 </w:t>
            </w:r>
          </w:p>
        </w:tc>
        <w:tc>
          <w:tcPr>
            <w:tcW w:w="1279" w:type="dxa"/>
            <w:tcBorders>
              <w:top w:val="single" w:sz="4" w:space="0" w:color="auto"/>
            </w:tcBorders>
            <w:vAlign w:val="center"/>
          </w:tcPr>
          <w:p w:rsidR="00834209" w:rsidRPr="00131B9D" w:rsidRDefault="00834209" w:rsidP="00834209">
            <w:pPr>
              <w:spacing w:line="0" w:lineRule="atLeast"/>
              <w:jc w:val="center"/>
              <w:rPr>
                <w:color w:val="000000"/>
              </w:rPr>
            </w:pPr>
            <w:r w:rsidRPr="00131B9D">
              <w:rPr>
                <w:color w:val="000000"/>
              </w:rPr>
              <w:t xml:space="preserve">121.4 </w:t>
            </w:r>
          </w:p>
        </w:tc>
        <w:tc>
          <w:tcPr>
            <w:tcW w:w="1151" w:type="dxa"/>
            <w:tcBorders>
              <w:top w:val="single" w:sz="4" w:space="0" w:color="auto"/>
            </w:tcBorders>
            <w:vAlign w:val="center"/>
          </w:tcPr>
          <w:p w:rsidR="00834209" w:rsidRPr="00131B9D" w:rsidRDefault="00834209" w:rsidP="00834209">
            <w:pPr>
              <w:spacing w:line="0" w:lineRule="atLeast"/>
              <w:jc w:val="center"/>
              <w:rPr>
                <w:color w:val="000000"/>
              </w:rPr>
            </w:pPr>
            <w:r w:rsidRPr="00131B9D">
              <w:rPr>
                <w:color w:val="000000"/>
              </w:rPr>
              <w:t>-1.88%</w:t>
            </w:r>
          </w:p>
        </w:tc>
      </w:tr>
      <w:tr w:rsidR="00834209" w:rsidRPr="00131B9D" w:rsidTr="00834209">
        <w:trPr>
          <w:jc w:val="center"/>
        </w:trPr>
        <w:tc>
          <w:tcPr>
            <w:tcW w:w="1232" w:type="dxa"/>
            <w:vMerge/>
            <w:tcBorders>
              <w:bottom w:val="single" w:sz="4" w:space="0" w:color="auto"/>
            </w:tcBorders>
            <w:vAlign w:val="center"/>
          </w:tcPr>
          <w:p w:rsidR="00834209" w:rsidRPr="00131B9D" w:rsidRDefault="00834209" w:rsidP="00834209">
            <w:pPr>
              <w:spacing w:line="0" w:lineRule="atLeast"/>
              <w:jc w:val="center"/>
              <w:rPr>
                <w:color w:val="000000"/>
              </w:rPr>
            </w:pPr>
          </w:p>
        </w:tc>
        <w:tc>
          <w:tcPr>
            <w:tcW w:w="1231" w:type="dxa"/>
            <w:tcBorders>
              <w:bottom w:val="single" w:sz="4" w:space="0" w:color="auto"/>
            </w:tcBorders>
            <w:vAlign w:val="center"/>
          </w:tcPr>
          <w:p w:rsidR="00834209" w:rsidRPr="00131B9D" w:rsidRDefault="00834209" w:rsidP="00834209">
            <w:pPr>
              <w:spacing w:line="0" w:lineRule="atLeast"/>
              <w:jc w:val="center"/>
              <w:rPr>
                <w:color w:val="000000"/>
              </w:rPr>
            </w:pPr>
            <w:r w:rsidRPr="00131B9D">
              <w:rPr>
                <w:color w:val="000000"/>
              </w:rPr>
              <w:t>量販店</w:t>
            </w:r>
          </w:p>
        </w:tc>
        <w:tc>
          <w:tcPr>
            <w:tcW w:w="1081" w:type="dxa"/>
            <w:tcBorders>
              <w:bottom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320</w:t>
            </w:r>
            <w:r w:rsidRPr="00131B9D">
              <w:rPr>
                <w:color w:val="000000"/>
              </w:rPr>
              <w:t>公克</w:t>
            </w:r>
          </w:p>
        </w:tc>
        <w:tc>
          <w:tcPr>
            <w:tcW w:w="1349" w:type="dxa"/>
            <w:tcBorders>
              <w:bottom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104.3 </w:t>
            </w:r>
          </w:p>
        </w:tc>
        <w:tc>
          <w:tcPr>
            <w:tcW w:w="1279" w:type="dxa"/>
            <w:tcBorders>
              <w:bottom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107.2 </w:t>
            </w:r>
          </w:p>
        </w:tc>
        <w:tc>
          <w:tcPr>
            <w:tcW w:w="1151" w:type="dxa"/>
            <w:tcBorders>
              <w:bottom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2.74%</w:t>
            </w:r>
          </w:p>
        </w:tc>
      </w:tr>
      <w:tr w:rsidR="00834209" w:rsidRPr="00131B9D" w:rsidTr="00834209">
        <w:trPr>
          <w:jc w:val="center"/>
        </w:trPr>
        <w:tc>
          <w:tcPr>
            <w:tcW w:w="1232" w:type="dxa"/>
            <w:vMerge w:val="restart"/>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新東陽肉鬆</w:t>
            </w:r>
          </w:p>
        </w:tc>
        <w:tc>
          <w:tcPr>
            <w:tcW w:w="1231" w:type="dxa"/>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便利店</w:t>
            </w:r>
          </w:p>
        </w:tc>
        <w:tc>
          <w:tcPr>
            <w:tcW w:w="1081" w:type="dxa"/>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180</w:t>
            </w:r>
            <w:r w:rsidRPr="00131B9D">
              <w:rPr>
                <w:color w:val="000000"/>
              </w:rPr>
              <w:t>公克</w:t>
            </w:r>
          </w:p>
        </w:tc>
        <w:tc>
          <w:tcPr>
            <w:tcW w:w="1349" w:type="dxa"/>
            <w:tcBorders>
              <w:top w:val="single" w:sz="4"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166.2 </w:t>
            </w:r>
          </w:p>
        </w:tc>
        <w:tc>
          <w:tcPr>
            <w:tcW w:w="1279" w:type="dxa"/>
            <w:tcBorders>
              <w:top w:val="single" w:sz="4" w:space="0" w:color="auto"/>
            </w:tcBorders>
            <w:vAlign w:val="center"/>
          </w:tcPr>
          <w:p w:rsidR="00834209" w:rsidRPr="00131B9D" w:rsidRDefault="00834209" w:rsidP="00834209">
            <w:pPr>
              <w:spacing w:line="0" w:lineRule="atLeast"/>
              <w:jc w:val="center"/>
              <w:rPr>
                <w:color w:val="000000"/>
              </w:rPr>
            </w:pPr>
            <w:r w:rsidRPr="00131B9D">
              <w:rPr>
                <w:color w:val="000000"/>
              </w:rPr>
              <w:t xml:space="preserve">179.1 </w:t>
            </w:r>
          </w:p>
        </w:tc>
        <w:tc>
          <w:tcPr>
            <w:tcW w:w="1151" w:type="dxa"/>
            <w:tcBorders>
              <w:top w:val="single" w:sz="4" w:space="0" w:color="auto"/>
            </w:tcBorders>
            <w:vAlign w:val="center"/>
          </w:tcPr>
          <w:p w:rsidR="00834209" w:rsidRPr="00131B9D" w:rsidRDefault="00834209" w:rsidP="00834209">
            <w:pPr>
              <w:spacing w:line="0" w:lineRule="atLeast"/>
              <w:jc w:val="center"/>
              <w:rPr>
                <w:color w:val="000000"/>
              </w:rPr>
            </w:pPr>
            <w:r w:rsidRPr="00131B9D">
              <w:rPr>
                <w:color w:val="000000"/>
              </w:rPr>
              <w:t>7.79%</w:t>
            </w:r>
          </w:p>
        </w:tc>
      </w:tr>
      <w:tr w:rsidR="00834209" w:rsidRPr="00131B9D" w:rsidTr="00834209">
        <w:trPr>
          <w:jc w:val="center"/>
        </w:trPr>
        <w:tc>
          <w:tcPr>
            <w:tcW w:w="1232" w:type="dxa"/>
            <w:vMerge/>
            <w:vAlign w:val="center"/>
          </w:tcPr>
          <w:p w:rsidR="00834209" w:rsidRPr="00131B9D" w:rsidRDefault="00834209" w:rsidP="00834209">
            <w:pPr>
              <w:widowControl/>
              <w:spacing w:line="0" w:lineRule="atLeast"/>
              <w:jc w:val="center"/>
              <w:rPr>
                <w:color w:val="000000"/>
              </w:rPr>
            </w:pPr>
          </w:p>
        </w:tc>
        <w:tc>
          <w:tcPr>
            <w:tcW w:w="1231" w:type="dxa"/>
            <w:vAlign w:val="center"/>
          </w:tcPr>
          <w:p w:rsidR="00834209" w:rsidRPr="00131B9D" w:rsidRDefault="00834209" w:rsidP="00834209">
            <w:pPr>
              <w:spacing w:line="0" w:lineRule="atLeast"/>
              <w:jc w:val="center"/>
            </w:pPr>
            <w:r w:rsidRPr="00131B9D">
              <w:rPr>
                <w:color w:val="000000"/>
              </w:rPr>
              <w:t>超市</w:t>
            </w:r>
          </w:p>
        </w:tc>
        <w:tc>
          <w:tcPr>
            <w:tcW w:w="1081" w:type="dxa"/>
            <w:vAlign w:val="center"/>
          </w:tcPr>
          <w:p w:rsidR="00834209" w:rsidRPr="00131B9D" w:rsidRDefault="00834209" w:rsidP="00834209">
            <w:pPr>
              <w:widowControl/>
              <w:spacing w:line="0" w:lineRule="atLeast"/>
              <w:jc w:val="center"/>
              <w:rPr>
                <w:color w:val="000000"/>
              </w:rPr>
            </w:pPr>
            <w:r w:rsidRPr="00131B9D">
              <w:rPr>
                <w:color w:val="000000"/>
              </w:rPr>
              <w:t>270</w:t>
            </w:r>
            <w:r w:rsidRPr="00131B9D">
              <w:rPr>
                <w:color w:val="000000"/>
              </w:rPr>
              <w:t>公克</w:t>
            </w:r>
          </w:p>
        </w:tc>
        <w:tc>
          <w:tcPr>
            <w:tcW w:w="1349" w:type="dxa"/>
            <w:vAlign w:val="center"/>
          </w:tcPr>
          <w:p w:rsidR="00834209" w:rsidRPr="00131B9D" w:rsidRDefault="00834209" w:rsidP="00834209">
            <w:pPr>
              <w:widowControl/>
              <w:spacing w:line="0" w:lineRule="atLeast"/>
              <w:jc w:val="center"/>
              <w:rPr>
                <w:color w:val="000000"/>
              </w:rPr>
            </w:pPr>
            <w:r w:rsidRPr="00131B9D">
              <w:rPr>
                <w:color w:val="000000"/>
              </w:rPr>
              <w:t xml:space="preserve">192.4 </w:t>
            </w:r>
          </w:p>
        </w:tc>
        <w:tc>
          <w:tcPr>
            <w:tcW w:w="1279" w:type="dxa"/>
            <w:vAlign w:val="center"/>
          </w:tcPr>
          <w:p w:rsidR="00834209" w:rsidRPr="00131B9D" w:rsidRDefault="00834209" w:rsidP="00834209">
            <w:pPr>
              <w:widowControl/>
              <w:spacing w:line="0" w:lineRule="atLeast"/>
              <w:jc w:val="center"/>
              <w:rPr>
                <w:color w:val="000000"/>
              </w:rPr>
            </w:pPr>
            <w:r w:rsidRPr="00131B9D">
              <w:rPr>
                <w:color w:val="000000"/>
              </w:rPr>
              <w:t xml:space="preserve">204.2 </w:t>
            </w:r>
          </w:p>
        </w:tc>
        <w:tc>
          <w:tcPr>
            <w:tcW w:w="1151" w:type="dxa"/>
            <w:vAlign w:val="center"/>
          </w:tcPr>
          <w:p w:rsidR="00834209" w:rsidRPr="00131B9D" w:rsidRDefault="00834209" w:rsidP="00834209">
            <w:pPr>
              <w:widowControl/>
              <w:spacing w:line="0" w:lineRule="atLeast"/>
              <w:jc w:val="center"/>
              <w:rPr>
                <w:color w:val="000000"/>
              </w:rPr>
            </w:pPr>
            <w:r w:rsidRPr="00131B9D">
              <w:rPr>
                <w:color w:val="000000"/>
              </w:rPr>
              <w:t>6.17%</w:t>
            </w:r>
          </w:p>
        </w:tc>
      </w:tr>
      <w:tr w:rsidR="00834209" w:rsidRPr="00131B9D" w:rsidTr="00834209">
        <w:trPr>
          <w:jc w:val="center"/>
        </w:trPr>
        <w:tc>
          <w:tcPr>
            <w:tcW w:w="1232" w:type="dxa"/>
            <w:vMerge/>
            <w:tcBorders>
              <w:bottom w:val="single" w:sz="12" w:space="0" w:color="auto"/>
            </w:tcBorders>
            <w:vAlign w:val="center"/>
          </w:tcPr>
          <w:p w:rsidR="00834209" w:rsidRPr="00131B9D" w:rsidRDefault="00834209" w:rsidP="00834209">
            <w:pPr>
              <w:widowControl/>
              <w:spacing w:line="0" w:lineRule="atLeast"/>
              <w:jc w:val="center"/>
              <w:rPr>
                <w:color w:val="000000"/>
              </w:rPr>
            </w:pPr>
          </w:p>
        </w:tc>
        <w:tc>
          <w:tcPr>
            <w:tcW w:w="1231" w:type="dxa"/>
            <w:tcBorders>
              <w:bottom w:val="single" w:sz="12" w:space="0" w:color="auto"/>
            </w:tcBorders>
            <w:vAlign w:val="center"/>
          </w:tcPr>
          <w:p w:rsidR="00834209" w:rsidRPr="00131B9D" w:rsidRDefault="00834209" w:rsidP="00834209">
            <w:pPr>
              <w:spacing w:line="0" w:lineRule="atLeast"/>
              <w:jc w:val="center"/>
              <w:rPr>
                <w:color w:val="000000"/>
              </w:rPr>
            </w:pPr>
            <w:r w:rsidRPr="00131B9D">
              <w:rPr>
                <w:color w:val="000000"/>
              </w:rPr>
              <w:t>量販店</w:t>
            </w:r>
          </w:p>
        </w:tc>
        <w:tc>
          <w:tcPr>
            <w:tcW w:w="1081" w:type="dxa"/>
            <w:tcBorders>
              <w:bottom w:val="single" w:sz="12" w:space="0" w:color="auto"/>
            </w:tcBorders>
            <w:vAlign w:val="center"/>
          </w:tcPr>
          <w:p w:rsidR="00834209" w:rsidRPr="00131B9D" w:rsidRDefault="00834209" w:rsidP="00834209">
            <w:pPr>
              <w:widowControl/>
              <w:spacing w:line="0" w:lineRule="atLeast"/>
              <w:jc w:val="center"/>
              <w:rPr>
                <w:color w:val="000000"/>
              </w:rPr>
            </w:pPr>
            <w:r w:rsidRPr="00131B9D">
              <w:rPr>
                <w:color w:val="000000"/>
              </w:rPr>
              <w:t>270</w:t>
            </w:r>
            <w:r w:rsidRPr="00131B9D">
              <w:rPr>
                <w:color w:val="000000"/>
              </w:rPr>
              <w:t>公克</w:t>
            </w:r>
          </w:p>
        </w:tc>
        <w:tc>
          <w:tcPr>
            <w:tcW w:w="1349" w:type="dxa"/>
            <w:tcBorders>
              <w:bottom w:val="single" w:sz="12"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186.8 </w:t>
            </w:r>
          </w:p>
        </w:tc>
        <w:tc>
          <w:tcPr>
            <w:tcW w:w="1279" w:type="dxa"/>
            <w:tcBorders>
              <w:bottom w:val="single" w:sz="12" w:space="0" w:color="auto"/>
            </w:tcBorders>
            <w:vAlign w:val="center"/>
          </w:tcPr>
          <w:p w:rsidR="00834209" w:rsidRPr="00131B9D" w:rsidRDefault="00834209" w:rsidP="00834209">
            <w:pPr>
              <w:widowControl/>
              <w:spacing w:line="0" w:lineRule="atLeast"/>
              <w:jc w:val="center"/>
              <w:rPr>
                <w:color w:val="000000"/>
              </w:rPr>
            </w:pPr>
            <w:r w:rsidRPr="00131B9D">
              <w:rPr>
                <w:color w:val="000000"/>
              </w:rPr>
              <w:t xml:space="preserve">206.2 </w:t>
            </w:r>
          </w:p>
        </w:tc>
        <w:tc>
          <w:tcPr>
            <w:tcW w:w="1151" w:type="dxa"/>
            <w:tcBorders>
              <w:bottom w:val="single" w:sz="12" w:space="0" w:color="auto"/>
            </w:tcBorders>
            <w:vAlign w:val="center"/>
          </w:tcPr>
          <w:p w:rsidR="00834209" w:rsidRPr="00131B9D" w:rsidRDefault="00834209" w:rsidP="00834209">
            <w:pPr>
              <w:widowControl/>
              <w:spacing w:line="0" w:lineRule="atLeast"/>
              <w:jc w:val="center"/>
              <w:rPr>
                <w:color w:val="000000"/>
              </w:rPr>
            </w:pPr>
            <w:r w:rsidRPr="00131B9D">
              <w:rPr>
                <w:color w:val="000000"/>
              </w:rPr>
              <w:t>10.40%</w:t>
            </w:r>
          </w:p>
        </w:tc>
      </w:tr>
    </w:tbl>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0850CD" w:rsidRPr="00131B9D" w:rsidRDefault="000850CD" w:rsidP="00A42BA2"/>
    <w:p w:rsidR="000B2AA7" w:rsidRPr="00131B9D" w:rsidRDefault="000B2AA7" w:rsidP="000B2AA7">
      <w:pPr>
        <w:pStyle w:val="2"/>
        <w:spacing w:before="108" w:after="108"/>
        <w:rPr>
          <w:rFonts w:ascii="Times New Roman" w:hAnsi="Times New Roman"/>
        </w:rPr>
      </w:pPr>
      <w:bookmarkStart w:id="429" w:name="_Toc439162964"/>
      <w:r w:rsidRPr="00131B9D">
        <w:rPr>
          <w:rFonts w:ascii="Times New Roman" w:hAnsi="Times New Roman"/>
        </w:rPr>
        <w:t>五、罐頭類</w:t>
      </w:r>
      <w:bookmarkEnd w:id="429"/>
    </w:p>
    <w:p w:rsidR="004A537F" w:rsidRPr="00131B9D" w:rsidRDefault="004A537F" w:rsidP="004A537F">
      <w:pPr>
        <w:pStyle w:val="-"/>
        <w:spacing w:before="72" w:after="72"/>
        <w:ind w:firstLine="560"/>
      </w:pPr>
      <w:r w:rsidRPr="00131B9D">
        <w:t>2014</w:t>
      </w:r>
      <w:r w:rsidRPr="00131B9D">
        <w:t>年</w:t>
      </w:r>
      <w:r w:rsidRPr="00131B9D">
        <w:t>1</w:t>
      </w:r>
      <w:r w:rsidRPr="00131B9D">
        <w:t>月至</w:t>
      </w:r>
      <w:r w:rsidRPr="00131B9D">
        <w:t>2015</w:t>
      </w:r>
      <w:r w:rsidRPr="00131B9D">
        <w:t>年</w:t>
      </w:r>
      <w:r w:rsidR="00BC5A34" w:rsidRPr="00131B9D">
        <w:t>11</w:t>
      </w:r>
      <w:r w:rsidRPr="00131B9D">
        <w:t>月各通路罐頭價格走勢彙整如圖</w:t>
      </w:r>
      <w:r w:rsidR="00A65AB2" w:rsidRPr="00131B9D">
        <w:t>4-</w:t>
      </w:r>
      <w:r w:rsidR="0020098F" w:rsidRPr="00131B9D">
        <w:t>1</w:t>
      </w:r>
      <w:r w:rsidR="00074B7C" w:rsidRPr="00131B9D">
        <w:t>7</w:t>
      </w:r>
      <w:r w:rsidR="00157707" w:rsidRPr="00131B9D">
        <w:t>、</w:t>
      </w:r>
      <w:r w:rsidR="00A65AB2" w:rsidRPr="00131B9D">
        <w:t>4-</w:t>
      </w:r>
      <w:r w:rsidR="0020098F" w:rsidRPr="00131B9D">
        <w:t>1</w:t>
      </w:r>
      <w:r w:rsidR="00074B7C" w:rsidRPr="00131B9D">
        <w:t>8</w:t>
      </w:r>
      <w:r w:rsidR="00157707" w:rsidRPr="00131B9D">
        <w:t>與</w:t>
      </w:r>
      <w:r w:rsidR="00A65AB2" w:rsidRPr="00131B9D">
        <w:t>4-</w:t>
      </w:r>
      <w:r w:rsidR="0020098F" w:rsidRPr="00131B9D">
        <w:t>1</w:t>
      </w:r>
      <w:r w:rsidR="00074B7C" w:rsidRPr="00131B9D">
        <w:t>9</w:t>
      </w:r>
      <w:r w:rsidRPr="00131B9D">
        <w:t>。本研究調查品項包括愛之味鮪魚片、大茂黑瓜以及牛頭牌金色蔬菜玉米粒等，</w:t>
      </w:r>
      <w:r w:rsidRPr="00131B9D">
        <w:t>2015</w:t>
      </w:r>
      <w:r w:rsidRPr="00131B9D">
        <w:t>年</w:t>
      </w:r>
      <w:r w:rsidRPr="00131B9D">
        <w:t>1</w:t>
      </w:r>
      <w:r w:rsidRPr="00131B9D">
        <w:t>月至</w:t>
      </w:r>
      <w:r w:rsidR="00074B7C" w:rsidRPr="00131B9D">
        <w:t>11</w:t>
      </w:r>
      <w:r w:rsidRPr="00131B9D">
        <w:t>月平均價格彙整如表</w:t>
      </w:r>
      <w:r w:rsidR="00157707" w:rsidRPr="00131B9D">
        <w:t>3-7</w:t>
      </w:r>
      <w:r w:rsidRPr="00131B9D">
        <w:t>，除</w:t>
      </w:r>
      <w:r w:rsidR="00074B7C" w:rsidRPr="00131B9D">
        <w:t>量販店</w:t>
      </w:r>
      <w:r w:rsidRPr="00131B9D">
        <w:t>價格變動</w:t>
      </w:r>
      <w:r w:rsidR="00074B7C" w:rsidRPr="00131B9D">
        <w:t>較大</w:t>
      </w:r>
      <w:r w:rsidRPr="00131B9D">
        <w:t>外，整體而言，罐頭類價格走勢相對平穩。</w:t>
      </w:r>
    </w:p>
    <w:p w:rsidR="00E6156E" w:rsidRPr="00131B9D" w:rsidRDefault="00E6156E" w:rsidP="00E6156E"/>
    <w:p w:rsidR="00E407EB" w:rsidRPr="00131B9D" w:rsidRDefault="00074B7C" w:rsidP="00074B7C">
      <w:pPr>
        <w:jc w:val="center"/>
      </w:pPr>
      <w:r w:rsidRPr="00131B9D">
        <w:rPr>
          <w:noProof/>
        </w:rPr>
        <w:drawing>
          <wp:inline distT="0" distB="0" distL="0" distR="0" wp14:anchorId="48278C9D" wp14:editId="304A438B">
            <wp:extent cx="5341904" cy="2431796"/>
            <wp:effectExtent l="0" t="0" r="11430" b="6985"/>
            <wp:docPr id="53" name="圖表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C66B87" w:rsidRPr="00131B9D" w:rsidRDefault="00A65AB2" w:rsidP="00A65AB2">
      <w:pPr>
        <w:pStyle w:val="afff5"/>
        <w:spacing w:line="0" w:lineRule="atLeast"/>
        <w:jc w:val="center"/>
        <w:rPr>
          <w:rFonts w:eastAsia="標楷體"/>
          <w:b/>
          <w:bCs/>
          <w:kern w:val="52"/>
          <w:sz w:val="28"/>
          <w:szCs w:val="28"/>
        </w:rPr>
      </w:pPr>
      <w:bookmarkStart w:id="430" w:name="_Toc437958988"/>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17</w:t>
      </w:r>
      <w:r w:rsidRPr="00131B9D">
        <w:rPr>
          <w:rFonts w:eastAsia="標楷體"/>
          <w:b/>
          <w:bCs/>
          <w:kern w:val="52"/>
          <w:sz w:val="28"/>
          <w:szCs w:val="28"/>
        </w:rPr>
        <w:fldChar w:fldCharType="end"/>
      </w:r>
      <w:r w:rsidR="00C66B87" w:rsidRPr="00131B9D">
        <w:rPr>
          <w:rFonts w:eastAsia="標楷體"/>
          <w:b/>
          <w:bCs/>
          <w:kern w:val="52"/>
          <w:sz w:val="28"/>
          <w:szCs w:val="28"/>
        </w:rPr>
        <w:t xml:space="preserve">　愛之味鮪魚片罐頭價格長期走勢</w:t>
      </w:r>
      <w:r w:rsidR="00FD4A1A" w:rsidRPr="00131B9D">
        <w:rPr>
          <w:rFonts w:eastAsia="標楷體"/>
          <w:b/>
          <w:bCs/>
          <w:kern w:val="52"/>
          <w:sz w:val="28"/>
          <w:szCs w:val="28"/>
        </w:rPr>
        <w:t>圖</w:t>
      </w:r>
      <w:bookmarkEnd w:id="430"/>
    </w:p>
    <w:p w:rsidR="00074B7C" w:rsidRPr="00131B9D" w:rsidRDefault="00074B7C" w:rsidP="00074B7C"/>
    <w:p w:rsidR="00C66B87" w:rsidRPr="00131B9D" w:rsidRDefault="00074B7C" w:rsidP="00074B7C">
      <w:pPr>
        <w:jc w:val="center"/>
      </w:pPr>
      <w:r w:rsidRPr="00131B9D">
        <w:rPr>
          <w:noProof/>
        </w:rPr>
        <w:lastRenderedPageBreak/>
        <w:drawing>
          <wp:inline distT="0" distB="0" distL="0" distR="0" wp14:anchorId="2C0E038A" wp14:editId="30AA8905">
            <wp:extent cx="5341904" cy="2431796"/>
            <wp:effectExtent l="0" t="0" r="11430" b="6985"/>
            <wp:docPr id="55" name="圖表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C66B87" w:rsidRPr="00131B9D" w:rsidRDefault="00A65AB2" w:rsidP="00A65AB2">
      <w:pPr>
        <w:pStyle w:val="afff5"/>
        <w:spacing w:line="0" w:lineRule="atLeast"/>
        <w:jc w:val="center"/>
        <w:rPr>
          <w:rFonts w:eastAsia="標楷體"/>
          <w:b/>
          <w:bCs/>
          <w:kern w:val="52"/>
          <w:sz w:val="28"/>
          <w:szCs w:val="28"/>
        </w:rPr>
      </w:pPr>
      <w:bookmarkStart w:id="431" w:name="_Toc437958989"/>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18</w:t>
      </w:r>
      <w:r w:rsidRPr="00131B9D">
        <w:rPr>
          <w:rFonts w:eastAsia="標楷體"/>
          <w:b/>
          <w:bCs/>
          <w:kern w:val="52"/>
          <w:sz w:val="28"/>
          <w:szCs w:val="28"/>
        </w:rPr>
        <w:fldChar w:fldCharType="end"/>
      </w:r>
      <w:r w:rsidR="00C66B87" w:rsidRPr="00131B9D">
        <w:rPr>
          <w:rFonts w:eastAsia="標楷體"/>
          <w:b/>
          <w:bCs/>
          <w:kern w:val="52"/>
          <w:sz w:val="28"/>
          <w:szCs w:val="28"/>
        </w:rPr>
        <w:t xml:space="preserve">　大茂黑瓜價格長期走勢</w:t>
      </w:r>
      <w:r w:rsidR="00FD4A1A" w:rsidRPr="00131B9D">
        <w:rPr>
          <w:rFonts w:eastAsia="標楷體"/>
          <w:b/>
          <w:bCs/>
          <w:kern w:val="52"/>
          <w:sz w:val="28"/>
          <w:szCs w:val="28"/>
        </w:rPr>
        <w:t>圖</w:t>
      </w:r>
      <w:bookmarkEnd w:id="431"/>
    </w:p>
    <w:p w:rsidR="00074B7C" w:rsidRPr="00131B9D" w:rsidRDefault="00074B7C" w:rsidP="00074B7C"/>
    <w:p w:rsidR="00C66B87" w:rsidRPr="00131B9D" w:rsidRDefault="00074B7C" w:rsidP="00074B7C">
      <w:pPr>
        <w:jc w:val="center"/>
      </w:pPr>
      <w:r w:rsidRPr="00131B9D">
        <w:rPr>
          <w:noProof/>
        </w:rPr>
        <w:drawing>
          <wp:inline distT="0" distB="0" distL="0" distR="0" wp14:anchorId="19574E06" wp14:editId="4559016A">
            <wp:extent cx="5341904" cy="2431796"/>
            <wp:effectExtent l="0" t="0" r="11430" b="6985"/>
            <wp:docPr id="58" name="圖表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C66B87" w:rsidRPr="00131B9D" w:rsidRDefault="00A65AB2" w:rsidP="00A65AB2">
      <w:pPr>
        <w:pStyle w:val="afff5"/>
        <w:spacing w:line="0" w:lineRule="atLeast"/>
        <w:jc w:val="center"/>
      </w:pPr>
      <w:bookmarkStart w:id="432" w:name="_Toc437958990"/>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19</w:t>
      </w:r>
      <w:r w:rsidRPr="00131B9D">
        <w:rPr>
          <w:rFonts w:eastAsia="標楷體"/>
          <w:b/>
          <w:bCs/>
          <w:kern w:val="52"/>
          <w:sz w:val="28"/>
          <w:szCs w:val="28"/>
        </w:rPr>
        <w:fldChar w:fldCharType="end"/>
      </w:r>
      <w:r w:rsidR="00C66B87" w:rsidRPr="00131B9D">
        <w:rPr>
          <w:rFonts w:eastAsia="標楷體"/>
          <w:b/>
          <w:bCs/>
          <w:kern w:val="52"/>
          <w:sz w:val="28"/>
          <w:szCs w:val="28"/>
        </w:rPr>
        <w:t xml:space="preserve">　牛頭牌金色蔬菜玉米粒價格長期走勢</w:t>
      </w:r>
      <w:r w:rsidR="00FD4A1A" w:rsidRPr="00131B9D">
        <w:rPr>
          <w:rFonts w:eastAsia="標楷體"/>
          <w:b/>
          <w:bCs/>
          <w:kern w:val="52"/>
          <w:sz w:val="28"/>
          <w:szCs w:val="28"/>
        </w:rPr>
        <w:t>圖</w:t>
      </w:r>
      <w:bookmarkEnd w:id="432"/>
    </w:p>
    <w:p w:rsidR="004A537F" w:rsidRPr="00131B9D" w:rsidRDefault="004A537F" w:rsidP="00A65AB2"/>
    <w:p w:rsidR="004A537F" w:rsidRPr="00131B9D" w:rsidRDefault="00A65AB2" w:rsidP="00CD2B44">
      <w:pPr>
        <w:pStyle w:val="aff1"/>
        <w:spacing w:line="0" w:lineRule="atLeast"/>
        <w:rPr>
          <w:b w:val="0"/>
          <w:bCs/>
          <w:kern w:val="52"/>
          <w:szCs w:val="28"/>
        </w:rPr>
      </w:pPr>
      <w:bookmarkStart w:id="433" w:name="_Toc439163010"/>
      <w:r w:rsidRPr="00131B9D">
        <w:rPr>
          <w:bCs/>
          <w:kern w:val="52"/>
          <w:szCs w:val="28"/>
        </w:rPr>
        <w:t>表</w:t>
      </w:r>
      <w:r w:rsidRPr="00131B9D">
        <w:rPr>
          <w:bCs/>
          <w:kern w:val="52"/>
          <w:szCs w:val="28"/>
        </w:rPr>
        <w:t xml:space="preserve">4- </w:t>
      </w:r>
      <w:r w:rsidR="00572B36" w:rsidRPr="00131B9D">
        <w:rPr>
          <w:bCs/>
          <w:kern w:val="52"/>
          <w:szCs w:val="28"/>
        </w:rPr>
        <w:t>6</w:t>
      </w:r>
      <w:r w:rsidR="004A537F" w:rsidRPr="00131B9D">
        <w:rPr>
          <w:bCs/>
          <w:kern w:val="52"/>
          <w:szCs w:val="28"/>
        </w:rPr>
        <w:t xml:space="preserve">　</w:t>
      </w:r>
      <w:r w:rsidR="00D86545" w:rsidRPr="00131B9D">
        <w:rPr>
          <w:bCs/>
          <w:kern w:val="52"/>
          <w:szCs w:val="28"/>
        </w:rPr>
        <w:t>罐頭類</w:t>
      </w:r>
      <w:r w:rsidR="004A537F" w:rsidRPr="00131B9D">
        <w:rPr>
          <w:bCs/>
          <w:kern w:val="52"/>
          <w:szCs w:val="28"/>
        </w:rPr>
        <w:t>價格變化</w:t>
      </w:r>
      <w:bookmarkEnd w:id="433"/>
    </w:p>
    <w:tbl>
      <w:tblPr>
        <w:tblStyle w:val="a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2"/>
        <w:gridCol w:w="1231"/>
        <w:gridCol w:w="1081"/>
        <w:gridCol w:w="1349"/>
        <w:gridCol w:w="1279"/>
        <w:gridCol w:w="1151"/>
      </w:tblGrid>
      <w:tr w:rsidR="00074B7C" w:rsidRPr="00131B9D" w:rsidTr="00074B7C">
        <w:trPr>
          <w:jc w:val="center"/>
        </w:trPr>
        <w:tc>
          <w:tcPr>
            <w:tcW w:w="1232" w:type="dxa"/>
            <w:tcBorders>
              <w:top w:val="single" w:sz="12" w:space="0" w:color="auto"/>
              <w:bottom w:val="single" w:sz="4" w:space="0" w:color="auto"/>
            </w:tcBorders>
            <w:vAlign w:val="center"/>
          </w:tcPr>
          <w:p w:rsidR="00074B7C" w:rsidRPr="00131B9D" w:rsidRDefault="00074B7C" w:rsidP="00074B7C">
            <w:pPr>
              <w:spacing w:line="0" w:lineRule="atLeast"/>
              <w:jc w:val="center"/>
            </w:pPr>
            <w:r w:rsidRPr="00131B9D">
              <w:t>品項</w:t>
            </w:r>
          </w:p>
        </w:tc>
        <w:tc>
          <w:tcPr>
            <w:tcW w:w="1231" w:type="dxa"/>
            <w:tcBorders>
              <w:top w:val="single" w:sz="12" w:space="0" w:color="auto"/>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通路</w:t>
            </w:r>
          </w:p>
        </w:tc>
        <w:tc>
          <w:tcPr>
            <w:tcW w:w="1081" w:type="dxa"/>
            <w:tcBorders>
              <w:top w:val="single" w:sz="12" w:space="0" w:color="auto"/>
              <w:bottom w:val="single" w:sz="4" w:space="0" w:color="auto"/>
            </w:tcBorders>
            <w:vAlign w:val="center"/>
          </w:tcPr>
          <w:p w:rsidR="00074B7C" w:rsidRPr="00131B9D" w:rsidRDefault="00074B7C" w:rsidP="00074B7C">
            <w:pPr>
              <w:widowControl/>
              <w:spacing w:line="0" w:lineRule="atLeast"/>
              <w:jc w:val="center"/>
            </w:pPr>
            <w:r w:rsidRPr="00131B9D">
              <w:t>規格</w:t>
            </w:r>
          </w:p>
        </w:tc>
        <w:tc>
          <w:tcPr>
            <w:tcW w:w="1349" w:type="dxa"/>
            <w:tcBorders>
              <w:top w:val="single" w:sz="12" w:space="0" w:color="auto"/>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2014</w:t>
            </w:r>
          </w:p>
          <w:p w:rsidR="00074B7C" w:rsidRPr="00131B9D" w:rsidRDefault="00074B7C" w:rsidP="00074B7C">
            <w:pPr>
              <w:widowControl/>
              <w:spacing w:line="0" w:lineRule="atLeast"/>
              <w:jc w:val="center"/>
              <w:rPr>
                <w:color w:val="000000"/>
              </w:rPr>
            </w:pPr>
            <w:r w:rsidRPr="00131B9D">
              <w:rPr>
                <w:color w:val="000000"/>
              </w:rPr>
              <w:t>1-11</w:t>
            </w:r>
            <w:r w:rsidRPr="00131B9D">
              <w:rPr>
                <w:color w:val="000000"/>
              </w:rPr>
              <w:t>月平均</w:t>
            </w:r>
          </w:p>
        </w:tc>
        <w:tc>
          <w:tcPr>
            <w:tcW w:w="1279" w:type="dxa"/>
            <w:tcBorders>
              <w:top w:val="single" w:sz="12" w:space="0" w:color="auto"/>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2015</w:t>
            </w:r>
          </w:p>
          <w:p w:rsidR="00074B7C" w:rsidRPr="00131B9D" w:rsidRDefault="00074B7C" w:rsidP="00074B7C">
            <w:pPr>
              <w:widowControl/>
              <w:spacing w:line="0" w:lineRule="atLeast"/>
              <w:jc w:val="center"/>
              <w:rPr>
                <w:color w:val="000000"/>
              </w:rPr>
            </w:pPr>
            <w:r w:rsidRPr="00131B9D">
              <w:rPr>
                <w:color w:val="000000"/>
              </w:rPr>
              <w:t>1-11</w:t>
            </w:r>
            <w:r w:rsidRPr="00131B9D">
              <w:rPr>
                <w:color w:val="000000"/>
              </w:rPr>
              <w:t>月平均</w:t>
            </w:r>
          </w:p>
        </w:tc>
        <w:tc>
          <w:tcPr>
            <w:tcW w:w="1151" w:type="dxa"/>
            <w:tcBorders>
              <w:top w:val="single" w:sz="12" w:space="0" w:color="auto"/>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累積</w:t>
            </w:r>
          </w:p>
          <w:p w:rsidR="00074B7C" w:rsidRPr="00131B9D" w:rsidRDefault="00074B7C" w:rsidP="00074B7C">
            <w:pPr>
              <w:widowControl/>
              <w:spacing w:line="0" w:lineRule="atLeast"/>
              <w:jc w:val="center"/>
              <w:rPr>
                <w:color w:val="000000"/>
              </w:rPr>
            </w:pPr>
            <w:r w:rsidRPr="00131B9D">
              <w:rPr>
                <w:color w:val="000000"/>
              </w:rPr>
              <w:t>變動幅度</w:t>
            </w:r>
          </w:p>
        </w:tc>
      </w:tr>
      <w:tr w:rsidR="00074B7C" w:rsidRPr="00131B9D" w:rsidTr="00074B7C">
        <w:trPr>
          <w:jc w:val="center"/>
        </w:trPr>
        <w:tc>
          <w:tcPr>
            <w:tcW w:w="1232" w:type="dxa"/>
            <w:vMerge w:val="restart"/>
            <w:tcBorders>
              <w:top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愛之味鮪魚片罐頭</w:t>
            </w:r>
          </w:p>
        </w:tc>
        <w:tc>
          <w:tcPr>
            <w:tcW w:w="1231" w:type="dxa"/>
            <w:tcBorders>
              <w:top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便利店</w:t>
            </w:r>
          </w:p>
        </w:tc>
        <w:tc>
          <w:tcPr>
            <w:tcW w:w="1081" w:type="dxa"/>
            <w:tcBorders>
              <w:top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185</w:t>
            </w:r>
            <w:r w:rsidRPr="00131B9D">
              <w:rPr>
                <w:color w:val="000000"/>
              </w:rPr>
              <w:t>公克</w:t>
            </w:r>
          </w:p>
        </w:tc>
        <w:tc>
          <w:tcPr>
            <w:tcW w:w="1349" w:type="dxa"/>
            <w:tcBorders>
              <w:top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 xml:space="preserve">64.4 </w:t>
            </w:r>
          </w:p>
        </w:tc>
        <w:tc>
          <w:tcPr>
            <w:tcW w:w="1279" w:type="dxa"/>
            <w:tcBorders>
              <w:top w:val="single" w:sz="4" w:space="0" w:color="auto"/>
            </w:tcBorders>
            <w:vAlign w:val="center"/>
          </w:tcPr>
          <w:p w:rsidR="00074B7C" w:rsidRPr="00131B9D" w:rsidRDefault="00074B7C" w:rsidP="00074B7C">
            <w:pPr>
              <w:spacing w:line="0" w:lineRule="atLeast"/>
              <w:jc w:val="center"/>
              <w:rPr>
                <w:color w:val="000000"/>
              </w:rPr>
            </w:pPr>
            <w:r w:rsidRPr="00131B9D">
              <w:rPr>
                <w:color w:val="000000"/>
              </w:rPr>
              <w:t xml:space="preserve">68.9 </w:t>
            </w:r>
          </w:p>
        </w:tc>
        <w:tc>
          <w:tcPr>
            <w:tcW w:w="1151" w:type="dxa"/>
            <w:tcBorders>
              <w:top w:val="single" w:sz="4" w:space="0" w:color="auto"/>
            </w:tcBorders>
            <w:vAlign w:val="center"/>
          </w:tcPr>
          <w:p w:rsidR="00074B7C" w:rsidRPr="00131B9D" w:rsidRDefault="00074B7C" w:rsidP="00074B7C">
            <w:pPr>
              <w:spacing w:line="0" w:lineRule="atLeast"/>
              <w:jc w:val="center"/>
              <w:rPr>
                <w:color w:val="000000"/>
              </w:rPr>
            </w:pPr>
            <w:r w:rsidRPr="00131B9D">
              <w:rPr>
                <w:color w:val="000000"/>
              </w:rPr>
              <w:t>6.94%</w:t>
            </w:r>
          </w:p>
        </w:tc>
      </w:tr>
      <w:tr w:rsidR="00074B7C" w:rsidRPr="00131B9D" w:rsidTr="00074B7C">
        <w:trPr>
          <w:jc w:val="center"/>
        </w:trPr>
        <w:tc>
          <w:tcPr>
            <w:tcW w:w="1232" w:type="dxa"/>
            <w:vMerge/>
            <w:vAlign w:val="center"/>
          </w:tcPr>
          <w:p w:rsidR="00074B7C" w:rsidRPr="00131B9D" w:rsidRDefault="00074B7C" w:rsidP="00074B7C">
            <w:pPr>
              <w:spacing w:line="0" w:lineRule="atLeast"/>
              <w:jc w:val="center"/>
            </w:pPr>
          </w:p>
        </w:tc>
        <w:tc>
          <w:tcPr>
            <w:tcW w:w="1231" w:type="dxa"/>
            <w:vAlign w:val="center"/>
          </w:tcPr>
          <w:p w:rsidR="00074B7C" w:rsidRPr="00131B9D" w:rsidRDefault="00074B7C" w:rsidP="00074B7C">
            <w:pPr>
              <w:spacing w:line="0" w:lineRule="atLeast"/>
              <w:jc w:val="center"/>
            </w:pPr>
            <w:r w:rsidRPr="00131B9D">
              <w:rPr>
                <w:color w:val="000000"/>
              </w:rPr>
              <w:t>超市</w:t>
            </w:r>
          </w:p>
        </w:tc>
        <w:tc>
          <w:tcPr>
            <w:tcW w:w="1081" w:type="dxa"/>
            <w:vAlign w:val="center"/>
          </w:tcPr>
          <w:p w:rsidR="00074B7C" w:rsidRPr="00131B9D" w:rsidRDefault="00074B7C" w:rsidP="00074B7C">
            <w:pPr>
              <w:widowControl/>
              <w:spacing w:line="0" w:lineRule="atLeast"/>
              <w:jc w:val="center"/>
              <w:rPr>
                <w:color w:val="000000"/>
              </w:rPr>
            </w:pPr>
            <w:r w:rsidRPr="00131B9D">
              <w:rPr>
                <w:color w:val="000000"/>
              </w:rPr>
              <w:t>185</w:t>
            </w:r>
            <w:r w:rsidRPr="00131B9D">
              <w:rPr>
                <w:color w:val="000000"/>
              </w:rPr>
              <w:t>公克</w:t>
            </w:r>
          </w:p>
        </w:tc>
        <w:tc>
          <w:tcPr>
            <w:tcW w:w="1349" w:type="dxa"/>
            <w:vAlign w:val="center"/>
          </w:tcPr>
          <w:p w:rsidR="00074B7C" w:rsidRPr="00131B9D" w:rsidRDefault="00074B7C" w:rsidP="00074B7C">
            <w:pPr>
              <w:widowControl/>
              <w:spacing w:line="0" w:lineRule="atLeast"/>
              <w:jc w:val="center"/>
              <w:rPr>
                <w:color w:val="000000"/>
              </w:rPr>
            </w:pPr>
            <w:r w:rsidRPr="00131B9D">
              <w:rPr>
                <w:color w:val="000000"/>
              </w:rPr>
              <w:t xml:space="preserve">54.4 </w:t>
            </w:r>
          </w:p>
        </w:tc>
        <w:tc>
          <w:tcPr>
            <w:tcW w:w="1279" w:type="dxa"/>
            <w:vAlign w:val="center"/>
          </w:tcPr>
          <w:p w:rsidR="00074B7C" w:rsidRPr="00131B9D" w:rsidRDefault="00074B7C" w:rsidP="00074B7C">
            <w:pPr>
              <w:widowControl/>
              <w:spacing w:line="0" w:lineRule="atLeast"/>
              <w:jc w:val="center"/>
              <w:rPr>
                <w:color w:val="000000"/>
              </w:rPr>
            </w:pPr>
            <w:r w:rsidRPr="00131B9D">
              <w:rPr>
                <w:color w:val="000000"/>
              </w:rPr>
              <w:t xml:space="preserve">56.1 </w:t>
            </w:r>
          </w:p>
        </w:tc>
        <w:tc>
          <w:tcPr>
            <w:tcW w:w="1151" w:type="dxa"/>
            <w:vAlign w:val="center"/>
          </w:tcPr>
          <w:p w:rsidR="00074B7C" w:rsidRPr="00131B9D" w:rsidRDefault="00074B7C" w:rsidP="00074B7C">
            <w:pPr>
              <w:widowControl/>
              <w:spacing w:line="0" w:lineRule="atLeast"/>
              <w:jc w:val="center"/>
              <w:rPr>
                <w:color w:val="000000"/>
              </w:rPr>
            </w:pPr>
            <w:r w:rsidRPr="00131B9D">
              <w:rPr>
                <w:color w:val="000000"/>
              </w:rPr>
              <w:t>3.13%</w:t>
            </w:r>
          </w:p>
        </w:tc>
      </w:tr>
      <w:tr w:rsidR="00074B7C" w:rsidRPr="00131B9D" w:rsidTr="00074B7C">
        <w:trPr>
          <w:jc w:val="center"/>
        </w:trPr>
        <w:tc>
          <w:tcPr>
            <w:tcW w:w="1232" w:type="dxa"/>
            <w:vMerge/>
            <w:tcBorders>
              <w:bottom w:val="single" w:sz="4" w:space="0" w:color="auto"/>
            </w:tcBorders>
            <w:vAlign w:val="center"/>
          </w:tcPr>
          <w:p w:rsidR="00074B7C" w:rsidRPr="00131B9D" w:rsidRDefault="00074B7C" w:rsidP="00074B7C">
            <w:pPr>
              <w:spacing w:line="0" w:lineRule="atLeast"/>
              <w:jc w:val="center"/>
              <w:rPr>
                <w:color w:val="000000"/>
              </w:rPr>
            </w:pPr>
          </w:p>
        </w:tc>
        <w:tc>
          <w:tcPr>
            <w:tcW w:w="1231" w:type="dxa"/>
            <w:tcBorders>
              <w:bottom w:val="single" w:sz="4" w:space="0" w:color="auto"/>
            </w:tcBorders>
            <w:vAlign w:val="center"/>
          </w:tcPr>
          <w:p w:rsidR="00074B7C" w:rsidRPr="00131B9D" w:rsidRDefault="00074B7C" w:rsidP="00074B7C">
            <w:pPr>
              <w:spacing w:line="0" w:lineRule="atLeast"/>
              <w:jc w:val="center"/>
              <w:rPr>
                <w:color w:val="000000"/>
              </w:rPr>
            </w:pPr>
            <w:r w:rsidRPr="00131B9D">
              <w:rPr>
                <w:color w:val="000000"/>
              </w:rPr>
              <w:t>量販店</w:t>
            </w:r>
          </w:p>
        </w:tc>
        <w:tc>
          <w:tcPr>
            <w:tcW w:w="1081" w:type="dxa"/>
            <w:tcBorders>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185</w:t>
            </w:r>
            <w:r w:rsidRPr="00131B9D">
              <w:rPr>
                <w:color w:val="000000"/>
              </w:rPr>
              <w:t>公克</w:t>
            </w:r>
          </w:p>
        </w:tc>
        <w:tc>
          <w:tcPr>
            <w:tcW w:w="1349" w:type="dxa"/>
            <w:tcBorders>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 xml:space="preserve">54.6 </w:t>
            </w:r>
          </w:p>
        </w:tc>
        <w:tc>
          <w:tcPr>
            <w:tcW w:w="1279" w:type="dxa"/>
            <w:tcBorders>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 xml:space="preserve">49.8 </w:t>
            </w:r>
          </w:p>
        </w:tc>
        <w:tc>
          <w:tcPr>
            <w:tcW w:w="1151" w:type="dxa"/>
            <w:tcBorders>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-8.76%</w:t>
            </w:r>
          </w:p>
        </w:tc>
      </w:tr>
      <w:tr w:rsidR="00074B7C" w:rsidRPr="00131B9D" w:rsidTr="00074B7C">
        <w:trPr>
          <w:jc w:val="center"/>
        </w:trPr>
        <w:tc>
          <w:tcPr>
            <w:tcW w:w="1232" w:type="dxa"/>
            <w:vMerge w:val="restart"/>
            <w:tcBorders>
              <w:top w:val="single" w:sz="4" w:space="0" w:color="auto"/>
            </w:tcBorders>
            <w:vAlign w:val="center"/>
          </w:tcPr>
          <w:p w:rsidR="00074B7C" w:rsidRPr="00131B9D" w:rsidRDefault="00074B7C" w:rsidP="00074B7C">
            <w:pPr>
              <w:spacing w:line="0" w:lineRule="atLeast"/>
              <w:jc w:val="center"/>
              <w:rPr>
                <w:color w:val="000000"/>
              </w:rPr>
            </w:pPr>
            <w:r w:rsidRPr="00131B9D">
              <w:rPr>
                <w:color w:val="000000"/>
              </w:rPr>
              <w:t>大茂黑瓜</w:t>
            </w:r>
          </w:p>
        </w:tc>
        <w:tc>
          <w:tcPr>
            <w:tcW w:w="1231" w:type="dxa"/>
            <w:tcBorders>
              <w:top w:val="single" w:sz="4" w:space="0" w:color="auto"/>
            </w:tcBorders>
            <w:vAlign w:val="center"/>
          </w:tcPr>
          <w:p w:rsidR="00074B7C" w:rsidRPr="00131B9D" w:rsidRDefault="00074B7C" w:rsidP="00074B7C">
            <w:pPr>
              <w:spacing w:line="0" w:lineRule="atLeast"/>
              <w:jc w:val="center"/>
              <w:rPr>
                <w:color w:val="000000"/>
              </w:rPr>
            </w:pPr>
            <w:r w:rsidRPr="00131B9D">
              <w:rPr>
                <w:color w:val="000000"/>
              </w:rPr>
              <w:t>便利店</w:t>
            </w:r>
          </w:p>
        </w:tc>
        <w:tc>
          <w:tcPr>
            <w:tcW w:w="1081" w:type="dxa"/>
            <w:tcBorders>
              <w:top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170</w:t>
            </w:r>
            <w:r w:rsidRPr="00131B9D">
              <w:rPr>
                <w:color w:val="000000"/>
              </w:rPr>
              <w:t>公克</w:t>
            </w:r>
          </w:p>
        </w:tc>
        <w:tc>
          <w:tcPr>
            <w:tcW w:w="1349" w:type="dxa"/>
            <w:tcBorders>
              <w:top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 xml:space="preserve">35.6 </w:t>
            </w:r>
          </w:p>
        </w:tc>
        <w:tc>
          <w:tcPr>
            <w:tcW w:w="1279" w:type="dxa"/>
            <w:tcBorders>
              <w:top w:val="single" w:sz="4" w:space="0" w:color="auto"/>
            </w:tcBorders>
            <w:vAlign w:val="center"/>
          </w:tcPr>
          <w:p w:rsidR="00074B7C" w:rsidRPr="00131B9D" w:rsidRDefault="00074B7C" w:rsidP="00074B7C">
            <w:pPr>
              <w:spacing w:line="0" w:lineRule="atLeast"/>
              <w:jc w:val="center"/>
              <w:rPr>
                <w:color w:val="000000"/>
              </w:rPr>
            </w:pPr>
            <w:r w:rsidRPr="00131B9D">
              <w:rPr>
                <w:color w:val="000000"/>
              </w:rPr>
              <w:t xml:space="preserve">36.0 </w:t>
            </w:r>
          </w:p>
        </w:tc>
        <w:tc>
          <w:tcPr>
            <w:tcW w:w="1151" w:type="dxa"/>
            <w:tcBorders>
              <w:top w:val="single" w:sz="4" w:space="0" w:color="auto"/>
            </w:tcBorders>
            <w:vAlign w:val="center"/>
          </w:tcPr>
          <w:p w:rsidR="00074B7C" w:rsidRPr="00131B9D" w:rsidRDefault="00074B7C" w:rsidP="00074B7C">
            <w:pPr>
              <w:spacing w:line="0" w:lineRule="atLeast"/>
              <w:jc w:val="center"/>
              <w:rPr>
                <w:color w:val="000000"/>
              </w:rPr>
            </w:pPr>
            <w:r w:rsidRPr="00131B9D">
              <w:rPr>
                <w:color w:val="000000"/>
              </w:rPr>
              <w:t>1.02%</w:t>
            </w:r>
          </w:p>
        </w:tc>
      </w:tr>
      <w:tr w:rsidR="00074B7C" w:rsidRPr="00131B9D" w:rsidTr="00074B7C">
        <w:trPr>
          <w:jc w:val="center"/>
        </w:trPr>
        <w:tc>
          <w:tcPr>
            <w:tcW w:w="1232" w:type="dxa"/>
            <w:vMerge/>
            <w:vAlign w:val="center"/>
          </w:tcPr>
          <w:p w:rsidR="00074B7C" w:rsidRPr="00131B9D" w:rsidRDefault="00074B7C" w:rsidP="00074B7C">
            <w:pPr>
              <w:widowControl/>
              <w:spacing w:line="0" w:lineRule="atLeast"/>
              <w:jc w:val="center"/>
              <w:rPr>
                <w:color w:val="000000"/>
              </w:rPr>
            </w:pPr>
          </w:p>
        </w:tc>
        <w:tc>
          <w:tcPr>
            <w:tcW w:w="1231" w:type="dxa"/>
            <w:vAlign w:val="center"/>
          </w:tcPr>
          <w:p w:rsidR="00074B7C" w:rsidRPr="00131B9D" w:rsidRDefault="00074B7C" w:rsidP="00074B7C">
            <w:pPr>
              <w:spacing w:line="0" w:lineRule="atLeast"/>
              <w:jc w:val="center"/>
            </w:pPr>
            <w:r w:rsidRPr="00131B9D">
              <w:rPr>
                <w:color w:val="000000"/>
              </w:rPr>
              <w:t>超市</w:t>
            </w:r>
          </w:p>
        </w:tc>
        <w:tc>
          <w:tcPr>
            <w:tcW w:w="1081" w:type="dxa"/>
          </w:tcPr>
          <w:p w:rsidR="00074B7C" w:rsidRPr="00131B9D" w:rsidRDefault="00074B7C" w:rsidP="00074B7C">
            <w:pPr>
              <w:widowControl/>
              <w:spacing w:line="0" w:lineRule="atLeast"/>
              <w:jc w:val="center"/>
              <w:rPr>
                <w:color w:val="000000"/>
              </w:rPr>
            </w:pPr>
            <w:r w:rsidRPr="00131B9D">
              <w:rPr>
                <w:color w:val="000000"/>
              </w:rPr>
              <w:t>170</w:t>
            </w:r>
            <w:r w:rsidRPr="00131B9D">
              <w:rPr>
                <w:color w:val="000000"/>
              </w:rPr>
              <w:t>公克</w:t>
            </w:r>
          </w:p>
        </w:tc>
        <w:tc>
          <w:tcPr>
            <w:tcW w:w="1349" w:type="dxa"/>
            <w:vAlign w:val="center"/>
          </w:tcPr>
          <w:p w:rsidR="00074B7C" w:rsidRPr="00131B9D" w:rsidRDefault="00074B7C" w:rsidP="00074B7C">
            <w:pPr>
              <w:widowControl/>
              <w:spacing w:line="0" w:lineRule="atLeast"/>
              <w:jc w:val="center"/>
              <w:rPr>
                <w:color w:val="000000"/>
              </w:rPr>
            </w:pPr>
            <w:r w:rsidRPr="00131B9D">
              <w:rPr>
                <w:color w:val="000000"/>
              </w:rPr>
              <w:t xml:space="preserve">28.4 </w:t>
            </w:r>
          </w:p>
        </w:tc>
        <w:tc>
          <w:tcPr>
            <w:tcW w:w="1279" w:type="dxa"/>
            <w:vAlign w:val="center"/>
          </w:tcPr>
          <w:p w:rsidR="00074B7C" w:rsidRPr="00131B9D" w:rsidRDefault="00074B7C" w:rsidP="00074B7C">
            <w:pPr>
              <w:widowControl/>
              <w:spacing w:line="0" w:lineRule="atLeast"/>
              <w:jc w:val="center"/>
              <w:rPr>
                <w:color w:val="000000"/>
              </w:rPr>
            </w:pPr>
            <w:r w:rsidRPr="00131B9D">
              <w:rPr>
                <w:color w:val="000000"/>
              </w:rPr>
              <w:t xml:space="preserve">28.7 </w:t>
            </w:r>
          </w:p>
        </w:tc>
        <w:tc>
          <w:tcPr>
            <w:tcW w:w="1151" w:type="dxa"/>
            <w:vAlign w:val="center"/>
          </w:tcPr>
          <w:p w:rsidR="00074B7C" w:rsidRPr="00131B9D" w:rsidRDefault="00074B7C" w:rsidP="00074B7C">
            <w:pPr>
              <w:widowControl/>
              <w:spacing w:line="0" w:lineRule="atLeast"/>
              <w:jc w:val="center"/>
              <w:rPr>
                <w:color w:val="000000"/>
              </w:rPr>
            </w:pPr>
            <w:r w:rsidRPr="00131B9D">
              <w:rPr>
                <w:color w:val="000000"/>
              </w:rPr>
              <w:t>0.97%</w:t>
            </w:r>
          </w:p>
        </w:tc>
      </w:tr>
      <w:tr w:rsidR="00074B7C" w:rsidRPr="00131B9D" w:rsidTr="00074B7C">
        <w:trPr>
          <w:jc w:val="center"/>
        </w:trPr>
        <w:tc>
          <w:tcPr>
            <w:tcW w:w="1232" w:type="dxa"/>
            <w:vMerge/>
            <w:tcBorders>
              <w:bottom w:val="single" w:sz="4" w:space="0" w:color="auto"/>
            </w:tcBorders>
            <w:vAlign w:val="center"/>
          </w:tcPr>
          <w:p w:rsidR="00074B7C" w:rsidRPr="00131B9D" w:rsidRDefault="00074B7C" w:rsidP="00074B7C">
            <w:pPr>
              <w:spacing w:line="0" w:lineRule="atLeast"/>
              <w:jc w:val="center"/>
              <w:rPr>
                <w:color w:val="000000"/>
              </w:rPr>
            </w:pPr>
          </w:p>
        </w:tc>
        <w:tc>
          <w:tcPr>
            <w:tcW w:w="1231" w:type="dxa"/>
            <w:tcBorders>
              <w:bottom w:val="single" w:sz="4" w:space="0" w:color="auto"/>
            </w:tcBorders>
            <w:vAlign w:val="center"/>
          </w:tcPr>
          <w:p w:rsidR="00074B7C" w:rsidRPr="00131B9D" w:rsidRDefault="00074B7C" w:rsidP="00074B7C">
            <w:pPr>
              <w:spacing w:line="0" w:lineRule="atLeast"/>
              <w:jc w:val="center"/>
              <w:rPr>
                <w:color w:val="000000"/>
              </w:rPr>
            </w:pPr>
            <w:r w:rsidRPr="00131B9D">
              <w:rPr>
                <w:color w:val="000000"/>
              </w:rPr>
              <w:t>量販店</w:t>
            </w:r>
          </w:p>
        </w:tc>
        <w:tc>
          <w:tcPr>
            <w:tcW w:w="1081" w:type="dxa"/>
            <w:tcBorders>
              <w:bottom w:val="single" w:sz="4" w:space="0" w:color="auto"/>
            </w:tcBorders>
          </w:tcPr>
          <w:p w:rsidR="00074B7C" w:rsidRPr="00131B9D" w:rsidRDefault="00074B7C" w:rsidP="00074B7C">
            <w:pPr>
              <w:widowControl/>
              <w:spacing w:line="0" w:lineRule="atLeast"/>
              <w:jc w:val="center"/>
              <w:rPr>
                <w:color w:val="000000"/>
              </w:rPr>
            </w:pPr>
            <w:r w:rsidRPr="00131B9D">
              <w:rPr>
                <w:color w:val="000000"/>
              </w:rPr>
              <w:t>170</w:t>
            </w:r>
            <w:r w:rsidRPr="00131B9D">
              <w:rPr>
                <w:color w:val="000000"/>
              </w:rPr>
              <w:t>公克</w:t>
            </w:r>
          </w:p>
        </w:tc>
        <w:tc>
          <w:tcPr>
            <w:tcW w:w="1349" w:type="dxa"/>
            <w:tcBorders>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 xml:space="preserve">25.9 </w:t>
            </w:r>
          </w:p>
        </w:tc>
        <w:tc>
          <w:tcPr>
            <w:tcW w:w="1279" w:type="dxa"/>
            <w:tcBorders>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 xml:space="preserve">25.8 </w:t>
            </w:r>
          </w:p>
        </w:tc>
        <w:tc>
          <w:tcPr>
            <w:tcW w:w="1151" w:type="dxa"/>
            <w:tcBorders>
              <w:bottom w:val="single" w:sz="4" w:space="0" w:color="auto"/>
            </w:tcBorders>
            <w:vAlign w:val="center"/>
          </w:tcPr>
          <w:p w:rsidR="00074B7C" w:rsidRPr="00131B9D" w:rsidRDefault="00074B7C" w:rsidP="00074B7C">
            <w:pPr>
              <w:widowControl/>
              <w:spacing w:line="0" w:lineRule="atLeast"/>
              <w:jc w:val="center"/>
              <w:rPr>
                <w:color w:val="000000"/>
              </w:rPr>
            </w:pPr>
            <w:r w:rsidRPr="00131B9D">
              <w:rPr>
                <w:color w:val="000000"/>
              </w:rPr>
              <w:t>-0.12%</w:t>
            </w:r>
          </w:p>
        </w:tc>
      </w:tr>
      <w:tr w:rsidR="00074B7C" w:rsidRPr="00131B9D" w:rsidTr="00074B7C">
        <w:trPr>
          <w:jc w:val="center"/>
        </w:trPr>
        <w:tc>
          <w:tcPr>
            <w:tcW w:w="1232" w:type="dxa"/>
            <w:vMerge w:val="restart"/>
            <w:vAlign w:val="center"/>
          </w:tcPr>
          <w:p w:rsidR="00074B7C" w:rsidRPr="00131B9D" w:rsidRDefault="00074B7C" w:rsidP="00074B7C">
            <w:pPr>
              <w:widowControl/>
              <w:spacing w:line="0" w:lineRule="atLeast"/>
              <w:jc w:val="center"/>
              <w:rPr>
                <w:color w:val="000000"/>
              </w:rPr>
            </w:pPr>
            <w:r w:rsidRPr="00131B9D">
              <w:rPr>
                <w:color w:val="000000"/>
              </w:rPr>
              <w:t>牛頭牌金色蔬菜玉米粒</w:t>
            </w:r>
          </w:p>
        </w:tc>
        <w:tc>
          <w:tcPr>
            <w:tcW w:w="1231" w:type="dxa"/>
            <w:vAlign w:val="center"/>
          </w:tcPr>
          <w:p w:rsidR="00074B7C" w:rsidRPr="00131B9D" w:rsidRDefault="00074B7C" w:rsidP="00074B7C">
            <w:pPr>
              <w:spacing w:line="0" w:lineRule="atLeast"/>
              <w:jc w:val="center"/>
            </w:pPr>
            <w:r w:rsidRPr="00131B9D">
              <w:rPr>
                <w:color w:val="000000"/>
              </w:rPr>
              <w:t>超市</w:t>
            </w:r>
          </w:p>
        </w:tc>
        <w:tc>
          <w:tcPr>
            <w:tcW w:w="1081" w:type="dxa"/>
            <w:vAlign w:val="center"/>
          </w:tcPr>
          <w:p w:rsidR="00074B7C" w:rsidRPr="00131B9D" w:rsidRDefault="00074B7C" w:rsidP="00074B7C">
            <w:pPr>
              <w:widowControl/>
              <w:spacing w:line="0" w:lineRule="atLeast"/>
              <w:jc w:val="center"/>
              <w:rPr>
                <w:color w:val="000000"/>
              </w:rPr>
            </w:pPr>
            <w:r w:rsidRPr="00131B9D">
              <w:rPr>
                <w:color w:val="000000"/>
              </w:rPr>
              <w:t>312</w:t>
            </w:r>
            <w:r w:rsidRPr="00131B9D">
              <w:rPr>
                <w:color w:val="000000"/>
              </w:rPr>
              <w:t>公克</w:t>
            </w:r>
          </w:p>
        </w:tc>
        <w:tc>
          <w:tcPr>
            <w:tcW w:w="1349" w:type="dxa"/>
            <w:vAlign w:val="center"/>
          </w:tcPr>
          <w:p w:rsidR="00074B7C" w:rsidRPr="00131B9D" w:rsidRDefault="00074B7C" w:rsidP="00074B7C">
            <w:pPr>
              <w:widowControl/>
              <w:spacing w:line="0" w:lineRule="atLeast"/>
              <w:jc w:val="center"/>
              <w:rPr>
                <w:color w:val="000000"/>
              </w:rPr>
            </w:pPr>
            <w:r w:rsidRPr="00131B9D">
              <w:rPr>
                <w:color w:val="000000"/>
              </w:rPr>
              <w:t xml:space="preserve">32.5 </w:t>
            </w:r>
          </w:p>
        </w:tc>
        <w:tc>
          <w:tcPr>
            <w:tcW w:w="1279" w:type="dxa"/>
            <w:vAlign w:val="center"/>
          </w:tcPr>
          <w:p w:rsidR="00074B7C" w:rsidRPr="00131B9D" w:rsidRDefault="00074B7C" w:rsidP="00074B7C">
            <w:pPr>
              <w:spacing w:line="0" w:lineRule="atLeast"/>
              <w:jc w:val="center"/>
              <w:rPr>
                <w:color w:val="000000"/>
              </w:rPr>
            </w:pPr>
            <w:r w:rsidRPr="00131B9D">
              <w:rPr>
                <w:color w:val="000000"/>
              </w:rPr>
              <w:t xml:space="preserve">33.1 </w:t>
            </w:r>
          </w:p>
        </w:tc>
        <w:tc>
          <w:tcPr>
            <w:tcW w:w="1151" w:type="dxa"/>
            <w:vAlign w:val="center"/>
          </w:tcPr>
          <w:p w:rsidR="00074B7C" w:rsidRPr="00131B9D" w:rsidRDefault="00074B7C" w:rsidP="00074B7C">
            <w:pPr>
              <w:spacing w:line="0" w:lineRule="atLeast"/>
              <w:jc w:val="center"/>
              <w:rPr>
                <w:color w:val="000000"/>
              </w:rPr>
            </w:pPr>
            <w:r w:rsidRPr="00131B9D">
              <w:rPr>
                <w:color w:val="000000"/>
              </w:rPr>
              <w:t>1.84%</w:t>
            </w:r>
          </w:p>
        </w:tc>
      </w:tr>
      <w:tr w:rsidR="00074B7C" w:rsidRPr="00131B9D" w:rsidTr="00074B7C">
        <w:trPr>
          <w:jc w:val="center"/>
        </w:trPr>
        <w:tc>
          <w:tcPr>
            <w:tcW w:w="1232" w:type="dxa"/>
            <w:vMerge/>
            <w:tcBorders>
              <w:bottom w:val="single" w:sz="12" w:space="0" w:color="auto"/>
            </w:tcBorders>
            <w:vAlign w:val="center"/>
          </w:tcPr>
          <w:p w:rsidR="00074B7C" w:rsidRPr="00131B9D" w:rsidRDefault="00074B7C" w:rsidP="00074B7C">
            <w:pPr>
              <w:widowControl/>
              <w:spacing w:line="0" w:lineRule="atLeast"/>
              <w:jc w:val="center"/>
              <w:rPr>
                <w:color w:val="000000"/>
              </w:rPr>
            </w:pPr>
          </w:p>
        </w:tc>
        <w:tc>
          <w:tcPr>
            <w:tcW w:w="1231" w:type="dxa"/>
            <w:tcBorders>
              <w:bottom w:val="single" w:sz="12" w:space="0" w:color="auto"/>
            </w:tcBorders>
            <w:vAlign w:val="center"/>
          </w:tcPr>
          <w:p w:rsidR="00074B7C" w:rsidRPr="00131B9D" w:rsidRDefault="00074B7C" w:rsidP="00074B7C">
            <w:pPr>
              <w:spacing w:line="0" w:lineRule="atLeast"/>
              <w:jc w:val="center"/>
              <w:rPr>
                <w:color w:val="000000"/>
              </w:rPr>
            </w:pPr>
            <w:r w:rsidRPr="00131B9D">
              <w:rPr>
                <w:color w:val="000000"/>
              </w:rPr>
              <w:t>量販店</w:t>
            </w:r>
          </w:p>
        </w:tc>
        <w:tc>
          <w:tcPr>
            <w:tcW w:w="1081" w:type="dxa"/>
            <w:tcBorders>
              <w:bottom w:val="single" w:sz="12" w:space="0" w:color="auto"/>
            </w:tcBorders>
            <w:vAlign w:val="center"/>
          </w:tcPr>
          <w:p w:rsidR="00074B7C" w:rsidRPr="00131B9D" w:rsidRDefault="00074B7C" w:rsidP="00074B7C">
            <w:pPr>
              <w:widowControl/>
              <w:spacing w:line="0" w:lineRule="atLeast"/>
              <w:jc w:val="center"/>
              <w:rPr>
                <w:color w:val="000000"/>
              </w:rPr>
            </w:pPr>
            <w:r w:rsidRPr="00131B9D">
              <w:rPr>
                <w:color w:val="000000"/>
              </w:rPr>
              <w:t>312</w:t>
            </w:r>
            <w:r w:rsidRPr="00131B9D">
              <w:rPr>
                <w:color w:val="000000"/>
              </w:rPr>
              <w:t>公克</w:t>
            </w:r>
          </w:p>
        </w:tc>
        <w:tc>
          <w:tcPr>
            <w:tcW w:w="1349" w:type="dxa"/>
            <w:tcBorders>
              <w:bottom w:val="single" w:sz="12" w:space="0" w:color="auto"/>
            </w:tcBorders>
            <w:vAlign w:val="center"/>
          </w:tcPr>
          <w:p w:rsidR="00074B7C" w:rsidRPr="00131B9D" w:rsidRDefault="00074B7C" w:rsidP="00074B7C">
            <w:pPr>
              <w:widowControl/>
              <w:spacing w:line="0" w:lineRule="atLeast"/>
              <w:jc w:val="center"/>
              <w:rPr>
                <w:color w:val="000000"/>
              </w:rPr>
            </w:pPr>
            <w:r w:rsidRPr="00131B9D">
              <w:rPr>
                <w:color w:val="000000"/>
              </w:rPr>
              <w:t xml:space="preserve">28.9 </w:t>
            </w:r>
          </w:p>
        </w:tc>
        <w:tc>
          <w:tcPr>
            <w:tcW w:w="1279" w:type="dxa"/>
            <w:tcBorders>
              <w:bottom w:val="single" w:sz="12" w:space="0" w:color="auto"/>
            </w:tcBorders>
            <w:vAlign w:val="center"/>
          </w:tcPr>
          <w:p w:rsidR="00074B7C" w:rsidRPr="00131B9D" w:rsidRDefault="00074B7C" w:rsidP="00074B7C">
            <w:pPr>
              <w:widowControl/>
              <w:spacing w:line="0" w:lineRule="atLeast"/>
              <w:jc w:val="center"/>
              <w:rPr>
                <w:color w:val="000000"/>
              </w:rPr>
            </w:pPr>
            <w:r w:rsidRPr="00131B9D">
              <w:rPr>
                <w:color w:val="000000"/>
              </w:rPr>
              <w:t xml:space="preserve">29.1 </w:t>
            </w:r>
          </w:p>
        </w:tc>
        <w:tc>
          <w:tcPr>
            <w:tcW w:w="1151" w:type="dxa"/>
            <w:tcBorders>
              <w:bottom w:val="single" w:sz="12" w:space="0" w:color="auto"/>
            </w:tcBorders>
            <w:vAlign w:val="center"/>
          </w:tcPr>
          <w:p w:rsidR="00074B7C" w:rsidRPr="00131B9D" w:rsidRDefault="00074B7C" w:rsidP="00074B7C">
            <w:pPr>
              <w:widowControl/>
              <w:spacing w:line="0" w:lineRule="atLeast"/>
              <w:jc w:val="center"/>
              <w:rPr>
                <w:color w:val="000000"/>
              </w:rPr>
            </w:pPr>
            <w:r w:rsidRPr="00131B9D">
              <w:rPr>
                <w:color w:val="000000"/>
              </w:rPr>
              <w:t>0.95%</w:t>
            </w:r>
          </w:p>
        </w:tc>
      </w:tr>
    </w:tbl>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E6156E" w:rsidRPr="00131B9D" w:rsidRDefault="00E6156E" w:rsidP="00E6156E">
      <w:pPr>
        <w:sectPr w:rsidR="00E6156E" w:rsidRPr="00131B9D" w:rsidSect="005D32EF">
          <w:pgSz w:w="11906" w:h="16838"/>
          <w:pgMar w:top="1440" w:right="1800" w:bottom="1440" w:left="1800" w:header="851" w:footer="992" w:gutter="0"/>
          <w:cols w:space="425"/>
          <w:docGrid w:type="linesAndChars" w:linePitch="360"/>
        </w:sectPr>
      </w:pPr>
    </w:p>
    <w:p w:rsidR="000B2AA7" w:rsidRPr="00131B9D" w:rsidRDefault="000B2AA7" w:rsidP="000B2AA7">
      <w:pPr>
        <w:pStyle w:val="2"/>
        <w:spacing w:before="108" w:after="108"/>
        <w:rPr>
          <w:rFonts w:ascii="Times New Roman" w:hAnsi="Times New Roman"/>
        </w:rPr>
      </w:pPr>
      <w:bookmarkStart w:id="434" w:name="_Toc439162965"/>
      <w:r w:rsidRPr="00131B9D">
        <w:rPr>
          <w:rFonts w:ascii="Times New Roman" w:hAnsi="Times New Roman"/>
        </w:rPr>
        <w:lastRenderedPageBreak/>
        <w:t>六、乳製品類</w:t>
      </w:r>
      <w:bookmarkEnd w:id="434"/>
    </w:p>
    <w:p w:rsidR="00E40550" w:rsidRPr="00131B9D" w:rsidRDefault="00E40550" w:rsidP="00E40550">
      <w:pPr>
        <w:pStyle w:val="3"/>
        <w:rPr>
          <w:rFonts w:ascii="Times New Roman" w:hAnsi="Times New Roman"/>
        </w:rPr>
      </w:pPr>
      <w:r w:rsidRPr="00131B9D">
        <w:rPr>
          <w:rFonts w:ascii="Times New Roman" w:hAnsi="Times New Roman"/>
        </w:rPr>
        <w:t>（一）乳品</w:t>
      </w:r>
    </w:p>
    <w:p w:rsidR="00E40550" w:rsidRPr="00131B9D" w:rsidRDefault="00E40550" w:rsidP="00E40550">
      <w:pPr>
        <w:pStyle w:val="-"/>
        <w:spacing w:before="72" w:after="72"/>
        <w:ind w:firstLine="560"/>
      </w:pPr>
      <w:r w:rsidRPr="00131B9D">
        <w:t>2012</w:t>
      </w:r>
      <w:r w:rsidRPr="00131B9D">
        <w:t>年</w:t>
      </w:r>
      <w:r w:rsidRPr="00131B9D">
        <w:t>1</w:t>
      </w:r>
      <w:r w:rsidRPr="00131B9D">
        <w:t>月至</w:t>
      </w:r>
      <w:r w:rsidRPr="00131B9D">
        <w:t>2015</w:t>
      </w:r>
      <w:r w:rsidRPr="00131B9D">
        <w:t>年</w:t>
      </w:r>
      <w:r w:rsidR="00074B7C" w:rsidRPr="00131B9D">
        <w:t>11</w:t>
      </w:r>
      <w:r w:rsidRPr="00131B9D">
        <w:t>月各通路乳品價格走勢彙整如圖</w:t>
      </w:r>
      <w:r w:rsidR="00A65AB2" w:rsidRPr="00131B9D">
        <w:t>4-</w:t>
      </w:r>
      <w:r w:rsidR="00074B7C" w:rsidRPr="00131B9D">
        <w:t>20</w:t>
      </w:r>
      <w:r w:rsidRPr="00131B9D">
        <w:t>、</w:t>
      </w:r>
      <w:r w:rsidR="00A65AB2" w:rsidRPr="00131B9D">
        <w:t>4-</w:t>
      </w:r>
      <w:r w:rsidR="00074B7C" w:rsidRPr="00131B9D">
        <w:t>21</w:t>
      </w:r>
      <w:r w:rsidRPr="00131B9D">
        <w:t>。本研究調查品項包括統一</w:t>
      </w:r>
      <w:r w:rsidRPr="00131B9D">
        <w:t>AB</w:t>
      </w:r>
      <w:r w:rsidRPr="00131B9D">
        <w:t>優酪乳與味全林鳳營鮮乳，近年來多起食安事件衝擊整體乳品市場，促使民眾轉往消費進口牛奶以及小型牧場產品，國內乳品大廠銷量亦受到分食，通路業者為挽救低靡銷售量，針對味全林鳳營鮮乳於</w:t>
      </w:r>
      <w:r w:rsidR="0000651A" w:rsidRPr="00131B9D">
        <w:t>2015</w:t>
      </w:r>
      <w:r w:rsidRPr="00131B9D">
        <w:t>年間進行一連串促銷活動，故價格波動較大，統一</w:t>
      </w:r>
      <w:r w:rsidRPr="00131B9D">
        <w:t>AB</w:t>
      </w:r>
      <w:r w:rsidRPr="00131B9D">
        <w:t>優酪乳價格則走勢平穩。</w:t>
      </w:r>
    </w:p>
    <w:p w:rsidR="00A65AB2" w:rsidRPr="00131B9D" w:rsidRDefault="00A65AB2" w:rsidP="00A65AB2"/>
    <w:p w:rsidR="00E40550" w:rsidRPr="00131B9D" w:rsidRDefault="0000651A" w:rsidP="00074B7C">
      <w:pPr>
        <w:spacing w:line="0" w:lineRule="atLeast"/>
        <w:jc w:val="center"/>
      </w:pPr>
      <w:r w:rsidRPr="00131B9D">
        <w:rPr>
          <w:noProof/>
        </w:rPr>
        <w:drawing>
          <wp:inline distT="0" distB="0" distL="0" distR="0" wp14:anchorId="0298130F" wp14:editId="1F1FC7DF">
            <wp:extent cx="5274000" cy="2419200"/>
            <wp:effectExtent l="0" t="0" r="0" b="0"/>
            <wp:docPr id="105" name="圖表 10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rsidR="00E40550" w:rsidRPr="00131B9D" w:rsidRDefault="00E40550" w:rsidP="00E40550">
      <w:pPr>
        <w:pStyle w:val="-"/>
        <w:snapToGrid/>
        <w:spacing w:beforeLines="0" w:afterLines="0" w:line="0" w:lineRule="atLeast"/>
        <w:ind w:firstLine="400"/>
        <w:rPr>
          <w:kern w:val="0"/>
          <w:sz w:val="20"/>
          <w:szCs w:val="20"/>
        </w:rPr>
      </w:pPr>
      <w:r w:rsidRPr="00131B9D">
        <w:rPr>
          <w:kern w:val="0"/>
          <w:sz w:val="20"/>
          <w:szCs w:val="20"/>
        </w:rPr>
        <w:t>資料來源：本文整理</w:t>
      </w:r>
    </w:p>
    <w:p w:rsidR="00E40550" w:rsidRPr="00131B9D" w:rsidRDefault="00A65AB2" w:rsidP="00A65AB2">
      <w:pPr>
        <w:pStyle w:val="afff5"/>
        <w:spacing w:line="0" w:lineRule="atLeast"/>
        <w:jc w:val="center"/>
        <w:rPr>
          <w:rFonts w:eastAsia="標楷體"/>
          <w:b/>
          <w:bCs/>
          <w:kern w:val="52"/>
          <w:sz w:val="28"/>
          <w:szCs w:val="28"/>
        </w:rPr>
      </w:pPr>
      <w:bookmarkStart w:id="435" w:name="_Toc437958991"/>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20</w:t>
      </w:r>
      <w:r w:rsidRPr="00131B9D">
        <w:rPr>
          <w:rFonts w:eastAsia="標楷體"/>
          <w:b/>
          <w:bCs/>
          <w:kern w:val="52"/>
          <w:sz w:val="28"/>
          <w:szCs w:val="28"/>
        </w:rPr>
        <w:fldChar w:fldCharType="end"/>
      </w:r>
      <w:r w:rsidR="00E40550" w:rsidRPr="00131B9D">
        <w:rPr>
          <w:rFonts w:eastAsia="標楷體"/>
          <w:b/>
          <w:bCs/>
          <w:kern w:val="52"/>
          <w:sz w:val="28"/>
          <w:szCs w:val="28"/>
        </w:rPr>
        <w:t xml:space="preserve">　統一</w:t>
      </w:r>
      <w:r w:rsidR="00E40550" w:rsidRPr="00131B9D">
        <w:rPr>
          <w:rFonts w:eastAsia="標楷體"/>
          <w:b/>
          <w:bCs/>
          <w:kern w:val="52"/>
          <w:sz w:val="28"/>
          <w:szCs w:val="28"/>
        </w:rPr>
        <w:t>AB</w:t>
      </w:r>
      <w:r w:rsidR="00E40550" w:rsidRPr="00131B9D">
        <w:rPr>
          <w:rFonts w:eastAsia="標楷體"/>
          <w:b/>
          <w:bCs/>
          <w:kern w:val="52"/>
          <w:sz w:val="28"/>
          <w:szCs w:val="28"/>
        </w:rPr>
        <w:t>優酪乳價格長期走勢</w:t>
      </w:r>
      <w:r w:rsidR="00FD4A1A" w:rsidRPr="00131B9D">
        <w:rPr>
          <w:rFonts w:eastAsia="標楷體"/>
          <w:b/>
          <w:bCs/>
          <w:kern w:val="52"/>
          <w:sz w:val="28"/>
          <w:szCs w:val="28"/>
        </w:rPr>
        <w:t>圖</w:t>
      </w:r>
      <w:bookmarkEnd w:id="435"/>
    </w:p>
    <w:p w:rsidR="00CB049E" w:rsidRPr="00131B9D" w:rsidRDefault="00CB049E" w:rsidP="00CB049E"/>
    <w:p w:rsidR="00E40550" w:rsidRPr="00131B9D" w:rsidRDefault="0000651A" w:rsidP="00E6156E">
      <w:pPr>
        <w:spacing w:line="0" w:lineRule="atLeast"/>
        <w:jc w:val="center"/>
      </w:pPr>
      <w:r w:rsidRPr="00131B9D">
        <w:rPr>
          <w:noProof/>
        </w:rPr>
        <w:drawing>
          <wp:inline distT="0" distB="0" distL="0" distR="0" wp14:anchorId="214369F1" wp14:editId="3244084F">
            <wp:extent cx="5274000" cy="2419200"/>
            <wp:effectExtent l="0" t="0" r="3175" b="0"/>
            <wp:docPr id="107" name="圖表 10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rsidR="00E40550" w:rsidRPr="00131B9D" w:rsidRDefault="00E40550" w:rsidP="00E40550">
      <w:pPr>
        <w:pStyle w:val="-"/>
        <w:snapToGrid/>
        <w:spacing w:beforeLines="0" w:afterLines="0" w:line="0" w:lineRule="atLeast"/>
        <w:ind w:firstLine="400"/>
        <w:rPr>
          <w:kern w:val="0"/>
          <w:sz w:val="20"/>
          <w:szCs w:val="20"/>
        </w:rPr>
      </w:pPr>
      <w:r w:rsidRPr="00131B9D">
        <w:rPr>
          <w:kern w:val="0"/>
          <w:sz w:val="20"/>
          <w:szCs w:val="20"/>
        </w:rPr>
        <w:t>資料來源：本文整理</w:t>
      </w:r>
    </w:p>
    <w:p w:rsidR="00E40550" w:rsidRPr="00131B9D" w:rsidRDefault="00A65AB2" w:rsidP="00A65AB2">
      <w:pPr>
        <w:pStyle w:val="afff5"/>
        <w:spacing w:line="0" w:lineRule="atLeast"/>
        <w:jc w:val="center"/>
        <w:rPr>
          <w:rFonts w:eastAsia="標楷體"/>
          <w:b/>
          <w:bCs/>
          <w:kern w:val="52"/>
          <w:sz w:val="28"/>
          <w:szCs w:val="28"/>
        </w:rPr>
      </w:pPr>
      <w:bookmarkStart w:id="436" w:name="_Toc437958992"/>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21</w:t>
      </w:r>
      <w:r w:rsidRPr="00131B9D">
        <w:rPr>
          <w:rFonts w:eastAsia="標楷體"/>
          <w:b/>
          <w:bCs/>
          <w:kern w:val="52"/>
          <w:sz w:val="28"/>
          <w:szCs w:val="28"/>
        </w:rPr>
        <w:fldChar w:fldCharType="end"/>
      </w:r>
      <w:r w:rsidR="00E40550" w:rsidRPr="00131B9D">
        <w:rPr>
          <w:rFonts w:eastAsia="標楷體"/>
          <w:b/>
          <w:bCs/>
          <w:kern w:val="52"/>
          <w:sz w:val="28"/>
          <w:szCs w:val="28"/>
        </w:rPr>
        <w:t xml:space="preserve">　味全林鳳營鮮乳價格長期走勢</w:t>
      </w:r>
      <w:r w:rsidR="00FD4A1A" w:rsidRPr="00131B9D">
        <w:rPr>
          <w:rFonts w:eastAsia="標楷體"/>
          <w:b/>
          <w:bCs/>
          <w:kern w:val="52"/>
          <w:sz w:val="28"/>
          <w:szCs w:val="28"/>
        </w:rPr>
        <w:t>圖</w:t>
      </w:r>
      <w:bookmarkEnd w:id="436"/>
    </w:p>
    <w:p w:rsidR="00E40550" w:rsidRPr="00131B9D" w:rsidRDefault="00E40550" w:rsidP="00E40550">
      <w:pPr>
        <w:pStyle w:val="3"/>
        <w:rPr>
          <w:rFonts w:ascii="Times New Roman" w:hAnsi="Times New Roman"/>
        </w:rPr>
      </w:pPr>
      <w:r w:rsidRPr="00131B9D">
        <w:rPr>
          <w:rFonts w:ascii="Times New Roman" w:hAnsi="Times New Roman"/>
        </w:rPr>
        <w:lastRenderedPageBreak/>
        <w:t>（二）奶粉</w:t>
      </w:r>
    </w:p>
    <w:p w:rsidR="00E40550" w:rsidRPr="00131B9D" w:rsidRDefault="00E40550" w:rsidP="00E40550">
      <w:pPr>
        <w:pStyle w:val="-"/>
        <w:spacing w:before="72" w:after="72"/>
        <w:ind w:firstLineChars="0" w:firstLine="0"/>
        <w:rPr>
          <w:b/>
        </w:rPr>
      </w:pPr>
      <w:r w:rsidRPr="00131B9D">
        <w:rPr>
          <w:b/>
        </w:rPr>
        <w:t>1.</w:t>
      </w:r>
      <w:r w:rsidRPr="00131B9D">
        <w:rPr>
          <w:b/>
        </w:rPr>
        <w:t xml:space="preserve">　價格走勢</w:t>
      </w:r>
    </w:p>
    <w:p w:rsidR="00E40550" w:rsidRPr="00131B9D" w:rsidRDefault="00E40550" w:rsidP="00E40550">
      <w:pPr>
        <w:pStyle w:val="-"/>
        <w:spacing w:before="72" w:after="72"/>
        <w:ind w:firstLine="560"/>
      </w:pPr>
      <w:r w:rsidRPr="00131B9D">
        <w:t>2012</w:t>
      </w:r>
      <w:r w:rsidRPr="00131B9D">
        <w:t>年</w:t>
      </w:r>
      <w:r w:rsidRPr="00131B9D">
        <w:t>1</w:t>
      </w:r>
      <w:r w:rsidRPr="00131B9D">
        <w:t>月至</w:t>
      </w:r>
      <w:r w:rsidRPr="00131B9D">
        <w:t>2015</w:t>
      </w:r>
      <w:r w:rsidRPr="00131B9D">
        <w:t>年</w:t>
      </w:r>
      <w:r w:rsidR="0000651A" w:rsidRPr="00131B9D">
        <w:t>11</w:t>
      </w:r>
      <w:r w:rsidRPr="00131B9D">
        <w:t>月各通路奶粉價格走勢彙整如圖</w:t>
      </w:r>
      <w:r w:rsidR="00157707" w:rsidRPr="00131B9D">
        <w:t>4</w:t>
      </w:r>
      <w:r w:rsidR="00A65AB2" w:rsidRPr="00131B9D">
        <w:t>-</w:t>
      </w:r>
      <w:r w:rsidR="0020098F" w:rsidRPr="00131B9D">
        <w:t>2</w:t>
      </w:r>
      <w:r w:rsidR="0000651A" w:rsidRPr="00131B9D">
        <w:t>2</w:t>
      </w:r>
      <w:r w:rsidRPr="00131B9D">
        <w:t>。本研究調查主要關注品項包括克寧奶粉與雀巢奶粉，整體而言，</w:t>
      </w:r>
      <w:r w:rsidRPr="00131B9D">
        <w:t>2015</w:t>
      </w:r>
      <w:r w:rsidRPr="00131B9D">
        <w:t>年價格較去年同期調降。</w:t>
      </w:r>
    </w:p>
    <w:p w:rsidR="00E40550" w:rsidRPr="00131B9D" w:rsidRDefault="00E40550" w:rsidP="00E40550"/>
    <w:p w:rsidR="00E40550" w:rsidRPr="00131B9D" w:rsidRDefault="0000651A" w:rsidP="0000651A">
      <w:pPr>
        <w:spacing w:line="0" w:lineRule="atLeast"/>
        <w:jc w:val="center"/>
      </w:pPr>
      <w:r w:rsidRPr="00131B9D">
        <w:rPr>
          <w:noProof/>
        </w:rPr>
        <w:drawing>
          <wp:inline distT="0" distB="0" distL="0" distR="0" wp14:anchorId="76FF9CA8" wp14:editId="4729D0B1">
            <wp:extent cx="5274000" cy="2419200"/>
            <wp:effectExtent l="0" t="0" r="0" b="0"/>
            <wp:docPr id="108" name="圖表 10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E40550" w:rsidRPr="00131B9D" w:rsidRDefault="00E40550" w:rsidP="00E40550">
      <w:pPr>
        <w:pStyle w:val="-"/>
        <w:snapToGrid/>
        <w:spacing w:beforeLines="0" w:afterLines="0" w:line="0" w:lineRule="atLeast"/>
        <w:ind w:firstLine="400"/>
        <w:rPr>
          <w:kern w:val="0"/>
          <w:sz w:val="20"/>
          <w:szCs w:val="20"/>
        </w:rPr>
      </w:pPr>
      <w:r w:rsidRPr="00131B9D">
        <w:rPr>
          <w:kern w:val="0"/>
          <w:sz w:val="20"/>
          <w:szCs w:val="20"/>
        </w:rPr>
        <w:t>資料來源：本文整理</w:t>
      </w:r>
    </w:p>
    <w:p w:rsidR="00E40550" w:rsidRPr="00131B9D" w:rsidRDefault="00A65AB2" w:rsidP="00A65AB2">
      <w:pPr>
        <w:pStyle w:val="afff5"/>
        <w:spacing w:line="0" w:lineRule="atLeast"/>
        <w:jc w:val="center"/>
        <w:rPr>
          <w:rFonts w:eastAsia="標楷體"/>
          <w:b/>
          <w:bCs/>
          <w:kern w:val="52"/>
          <w:sz w:val="28"/>
          <w:szCs w:val="28"/>
        </w:rPr>
      </w:pPr>
      <w:bookmarkStart w:id="437" w:name="_Toc437958993"/>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22</w:t>
      </w:r>
      <w:r w:rsidRPr="00131B9D">
        <w:rPr>
          <w:rFonts w:eastAsia="標楷體"/>
          <w:b/>
          <w:bCs/>
          <w:kern w:val="52"/>
          <w:sz w:val="28"/>
          <w:szCs w:val="28"/>
        </w:rPr>
        <w:fldChar w:fldCharType="end"/>
      </w:r>
      <w:r w:rsidR="00E40550" w:rsidRPr="00131B9D">
        <w:rPr>
          <w:rFonts w:eastAsia="標楷體"/>
          <w:b/>
          <w:bCs/>
          <w:kern w:val="52"/>
          <w:sz w:val="28"/>
          <w:szCs w:val="28"/>
        </w:rPr>
        <w:t xml:space="preserve">　奶粉價格走勢</w:t>
      </w:r>
      <w:r w:rsidR="00FD4A1A" w:rsidRPr="00131B9D">
        <w:rPr>
          <w:rFonts w:eastAsia="標楷體"/>
          <w:b/>
          <w:bCs/>
          <w:kern w:val="52"/>
          <w:sz w:val="28"/>
          <w:szCs w:val="28"/>
        </w:rPr>
        <w:t>圖</w:t>
      </w:r>
      <w:bookmarkEnd w:id="437"/>
    </w:p>
    <w:p w:rsidR="00CB049E" w:rsidRPr="00131B9D" w:rsidRDefault="00CB049E" w:rsidP="00CB049E"/>
    <w:p w:rsidR="00E40550" w:rsidRPr="00131B9D" w:rsidRDefault="00E40550" w:rsidP="00E40550">
      <w:pPr>
        <w:pStyle w:val="-"/>
        <w:spacing w:before="72" w:after="72"/>
        <w:ind w:firstLineChars="0" w:firstLine="0"/>
        <w:rPr>
          <w:b/>
        </w:rPr>
      </w:pPr>
      <w:r w:rsidRPr="00131B9D">
        <w:rPr>
          <w:b/>
        </w:rPr>
        <w:t>2.</w:t>
      </w:r>
      <w:r w:rsidRPr="00131B9D">
        <w:rPr>
          <w:b/>
        </w:rPr>
        <w:t xml:space="preserve">　變動因素</w:t>
      </w:r>
    </w:p>
    <w:p w:rsidR="00E40550" w:rsidRPr="00131B9D" w:rsidRDefault="00E40550" w:rsidP="00E40550">
      <w:pPr>
        <w:pStyle w:val="-"/>
        <w:spacing w:before="72" w:after="72"/>
        <w:ind w:firstLineChars="0" w:firstLine="0"/>
        <w:rPr>
          <w:b/>
        </w:rPr>
      </w:pPr>
      <w:r w:rsidRPr="00131B9D">
        <w:rPr>
          <w:b/>
        </w:rPr>
        <w:t>(1)</w:t>
      </w:r>
      <w:r w:rsidRPr="00131B9D">
        <w:rPr>
          <w:b/>
        </w:rPr>
        <w:t xml:space="preserve">　國際奶粉價格</w:t>
      </w:r>
    </w:p>
    <w:p w:rsidR="005F3282" w:rsidRPr="00131B9D" w:rsidRDefault="00E40550" w:rsidP="005F3282">
      <w:pPr>
        <w:pStyle w:val="-"/>
        <w:spacing w:before="72" w:after="72"/>
        <w:ind w:firstLine="560"/>
      </w:pPr>
      <w:r w:rsidRPr="00131B9D">
        <w:t>我國成人奶粉主要係由國外進口袋裝乳粉原料後在國內加工而成，根據國貿局統計，</w:t>
      </w:r>
      <w:r w:rsidRPr="00131B9D">
        <w:t>2015</w:t>
      </w:r>
      <w:r w:rsidRPr="00131B9D">
        <w:t>年</w:t>
      </w:r>
      <w:r w:rsidRPr="00131B9D">
        <w:t>1</w:t>
      </w:r>
      <w:r w:rsidRPr="00131B9D">
        <w:t>月至</w:t>
      </w:r>
      <w:r w:rsidR="007C41E7" w:rsidRPr="00131B9D">
        <w:t>9</w:t>
      </w:r>
      <w:r w:rsidRPr="00131B9D">
        <w:t>月間我國前</w:t>
      </w:r>
      <w:r w:rsidRPr="00131B9D">
        <w:t>3</w:t>
      </w:r>
      <w:r w:rsidRPr="00131B9D">
        <w:t>大奶粉進口國分別為紐西蘭、荷蘭以及丹麥，國際商用乳製品交易平台</w:t>
      </w:r>
      <w:r w:rsidRPr="00131B9D">
        <w:t>(GlobalDairyTrade, GDT)</w:t>
      </w:r>
      <w:r w:rsidRPr="00131B9D">
        <w:t>數據則顯示，全脂奶粉</w:t>
      </w:r>
      <w:r w:rsidRPr="00131B9D">
        <w:t>(Whole Milk Powder)</w:t>
      </w:r>
      <w:r w:rsidRPr="00131B9D">
        <w:t>價格呈現下跌趨勢，</w:t>
      </w:r>
      <w:r w:rsidR="0079534B" w:rsidRPr="00131B9D">
        <w:t>截至</w:t>
      </w:r>
      <w:r w:rsidRPr="00131B9D">
        <w:t>7</w:t>
      </w:r>
      <w:r w:rsidRPr="00131B9D">
        <w:t>月</w:t>
      </w:r>
      <w:r w:rsidRPr="00131B9D">
        <w:t>15</w:t>
      </w:r>
      <w:r w:rsidRPr="00131B9D">
        <w:t>日報價已下滑至每公噸</w:t>
      </w:r>
      <w:r w:rsidRPr="00131B9D">
        <w:t>1,847.8</w:t>
      </w:r>
      <w:r w:rsidRPr="00131B9D">
        <w:t>美元（如圖</w:t>
      </w:r>
      <w:r w:rsidR="00A65AB2" w:rsidRPr="00131B9D">
        <w:t>4-</w:t>
      </w:r>
      <w:r w:rsidR="0020098F" w:rsidRPr="00131B9D">
        <w:t>2</w:t>
      </w:r>
      <w:r w:rsidR="007C41E7" w:rsidRPr="00131B9D">
        <w:t>3</w:t>
      </w:r>
      <w:r w:rsidRPr="00131B9D">
        <w:t>），國內奶粉業者雀巢為反映國際價格走跌，</w:t>
      </w:r>
      <w:r w:rsidRPr="00131B9D">
        <w:t>2014</w:t>
      </w:r>
      <w:r w:rsidRPr="00131B9D">
        <w:t>年</w:t>
      </w:r>
      <w:r w:rsidRPr="00131B9D">
        <w:t>12</w:t>
      </w:r>
      <w:r w:rsidRPr="00131B9D">
        <w:t>月底即通知各大量販通路調降克寧成人奶粉系列</w:t>
      </w:r>
      <w:r w:rsidRPr="00131B9D">
        <w:t>11</w:t>
      </w:r>
      <w:r w:rsidRPr="00131B9D">
        <w:t>品項進貨價及建議售價。</w:t>
      </w:r>
      <w:r w:rsidR="005F3282" w:rsidRPr="00131B9D">
        <w:t>惟近期國際奶粉報價緩慢回升，截至</w:t>
      </w:r>
      <w:r w:rsidR="005F3282" w:rsidRPr="00131B9D">
        <w:t>12</w:t>
      </w:r>
      <w:r w:rsidR="005F3282" w:rsidRPr="00131B9D">
        <w:t>月</w:t>
      </w:r>
      <w:r w:rsidR="005F3282" w:rsidRPr="00131B9D">
        <w:t>21</w:t>
      </w:r>
      <w:r w:rsidR="005F3282" w:rsidRPr="00131B9D">
        <w:t>日已來到每公噸</w:t>
      </w:r>
      <w:r w:rsidR="005F3282" w:rsidRPr="00131B9D">
        <w:t>2,304</w:t>
      </w:r>
      <w:r w:rsidR="005F3282" w:rsidRPr="00131B9D">
        <w:t>美元。</w:t>
      </w:r>
    </w:p>
    <w:p w:rsidR="00E6156E" w:rsidRPr="00131B9D" w:rsidRDefault="00E6156E" w:rsidP="0079534B">
      <w:pPr>
        <w:sectPr w:rsidR="00E6156E" w:rsidRPr="00131B9D" w:rsidSect="005D32EF">
          <w:pgSz w:w="11906" w:h="16838"/>
          <w:pgMar w:top="1440" w:right="1800" w:bottom="1440" w:left="1800" w:header="851" w:footer="992" w:gutter="0"/>
          <w:cols w:space="425"/>
          <w:docGrid w:type="linesAndChars" w:linePitch="360"/>
        </w:sectPr>
      </w:pPr>
    </w:p>
    <w:p w:rsidR="00E40550" w:rsidRPr="00131B9D" w:rsidRDefault="0079534B" w:rsidP="007C41E7">
      <w:pPr>
        <w:jc w:val="center"/>
      </w:pPr>
      <w:r w:rsidRPr="00131B9D">
        <w:rPr>
          <w:noProof/>
        </w:rPr>
        <w:lastRenderedPageBreak/>
        <w:drawing>
          <wp:inline distT="0" distB="0" distL="0" distR="0" wp14:anchorId="2A37F34A" wp14:editId="3F7D2152">
            <wp:extent cx="2362200" cy="2200275"/>
            <wp:effectExtent l="0" t="0" r="0" b="0"/>
            <wp:docPr id="109" name="圖表 10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r w:rsidR="00815D07" w:rsidRPr="00131B9D">
        <w:rPr>
          <w:noProof/>
        </w:rPr>
        <w:drawing>
          <wp:inline distT="0" distB="0" distL="0" distR="0" wp14:anchorId="3E740C8C" wp14:editId="051234D3">
            <wp:extent cx="2768600" cy="2009775"/>
            <wp:effectExtent l="0" t="0" r="0" b="0"/>
            <wp:docPr id="4" name="圖表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rsidR="00E40550" w:rsidRPr="00131B9D" w:rsidRDefault="00E40550" w:rsidP="00E40550">
      <w:pPr>
        <w:pStyle w:val="-"/>
        <w:snapToGrid/>
        <w:spacing w:beforeLines="0" w:afterLines="0" w:line="0" w:lineRule="atLeast"/>
        <w:ind w:firstLine="400"/>
        <w:rPr>
          <w:kern w:val="0"/>
          <w:sz w:val="20"/>
          <w:szCs w:val="20"/>
        </w:rPr>
      </w:pPr>
      <w:r w:rsidRPr="00131B9D">
        <w:rPr>
          <w:kern w:val="0"/>
          <w:sz w:val="20"/>
          <w:szCs w:val="20"/>
        </w:rPr>
        <w:t>參考資料：經濟部國際貿易局、</w:t>
      </w:r>
      <w:r w:rsidRPr="00131B9D">
        <w:rPr>
          <w:kern w:val="0"/>
          <w:sz w:val="20"/>
          <w:szCs w:val="20"/>
        </w:rPr>
        <w:t>Global Dairy Trade (GDT)</w:t>
      </w:r>
      <w:r w:rsidR="00815D07" w:rsidRPr="00131B9D">
        <w:rPr>
          <w:kern w:val="0"/>
          <w:sz w:val="20"/>
          <w:szCs w:val="20"/>
        </w:rPr>
        <w:t>，統計至</w:t>
      </w:r>
      <w:r w:rsidR="00815D07" w:rsidRPr="00131B9D">
        <w:rPr>
          <w:kern w:val="0"/>
          <w:sz w:val="20"/>
          <w:szCs w:val="20"/>
        </w:rPr>
        <w:t>12</w:t>
      </w:r>
      <w:r w:rsidR="00815D07" w:rsidRPr="00131B9D">
        <w:rPr>
          <w:kern w:val="0"/>
          <w:sz w:val="20"/>
          <w:szCs w:val="20"/>
        </w:rPr>
        <w:t>月</w:t>
      </w:r>
      <w:r w:rsidR="00815D07" w:rsidRPr="00131B9D">
        <w:rPr>
          <w:kern w:val="0"/>
          <w:sz w:val="20"/>
          <w:szCs w:val="20"/>
        </w:rPr>
        <w:t>21</w:t>
      </w:r>
      <w:r w:rsidR="00815D07" w:rsidRPr="00131B9D">
        <w:rPr>
          <w:kern w:val="0"/>
          <w:sz w:val="20"/>
          <w:szCs w:val="20"/>
        </w:rPr>
        <w:t>日</w:t>
      </w:r>
      <w:r w:rsidRPr="00131B9D">
        <w:rPr>
          <w:kern w:val="0"/>
          <w:sz w:val="20"/>
          <w:szCs w:val="20"/>
        </w:rPr>
        <w:t>。</w:t>
      </w:r>
    </w:p>
    <w:p w:rsidR="00E40550" w:rsidRPr="00131B9D" w:rsidRDefault="00A65AB2" w:rsidP="00A65AB2">
      <w:pPr>
        <w:pStyle w:val="afff5"/>
        <w:spacing w:line="0" w:lineRule="atLeast"/>
        <w:jc w:val="center"/>
        <w:rPr>
          <w:rFonts w:eastAsia="標楷體"/>
          <w:b/>
          <w:bCs/>
          <w:kern w:val="52"/>
          <w:sz w:val="28"/>
          <w:szCs w:val="28"/>
        </w:rPr>
      </w:pPr>
      <w:bookmarkStart w:id="438" w:name="_Toc437958994"/>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23</w:t>
      </w:r>
      <w:r w:rsidRPr="00131B9D">
        <w:rPr>
          <w:rFonts w:eastAsia="標楷體"/>
          <w:b/>
          <w:bCs/>
          <w:kern w:val="52"/>
          <w:sz w:val="28"/>
          <w:szCs w:val="28"/>
        </w:rPr>
        <w:fldChar w:fldCharType="end"/>
      </w:r>
      <w:r w:rsidR="00E40550" w:rsidRPr="00131B9D">
        <w:rPr>
          <w:rFonts w:eastAsia="標楷體"/>
          <w:b/>
          <w:bCs/>
          <w:kern w:val="52"/>
          <w:sz w:val="28"/>
          <w:szCs w:val="28"/>
        </w:rPr>
        <w:t xml:space="preserve">　</w:t>
      </w:r>
      <w:r w:rsidR="00E40550" w:rsidRPr="00131B9D">
        <w:rPr>
          <w:rFonts w:eastAsia="標楷體"/>
          <w:b/>
          <w:bCs/>
          <w:kern w:val="52"/>
          <w:sz w:val="28"/>
          <w:szCs w:val="28"/>
        </w:rPr>
        <w:t>2015</w:t>
      </w:r>
      <w:r w:rsidR="00E40550" w:rsidRPr="00131B9D">
        <w:rPr>
          <w:rFonts w:eastAsia="標楷體"/>
          <w:b/>
          <w:bCs/>
          <w:kern w:val="52"/>
          <w:sz w:val="28"/>
          <w:szCs w:val="28"/>
        </w:rPr>
        <w:t>年</w:t>
      </w:r>
      <w:r w:rsidR="0079534B" w:rsidRPr="00131B9D">
        <w:rPr>
          <w:rFonts w:eastAsia="標楷體"/>
          <w:b/>
          <w:bCs/>
          <w:kern w:val="52"/>
          <w:sz w:val="28"/>
          <w:szCs w:val="28"/>
        </w:rPr>
        <w:t>1</w:t>
      </w:r>
      <w:r w:rsidR="0079534B" w:rsidRPr="00131B9D">
        <w:rPr>
          <w:rFonts w:eastAsia="標楷體"/>
          <w:b/>
          <w:bCs/>
          <w:kern w:val="52"/>
          <w:sz w:val="28"/>
          <w:szCs w:val="28"/>
        </w:rPr>
        <w:t>至</w:t>
      </w:r>
      <w:r w:rsidR="0079534B" w:rsidRPr="00131B9D">
        <w:rPr>
          <w:rFonts w:eastAsia="標楷體"/>
          <w:b/>
          <w:bCs/>
          <w:kern w:val="52"/>
          <w:sz w:val="28"/>
          <w:szCs w:val="28"/>
        </w:rPr>
        <w:t>9</w:t>
      </w:r>
      <w:r w:rsidR="0079534B" w:rsidRPr="00131B9D">
        <w:rPr>
          <w:rFonts w:eastAsia="標楷體"/>
          <w:b/>
          <w:bCs/>
          <w:kern w:val="52"/>
          <w:sz w:val="28"/>
          <w:szCs w:val="28"/>
        </w:rPr>
        <w:t>月</w:t>
      </w:r>
      <w:r w:rsidR="00E40550" w:rsidRPr="00131B9D">
        <w:rPr>
          <w:rFonts w:eastAsia="標楷體"/>
          <w:b/>
          <w:bCs/>
          <w:kern w:val="52"/>
          <w:sz w:val="28"/>
          <w:szCs w:val="28"/>
        </w:rPr>
        <w:t>我國奶粉前</w:t>
      </w:r>
      <w:r w:rsidR="00E40550" w:rsidRPr="00131B9D">
        <w:rPr>
          <w:rFonts w:eastAsia="標楷體"/>
          <w:b/>
          <w:bCs/>
          <w:kern w:val="52"/>
          <w:sz w:val="28"/>
          <w:szCs w:val="28"/>
        </w:rPr>
        <w:t>10</w:t>
      </w:r>
      <w:r w:rsidR="00E40550" w:rsidRPr="00131B9D">
        <w:rPr>
          <w:rFonts w:eastAsia="標楷體"/>
          <w:b/>
          <w:bCs/>
          <w:kern w:val="52"/>
          <w:sz w:val="28"/>
          <w:szCs w:val="28"/>
        </w:rPr>
        <w:t>大進口國</w:t>
      </w:r>
      <w:bookmarkEnd w:id="438"/>
    </w:p>
    <w:p w:rsidR="00E40550" w:rsidRPr="00131B9D" w:rsidRDefault="00E40550" w:rsidP="00A65AB2">
      <w:pPr>
        <w:pStyle w:val="afff5"/>
        <w:spacing w:line="0" w:lineRule="atLeast"/>
        <w:jc w:val="center"/>
        <w:rPr>
          <w:rFonts w:eastAsia="標楷體"/>
          <w:b/>
          <w:bCs/>
          <w:kern w:val="52"/>
          <w:sz w:val="28"/>
          <w:szCs w:val="28"/>
        </w:rPr>
      </w:pPr>
      <w:r w:rsidRPr="00131B9D">
        <w:rPr>
          <w:rFonts w:eastAsia="標楷體"/>
          <w:b/>
          <w:bCs/>
          <w:kern w:val="52"/>
          <w:sz w:val="28"/>
          <w:szCs w:val="28"/>
        </w:rPr>
        <w:t>與近年國際奶粉價格走勢</w:t>
      </w:r>
    </w:p>
    <w:p w:rsidR="00E40550" w:rsidRPr="00131B9D" w:rsidRDefault="00E40550" w:rsidP="00E6156E"/>
    <w:p w:rsidR="00E40550" w:rsidRPr="00131B9D" w:rsidRDefault="00E40550" w:rsidP="00E40550">
      <w:pPr>
        <w:pStyle w:val="-"/>
        <w:spacing w:before="72" w:after="72"/>
        <w:ind w:firstLineChars="0" w:firstLine="0"/>
        <w:rPr>
          <w:b/>
        </w:rPr>
      </w:pPr>
      <w:r w:rsidRPr="00131B9D">
        <w:rPr>
          <w:b/>
        </w:rPr>
        <w:t>(2)</w:t>
      </w:r>
      <w:r w:rsidRPr="00131B9D">
        <w:rPr>
          <w:b/>
        </w:rPr>
        <w:t xml:space="preserve">　匯率因素</w:t>
      </w:r>
    </w:p>
    <w:p w:rsidR="00E40550" w:rsidRPr="00131B9D" w:rsidRDefault="00E40550" w:rsidP="00E40550">
      <w:pPr>
        <w:pStyle w:val="-"/>
        <w:spacing w:before="72" w:after="72"/>
        <w:ind w:firstLine="560"/>
      </w:pPr>
      <w:r w:rsidRPr="00131B9D">
        <w:t>我國主要奶粉係透過紐西蘭與荷蘭等國家進口，本研究關注品項克寧奶粉與雀巢奶粉乳源亦來自紐西蘭，因此進口奶粉將受紐幣匯率波動而影響。根據紐國央行於</w:t>
      </w:r>
      <w:r w:rsidRPr="00131B9D">
        <w:t>6</w:t>
      </w:r>
      <w:r w:rsidRPr="00131B9D">
        <w:t>月</w:t>
      </w:r>
      <w:r w:rsidRPr="00131B9D">
        <w:t xml:space="preserve"> 26 </w:t>
      </w:r>
      <w:r w:rsidRPr="00131B9D">
        <w:t>日公布的意向聲明</w:t>
      </w:r>
      <w:r w:rsidRPr="00131B9D">
        <w:t>(Statement of Intent)</w:t>
      </w:r>
      <w:r w:rsidRPr="00131B9D">
        <w:t>指出，紐幣持續處於高檔導致紐國經濟表現不佳，此外中國和澳洲經濟放緩、乳製品收入重挫對紐國造成衝擊，為</w:t>
      </w:r>
      <w:r w:rsidR="00815D07" w:rsidRPr="00131B9D">
        <w:t>2</w:t>
      </w:r>
      <w:r w:rsidRPr="00131B9D">
        <w:t>刺激該國經濟成長，紐國央行總裁</w:t>
      </w:r>
      <w:r w:rsidRPr="00131B9D">
        <w:t xml:space="preserve"> Graeme Wheele</w:t>
      </w:r>
      <w:r w:rsidRPr="00131B9D">
        <w:t>於</w:t>
      </w:r>
      <w:r w:rsidRPr="00131B9D">
        <w:t>7</w:t>
      </w:r>
      <w:r w:rsidRPr="00131B9D">
        <w:t>月初宣布降息一碼至</w:t>
      </w:r>
      <w:r w:rsidRPr="00131B9D">
        <w:t xml:space="preserve"> 3.25%</w:t>
      </w:r>
      <w:r w:rsidRPr="00131B9D">
        <w:t>，為四年來首次調降利率，紐幣兌</w:t>
      </w:r>
      <w:r w:rsidR="00CC4FF9" w:rsidRPr="00131B9D">
        <w:t>臺</w:t>
      </w:r>
      <w:r w:rsidRPr="00131B9D">
        <w:t>幣匯率也持續走跌</w:t>
      </w:r>
      <w:r w:rsidR="00CC4FF9" w:rsidRPr="00131B9D">
        <w:t>，一度來到</w:t>
      </w:r>
      <w:r w:rsidR="00CC4FF9" w:rsidRPr="00131B9D">
        <w:t>1</w:t>
      </w:r>
      <w:r w:rsidR="00CC4FF9" w:rsidRPr="00131B9D">
        <w:t>紐幣兌</w:t>
      </w:r>
      <w:r w:rsidR="00CC4FF9" w:rsidRPr="00131B9D">
        <w:t>19.99</w:t>
      </w:r>
      <w:r w:rsidR="00CC4FF9" w:rsidRPr="00131B9D">
        <w:t>元新臺幣</w:t>
      </w:r>
      <w:r w:rsidRPr="00131B9D">
        <w:t>（如圖</w:t>
      </w:r>
      <w:r w:rsidR="00A65AB2" w:rsidRPr="00131B9D">
        <w:t>4-</w:t>
      </w:r>
      <w:r w:rsidR="0020098F" w:rsidRPr="00131B9D">
        <w:t>2</w:t>
      </w:r>
      <w:r w:rsidR="007C05A0" w:rsidRPr="00131B9D">
        <w:t>4</w:t>
      </w:r>
      <w:r w:rsidRPr="00131B9D">
        <w:t>），</w:t>
      </w:r>
      <w:r w:rsidR="00A70B9E" w:rsidRPr="00131B9D">
        <w:t>2015</w:t>
      </w:r>
      <w:r w:rsidR="00A70B9E" w:rsidRPr="00131B9D">
        <w:t>下半年</w:t>
      </w:r>
      <w:r w:rsidR="00CC4FF9" w:rsidRPr="00131B9D">
        <w:t>雖逐漸回升，惟仍處於低檔，</w:t>
      </w:r>
      <w:r w:rsidR="007C05A0" w:rsidRPr="00131B9D">
        <w:t>下半年國內奶粉查價品項</w:t>
      </w:r>
      <w:r w:rsidRPr="00131B9D">
        <w:t>價格</w:t>
      </w:r>
      <w:r w:rsidR="007C05A0" w:rsidRPr="00131B9D">
        <w:t>亦呈現走跌態勢</w:t>
      </w:r>
      <w:r w:rsidRPr="00131B9D">
        <w:t>。</w:t>
      </w:r>
    </w:p>
    <w:p w:rsidR="00E40550" w:rsidRPr="00131B9D" w:rsidRDefault="007C05A0" w:rsidP="00E40550">
      <w:pPr>
        <w:jc w:val="center"/>
      </w:pPr>
      <w:r w:rsidRPr="00131B9D">
        <w:rPr>
          <w:noProof/>
        </w:rPr>
        <w:drawing>
          <wp:inline distT="0" distB="0" distL="0" distR="0" wp14:anchorId="26812D97" wp14:editId="44BEB067">
            <wp:extent cx="5273675" cy="2000250"/>
            <wp:effectExtent l="0" t="0" r="3175" b="0"/>
            <wp:docPr id="112" name="圖表 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rsidR="00E40550" w:rsidRPr="00131B9D" w:rsidRDefault="00E40550" w:rsidP="00E40550">
      <w:pPr>
        <w:pStyle w:val="-"/>
        <w:snapToGrid/>
        <w:spacing w:beforeLines="0" w:afterLines="0" w:line="0" w:lineRule="atLeast"/>
        <w:ind w:firstLine="400"/>
        <w:rPr>
          <w:kern w:val="0"/>
          <w:sz w:val="20"/>
          <w:szCs w:val="20"/>
        </w:rPr>
      </w:pPr>
      <w:r w:rsidRPr="00131B9D">
        <w:rPr>
          <w:kern w:val="0"/>
          <w:sz w:val="20"/>
          <w:szCs w:val="20"/>
        </w:rPr>
        <w:t>參考資料：臺灣銀行紐幣兌台幣匯率，以現金買入匯率計算，</w:t>
      </w:r>
      <w:r w:rsidRPr="00131B9D">
        <w:rPr>
          <w:kern w:val="0"/>
          <w:sz w:val="20"/>
          <w:szCs w:val="20"/>
        </w:rPr>
        <w:t>2015</w:t>
      </w:r>
      <w:r w:rsidRPr="00131B9D">
        <w:rPr>
          <w:kern w:val="0"/>
          <w:sz w:val="20"/>
          <w:szCs w:val="20"/>
        </w:rPr>
        <w:t>年初統計至</w:t>
      </w:r>
      <w:r w:rsidR="00CC4FF9" w:rsidRPr="00131B9D">
        <w:rPr>
          <w:kern w:val="0"/>
          <w:sz w:val="20"/>
          <w:szCs w:val="20"/>
        </w:rPr>
        <w:t>11</w:t>
      </w:r>
      <w:r w:rsidRPr="00131B9D">
        <w:rPr>
          <w:kern w:val="0"/>
          <w:sz w:val="20"/>
          <w:szCs w:val="20"/>
        </w:rPr>
        <w:t>月</w:t>
      </w:r>
      <w:r w:rsidR="00CC4FF9" w:rsidRPr="00131B9D">
        <w:rPr>
          <w:kern w:val="0"/>
          <w:sz w:val="20"/>
          <w:szCs w:val="20"/>
        </w:rPr>
        <w:t>27</w:t>
      </w:r>
      <w:r w:rsidRPr="00131B9D">
        <w:rPr>
          <w:kern w:val="0"/>
          <w:sz w:val="20"/>
          <w:szCs w:val="20"/>
        </w:rPr>
        <w:t>日。</w:t>
      </w:r>
    </w:p>
    <w:p w:rsidR="00E40550" w:rsidRPr="00131B9D" w:rsidRDefault="00A65AB2" w:rsidP="00A65AB2">
      <w:pPr>
        <w:pStyle w:val="afff5"/>
        <w:spacing w:line="0" w:lineRule="atLeast"/>
        <w:jc w:val="center"/>
        <w:rPr>
          <w:rFonts w:eastAsia="標楷體"/>
          <w:b/>
          <w:bCs/>
          <w:kern w:val="52"/>
          <w:sz w:val="28"/>
          <w:szCs w:val="28"/>
        </w:rPr>
      </w:pPr>
      <w:bookmarkStart w:id="439" w:name="_Toc437958995"/>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24</w:t>
      </w:r>
      <w:r w:rsidRPr="00131B9D">
        <w:rPr>
          <w:rFonts w:eastAsia="標楷體"/>
          <w:b/>
          <w:bCs/>
          <w:kern w:val="52"/>
          <w:sz w:val="28"/>
          <w:szCs w:val="28"/>
        </w:rPr>
        <w:fldChar w:fldCharType="end"/>
      </w:r>
      <w:r w:rsidR="00E40550" w:rsidRPr="00131B9D">
        <w:rPr>
          <w:rFonts w:eastAsia="標楷體"/>
          <w:b/>
          <w:bCs/>
          <w:kern w:val="52"/>
          <w:sz w:val="28"/>
          <w:szCs w:val="28"/>
        </w:rPr>
        <w:t xml:space="preserve">　紐幣兌</w:t>
      </w:r>
      <w:r w:rsidRPr="00131B9D">
        <w:rPr>
          <w:rFonts w:eastAsia="標楷體"/>
          <w:b/>
          <w:bCs/>
          <w:kern w:val="52"/>
          <w:sz w:val="28"/>
          <w:szCs w:val="28"/>
        </w:rPr>
        <w:t>臺</w:t>
      </w:r>
      <w:r w:rsidR="00E40550" w:rsidRPr="00131B9D">
        <w:rPr>
          <w:rFonts w:eastAsia="標楷體"/>
          <w:b/>
          <w:bCs/>
          <w:kern w:val="52"/>
          <w:sz w:val="28"/>
          <w:szCs w:val="28"/>
        </w:rPr>
        <w:t>幣匯率走勢</w:t>
      </w:r>
      <w:bookmarkEnd w:id="439"/>
    </w:p>
    <w:p w:rsidR="00E40550" w:rsidRPr="00131B9D" w:rsidRDefault="00E40550" w:rsidP="00E40550">
      <w:pPr>
        <w:pStyle w:val="2"/>
        <w:spacing w:before="108" w:after="108"/>
        <w:rPr>
          <w:rFonts w:ascii="Times New Roman" w:hAnsi="Times New Roman"/>
        </w:rPr>
      </w:pPr>
      <w:bookmarkStart w:id="440" w:name="_Toc439162966"/>
      <w:r w:rsidRPr="00131B9D">
        <w:rPr>
          <w:rFonts w:ascii="Times New Roman" w:hAnsi="Times New Roman"/>
        </w:rPr>
        <w:lastRenderedPageBreak/>
        <w:t>七、食用油類</w:t>
      </w:r>
      <w:bookmarkEnd w:id="440"/>
    </w:p>
    <w:p w:rsidR="00E40550" w:rsidRPr="00131B9D" w:rsidRDefault="00E40550" w:rsidP="00E40550">
      <w:pPr>
        <w:pStyle w:val="-"/>
        <w:spacing w:before="72" w:after="72"/>
        <w:ind w:firstLineChars="0" w:firstLine="0"/>
        <w:rPr>
          <w:b/>
        </w:rPr>
      </w:pPr>
      <w:r w:rsidRPr="00131B9D">
        <w:rPr>
          <w:b/>
        </w:rPr>
        <w:t>1.</w:t>
      </w:r>
      <w:r w:rsidRPr="00131B9D">
        <w:rPr>
          <w:b/>
        </w:rPr>
        <w:t xml:space="preserve">　價格走勢</w:t>
      </w:r>
    </w:p>
    <w:p w:rsidR="00E40550" w:rsidRPr="00131B9D" w:rsidRDefault="00E40550" w:rsidP="00E40550">
      <w:pPr>
        <w:pStyle w:val="-"/>
        <w:spacing w:before="72" w:after="72"/>
        <w:ind w:firstLine="560"/>
      </w:pPr>
      <w:r w:rsidRPr="00131B9D">
        <w:t>2012</w:t>
      </w:r>
      <w:r w:rsidRPr="00131B9D">
        <w:t>年</w:t>
      </w:r>
      <w:r w:rsidRPr="00131B9D">
        <w:t>1</w:t>
      </w:r>
      <w:r w:rsidRPr="00131B9D">
        <w:t>月至</w:t>
      </w:r>
      <w:r w:rsidRPr="00131B9D">
        <w:t>2015</w:t>
      </w:r>
      <w:r w:rsidRPr="00131B9D">
        <w:t>年</w:t>
      </w:r>
      <w:r w:rsidR="001D1D1D" w:rsidRPr="00131B9D">
        <w:t>11</w:t>
      </w:r>
      <w:r w:rsidRPr="00131B9D">
        <w:t>月各通路食用油價格走勢彙整如圖</w:t>
      </w:r>
      <w:r w:rsidR="00A65AB2" w:rsidRPr="00131B9D">
        <w:t>4-</w:t>
      </w:r>
      <w:r w:rsidR="001D1D1D" w:rsidRPr="00131B9D">
        <w:t>25</w:t>
      </w:r>
      <w:r w:rsidRPr="00131B9D">
        <w:t>。本研究調查品項包括得意的一天葵花油與統一大豆沙拉油，三大通路中，便利店價格走勢平穩，而超市與量販店則因銷售策略考量而不定期進行促銷活動刺激買氣。</w:t>
      </w:r>
    </w:p>
    <w:p w:rsidR="00E40550" w:rsidRPr="00131B9D" w:rsidRDefault="00E40550" w:rsidP="00E40550"/>
    <w:p w:rsidR="00E40550" w:rsidRPr="00131B9D" w:rsidRDefault="001D1D1D" w:rsidP="001D1D1D">
      <w:pPr>
        <w:spacing w:line="0" w:lineRule="atLeast"/>
        <w:jc w:val="center"/>
      </w:pPr>
      <w:r w:rsidRPr="00131B9D">
        <w:rPr>
          <w:noProof/>
        </w:rPr>
        <w:drawing>
          <wp:inline distT="0" distB="0" distL="0" distR="0" wp14:anchorId="6282423F" wp14:editId="3A345B21">
            <wp:extent cx="5274000" cy="2419200"/>
            <wp:effectExtent l="0" t="0" r="0" b="0"/>
            <wp:docPr id="113" name="圖表 1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E40550" w:rsidRPr="00131B9D" w:rsidRDefault="00E40550" w:rsidP="00E40550">
      <w:pPr>
        <w:pStyle w:val="-"/>
        <w:snapToGrid/>
        <w:spacing w:beforeLines="0" w:afterLines="0" w:line="0" w:lineRule="atLeast"/>
        <w:ind w:firstLine="400"/>
        <w:rPr>
          <w:kern w:val="0"/>
          <w:sz w:val="20"/>
          <w:szCs w:val="20"/>
        </w:rPr>
      </w:pPr>
      <w:r w:rsidRPr="00131B9D">
        <w:rPr>
          <w:kern w:val="0"/>
          <w:sz w:val="20"/>
          <w:szCs w:val="20"/>
        </w:rPr>
        <w:t>資料來源：本文整理</w:t>
      </w:r>
    </w:p>
    <w:p w:rsidR="00E40550" w:rsidRPr="00131B9D" w:rsidRDefault="00A65AB2" w:rsidP="00A65AB2">
      <w:pPr>
        <w:pStyle w:val="afff5"/>
        <w:spacing w:line="0" w:lineRule="atLeast"/>
        <w:jc w:val="center"/>
        <w:rPr>
          <w:rFonts w:eastAsia="標楷體"/>
          <w:b/>
          <w:bCs/>
          <w:kern w:val="52"/>
          <w:sz w:val="28"/>
          <w:szCs w:val="28"/>
        </w:rPr>
      </w:pPr>
      <w:bookmarkStart w:id="441" w:name="_Toc437958996"/>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25</w:t>
      </w:r>
      <w:r w:rsidRPr="00131B9D">
        <w:rPr>
          <w:rFonts w:eastAsia="標楷體"/>
          <w:b/>
          <w:bCs/>
          <w:kern w:val="52"/>
          <w:sz w:val="28"/>
          <w:szCs w:val="28"/>
        </w:rPr>
        <w:fldChar w:fldCharType="end"/>
      </w:r>
      <w:r w:rsidR="00E40550" w:rsidRPr="00131B9D">
        <w:rPr>
          <w:rFonts w:eastAsia="標楷體"/>
          <w:b/>
          <w:bCs/>
          <w:kern w:val="52"/>
          <w:sz w:val="28"/>
          <w:szCs w:val="28"/>
        </w:rPr>
        <w:t xml:space="preserve">　食用油價格長期走勢圖</w:t>
      </w:r>
      <w:bookmarkEnd w:id="441"/>
    </w:p>
    <w:p w:rsidR="00E40550" w:rsidRPr="00131B9D" w:rsidRDefault="00E40550" w:rsidP="00E40550"/>
    <w:p w:rsidR="00E40550" w:rsidRPr="00131B9D" w:rsidRDefault="00E40550" w:rsidP="00E40550">
      <w:pPr>
        <w:pStyle w:val="-"/>
        <w:spacing w:before="72" w:after="72"/>
        <w:ind w:firstLineChars="0" w:firstLine="0"/>
        <w:rPr>
          <w:b/>
        </w:rPr>
      </w:pPr>
      <w:r w:rsidRPr="00131B9D">
        <w:rPr>
          <w:b/>
        </w:rPr>
        <w:t>2.</w:t>
      </w:r>
      <w:r w:rsidRPr="00131B9D">
        <w:rPr>
          <w:b/>
        </w:rPr>
        <w:t xml:space="preserve">　變動因素</w:t>
      </w:r>
    </w:p>
    <w:p w:rsidR="00E40550" w:rsidRPr="00131B9D" w:rsidRDefault="00E40550" w:rsidP="00E40550">
      <w:pPr>
        <w:pStyle w:val="-"/>
        <w:spacing w:before="72" w:after="72"/>
        <w:ind w:firstLineChars="0" w:firstLine="0"/>
        <w:rPr>
          <w:b/>
        </w:rPr>
      </w:pPr>
      <w:r w:rsidRPr="00131B9D">
        <w:rPr>
          <w:b/>
        </w:rPr>
        <w:t>(1)</w:t>
      </w:r>
      <w:r w:rsidRPr="00131B9D">
        <w:rPr>
          <w:b/>
        </w:rPr>
        <w:t xml:space="preserve">　得意的一天葵花油</w:t>
      </w:r>
    </w:p>
    <w:p w:rsidR="00E6156E" w:rsidRPr="00131B9D" w:rsidRDefault="00E40550" w:rsidP="00E40550">
      <w:pPr>
        <w:pStyle w:val="-"/>
        <w:spacing w:before="72" w:after="72"/>
        <w:ind w:firstLine="560"/>
        <w:sectPr w:rsidR="00E6156E" w:rsidRPr="00131B9D" w:rsidSect="005D32EF">
          <w:pgSz w:w="11906" w:h="16838"/>
          <w:pgMar w:top="1440" w:right="1800" w:bottom="1440" w:left="1800" w:header="851" w:footer="992" w:gutter="0"/>
          <w:cols w:space="425"/>
          <w:docGrid w:type="linesAndChars" w:linePitch="360"/>
        </w:sectPr>
      </w:pPr>
      <w:r w:rsidRPr="00131B9D">
        <w:t>葵花油係由大型葵花籽所提煉而成，得意的一天葵花油之原油主要透過阿根廷與烏克蘭進口，再經過脫膠脫酸、脫色脫臭與冬化等精煉過程加工而成，根據國貿局統計，我國葵花原油進口以烏克蘭最大宗，</w:t>
      </w:r>
      <w:r w:rsidRPr="00131B9D">
        <w:t>2015</w:t>
      </w:r>
      <w:r w:rsidR="00FF7AAE" w:rsidRPr="00131B9D">
        <w:t>年</w:t>
      </w:r>
      <w:r w:rsidR="00FF7AAE" w:rsidRPr="00131B9D">
        <w:t>1</w:t>
      </w:r>
      <w:r w:rsidR="00FF7AAE" w:rsidRPr="00131B9D">
        <w:t>月至</w:t>
      </w:r>
      <w:r w:rsidR="00FF7AAE" w:rsidRPr="00131B9D">
        <w:t>9</w:t>
      </w:r>
      <w:r w:rsidR="00FF7AAE" w:rsidRPr="00131B9D">
        <w:t>月間</w:t>
      </w:r>
      <w:r w:rsidRPr="00131B9D">
        <w:t>烏克蘭葵花原油占整體進口量高達</w:t>
      </w:r>
      <w:r w:rsidRPr="00131B9D">
        <w:t>9</w:t>
      </w:r>
      <w:r w:rsidR="00FF7AAE" w:rsidRPr="00131B9D">
        <w:t>7.26</w:t>
      </w:r>
      <w:r w:rsidRPr="00131B9D">
        <w:t>%</w:t>
      </w:r>
      <w:r w:rsidRPr="00131B9D">
        <w:t>（如圖</w:t>
      </w:r>
      <w:r w:rsidR="005D32EF" w:rsidRPr="00131B9D">
        <w:t>4-</w:t>
      </w:r>
      <w:r w:rsidR="0020098F" w:rsidRPr="00131B9D">
        <w:t>2</w:t>
      </w:r>
      <w:r w:rsidR="001657E3" w:rsidRPr="00131B9D">
        <w:t>6</w:t>
      </w:r>
      <w:r w:rsidRPr="00131B9D">
        <w:t>），該國產量對價格有重要影響。烏克蘭顧問機構</w:t>
      </w:r>
      <w:r w:rsidRPr="00131B9D">
        <w:t>APK Inform-Agency</w:t>
      </w:r>
      <w:r w:rsidRPr="00131B9D">
        <w:t>表示，</w:t>
      </w:r>
      <w:r w:rsidRPr="00131B9D">
        <w:t>2014</w:t>
      </w:r>
      <w:r w:rsidRPr="00131B9D">
        <w:t>年</w:t>
      </w:r>
      <w:r w:rsidRPr="00131B9D">
        <w:t>9</w:t>
      </w:r>
      <w:r w:rsidRPr="00131B9D">
        <w:t>月至</w:t>
      </w:r>
      <w:r w:rsidRPr="00131B9D">
        <w:t>2015</w:t>
      </w:r>
      <w:r w:rsidRPr="00131B9D">
        <w:t>年</w:t>
      </w:r>
      <w:r w:rsidRPr="00131B9D">
        <w:t>1</w:t>
      </w:r>
      <w:r w:rsidRPr="00131B9D">
        <w:t>月間之葵花原油出口量創下歷史新高，惟後續價格仍須視市場整體供需狀況而定。</w:t>
      </w:r>
    </w:p>
    <w:p w:rsidR="00157707" w:rsidRPr="00131B9D" w:rsidRDefault="00FF7AAE" w:rsidP="00157707">
      <w:pPr>
        <w:jc w:val="center"/>
      </w:pPr>
      <w:r w:rsidRPr="00131B9D">
        <w:rPr>
          <w:noProof/>
        </w:rPr>
        <w:lastRenderedPageBreak/>
        <w:drawing>
          <wp:inline distT="0" distB="0" distL="0" distR="0" wp14:anchorId="0598DE94" wp14:editId="549F8238">
            <wp:extent cx="4572000" cy="2447925"/>
            <wp:effectExtent l="0" t="0" r="0" b="0"/>
            <wp:docPr id="115" name="圖表 1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157707" w:rsidRPr="00131B9D" w:rsidRDefault="00157707" w:rsidP="00157707">
      <w:pPr>
        <w:pStyle w:val="-"/>
        <w:snapToGrid/>
        <w:spacing w:beforeLines="0" w:afterLines="0" w:line="0" w:lineRule="atLeast"/>
        <w:ind w:firstLineChars="425" w:firstLine="850"/>
        <w:rPr>
          <w:kern w:val="0"/>
          <w:sz w:val="20"/>
          <w:szCs w:val="20"/>
        </w:rPr>
      </w:pPr>
      <w:r w:rsidRPr="00131B9D">
        <w:rPr>
          <w:kern w:val="0"/>
          <w:sz w:val="20"/>
          <w:szCs w:val="20"/>
        </w:rPr>
        <w:t>資料來源：經濟部國際貿易局。</w:t>
      </w:r>
    </w:p>
    <w:p w:rsidR="00157707" w:rsidRPr="00131B9D" w:rsidRDefault="005D32EF" w:rsidP="005D32EF">
      <w:pPr>
        <w:pStyle w:val="afff5"/>
        <w:spacing w:line="0" w:lineRule="atLeast"/>
        <w:jc w:val="center"/>
        <w:rPr>
          <w:rFonts w:eastAsia="標楷體"/>
          <w:b/>
          <w:bCs/>
          <w:kern w:val="52"/>
          <w:sz w:val="28"/>
          <w:szCs w:val="28"/>
        </w:rPr>
      </w:pPr>
      <w:bookmarkStart w:id="442" w:name="_Toc437958997"/>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26</w:t>
      </w:r>
      <w:r w:rsidRPr="00131B9D">
        <w:rPr>
          <w:rFonts w:eastAsia="標楷體"/>
          <w:b/>
          <w:bCs/>
          <w:kern w:val="52"/>
          <w:sz w:val="28"/>
          <w:szCs w:val="28"/>
        </w:rPr>
        <w:fldChar w:fldCharType="end"/>
      </w:r>
      <w:r w:rsidR="00157707" w:rsidRPr="00131B9D">
        <w:rPr>
          <w:rFonts w:eastAsia="標楷體"/>
          <w:b/>
          <w:bCs/>
          <w:kern w:val="52"/>
          <w:sz w:val="28"/>
          <w:szCs w:val="28"/>
        </w:rPr>
        <w:t xml:space="preserve">　</w:t>
      </w:r>
      <w:r w:rsidR="00157707" w:rsidRPr="00131B9D">
        <w:rPr>
          <w:rFonts w:eastAsia="標楷體"/>
          <w:b/>
          <w:bCs/>
          <w:kern w:val="52"/>
          <w:sz w:val="28"/>
          <w:szCs w:val="28"/>
        </w:rPr>
        <w:t>2015</w:t>
      </w:r>
      <w:r w:rsidR="00157707" w:rsidRPr="00131B9D">
        <w:rPr>
          <w:rFonts w:eastAsia="標楷體"/>
          <w:b/>
          <w:bCs/>
          <w:kern w:val="52"/>
          <w:sz w:val="28"/>
          <w:szCs w:val="28"/>
        </w:rPr>
        <w:t>年</w:t>
      </w:r>
      <w:r w:rsidR="00AC2E6D" w:rsidRPr="00131B9D">
        <w:rPr>
          <w:rFonts w:eastAsia="標楷體"/>
          <w:b/>
          <w:bCs/>
          <w:kern w:val="52"/>
          <w:sz w:val="28"/>
          <w:szCs w:val="28"/>
        </w:rPr>
        <w:t>1</w:t>
      </w:r>
      <w:r w:rsidR="00AC2E6D" w:rsidRPr="00131B9D">
        <w:rPr>
          <w:rFonts w:eastAsia="標楷體"/>
          <w:b/>
          <w:bCs/>
          <w:kern w:val="52"/>
          <w:sz w:val="28"/>
          <w:szCs w:val="28"/>
        </w:rPr>
        <w:t>月至</w:t>
      </w:r>
      <w:r w:rsidR="00AC2E6D" w:rsidRPr="00131B9D">
        <w:rPr>
          <w:rFonts w:eastAsia="標楷體"/>
          <w:b/>
          <w:bCs/>
          <w:kern w:val="52"/>
          <w:sz w:val="28"/>
          <w:szCs w:val="28"/>
        </w:rPr>
        <w:t>9</w:t>
      </w:r>
      <w:r w:rsidR="00AC2E6D" w:rsidRPr="00131B9D">
        <w:rPr>
          <w:rFonts w:eastAsia="標楷體"/>
          <w:b/>
          <w:bCs/>
          <w:kern w:val="52"/>
          <w:sz w:val="28"/>
          <w:szCs w:val="28"/>
        </w:rPr>
        <w:t>月間</w:t>
      </w:r>
      <w:r w:rsidR="00157707" w:rsidRPr="00131B9D">
        <w:rPr>
          <w:rFonts w:eastAsia="標楷體"/>
          <w:b/>
          <w:bCs/>
          <w:kern w:val="52"/>
          <w:sz w:val="28"/>
          <w:szCs w:val="28"/>
        </w:rPr>
        <w:t>葵花原油進口量</w:t>
      </w:r>
      <w:bookmarkEnd w:id="442"/>
    </w:p>
    <w:p w:rsidR="00E40550" w:rsidRPr="00131B9D" w:rsidRDefault="00E40550" w:rsidP="00E40550"/>
    <w:p w:rsidR="00E40550" w:rsidRPr="00131B9D" w:rsidRDefault="00E40550" w:rsidP="00E40550">
      <w:pPr>
        <w:pStyle w:val="-"/>
        <w:spacing w:before="72" w:after="72"/>
        <w:ind w:firstLineChars="0" w:firstLine="0"/>
        <w:rPr>
          <w:b/>
        </w:rPr>
      </w:pPr>
      <w:r w:rsidRPr="00131B9D">
        <w:rPr>
          <w:b/>
        </w:rPr>
        <w:t>(2)</w:t>
      </w:r>
      <w:r w:rsidRPr="00131B9D">
        <w:rPr>
          <w:b/>
        </w:rPr>
        <w:t xml:space="preserve">　統一大豆沙拉油</w:t>
      </w:r>
    </w:p>
    <w:p w:rsidR="00E40550" w:rsidRPr="00131B9D" w:rsidRDefault="00E40550" w:rsidP="00E40550">
      <w:pPr>
        <w:pStyle w:val="-"/>
        <w:spacing w:before="72" w:after="72"/>
        <w:ind w:firstLine="560"/>
      </w:pPr>
      <w:r w:rsidRPr="00131B9D">
        <w:t>我國主要進口原料黃豆者為植物油煉製廠，目前我國一年進口黃豆約</w:t>
      </w:r>
      <w:r w:rsidRPr="00131B9D">
        <w:t>230</w:t>
      </w:r>
      <w:r w:rsidRPr="00131B9D">
        <w:t>萬噸，供應國主要為美國與巴西，原料黃豆中約可提取</w:t>
      </w:r>
      <w:r w:rsidRPr="00131B9D">
        <w:t>18%</w:t>
      </w:r>
      <w:r w:rsidRPr="00131B9D">
        <w:t>油脂，由於黃豆進口係</w:t>
      </w:r>
      <w:r w:rsidR="00AC2E6D" w:rsidRPr="00131B9D">
        <w:t>以美元作為交易幣別，因此匯率的波動亦將間接反映至售價上，下半年</w:t>
      </w:r>
      <w:r w:rsidRPr="00131B9D">
        <w:t>美元</w:t>
      </w:r>
      <w:r w:rsidR="00AC2E6D" w:rsidRPr="00131B9D">
        <w:t>回穩，根據查價結果顯示，統一大豆沙拉油過去一年間價格變動主要原因僅為通路商促銷活動所致</w:t>
      </w:r>
      <w:r w:rsidRPr="00131B9D">
        <w:t>。</w:t>
      </w:r>
    </w:p>
    <w:p w:rsidR="00F763B1" w:rsidRPr="00131B9D" w:rsidRDefault="00F763B1" w:rsidP="00F763B1"/>
    <w:p w:rsidR="002611FA" w:rsidRPr="00131B9D" w:rsidRDefault="002611FA" w:rsidP="002611FA">
      <w:pPr>
        <w:pStyle w:val="2"/>
        <w:spacing w:before="108" w:after="108"/>
        <w:rPr>
          <w:rFonts w:ascii="Times New Roman" w:hAnsi="Times New Roman"/>
        </w:rPr>
      </w:pPr>
      <w:bookmarkStart w:id="443" w:name="_Toc439162967"/>
      <w:r w:rsidRPr="00131B9D">
        <w:rPr>
          <w:rFonts w:ascii="Times New Roman" w:hAnsi="Times New Roman"/>
        </w:rPr>
        <w:t>八、調味料類</w:t>
      </w:r>
      <w:bookmarkEnd w:id="443"/>
    </w:p>
    <w:p w:rsidR="00D75780" w:rsidRPr="00131B9D" w:rsidRDefault="002611FA" w:rsidP="002611FA">
      <w:pPr>
        <w:pStyle w:val="3"/>
        <w:rPr>
          <w:rFonts w:ascii="Times New Roman" w:hAnsi="Times New Roman"/>
        </w:rPr>
      </w:pPr>
      <w:r w:rsidRPr="00131B9D">
        <w:rPr>
          <w:rFonts w:ascii="Times New Roman" w:hAnsi="Times New Roman"/>
        </w:rPr>
        <w:t>（一）</w:t>
      </w:r>
      <w:r w:rsidR="00D75780" w:rsidRPr="00131B9D">
        <w:rPr>
          <w:rFonts w:ascii="Times New Roman" w:hAnsi="Times New Roman"/>
        </w:rPr>
        <w:t>醬油</w:t>
      </w:r>
      <w:r w:rsidRPr="00131B9D">
        <w:rPr>
          <w:rFonts w:ascii="Times New Roman" w:hAnsi="Times New Roman"/>
        </w:rPr>
        <w:t>類</w:t>
      </w:r>
    </w:p>
    <w:p w:rsidR="00D75780" w:rsidRPr="00131B9D" w:rsidRDefault="002611FA" w:rsidP="002611FA">
      <w:pPr>
        <w:pStyle w:val="-"/>
        <w:spacing w:before="72" w:after="72"/>
        <w:ind w:firstLineChars="0" w:firstLine="0"/>
        <w:rPr>
          <w:b/>
        </w:rPr>
      </w:pPr>
      <w:r w:rsidRPr="00131B9D">
        <w:rPr>
          <w:b/>
        </w:rPr>
        <w:t>1.</w:t>
      </w:r>
      <w:r w:rsidRPr="00131B9D">
        <w:rPr>
          <w:b/>
        </w:rPr>
        <w:t xml:space="preserve">　</w:t>
      </w:r>
      <w:r w:rsidR="00D75780" w:rsidRPr="00131B9D">
        <w:rPr>
          <w:b/>
        </w:rPr>
        <w:t>價格走勢</w:t>
      </w:r>
    </w:p>
    <w:p w:rsidR="00104B2D" w:rsidRPr="00131B9D" w:rsidRDefault="00D75780" w:rsidP="00104B2D">
      <w:pPr>
        <w:pStyle w:val="-"/>
        <w:spacing w:before="72" w:after="72"/>
        <w:ind w:firstLine="560"/>
      </w:pPr>
      <w:r w:rsidRPr="00131B9D">
        <w:t>2012</w:t>
      </w:r>
      <w:r w:rsidRPr="00131B9D">
        <w:t>年</w:t>
      </w:r>
      <w:r w:rsidRPr="00131B9D">
        <w:t>1</w:t>
      </w:r>
      <w:r w:rsidRPr="00131B9D">
        <w:t>月至</w:t>
      </w:r>
      <w:r w:rsidRPr="00131B9D">
        <w:t>2015</w:t>
      </w:r>
      <w:r w:rsidRPr="00131B9D">
        <w:t>年</w:t>
      </w:r>
      <w:r w:rsidR="00AC2E6D" w:rsidRPr="00131B9D">
        <w:t>11</w:t>
      </w:r>
      <w:r w:rsidRPr="00131B9D">
        <w:t>月各通路醬油走勢彙整如圖</w:t>
      </w:r>
      <w:r w:rsidR="005D32EF" w:rsidRPr="00131B9D">
        <w:t>4-</w:t>
      </w:r>
      <w:r w:rsidR="0020098F" w:rsidRPr="00131B9D">
        <w:t>2</w:t>
      </w:r>
      <w:r w:rsidR="00AC2E6D" w:rsidRPr="00131B9D">
        <w:t>7</w:t>
      </w:r>
      <w:r w:rsidRPr="00131B9D">
        <w:t>、</w:t>
      </w:r>
      <w:r w:rsidR="005D32EF" w:rsidRPr="00131B9D">
        <w:t>4-</w:t>
      </w:r>
      <w:r w:rsidR="00AC2E6D" w:rsidRPr="00131B9D">
        <w:t>28</w:t>
      </w:r>
      <w:r w:rsidRPr="00131B9D">
        <w:t>。三大通路中，龜甲萬醬油</w:t>
      </w:r>
      <w:r w:rsidR="00AF53CC" w:rsidRPr="00131B9D">
        <w:t>於</w:t>
      </w:r>
      <w:r w:rsidR="00AF53CC" w:rsidRPr="00131B9D">
        <w:t>2015</w:t>
      </w:r>
      <w:r w:rsidR="00AF53CC" w:rsidRPr="00131B9D">
        <w:t>年間</w:t>
      </w:r>
      <w:r w:rsidRPr="00131B9D">
        <w:t>價格大致平穩，變動幅度皆維持於標準區間內，僅金蘭醬油在過去</w:t>
      </w:r>
      <w:r w:rsidR="00AF53CC" w:rsidRPr="00131B9D">
        <w:t>一</w:t>
      </w:r>
      <w:r w:rsidRPr="00131B9D">
        <w:t>年出現調漲情事，根據本研究統計，金蘭醬油於</w:t>
      </w:r>
      <w:r w:rsidRPr="00131B9D">
        <w:t>2015</w:t>
      </w:r>
      <w:r w:rsidRPr="00131B9D">
        <w:t>年</w:t>
      </w:r>
      <w:r w:rsidRPr="00131B9D">
        <w:t>6</w:t>
      </w:r>
      <w:r w:rsidRPr="00131B9D">
        <w:t>月初起調漲原價，超市由每瓶</w:t>
      </w:r>
      <w:r w:rsidRPr="00131B9D">
        <w:t>62</w:t>
      </w:r>
      <w:r w:rsidRPr="00131B9D">
        <w:t>元調漲至</w:t>
      </w:r>
      <w:r w:rsidRPr="00131B9D">
        <w:t>69</w:t>
      </w:r>
      <w:r w:rsidRPr="00131B9D">
        <w:t>元，量販店則由</w:t>
      </w:r>
      <w:r w:rsidRPr="00131B9D">
        <w:t>60</w:t>
      </w:r>
      <w:r w:rsidRPr="00131B9D">
        <w:t>元上漲至</w:t>
      </w:r>
      <w:r w:rsidRPr="00131B9D">
        <w:t>67</w:t>
      </w:r>
      <w:r w:rsidRPr="00131B9D">
        <w:t>元，各賣場實際販售價格亦隨原價調整而攀升。</w:t>
      </w:r>
    </w:p>
    <w:p w:rsidR="00AC2E6D" w:rsidRPr="00131B9D" w:rsidRDefault="00AC2E6D" w:rsidP="00AF53CC"/>
    <w:p w:rsidR="00D75780" w:rsidRPr="00131B9D" w:rsidRDefault="00AC2E6D" w:rsidP="00AC2E6D">
      <w:pPr>
        <w:jc w:val="center"/>
      </w:pPr>
      <w:r w:rsidRPr="00131B9D">
        <w:rPr>
          <w:noProof/>
        </w:rPr>
        <w:lastRenderedPageBreak/>
        <w:drawing>
          <wp:inline distT="0" distB="0" distL="0" distR="0" wp14:anchorId="06538FDD" wp14:editId="4EC2CBE1">
            <wp:extent cx="5274000" cy="2419200"/>
            <wp:effectExtent l="0" t="0" r="0" b="0"/>
            <wp:docPr id="116" name="圖表 1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資料來源：本文整理</w:t>
      </w:r>
    </w:p>
    <w:p w:rsidR="00D75780" w:rsidRPr="00131B9D" w:rsidRDefault="005D32EF" w:rsidP="005D32EF">
      <w:pPr>
        <w:pStyle w:val="afff5"/>
        <w:spacing w:line="0" w:lineRule="atLeast"/>
        <w:jc w:val="center"/>
        <w:rPr>
          <w:rFonts w:eastAsia="標楷體"/>
          <w:b/>
          <w:bCs/>
          <w:kern w:val="52"/>
          <w:sz w:val="28"/>
          <w:szCs w:val="28"/>
        </w:rPr>
      </w:pPr>
      <w:bookmarkStart w:id="444" w:name="_Toc437958998"/>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27</w:t>
      </w:r>
      <w:r w:rsidRPr="00131B9D">
        <w:rPr>
          <w:rFonts w:eastAsia="標楷體"/>
          <w:b/>
          <w:bCs/>
          <w:kern w:val="52"/>
          <w:sz w:val="28"/>
          <w:szCs w:val="28"/>
        </w:rPr>
        <w:fldChar w:fldCharType="end"/>
      </w:r>
      <w:r w:rsidR="00D75780" w:rsidRPr="00131B9D">
        <w:rPr>
          <w:rFonts w:eastAsia="標楷體"/>
          <w:b/>
          <w:bCs/>
          <w:kern w:val="52"/>
          <w:sz w:val="28"/>
          <w:szCs w:val="28"/>
        </w:rPr>
        <w:t xml:space="preserve">　龜甲萬醬油價格長期走勢圖</w:t>
      </w:r>
      <w:bookmarkEnd w:id="444"/>
    </w:p>
    <w:p w:rsidR="00D75780" w:rsidRPr="00131B9D" w:rsidRDefault="00D75780" w:rsidP="00D75780"/>
    <w:p w:rsidR="00D75780" w:rsidRPr="00131B9D" w:rsidRDefault="00AF53CC" w:rsidP="00D75780">
      <w:pPr>
        <w:spacing w:line="0" w:lineRule="atLeast"/>
        <w:jc w:val="center"/>
        <w:rPr>
          <w:rFonts w:eastAsia="標楷體"/>
          <w:b/>
          <w:bCs/>
          <w:kern w:val="52"/>
          <w:sz w:val="28"/>
          <w:szCs w:val="28"/>
        </w:rPr>
      </w:pPr>
      <w:r w:rsidRPr="00131B9D">
        <w:rPr>
          <w:rFonts w:eastAsia="標楷體"/>
          <w:b/>
          <w:bCs/>
          <w:noProof/>
          <w:kern w:val="52"/>
          <w:sz w:val="28"/>
          <w:szCs w:val="28"/>
        </w:rPr>
        <w:drawing>
          <wp:inline distT="0" distB="0" distL="0" distR="0" wp14:anchorId="2214523A" wp14:editId="00A34C99">
            <wp:extent cx="5274000" cy="2419200"/>
            <wp:effectExtent l="0" t="0" r="0" b="0"/>
            <wp:docPr id="118" name="圖表 1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資料來源：本文整理</w:t>
      </w:r>
    </w:p>
    <w:p w:rsidR="00D75780" w:rsidRPr="00131B9D" w:rsidRDefault="005D32EF" w:rsidP="005D32EF">
      <w:pPr>
        <w:pStyle w:val="afff5"/>
        <w:spacing w:line="0" w:lineRule="atLeast"/>
        <w:jc w:val="center"/>
        <w:rPr>
          <w:rFonts w:eastAsia="標楷體"/>
          <w:b/>
          <w:bCs/>
          <w:kern w:val="52"/>
          <w:sz w:val="28"/>
          <w:szCs w:val="28"/>
        </w:rPr>
      </w:pPr>
      <w:bookmarkStart w:id="445" w:name="_Toc437958999"/>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28</w:t>
      </w:r>
      <w:r w:rsidRPr="00131B9D">
        <w:rPr>
          <w:rFonts w:eastAsia="標楷體"/>
          <w:b/>
          <w:bCs/>
          <w:kern w:val="52"/>
          <w:sz w:val="28"/>
          <w:szCs w:val="28"/>
        </w:rPr>
        <w:fldChar w:fldCharType="end"/>
      </w:r>
      <w:r w:rsidR="00D75780" w:rsidRPr="00131B9D">
        <w:rPr>
          <w:rFonts w:eastAsia="標楷體"/>
          <w:b/>
          <w:bCs/>
          <w:kern w:val="52"/>
          <w:sz w:val="28"/>
          <w:szCs w:val="28"/>
        </w:rPr>
        <w:t xml:space="preserve">　金蘭醬油價格長期走勢圖</w:t>
      </w:r>
      <w:bookmarkEnd w:id="445"/>
    </w:p>
    <w:p w:rsidR="00F763B1" w:rsidRPr="00131B9D" w:rsidRDefault="00F763B1" w:rsidP="00F763B1"/>
    <w:p w:rsidR="00D75780" w:rsidRPr="00131B9D" w:rsidRDefault="002611FA" w:rsidP="002611FA">
      <w:pPr>
        <w:pStyle w:val="-"/>
        <w:spacing w:before="72" w:after="72"/>
        <w:ind w:firstLineChars="0" w:firstLine="0"/>
        <w:rPr>
          <w:b/>
        </w:rPr>
      </w:pPr>
      <w:r w:rsidRPr="00131B9D">
        <w:rPr>
          <w:b/>
        </w:rPr>
        <w:t>2.</w:t>
      </w:r>
      <w:r w:rsidRPr="00131B9D">
        <w:rPr>
          <w:b/>
        </w:rPr>
        <w:t xml:space="preserve">　</w:t>
      </w:r>
      <w:r w:rsidR="00D75780" w:rsidRPr="00131B9D">
        <w:rPr>
          <w:b/>
        </w:rPr>
        <w:t>變動因素</w:t>
      </w:r>
    </w:p>
    <w:p w:rsidR="00E6156E" w:rsidRPr="00131B9D" w:rsidRDefault="00D75780" w:rsidP="00D75780">
      <w:pPr>
        <w:pStyle w:val="-"/>
        <w:spacing w:before="72" w:after="72"/>
        <w:ind w:firstLine="560"/>
        <w:sectPr w:rsidR="00E6156E" w:rsidRPr="00131B9D" w:rsidSect="005D32EF">
          <w:pgSz w:w="11906" w:h="16838"/>
          <w:pgMar w:top="1440" w:right="1800" w:bottom="1440" w:left="1800" w:header="851" w:footer="992" w:gutter="0"/>
          <w:cols w:space="425"/>
          <w:docGrid w:type="linesAndChars" w:linePitch="360"/>
        </w:sectPr>
      </w:pPr>
      <w:r w:rsidRPr="00131B9D">
        <w:t>製造醬油一般以黃豆做為主要原料，根據美國農業部統計，全球黃豆產量增加且庫存充足，然而整體需求增幅有限，使得國際黃豆價格持續走跌，惟近年來隨著食安意識高漲，除飲料與油品進行全面檢討外，基因改良食品更躍上台面受檢，促使非基改食品成為國人新選擇，故金蘭食品於今年</w:t>
      </w:r>
      <w:r w:rsidRPr="00131B9D">
        <w:t>1</w:t>
      </w:r>
      <w:r w:rsidRPr="00131B9D">
        <w:t>月宣布旗下醬油品牌改採用印度非基因改造黃豆純釀，由於食材成本增加，為反映成本將調漲產品售價</w:t>
      </w:r>
      <w:r w:rsidRPr="00131B9D">
        <w:t>7</w:t>
      </w:r>
      <w:r w:rsidRPr="00131B9D">
        <w:t>至</w:t>
      </w:r>
      <w:r w:rsidRPr="00131B9D">
        <w:t>10%</w:t>
      </w:r>
      <w:r w:rsidRPr="00131B9D">
        <w:t>，各通路金蘭醬油價格亦於上半年逐漸走升。</w:t>
      </w:r>
    </w:p>
    <w:p w:rsidR="00D75780" w:rsidRPr="00131B9D" w:rsidRDefault="002611FA" w:rsidP="002611FA">
      <w:pPr>
        <w:pStyle w:val="3"/>
        <w:rPr>
          <w:rFonts w:ascii="Times New Roman" w:hAnsi="Times New Roman"/>
        </w:rPr>
      </w:pPr>
      <w:r w:rsidRPr="00131B9D">
        <w:rPr>
          <w:rFonts w:ascii="Times New Roman" w:hAnsi="Times New Roman"/>
        </w:rPr>
        <w:lastRenderedPageBreak/>
        <w:t>（二）</w:t>
      </w:r>
      <w:r w:rsidR="00D75780" w:rsidRPr="00131B9D">
        <w:rPr>
          <w:rFonts w:ascii="Times New Roman" w:hAnsi="Times New Roman"/>
        </w:rPr>
        <w:t>糖</w:t>
      </w:r>
      <w:r w:rsidRPr="00131B9D">
        <w:rPr>
          <w:rFonts w:ascii="Times New Roman" w:hAnsi="Times New Roman"/>
        </w:rPr>
        <w:t>類</w:t>
      </w:r>
    </w:p>
    <w:p w:rsidR="00D75780" w:rsidRPr="00131B9D" w:rsidRDefault="002611FA" w:rsidP="002611FA">
      <w:pPr>
        <w:pStyle w:val="-"/>
        <w:spacing w:before="72" w:after="72"/>
        <w:ind w:firstLineChars="0" w:firstLine="0"/>
        <w:rPr>
          <w:b/>
        </w:rPr>
      </w:pPr>
      <w:r w:rsidRPr="00131B9D">
        <w:rPr>
          <w:b/>
        </w:rPr>
        <w:t>1.</w:t>
      </w:r>
      <w:r w:rsidRPr="00131B9D">
        <w:rPr>
          <w:b/>
        </w:rPr>
        <w:t xml:space="preserve">　</w:t>
      </w:r>
      <w:r w:rsidR="00D75780" w:rsidRPr="00131B9D">
        <w:rPr>
          <w:b/>
        </w:rPr>
        <w:t>價格走勢</w:t>
      </w:r>
    </w:p>
    <w:p w:rsidR="00D75780" w:rsidRPr="00131B9D" w:rsidRDefault="00D75780" w:rsidP="00D75780">
      <w:pPr>
        <w:pStyle w:val="-"/>
        <w:spacing w:before="72" w:after="72"/>
        <w:ind w:firstLine="560"/>
      </w:pPr>
      <w:r w:rsidRPr="00131B9D">
        <w:t>2012</w:t>
      </w:r>
      <w:r w:rsidRPr="00131B9D">
        <w:t>年</w:t>
      </w:r>
      <w:r w:rsidRPr="00131B9D">
        <w:t>1</w:t>
      </w:r>
      <w:r w:rsidRPr="00131B9D">
        <w:t>月至</w:t>
      </w:r>
      <w:r w:rsidRPr="00131B9D">
        <w:t>2015</w:t>
      </w:r>
      <w:r w:rsidRPr="00131B9D">
        <w:t>年</w:t>
      </w:r>
      <w:r w:rsidR="00EF6B99" w:rsidRPr="00131B9D">
        <w:t>11</w:t>
      </w:r>
      <w:r w:rsidRPr="00131B9D">
        <w:t>月各通路食糖價格走勢彙整如圖</w:t>
      </w:r>
      <w:r w:rsidR="005D32EF" w:rsidRPr="00131B9D">
        <w:t>4-</w:t>
      </w:r>
      <w:r w:rsidR="0020098F" w:rsidRPr="00131B9D">
        <w:t>2</w:t>
      </w:r>
      <w:r w:rsidR="00EF6B99" w:rsidRPr="00131B9D">
        <w:t>9</w:t>
      </w:r>
      <w:r w:rsidRPr="00131B9D">
        <w:t>。三大通路中，便利店與量販店價格走勢大致平穩，僅超市在上半年間出現價格變動幅度逾標準值之情況。</w:t>
      </w:r>
    </w:p>
    <w:p w:rsidR="00D75780" w:rsidRPr="00131B9D" w:rsidRDefault="00D75780" w:rsidP="00D75780"/>
    <w:p w:rsidR="00D75780" w:rsidRPr="00131B9D" w:rsidRDefault="00EF6B99" w:rsidP="00D75780">
      <w:pPr>
        <w:spacing w:line="0" w:lineRule="atLeast"/>
        <w:jc w:val="center"/>
      </w:pPr>
      <w:r w:rsidRPr="00131B9D">
        <w:rPr>
          <w:noProof/>
        </w:rPr>
        <w:drawing>
          <wp:inline distT="0" distB="0" distL="0" distR="0" wp14:anchorId="13BE2EAD" wp14:editId="021152F5">
            <wp:extent cx="5274000" cy="2419200"/>
            <wp:effectExtent l="0" t="0" r="3175" b="0"/>
            <wp:docPr id="119" name="圖表 1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資料來源：本文整理</w:t>
      </w:r>
    </w:p>
    <w:p w:rsidR="00D75780" w:rsidRPr="00131B9D" w:rsidRDefault="005D32EF" w:rsidP="005D32EF">
      <w:pPr>
        <w:pStyle w:val="afff5"/>
        <w:spacing w:line="0" w:lineRule="atLeast"/>
        <w:jc w:val="center"/>
        <w:rPr>
          <w:rFonts w:eastAsia="標楷體"/>
          <w:b/>
          <w:bCs/>
          <w:kern w:val="52"/>
          <w:sz w:val="28"/>
          <w:szCs w:val="28"/>
        </w:rPr>
      </w:pPr>
      <w:bookmarkStart w:id="446" w:name="_Toc437959000"/>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29</w:t>
      </w:r>
      <w:r w:rsidRPr="00131B9D">
        <w:rPr>
          <w:rFonts w:eastAsia="標楷體"/>
          <w:b/>
          <w:bCs/>
          <w:kern w:val="52"/>
          <w:sz w:val="28"/>
          <w:szCs w:val="28"/>
        </w:rPr>
        <w:fldChar w:fldCharType="end"/>
      </w:r>
      <w:r w:rsidR="00D75780" w:rsidRPr="00131B9D">
        <w:rPr>
          <w:rFonts w:eastAsia="標楷體"/>
          <w:b/>
          <w:bCs/>
          <w:kern w:val="52"/>
          <w:sz w:val="28"/>
          <w:szCs w:val="28"/>
        </w:rPr>
        <w:t xml:space="preserve">　糖價長期走勢圖</w:t>
      </w:r>
      <w:bookmarkEnd w:id="446"/>
    </w:p>
    <w:p w:rsidR="00D75780" w:rsidRPr="00131B9D" w:rsidRDefault="00D75780" w:rsidP="00D75780"/>
    <w:p w:rsidR="00D75780" w:rsidRPr="00131B9D" w:rsidRDefault="002611FA" w:rsidP="002611FA">
      <w:pPr>
        <w:pStyle w:val="-"/>
        <w:spacing w:before="72" w:after="72"/>
        <w:ind w:firstLineChars="0" w:firstLine="0"/>
        <w:rPr>
          <w:b/>
        </w:rPr>
      </w:pPr>
      <w:r w:rsidRPr="00131B9D">
        <w:rPr>
          <w:b/>
        </w:rPr>
        <w:t>2.</w:t>
      </w:r>
      <w:r w:rsidRPr="00131B9D">
        <w:rPr>
          <w:b/>
        </w:rPr>
        <w:t xml:space="preserve">　</w:t>
      </w:r>
      <w:r w:rsidR="00D75780" w:rsidRPr="00131B9D">
        <w:rPr>
          <w:b/>
        </w:rPr>
        <w:t>變動因素</w:t>
      </w:r>
    </w:p>
    <w:p w:rsidR="00104B2D" w:rsidRPr="00131B9D" w:rsidRDefault="00D75780" w:rsidP="00D5489A">
      <w:pPr>
        <w:pStyle w:val="-"/>
        <w:spacing w:before="72" w:after="72"/>
        <w:ind w:firstLine="560"/>
      </w:pPr>
      <w:r w:rsidRPr="00131B9D">
        <w:t>根據農委會發佈之糧食供需年報統計，</w:t>
      </w:r>
      <w:r w:rsidRPr="00131B9D">
        <w:t>2013</w:t>
      </w:r>
      <w:r w:rsidRPr="00131B9D">
        <w:t>年我國糖類自足率僅約</w:t>
      </w:r>
      <w:r w:rsidRPr="00131B9D">
        <w:t>9.2%</w:t>
      </w:r>
      <w:r w:rsidRPr="00131B9D">
        <w:t>（如表</w:t>
      </w:r>
      <w:r w:rsidR="005D32EF" w:rsidRPr="00131B9D">
        <w:t>4</w:t>
      </w:r>
      <w:r w:rsidRPr="00131B9D">
        <w:t>-3</w:t>
      </w:r>
      <w:r w:rsidRPr="00131B9D">
        <w:t>），顯示近</w:t>
      </w:r>
      <w:r w:rsidRPr="00131B9D">
        <w:t>9</w:t>
      </w:r>
      <w:r w:rsidRPr="00131B9D">
        <w:t>成須仰賴進口，因此國內糖價與國際糖價波動息息相關。根據美國農業部調查，</w:t>
      </w:r>
      <w:r w:rsidRPr="00131B9D">
        <w:t>2015</w:t>
      </w:r>
      <w:r w:rsidRPr="00131B9D">
        <w:t>年全球五大糖</w:t>
      </w:r>
      <w:r w:rsidR="007E1E0C" w:rsidRPr="00131B9D">
        <w:t>出口國</w:t>
      </w:r>
      <w:r w:rsidRPr="00131B9D">
        <w:t>分別為巴西、泰國、澳洲、</w:t>
      </w:r>
      <w:r w:rsidR="00DC42B8" w:rsidRPr="00131B9D">
        <w:t>印度以及</w:t>
      </w:r>
      <w:r w:rsidRPr="00131B9D">
        <w:t>瓜地馬拉（如表</w:t>
      </w:r>
      <w:r w:rsidR="005D32EF" w:rsidRPr="00131B9D">
        <w:t>4</w:t>
      </w:r>
      <w:r w:rsidRPr="00131B9D">
        <w:t>-</w:t>
      </w:r>
      <w:r w:rsidR="00572B36" w:rsidRPr="00131B9D">
        <w:t>7</w:t>
      </w:r>
      <w:r w:rsidRPr="00131B9D">
        <w:t>），而</w:t>
      </w:r>
      <w:r w:rsidRPr="00131B9D">
        <w:rPr>
          <w:color w:val="000000"/>
        </w:rPr>
        <w:t>我國冰糖進口則主要仰賴泰國</w:t>
      </w:r>
      <w:r w:rsidRPr="00131B9D">
        <w:t>（如表</w:t>
      </w:r>
      <w:r w:rsidR="005D32EF" w:rsidRPr="00131B9D">
        <w:t>4</w:t>
      </w:r>
      <w:r w:rsidRPr="00131B9D">
        <w:t>-</w:t>
      </w:r>
      <w:r w:rsidR="00572B36" w:rsidRPr="00131B9D">
        <w:t>8</w:t>
      </w:r>
      <w:r w:rsidRPr="00131B9D">
        <w:t>）</w:t>
      </w:r>
      <w:r w:rsidRPr="00131B9D">
        <w:rPr>
          <w:color w:val="000000"/>
        </w:rPr>
        <w:t>。由於國際價格受主要生產國供應量驅動，尤其五大生產國中又以巴西影響力最大，上</w:t>
      </w:r>
      <w:r w:rsidRPr="00131B9D">
        <w:t>半年因巴西中南部降雨緩解旱情使得甘蔗壓榨量增加，此外國際糖業組織</w:t>
      </w:r>
      <w:r w:rsidRPr="00131B9D">
        <w:t>(International Sugar Organization, ISO)</w:t>
      </w:r>
      <w:r w:rsidRPr="00131B9D">
        <w:t>預估</w:t>
      </w:r>
      <w:r w:rsidRPr="00131B9D">
        <w:t>2015</w:t>
      </w:r>
      <w:r w:rsidRPr="00131B9D">
        <w:t>年巴西與泰國等主要生產國之產量將上調，短期內全球供應量充足，國際糖價將持續受到壓抑。</w:t>
      </w:r>
    </w:p>
    <w:p w:rsidR="00E6156E" w:rsidRPr="00131B9D" w:rsidRDefault="00E6156E" w:rsidP="00E6156E">
      <w:pPr>
        <w:sectPr w:rsidR="00E6156E" w:rsidRPr="00131B9D" w:rsidSect="005D32EF">
          <w:pgSz w:w="11906" w:h="16838"/>
          <w:pgMar w:top="1440" w:right="1800" w:bottom="1440" w:left="1800" w:header="851" w:footer="992" w:gutter="0"/>
          <w:cols w:space="425"/>
          <w:docGrid w:type="linesAndChars" w:linePitch="360"/>
        </w:sectPr>
      </w:pPr>
    </w:p>
    <w:p w:rsidR="00D75780" w:rsidRPr="00131B9D" w:rsidRDefault="005D32EF" w:rsidP="00CD2B44">
      <w:pPr>
        <w:pStyle w:val="aff1"/>
        <w:spacing w:line="0" w:lineRule="atLeast"/>
        <w:rPr>
          <w:b w:val="0"/>
          <w:bCs/>
          <w:kern w:val="52"/>
          <w:szCs w:val="28"/>
        </w:rPr>
      </w:pPr>
      <w:bookmarkStart w:id="447" w:name="_Toc439163011"/>
      <w:r w:rsidRPr="00131B9D">
        <w:rPr>
          <w:bCs/>
          <w:kern w:val="52"/>
          <w:szCs w:val="28"/>
        </w:rPr>
        <w:lastRenderedPageBreak/>
        <w:t>表</w:t>
      </w:r>
      <w:r w:rsidRPr="00131B9D">
        <w:rPr>
          <w:bCs/>
          <w:kern w:val="52"/>
          <w:szCs w:val="28"/>
        </w:rPr>
        <w:t xml:space="preserve">4- </w:t>
      </w:r>
      <w:r w:rsidR="00572B36" w:rsidRPr="00131B9D">
        <w:rPr>
          <w:bCs/>
          <w:kern w:val="52"/>
          <w:szCs w:val="28"/>
        </w:rPr>
        <w:t>7</w:t>
      </w:r>
      <w:r w:rsidR="00D75780" w:rsidRPr="00131B9D">
        <w:rPr>
          <w:bCs/>
          <w:kern w:val="52"/>
          <w:szCs w:val="28"/>
        </w:rPr>
        <w:t xml:space="preserve">　</w:t>
      </w:r>
      <w:r w:rsidR="00D75780" w:rsidRPr="00131B9D">
        <w:rPr>
          <w:bCs/>
          <w:kern w:val="52"/>
          <w:szCs w:val="28"/>
        </w:rPr>
        <w:t>2015</w:t>
      </w:r>
      <w:r w:rsidR="00D75780" w:rsidRPr="00131B9D">
        <w:rPr>
          <w:bCs/>
          <w:kern w:val="52"/>
          <w:szCs w:val="28"/>
        </w:rPr>
        <w:t>年全球前五大糖出口</w:t>
      </w:r>
      <w:r w:rsidR="007E1E0C" w:rsidRPr="00131B9D">
        <w:rPr>
          <w:bCs/>
          <w:kern w:val="52"/>
          <w:szCs w:val="28"/>
        </w:rPr>
        <w:t>國</w:t>
      </w:r>
      <w:bookmarkEnd w:id="447"/>
    </w:p>
    <w:p w:rsidR="00D75780" w:rsidRPr="00131B9D" w:rsidRDefault="00D75780" w:rsidP="00D75780">
      <w:pPr>
        <w:pStyle w:val="-"/>
        <w:spacing w:before="72" w:after="72" w:line="0" w:lineRule="atLeast"/>
        <w:ind w:firstLine="400"/>
        <w:jc w:val="right"/>
        <w:rPr>
          <w:sz w:val="20"/>
          <w:szCs w:val="20"/>
        </w:rPr>
      </w:pPr>
      <w:r w:rsidRPr="00131B9D">
        <w:rPr>
          <w:sz w:val="20"/>
          <w:szCs w:val="20"/>
        </w:rPr>
        <w:t>單位：</w:t>
      </w:r>
      <w:r w:rsidRPr="00131B9D">
        <w:rPr>
          <w:sz w:val="20"/>
          <w:szCs w:val="20"/>
        </w:rPr>
        <w:t>1000</w:t>
      </w:r>
      <w:r w:rsidRPr="00131B9D">
        <w:rPr>
          <w:sz w:val="20"/>
          <w:szCs w:val="20"/>
        </w:rPr>
        <w:t>公噸</w:t>
      </w:r>
    </w:p>
    <w:tbl>
      <w:tblPr>
        <w:tblW w:w="9275" w:type="dxa"/>
        <w:jc w:val="center"/>
        <w:tblCellMar>
          <w:left w:w="28" w:type="dxa"/>
          <w:right w:w="28" w:type="dxa"/>
        </w:tblCellMar>
        <w:tblLook w:val="04A0" w:firstRow="1" w:lastRow="0" w:firstColumn="1" w:lastColumn="0" w:noHBand="0" w:noVBand="1"/>
      </w:tblPr>
      <w:tblGrid>
        <w:gridCol w:w="1931"/>
        <w:gridCol w:w="144"/>
        <w:gridCol w:w="1080"/>
        <w:gridCol w:w="144"/>
        <w:gridCol w:w="1080"/>
        <w:gridCol w:w="144"/>
        <w:gridCol w:w="1080"/>
        <w:gridCol w:w="144"/>
        <w:gridCol w:w="1080"/>
        <w:gridCol w:w="144"/>
        <w:gridCol w:w="1080"/>
        <w:gridCol w:w="144"/>
        <w:gridCol w:w="1080"/>
      </w:tblGrid>
      <w:tr w:rsidR="00D75780" w:rsidRPr="00131B9D" w:rsidTr="00FD3FDC">
        <w:trPr>
          <w:trHeight w:val="20"/>
          <w:jc w:val="center"/>
        </w:trPr>
        <w:tc>
          <w:tcPr>
            <w:tcW w:w="1931" w:type="dxa"/>
            <w:tcBorders>
              <w:top w:val="single" w:sz="12" w:space="0" w:color="auto"/>
              <w:left w:val="nil"/>
              <w:bottom w:val="single" w:sz="4" w:space="0" w:color="auto"/>
              <w:right w:val="nil"/>
            </w:tcBorders>
            <w:shd w:val="clear" w:color="auto" w:fill="auto"/>
            <w:noWrap/>
            <w:vAlign w:val="center"/>
            <w:hideMark/>
          </w:tcPr>
          <w:p w:rsidR="00D75780" w:rsidRPr="00131B9D" w:rsidRDefault="00D75780" w:rsidP="00515B9D">
            <w:pPr>
              <w:widowControl/>
              <w:spacing w:line="0" w:lineRule="atLeast"/>
              <w:rPr>
                <w:color w:val="000000"/>
                <w:kern w:val="0"/>
                <w:sz w:val="20"/>
                <w:szCs w:val="20"/>
              </w:rPr>
            </w:pPr>
            <w:r w:rsidRPr="00131B9D">
              <w:rPr>
                <w:color w:val="000000"/>
                <w:kern w:val="0"/>
                <w:sz w:val="20"/>
                <w:szCs w:val="20"/>
              </w:rPr>
              <w:t>國家</w:t>
            </w:r>
          </w:p>
        </w:tc>
        <w:tc>
          <w:tcPr>
            <w:tcW w:w="144" w:type="dxa"/>
            <w:tcBorders>
              <w:top w:val="single" w:sz="12" w:space="0" w:color="auto"/>
              <w:left w:val="nil"/>
              <w:bottom w:val="nil"/>
              <w:right w:val="nil"/>
            </w:tcBorders>
            <w:shd w:val="clear" w:color="auto" w:fill="auto"/>
            <w:noWrap/>
            <w:vAlign w:val="center"/>
            <w:hideMark/>
          </w:tcPr>
          <w:p w:rsidR="00D75780" w:rsidRPr="00131B9D" w:rsidRDefault="00D75780" w:rsidP="00515B9D">
            <w:pPr>
              <w:widowControl/>
              <w:spacing w:line="0" w:lineRule="atLeast"/>
              <w:rPr>
                <w:color w:val="000000"/>
                <w:kern w:val="0"/>
                <w:sz w:val="20"/>
                <w:szCs w:val="20"/>
              </w:rPr>
            </w:pPr>
          </w:p>
        </w:tc>
        <w:tc>
          <w:tcPr>
            <w:tcW w:w="1080" w:type="dxa"/>
            <w:tcBorders>
              <w:top w:val="single" w:sz="12" w:space="0" w:color="auto"/>
              <w:left w:val="nil"/>
              <w:bottom w:val="single" w:sz="4" w:space="0" w:color="auto"/>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r w:rsidRPr="00131B9D">
              <w:rPr>
                <w:color w:val="000000"/>
                <w:kern w:val="0"/>
                <w:sz w:val="20"/>
                <w:szCs w:val="20"/>
              </w:rPr>
              <w:t>2010/11</w:t>
            </w:r>
          </w:p>
        </w:tc>
        <w:tc>
          <w:tcPr>
            <w:tcW w:w="144" w:type="dxa"/>
            <w:tcBorders>
              <w:top w:val="single" w:sz="12" w:space="0" w:color="auto"/>
              <w:left w:val="nil"/>
              <w:bottom w:val="nil"/>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p>
        </w:tc>
        <w:tc>
          <w:tcPr>
            <w:tcW w:w="1080" w:type="dxa"/>
            <w:tcBorders>
              <w:top w:val="single" w:sz="12" w:space="0" w:color="auto"/>
              <w:left w:val="nil"/>
              <w:bottom w:val="single" w:sz="4" w:space="0" w:color="auto"/>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r w:rsidRPr="00131B9D">
              <w:rPr>
                <w:color w:val="000000"/>
                <w:kern w:val="0"/>
                <w:sz w:val="20"/>
                <w:szCs w:val="20"/>
              </w:rPr>
              <w:t>2011/12</w:t>
            </w:r>
          </w:p>
        </w:tc>
        <w:tc>
          <w:tcPr>
            <w:tcW w:w="144" w:type="dxa"/>
            <w:tcBorders>
              <w:top w:val="single" w:sz="12" w:space="0" w:color="auto"/>
              <w:left w:val="nil"/>
              <w:bottom w:val="nil"/>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p>
        </w:tc>
        <w:tc>
          <w:tcPr>
            <w:tcW w:w="1080" w:type="dxa"/>
            <w:tcBorders>
              <w:top w:val="single" w:sz="12" w:space="0" w:color="auto"/>
              <w:left w:val="nil"/>
              <w:bottom w:val="single" w:sz="4" w:space="0" w:color="auto"/>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r w:rsidRPr="00131B9D">
              <w:rPr>
                <w:color w:val="000000"/>
                <w:kern w:val="0"/>
                <w:sz w:val="20"/>
                <w:szCs w:val="20"/>
              </w:rPr>
              <w:t>2012/13</w:t>
            </w:r>
          </w:p>
        </w:tc>
        <w:tc>
          <w:tcPr>
            <w:tcW w:w="144" w:type="dxa"/>
            <w:tcBorders>
              <w:top w:val="single" w:sz="12" w:space="0" w:color="auto"/>
              <w:left w:val="nil"/>
              <w:bottom w:val="nil"/>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p>
        </w:tc>
        <w:tc>
          <w:tcPr>
            <w:tcW w:w="1080" w:type="dxa"/>
            <w:tcBorders>
              <w:top w:val="single" w:sz="12" w:space="0" w:color="auto"/>
              <w:left w:val="nil"/>
              <w:bottom w:val="single" w:sz="4" w:space="0" w:color="auto"/>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r w:rsidRPr="00131B9D">
              <w:rPr>
                <w:color w:val="000000"/>
                <w:kern w:val="0"/>
                <w:sz w:val="20"/>
                <w:szCs w:val="20"/>
              </w:rPr>
              <w:t>2013/14</w:t>
            </w:r>
          </w:p>
        </w:tc>
        <w:tc>
          <w:tcPr>
            <w:tcW w:w="144" w:type="dxa"/>
            <w:tcBorders>
              <w:top w:val="single" w:sz="12" w:space="0" w:color="auto"/>
              <w:left w:val="nil"/>
              <w:bottom w:val="nil"/>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p>
        </w:tc>
        <w:tc>
          <w:tcPr>
            <w:tcW w:w="1080" w:type="dxa"/>
            <w:tcBorders>
              <w:top w:val="single" w:sz="12" w:space="0" w:color="auto"/>
              <w:left w:val="nil"/>
              <w:bottom w:val="single" w:sz="4" w:space="0" w:color="auto"/>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r w:rsidRPr="00131B9D">
              <w:rPr>
                <w:color w:val="000000"/>
                <w:kern w:val="0"/>
                <w:sz w:val="20"/>
                <w:szCs w:val="20"/>
              </w:rPr>
              <w:t>2014/15</w:t>
            </w:r>
          </w:p>
        </w:tc>
        <w:tc>
          <w:tcPr>
            <w:tcW w:w="144" w:type="dxa"/>
            <w:tcBorders>
              <w:top w:val="single" w:sz="12" w:space="0" w:color="auto"/>
              <w:left w:val="nil"/>
              <w:bottom w:val="nil"/>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p>
        </w:tc>
        <w:tc>
          <w:tcPr>
            <w:tcW w:w="1080" w:type="dxa"/>
            <w:tcBorders>
              <w:top w:val="single" w:sz="12" w:space="0" w:color="auto"/>
              <w:left w:val="nil"/>
              <w:bottom w:val="single" w:sz="4" w:space="0" w:color="auto"/>
              <w:right w:val="nil"/>
            </w:tcBorders>
            <w:shd w:val="clear" w:color="auto" w:fill="auto"/>
            <w:noWrap/>
            <w:vAlign w:val="center"/>
            <w:hideMark/>
          </w:tcPr>
          <w:p w:rsidR="00D75780" w:rsidRPr="00131B9D" w:rsidRDefault="00D75780" w:rsidP="00DC42B8">
            <w:pPr>
              <w:widowControl/>
              <w:spacing w:line="0" w:lineRule="atLeast"/>
              <w:jc w:val="right"/>
              <w:rPr>
                <w:color w:val="000000"/>
                <w:kern w:val="0"/>
                <w:sz w:val="20"/>
                <w:szCs w:val="20"/>
              </w:rPr>
            </w:pPr>
            <w:r w:rsidRPr="00131B9D">
              <w:rPr>
                <w:color w:val="000000"/>
                <w:kern w:val="0"/>
                <w:sz w:val="20"/>
                <w:szCs w:val="20"/>
              </w:rPr>
              <w:t>2015/16</w:t>
            </w:r>
          </w:p>
        </w:tc>
      </w:tr>
      <w:tr w:rsidR="00D75780" w:rsidRPr="00131B9D" w:rsidTr="00FD3FDC">
        <w:trPr>
          <w:trHeight w:val="20"/>
          <w:jc w:val="center"/>
        </w:trPr>
        <w:tc>
          <w:tcPr>
            <w:tcW w:w="1931"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rPr>
                <w:color w:val="000000"/>
                <w:kern w:val="0"/>
                <w:sz w:val="20"/>
                <w:szCs w:val="20"/>
              </w:rPr>
            </w:pPr>
            <w:r w:rsidRPr="00131B9D">
              <w:rPr>
                <w:color w:val="000000"/>
                <w:kern w:val="0"/>
                <w:sz w:val="20"/>
                <w:szCs w:val="20"/>
              </w:rPr>
              <w:t>巴西</w:t>
            </w:r>
            <w:r w:rsidR="00FD3FDC" w:rsidRPr="00131B9D">
              <w:rPr>
                <w:color w:val="000000"/>
                <w:kern w:val="0"/>
                <w:sz w:val="20"/>
                <w:szCs w:val="20"/>
              </w:rPr>
              <w:t>(4</w:t>
            </w:r>
            <w:r w:rsidR="00FD3FDC" w:rsidRPr="00131B9D">
              <w:rPr>
                <w:color w:val="000000"/>
                <w:kern w:val="0"/>
                <w:sz w:val="20"/>
                <w:szCs w:val="20"/>
              </w:rPr>
              <w:t>月</w:t>
            </w:r>
            <w:r w:rsidR="00FD3FDC" w:rsidRPr="00131B9D">
              <w:rPr>
                <w:color w:val="000000"/>
                <w:kern w:val="0"/>
                <w:sz w:val="20"/>
                <w:szCs w:val="20"/>
              </w:rPr>
              <w:t>/3</w:t>
            </w:r>
            <w:r w:rsidR="00FD3FDC" w:rsidRPr="00131B9D">
              <w:rPr>
                <w:color w:val="000000"/>
                <w:kern w:val="0"/>
                <w:sz w:val="20"/>
                <w:szCs w:val="20"/>
              </w:rPr>
              <w:t>月</w:t>
            </w:r>
            <w:r w:rsidR="00FD3FDC" w:rsidRPr="00131B9D">
              <w:rPr>
                <w:color w:val="000000"/>
                <w:kern w:val="0"/>
                <w:sz w:val="20"/>
                <w:szCs w:val="20"/>
              </w:rPr>
              <w:t>)</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25800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24650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27650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26200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2</w:t>
            </w:r>
            <w:r w:rsidR="00EF6B99" w:rsidRPr="00131B9D">
              <w:rPr>
                <w:color w:val="000000"/>
                <w:kern w:val="0"/>
                <w:sz w:val="20"/>
                <w:szCs w:val="20"/>
              </w:rPr>
              <w:t>3950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2</w:t>
            </w:r>
            <w:r w:rsidR="00EF6B99" w:rsidRPr="00131B9D">
              <w:rPr>
                <w:color w:val="000000"/>
                <w:kern w:val="0"/>
                <w:sz w:val="20"/>
                <w:szCs w:val="20"/>
              </w:rPr>
              <w:t>3750</w:t>
            </w:r>
          </w:p>
        </w:tc>
      </w:tr>
      <w:tr w:rsidR="00D75780" w:rsidRPr="00131B9D" w:rsidTr="00FD3FDC">
        <w:trPr>
          <w:trHeight w:val="20"/>
          <w:jc w:val="center"/>
        </w:trPr>
        <w:tc>
          <w:tcPr>
            <w:tcW w:w="1931" w:type="dxa"/>
            <w:tcBorders>
              <w:top w:val="nil"/>
              <w:left w:val="nil"/>
              <w:bottom w:val="nil"/>
              <w:right w:val="nil"/>
            </w:tcBorders>
            <w:shd w:val="clear" w:color="auto" w:fill="auto"/>
            <w:noWrap/>
            <w:vAlign w:val="center"/>
            <w:hideMark/>
          </w:tcPr>
          <w:p w:rsidR="00D75780" w:rsidRPr="00131B9D" w:rsidRDefault="00D75780" w:rsidP="00FD3FDC">
            <w:pPr>
              <w:widowControl/>
              <w:spacing w:line="0" w:lineRule="atLeast"/>
              <w:rPr>
                <w:color w:val="000000"/>
                <w:kern w:val="0"/>
                <w:sz w:val="20"/>
                <w:szCs w:val="20"/>
              </w:rPr>
            </w:pPr>
            <w:r w:rsidRPr="00131B9D">
              <w:rPr>
                <w:color w:val="000000"/>
                <w:kern w:val="0"/>
                <w:sz w:val="20"/>
                <w:szCs w:val="20"/>
              </w:rPr>
              <w:t>泰國</w:t>
            </w:r>
            <w:r w:rsidR="00FD3FDC" w:rsidRPr="00131B9D">
              <w:rPr>
                <w:color w:val="000000"/>
                <w:kern w:val="0"/>
                <w:sz w:val="20"/>
                <w:szCs w:val="20"/>
              </w:rPr>
              <w:t>(12</w:t>
            </w:r>
            <w:r w:rsidR="00FD3FDC" w:rsidRPr="00131B9D">
              <w:rPr>
                <w:color w:val="000000"/>
                <w:kern w:val="0"/>
                <w:sz w:val="20"/>
                <w:szCs w:val="20"/>
              </w:rPr>
              <w:t>月</w:t>
            </w:r>
            <w:r w:rsidR="00FD3FDC" w:rsidRPr="00131B9D">
              <w:rPr>
                <w:color w:val="000000"/>
                <w:kern w:val="0"/>
                <w:sz w:val="20"/>
                <w:szCs w:val="20"/>
              </w:rPr>
              <w:t>/11</w:t>
            </w:r>
            <w:r w:rsidR="00FD3FDC" w:rsidRPr="00131B9D">
              <w:rPr>
                <w:color w:val="000000"/>
                <w:kern w:val="0"/>
                <w:sz w:val="20"/>
                <w:szCs w:val="20"/>
              </w:rPr>
              <w:t>月</w:t>
            </w:r>
            <w:r w:rsidR="00FD3FDC" w:rsidRPr="00131B9D">
              <w:rPr>
                <w:color w:val="000000"/>
                <w:kern w:val="0"/>
                <w:sz w:val="20"/>
                <w:szCs w:val="20"/>
              </w:rPr>
              <w:t>)</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6642</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7898</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6693</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7200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8000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FD3FDC">
            <w:pPr>
              <w:widowControl/>
              <w:spacing w:line="0" w:lineRule="atLeast"/>
              <w:jc w:val="right"/>
              <w:rPr>
                <w:color w:val="000000"/>
                <w:kern w:val="0"/>
                <w:sz w:val="20"/>
                <w:szCs w:val="20"/>
              </w:rPr>
            </w:pPr>
            <w:r w:rsidRPr="00131B9D">
              <w:rPr>
                <w:color w:val="000000"/>
                <w:kern w:val="0"/>
                <w:sz w:val="20"/>
                <w:szCs w:val="20"/>
              </w:rPr>
              <w:t>8</w:t>
            </w:r>
            <w:r w:rsidR="00FD3FDC" w:rsidRPr="00131B9D">
              <w:rPr>
                <w:color w:val="000000"/>
                <w:kern w:val="0"/>
                <w:sz w:val="20"/>
                <w:szCs w:val="20"/>
              </w:rPr>
              <w:t>8</w:t>
            </w:r>
            <w:r w:rsidRPr="00131B9D">
              <w:rPr>
                <w:color w:val="000000"/>
                <w:kern w:val="0"/>
                <w:sz w:val="20"/>
                <w:szCs w:val="20"/>
              </w:rPr>
              <w:t>00</w:t>
            </w:r>
          </w:p>
        </w:tc>
      </w:tr>
      <w:tr w:rsidR="00D75780" w:rsidRPr="00131B9D" w:rsidTr="00FD3FDC">
        <w:trPr>
          <w:trHeight w:val="20"/>
          <w:jc w:val="center"/>
        </w:trPr>
        <w:tc>
          <w:tcPr>
            <w:tcW w:w="1931"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rPr>
                <w:color w:val="000000"/>
                <w:kern w:val="0"/>
                <w:sz w:val="20"/>
                <w:szCs w:val="20"/>
              </w:rPr>
            </w:pPr>
            <w:r w:rsidRPr="00131B9D">
              <w:rPr>
                <w:color w:val="000000"/>
                <w:kern w:val="0"/>
                <w:sz w:val="20"/>
                <w:szCs w:val="20"/>
              </w:rPr>
              <w:t>澳洲</w:t>
            </w:r>
            <w:r w:rsidR="00FD3FDC" w:rsidRPr="00131B9D">
              <w:rPr>
                <w:color w:val="000000"/>
                <w:kern w:val="0"/>
                <w:sz w:val="20"/>
                <w:szCs w:val="20"/>
              </w:rPr>
              <w:t>(7</w:t>
            </w:r>
            <w:r w:rsidR="00FD3FDC" w:rsidRPr="00131B9D">
              <w:rPr>
                <w:color w:val="000000"/>
                <w:kern w:val="0"/>
                <w:sz w:val="20"/>
                <w:szCs w:val="20"/>
              </w:rPr>
              <w:t>月</w:t>
            </w:r>
            <w:r w:rsidR="00FD3FDC" w:rsidRPr="00131B9D">
              <w:rPr>
                <w:color w:val="000000"/>
                <w:kern w:val="0"/>
                <w:sz w:val="20"/>
                <w:szCs w:val="20"/>
              </w:rPr>
              <w:t>/6</w:t>
            </w:r>
            <w:r w:rsidR="00FD3FDC" w:rsidRPr="00131B9D">
              <w:rPr>
                <w:color w:val="000000"/>
                <w:kern w:val="0"/>
                <w:sz w:val="20"/>
                <w:szCs w:val="20"/>
              </w:rPr>
              <w:t>月</w:t>
            </w:r>
            <w:r w:rsidR="00FD3FDC" w:rsidRPr="00131B9D">
              <w:rPr>
                <w:color w:val="000000"/>
                <w:kern w:val="0"/>
                <w:sz w:val="20"/>
                <w:szCs w:val="20"/>
              </w:rPr>
              <w:t>)</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2750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2800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3100</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3242</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3561</w:t>
            </w:r>
          </w:p>
        </w:tc>
        <w:tc>
          <w:tcPr>
            <w:tcW w:w="144"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p>
        </w:tc>
        <w:tc>
          <w:tcPr>
            <w:tcW w:w="1080" w:type="dxa"/>
            <w:tcBorders>
              <w:top w:val="nil"/>
              <w:left w:val="nil"/>
              <w:bottom w:val="nil"/>
              <w:right w:val="nil"/>
            </w:tcBorders>
            <w:shd w:val="clear" w:color="auto" w:fill="auto"/>
            <w:noWrap/>
            <w:vAlign w:val="center"/>
            <w:hideMark/>
          </w:tcPr>
          <w:p w:rsidR="00D75780" w:rsidRPr="00131B9D" w:rsidRDefault="00D75780" w:rsidP="00515B9D">
            <w:pPr>
              <w:widowControl/>
              <w:spacing w:line="0" w:lineRule="atLeast"/>
              <w:jc w:val="right"/>
              <w:rPr>
                <w:color w:val="000000"/>
                <w:kern w:val="0"/>
                <w:sz w:val="20"/>
                <w:szCs w:val="20"/>
              </w:rPr>
            </w:pPr>
            <w:r w:rsidRPr="00131B9D">
              <w:rPr>
                <w:color w:val="000000"/>
                <w:kern w:val="0"/>
                <w:sz w:val="20"/>
                <w:szCs w:val="20"/>
              </w:rPr>
              <w:t>3650</w:t>
            </w:r>
          </w:p>
        </w:tc>
      </w:tr>
      <w:tr w:rsidR="00EF6B99" w:rsidRPr="00131B9D" w:rsidTr="00FD3FDC">
        <w:trPr>
          <w:trHeight w:val="20"/>
          <w:jc w:val="center"/>
        </w:trPr>
        <w:tc>
          <w:tcPr>
            <w:tcW w:w="1931"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r w:rsidRPr="00131B9D">
              <w:rPr>
                <w:color w:val="000000"/>
                <w:kern w:val="0"/>
                <w:sz w:val="20"/>
                <w:szCs w:val="20"/>
              </w:rPr>
              <w:t>印度</w:t>
            </w:r>
            <w:r w:rsidR="00FD3FDC" w:rsidRPr="00131B9D">
              <w:rPr>
                <w:color w:val="000000"/>
                <w:kern w:val="0"/>
                <w:sz w:val="20"/>
                <w:szCs w:val="20"/>
              </w:rPr>
              <w:t>(10</w:t>
            </w:r>
            <w:r w:rsidR="00FD3FDC" w:rsidRPr="00131B9D">
              <w:rPr>
                <w:color w:val="000000"/>
                <w:kern w:val="0"/>
                <w:sz w:val="20"/>
                <w:szCs w:val="20"/>
              </w:rPr>
              <w:t>月</w:t>
            </w:r>
            <w:r w:rsidR="00FD3FDC" w:rsidRPr="00131B9D">
              <w:rPr>
                <w:color w:val="000000"/>
                <w:kern w:val="0"/>
                <w:sz w:val="20"/>
                <w:szCs w:val="20"/>
              </w:rPr>
              <w:t>/9</w:t>
            </w:r>
            <w:r w:rsidR="00FD3FDC" w:rsidRPr="00131B9D">
              <w:rPr>
                <w:color w:val="000000"/>
                <w:kern w:val="0"/>
                <w:sz w:val="20"/>
                <w:szCs w:val="20"/>
              </w:rPr>
              <w:t>月</w:t>
            </w:r>
            <w:r w:rsidR="00FD3FDC" w:rsidRPr="00131B9D">
              <w:rPr>
                <w:color w:val="000000"/>
                <w:kern w:val="0"/>
                <w:sz w:val="20"/>
                <w:szCs w:val="20"/>
              </w:rPr>
              <w:t>)</w:t>
            </w:r>
          </w:p>
        </w:tc>
        <w:tc>
          <w:tcPr>
            <w:tcW w:w="144"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r w:rsidRPr="00131B9D">
              <w:rPr>
                <w:color w:val="000000"/>
                <w:kern w:val="0"/>
                <w:sz w:val="20"/>
                <w:szCs w:val="20"/>
              </w:rPr>
              <w:t xml:space="preserve">　</w:t>
            </w:r>
          </w:p>
        </w:tc>
        <w:tc>
          <w:tcPr>
            <w:tcW w:w="1080"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3903</w:t>
            </w:r>
          </w:p>
        </w:tc>
        <w:tc>
          <w:tcPr>
            <w:tcW w:w="144"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r w:rsidRPr="00131B9D">
              <w:rPr>
                <w:color w:val="000000"/>
                <w:kern w:val="0"/>
                <w:sz w:val="20"/>
                <w:szCs w:val="20"/>
              </w:rPr>
              <w:t xml:space="preserve">　</w:t>
            </w:r>
          </w:p>
        </w:tc>
        <w:tc>
          <w:tcPr>
            <w:tcW w:w="1080"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3764</w:t>
            </w:r>
          </w:p>
        </w:tc>
        <w:tc>
          <w:tcPr>
            <w:tcW w:w="144"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r w:rsidRPr="00131B9D">
              <w:rPr>
                <w:color w:val="000000"/>
                <w:kern w:val="0"/>
                <w:sz w:val="20"/>
                <w:szCs w:val="20"/>
              </w:rPr>
              <w:t xml:space="preserve">　</w:t>
            </w:r>
          </w:p>
        </w:tc>
        <w:tc>
          <w:tcPr>
            <w:tcW w:w="1080"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1261</w:t>
            </w:r>
          </w:p>
        </w:tc>
        <w:tc>
          <w:tcPr>
            <w:tcW w:w="144"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r w:rsidRPr="00131B9D">
              <w:rPr>
                <w:color w:val="000000"/>
                <w:kern w:val="0"/>
                <w:sz w:val="20"/>
                <w:szCs w:val="20"/>
              </w:rPr>
              <w:t xml:space="preserve">　</w:t>
            </w:r>
          </w:p>
        </w:tc>
        <w:tc>
          <w:tcPr>
            <w:tcW w:w="1080"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2806</w:t>
            </w:r>
          </w:p>
        </w:tc>
        <w:tc>
          <w:tcPr>
            <w:tcW w:w="144"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r w:rsidRPr="00131B9D">
              <w:rPr>
                <w:color w:val="000000"/>
                <w:kern w:val="0"/>
                <w:sz w:val="20"/>
                <w:szCs w:val="20"/>
              </w:rPr>
              <w:t xml:space="preserve">　</w:t>
            </w:r>
          </w:p>
        </w:tc>
        <w:tc>
          <w:tcPr>
            <w:tcW w:w="1080"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2425</w:t>
            </w:r>
          </w:p>
        </w:tc>
        <w:tc>
          <w:tcPr>
            <w:tcW w:w="144"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r w:rsidRPr="00131B9D">
              <w:rPr>
                <w:color w:val="000000"/>
                <w:kern w:val="0"/>
                <w:sz w:val="20"/>
                <w:szCs w:val="20"/>
              </w:rPr>
              <w:t xml:space="preserve">　</w:t>
            </w:r>
          </w:p>
        </w:tc>
        <w:tc>
          <w:tcPr>
            <w:tcW w:w="1080" w:type="dxa"/>
            <w:tcBorders>
              <w:top w:val="nil"/>
              <w:left w:val="nil"/>
              <w:bottom w:val="nil"/>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2500</w:t>
            </w:r>
          </w:p>
        </w:tc>
      </w:tr>
      <w:tr w:rsidR="00EF6B99" w:rsidRPr="00131B9D" w:rsidTr="00FD3FDC">
        <w:trPr>
          <w:trHeight w:val="20"/>
          <w:jc w:val="center"/>
        </w:trPr>
        <w:tc>
          <w:tcPr>
            <w:tcW w:w="1931"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r w:rsidRPr="00131B9D">
              <w:rPr>
                <w:color w:val="000000"/>
                <w:kern w:val="0"/>
                <w:sz w:val="20"/>
                <w:szCs w:val="20"/>
              </w:rPr>
              <w:t>瓜地馬拉</w:t>
            </w:r>
            <w:r w:rsidR="00FD3FDC" w:rsidRPr="00131B9D">
              <w:rPr>
                <w:color w:val="000000"/>
                <w:kern w:val="0"/>
                <w:sz w:val="20"/>
                <w:szCs w:val="20"/>
              </w:rPr>
              <w:t>(10</w:t>
            </w:r>
            <w:r w:rsidR="00FD3FDC" w:rsidRPr="00131B9D">
              <w:rPr>
                <w:color w:val="000000"/>
                <w:kern w:val="0"/>
                <w:sz w:val="20"/>
                <w:szCs w:val="20"/>
              </w:rPr>
              <w:t>月</w:t>
            </w:r>
            <w:r w:rsidR="00FD3FDC" w:rsidRPr="00131B9D">
              <w:rPr>
                <w:color w:val="000000"/>
                <w:kern w:val="0"/>
                <w:sz w:val="20"/>
                <w:szCs w:val="20"/>
              </w:rPr>
              <w:t>/9</w:t>
            </w:r>
            <w:r w:rsidR="00FD3FDC" w:rsidRPr="00131B9D">
              <w:rPr>
                <w:color w:val="000000"/>
                <w:kern w:val="0"/>
                <w:sz w:val="20"/>
                <w:szCs w:val="20"/>
              </w:rPr>
              <w:t>月</w:t>
            </w:r>
            <w:r w:rsidR="00FD3FDC" w:rsidRPr="00131B9D">
              <w:rPr>
                <w:color w:val="000000"/>
                <w:kern w:val="0"/>
                <w:sz w:val="20"/>
                <w:szCs w:val="20"/>
              </w:rPr>
              <w:t>)</w:t>
            </w:r>
          </w:p>
        </w:tc>
        <w:tc>
          <w:tcPr>
            <w:tcW w:w="144"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1544</w:t>
            </w:r>
          </w:p>
        </w:tc>
        <w:tc>
          <w:tcPr>
            <w:tcW w:w="144"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1619</w:t>
            </w:r>
          </w:p>
        </w:tc>
        <w:tc>
          <w:tcPr>
            <w:tcW w:w="144"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1911</w:t>
            </w:r>
          </w:p>
        </w:tc>
        <w:tc>
          <w:tcPr>
            <w:tcW w:w="144"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2100</w:t>
            </w:r>
          </w:p>
        </w:tc>
        <w:tc>
          <w:tcPr>
            <w:tcW w:w="144"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2200</w:t>
            </w:r>
          </w:p>
        </w:tc>
        <w:tc>
          <w:tcPr>
            <w:tcW w:w="144"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p>
        </w:tc>
        <w:tc>
          <w:tcPr>
            <w:tcW w:w="1080" w:type="dxa"/>
            <w:tcBorders>
              <w:top w:val="nil"/>
              <w:left w:val="nil"/>
              <w:bottom w:val="single" w:sz="12" w:space="0" w:color="auto"/>
              <w:right w:val="nil"/>
            </w:tcBorders>
            <w:shd w:val="clear" w:color="auto" w:fill="auto"/>
            <w:noWrap/>
            <w:vAlign w:val="center"/>
          </w:tcPr>
          <w:p w:rsidR="00EF6B99" w:rsidRPr="00131B9D" w:rsidRDefault="00EF6B99" w:rsidP="00EF6B99">
            <w:pPr>
              <w:widowControl/>
              <w:spacing w:line="0" w:lineRule="atLeast"/>
              <w:jc w:val="right"/>
              <w:rPr>
                <w:color w:val="000000"/>
                <w:kern w:val="0"/>
                <w:sz w:val="20"/>
                <w:szCs w:val="20"/>
              </w:rPr>
            </w:pPr>
            <w:r w:rsidRPr="00131B9D">
              <w:rPr>
                <w:color w:val="000000"/>
                <w:kern w:val="0"/>
                <w:sz w:val="20"/>
                <w:szCs w:val="20"/>
              </w:rPr>
              <w:t>2350</w:t>
            </w:r>
          </w:p>
        </w:tc>
      </w:tr>
    </w:tbl>
    <w:p w:rsidR="00D75780" w:rsidRPr="00131B9D" w:rsidRDefault="00D75780" w:rsidP="00FD3FDC">
      <w:pPr>
        <w:pStyle w:val="-"/>
        <w:snapToGrid/>
        <w:spacing w:beforeLines="0" w:afterLines="0" w:line="0" w:lineRule="atLeast"/>
        <w:ind w:leftChars="-204" w:hangingChars="245" w:hanging="490"/>
        <w:rPr>
          <w:kern w:val="0"/>
          <w:sz w:val="20"/>
          <w:szCs w:val="20"/>
        </w:rPr>
      </w:pPr>
      <w:r w:rsidRPr="00131B9D">
        <w:rPr>
          <w:kern w:val="0"/>
          <w:sz w:val="20"/>
          <w:szCs w:val="20"/>
        </w:rPr>
        <w:t>資料來源：美國農業部《</w:t>
      </w:r>
      <w:r w:rsidRPr="00131B9D">
        <w:rPr>
          <w:kern w:val="0"/>
          <w:sz w:val="20"/>
          <w:szCs w:val="20"/>
        </w:rPr>
        <w:t>Sugar: World Markets and Trade</w:t>
      </w:r>
      <w:r w:rsidRPr="00131B9D">
        <w:rPr>
          <w:kern w:val="0"/>
          <w:sz w:val="20"/>
          <w:szCs w:val="20"/>
        </w:rPr>
        <w:t>》，</w:t>
      </w:r>
      <w:r w:rsidRPr="00131B9D">
        <w:rPr>
          <w:kern w:val="0"/>
          <w:sz w:val="20"/>
          <w:szCs w:val="20"/>
        </w:rPr>
        <w:t>2015</w:t>
      </w:r>
      <w:r w:rsidRPr="00131B9D">
        <w:rPr>
          <w:kern w:val="0"/>
          <w:sz w:val="20"/>
          <w:szCs w:val="20"/>
        </w:rPr>
        <w:t>年</w:t>
      </w:r>
      <w:r w:rsidR="00FD3FDC" w:rsidRPr="00131B9D">
        <w:rPr>
          <w:kern w:val="0"/>
          <w:sz w:val="20"/>
          <w:szCs w:val="20"/>
        </w:rPr>
        <w:t>11</w:t>
      </w:r>
      <w:r w:rsidRPr="00131B9D">
        <w:rPr>
          <w:kern w:val="0"/>
          <w:sz w:val="20"/>
          <w:szCs w:val="20"/>
        </w:rPr>
        <w:t>月。</w:t>
      </w:r>
    </w:p>
    <w:p w:rsidR="00D75780" w:rsidRPr="00131B9D" w:rsidRDefault="00D75780" w:rsidP="005D32EF"/>
    <w:p w:rsidR="00D75780" w:rsidRPr="00131B9D" w:rsidRDefault="005D32EF" w:rsidP="00CD2B44">
      <w:pPr>
        <w:pStyle w:val="aff1"/>
        <w:spacing w:line="0" w:lineRule="atLeast"/>
        <w:rPr>
          <w:b w:val="0"/>
          <w:bCs/>
          <w:kern w:val="52"/>
          <w:szCs w:val="28"/>
        </w:rPr>
      </w:pPr>
      <w:bookmarkStart w:id="448" w:name="_Toc439163012"/>
      <w:r w:rsidRPr="00131B9D">
        <w:rPr>
          <w:bCs/>
          <w:kern w:val="52"/>
          <w:szCs w:val="28"/>
        </w:rPr>
        <w:t>表</w:t>
      </w:r>
      <w:r w:rsidRPr="00131B9D">
        <w:rPr>
          <w:bCs/>
          <w:kern w:val="52"/>
          <w:szCs w:val="28"/>
        </w:rPr>
        <w:t xml:space="preserve">4- </w:t>
      </w:r>
      <w:r w:rsidR="00572B36" w:rsidRPr="00131B9D">
        <w:rPr>
          <w:bCs/>
          <w:kern w:val="52"/>
          <w:szCs w:val="28"/>
        </w:rPr>
        <w:t>8</w:t>
      </w:r>
      <w:r w:rsidR="00D75780" w:rsidRPr="00131B9D">
        <w:rPr>
          <w:bCs/>
          <w:kern w:val="52"/>
          <w:szCs w:val="28"/>
        </w:rPr>
        <w:t xml:space="preserve">　</w:t>
      </w:r>
      <w:r w:rsidR="00D75780" w:rsidRPr="00131B9D">
        <w:rPr>
          <w:bCs/>
          <w:kern w:val="52"/>
          <w:szCs w:val="28"/>
        </w:rPr>
        <w:t>2001-</w:t>
      </w:r>
      <w:r w:rsidR="00025F28" w:rsidRPr="00131B9D">
        <w:rPr>
          <w:bCs/>
          <w:kern w:val="52"/>
          <w:szCs w:val="28"/>
        </w:rPr>
        <w:t>2015</w:t>
      </w:r>
      <w:r w:rsidR="00D75780" w:rsidRPr="00131B9D">
        <w:rPr>
          <w:bCs/>
          <w:kern w:val="52"/>
          <w:szCs w:val="28"/>
        </w:rPr>
        <w:t>年由泰國進口冰糖量</w:t>
      </w:r>
      <w:bookmarkEnd w:id="448"/>
    </w:p>
    <w:tbl>
      <w:tblPr>
        <w:tblW w:w="4820" w:type="dxa"/>
        <w:jc w:val="center"/>
        <w:tblBorders>
          <w:top w:val="single" w:sz="12" w:space="0" w:color="auto"/>
          <w:bottom w:val="single" w:sz="8" w:space="0" w:color="auto"/>
        </w:tblBorders>
        <w:tblCellMar>
          <w:left w:w="0" w:type="dxa"/>
          <w:right w:w="0" w:type="dxa"/>
        </w:tblCellMar>
        <w:tblLook w:val="04A0" w:firstRow="1" w:lastRow="0" w:firstColumn="1" w:lastColumn="0" w:noHBand="0" w:noVBand="1"/>
      </w:tblPr>
      <w:tblGrid>
        <w:gridCol w:w="892"/>
        <w:gridCol w:w="101"/>
        <w:gridCol w:w="1275"/>
        <w:gridCol w:w="142"/>
        <w:gridCol w:w="1418"/>
        <w:gridCol w:w="141"/>
        <w:gridCol w:w="851"/>
      </w:tblGrid>
      <w:tr w:rsidR="00D75780" w:rsidRPr="00131B9D" w:rsidTr="00515B9D">
        <w:trPr>
          <w:trHeight w:val="20"/>
          <w:jc w:val="center"/>
        </w:trPr>
        <w:tc>
          <w:tcPr>
            <w:tcW w:w="892" w:type="dxa"/>
            <w:tcBorders>
              <w:top w:val="single" w:sz="12" w:space="0" w:color="auto"/>
              <w:bottom w:val="single" w:sz="8" w:space="0" w:color="auto"/>
            </w:tcBorders>
            <w:shd w:val="clear" w:color="auto" w:fill="auto"/>
            <w:noWrap/>
            <w:tcMar>
              <w:top w:w="0" w:type="dxa"/>
              <w:left w:w="108" w:type="dxa"/>
              <w:bottom w:w="0" w:type="dxa"/>
              <w:right w:w="108" w:type="dxa"/>
            </w:tcMar>
            <w:vAlign w:val="center"/>
            <w:hideMark/>
          </w:tcPr>
          <w:p w:rsidR="00D75780" w:rsidRPr="00131B9D" w:rsidRDefault="00D75780" w:rsidP="00515B9D">
            <w:pPr>
              <w:spacing w:line="0" w:lineRule="atLeast"/>
              <w:jc w:val="center"/>
              <w:rPr>
                <w:sz w:val="20"/>
                <w:szCs w:val="20"/>
              </w:rPr>
            </w:pPr>
            <w:r w:rsidRPr="00131B9D">
              <w:rPr>
                <w:sz w:val="20"/>
                <w:szCs w:val="20"/>
              </w:rPr>
              <w:t>年　份</w:t>
            </w:r>
          </w:p>
        </w:tc>
        <w:tc>
          <w:tcPr>
            <w:tcW w:w="101" w:type="dxa"/>
            <w:tcBorders>
              <w:top w:val="single" w:sz="12" w:space="0" w:color="auto"/>
            </w:tcBorders>
          </w:tcPr>
          <w:p w:rsidR="00D75780" w:rsidRPr="00131B9D" w:rsidRDefault="00D75780" w:rsidP="00515B9D">
            <w:pPr>
              <w:spacing w:line="0" w:lineRule="atLeast"/>
              <w:jc w:val="center"/>
              <w:rPr>
                <w:sz w:val="20"/>
                <w:szCs w:val="20"/>
              </w:rPr>
            </w:pPr>
          </w:p>
        </w:tc>
        <w:tc>
          <w:tcPr>
            <w:tcW w:w="1275" w:type="dxa"/>
            <w:tcBorders>
              <w:top w:val="single" w:sz="12" w:space="0" w:color="auto"/>
              <w:bottom w:val="single" w:sz="8" w:space="0" w:color="auto"/>
            </w:tcBorders>
            <w:shd w:val="clear" w:color="auto" w:fill="auto"/>
            <w:noWrap/>
            <w:tcMar>
              <w:top w:w="0" w:type="dxa"/>
              <w:left w:w="108" w:type="dxa"/>
              <w:bottom w:w="0" w:type="dxa"/>
              <w:right w:w="108" w:type="dxa"/>
            </w:tcMar>
            <w:vAlign w:val="center"/>
            <w:hideMark/>
          </w:tcPr>
          <w:p w:rsidR="00D75780" w:rsidRPr="00131B9D" w:rsidRDefault="00D75780" w:rsidP="00515B9D">
            <w:pPr>
              <w:spacing w:line="0" w:lineRule="atLeast"/>
              <w:jc w:val="center"/>
              <w:rPr>
                <w:sz w:val="20"/>
                <w:szCs w:val="20"/>
              </w:rPr>
            </w:pPr>
            <w:r w:rsidRPr="00131B9D">
              <w:rPr>
                <w:sz w:val="20"/>
                <w:szCs w:val="20"/>
              </w:rPr>
              <w:t>總進口重量</w:t>
            </w:r>
          </w:p>
          <w:p w:rsidR="00D75780" w:rsidRPr="00131B9D" w:rsidRDefault="00D75780" w:rsidP="00515B9D">
            <w:pPr>
              <w:spacing w:line="0" w:lineRule="atLeast"/>
              <w:jc w:val="center"/>
              <w:rPr>
                <w:sz w:val="20"/>
                <w:szCs w:val="20"/>
              </w:rPr>
            </w:pPr>
            <w:r w:rsidRPr="00131B9D">
              <w:rPr>
                <w:sz w:val="20"/>
                <w:szCs w:val="20"/>
              </w:rPr>
              <w:t>（公噸</w:t>
            </w:r>
            <w:r w:rsidRPr="00131B9D">
              <w:rPr>
                <w:sz w:val="20"/>
                <w:szCs w:val="20"/>
              </w:rPr>
              <w:t>)</w:t>
            </w:r>
          </w:p>
        </w:tc>
        <w:tc>
          <w:tcPr>
            <w:tcW w:w="142" w:type="dxa"/>
            <w:tcBorders>
              <w:top w:val="single" w:sz="12" w:space="0" w:color="auto"/>
              <w:bottom w:val="nil"/>
            </w:tcBorders>
          </w:tcPr>
          <w:p w:rsidR="00D75780" w:rsidRPr="00131B9D" w:rsidRDefault="00D75780" w:rsidP="00515B9D">
            <w:pPr>
              <w:spacing w:line="0" w:lineRule="atLeast"/>
              <w:jc w:val="center"/>
              <w:rPr>
                <w:sz w:val="20"/>
                <w:szCs w:val="20"/>
              </w:rPr>
            </w:pPr>
          </w:p>
        </w:tc>
        <w:tc>
          <w:tcPr>
            <w:tcW w:w="1418" w:type="dxa"/>
            <w:tcBorders>
              <w:top w:val="single" w:sz="12" w:space="0" w:color="auto"/>
              <w:bottom w:val="single" w:sz="8" w:space="0" w:color="auto"/>
            </w:tcBorders>
            <w:shd w:val="clear" w:color="auto" w:fill="auto"/>
            <w:noWrap/>
            <w:tcMar>
              <w:top w:w="0" w:type="dxa"/>
              <w:left w:w="108" w:type="dxa"/>
              <w:bottom w:w="0" w:type="dxa"/>
              <w:right w:w="108" w:type="dxa"/>
            </w:tcMar>
            <w:vAlign w:val="center"/>
            <w:hideMark/>
          </w:tcPr>
          <w:p w:rsidR="00D75780" w:rsidRPr="00131B9D" w:rsidRDefault="00D75780" w:rsidP="00515B9D">
            <w:pPr>
              <w:spacing w:line="0" w:lineRule="atLeast"/>
              <w:jc w:val="center"/>
              <w:rPr>
                <w:sz w:val="20"/>
                <w:szCs w:val="20"/>
              </w:rPr>
            </w:pPr>
            <w:r w:rsidRPr="00131B9D">
              <w:rPr>
                <w:sz w:val="20"/>
                <w:szCs w:val="20"/>
              </w:rPr>
              <w:t>泰國進口重量</w:t>
            </w:r>
          </w:p>
          <w:p w:rsidR="00D75780" w:rsidRPr="00131B9D" w:rsidRDefault="00D75780" w:rsidP="00515B9D">
            <w:pPr>
              <w:spacing w:line="0" w:lineRule="atLeast"/>
              <w:jc w:val="center"/>
              <w:rPr>
                <w:sz w:val="20"/>
                <w:szCs w:val="20"/>
              </w:rPr>
            </w:pPr>
            <w:r w:rsidRPr="00131B9D">
              <w:rPr>
                <w:sz w:val="20"/>
                <w:szCs w:val="20"/>
              </w:rPr>
              <w:t>（公噸</w:t>
            </w:r>
            <w:r w:rsidRPr="00131B9D">
              <w:rPr>
                <w:sz w:val="20"/>
                <w:szCs w:val="20"/>
              </w:rPr>
              <w:t>)</w:t>
            </w:r>
          </w:p>
        </w:tc>
        <w:tc>
          <w:tcPr>
            <w:tcW w:w="141" w:type="dxa"/>
            <w:tcBorders>
              <w:top w:val="single" w:sz="12" w:space="0" w:color="auto"/>
              <w:bottom w:val="nil"/>
            </w:tcBorders>
          </w:tcPr>
          <w:p w:rsidR="00D75780" w:rsidRPr="00131B9D" w:rsidRDefault="00D75780" w:rsidP="00515B9D">
            <w:pPr>
              <w:spacing w:line="0" w:lineRule="atLeast"/>
              <w:jc w:val="center"/>
              <w:rPr>
                <w:sz w:val="20"/>
                <w:szCs w:val="20"/>
              </w:rPr>
            </w:pPr>
          </w:p>
        </w:tc>
        <w:tc>
          <w:tcPr>
            <w:tcW w:w="851" w:type="dxa"/>
            <w:tcBorders>
              <w:top w:val="single" w:sz="12" w:space="0" w:color="auto"/>
              <w:bottom w:val="single" w:sz="8" w:space="0" w:color="auto"/>
            </w:tcBorders>
            <w:shd w:val="clear" w:color="auto" w:fill="auto"/>
            <w:noWrap/>
            <w:tcMar>
              <w:top w:w="0" w:type="dxa"/>
              <w:left w:w="108" w:type="dxa"/>
              <w:bottom w:w="0" w:type="dxa"/>
              <w:right w:w="108" w:type="dxa"/>
            </w:tcMar>
            <w:vAlign w:val="center"/>
            <w:hideMark/>
          </w:tcPr>
          <w:p w:rsidR="00D75780" w:rsidRPr="00131B9D" w:rsidRDefault="00D75780" w:rsidP="00515B9D">
            <w:pPr>
              <w:spacing w:line="0" w:lineRule="atLeast"/>
              <w:jc w:val="center"/>
              <w:rPr>
                <w:sz w:val="20"/>
                <w:szCs w:val="20"/>
              </w:rPr>
            </w:pPr>
            <w:r w:rsidRPr="00131B9D">
              <w:rPr>
                <w:sz w:val="20"/>
                <w:szCs w:val="20"/>
              </w:rPr>
              <w:t>占　比</w:t>
            </w:r>
          </w:p>
        </w:tc>
      </w:tr>
      <w:tr w:rsidR="00D75780" w:rsidRPr="00131B9D" w:rsidTr="00515B9D">
        <w:trPr>
          <w:trHeight w:val="20"/>
          <w:jc w:val="center"/>
        </w:trPr>
        <w:tc>
          <w:tcPr>
            <w:tcW w:w="892" w:type="dxa"/>
            <w:tcBorders>
              <w:top w:val="single" w:sz="8" w:space="0" w:color="auto"/>
            </w:tcBorders>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2001</w:t>
            </w:r>
          </w:p>
        </w:tc>
        <w:tc>
          <w:tcPr>
            <w:tcW w:w="101" w:type="dxa"/>
          </w:tcPr>
          <w:p w:rsidR="00D75780" w:rsidRPr="00131B9D" w:rsidRDefault="00D75780" w:rsidP="00515B9D">
            <w:pPr>
              <w:spacing w:line="0" w:lineRule="atLeast"/>
              <w:rPr>
                <w:sz w:val="20"/>
                <w:szCs w:val="20"/>
              </w:rPr>
            </w:pPr>
          </w:p>
        </w:tc>
        <w:tc>
          <w:tcPr>
            <w:tcW w:w="1275" w:type="dxa"/>
            <w:tcBorders>
              <w:top w:val="single" w:sz="8" w:space="0" w:color="auto"/>
            </w:tcBorders>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19</w:t>
            </w:r>
          </w:p>
        </w:tc>
        <w:tc>
          <w:tcPr>
            <w:tcW w:w="142" w:type="dxa"/>
            <w:tcBorders>
              <w:top w:val="nil"/>
              <w:bottom w:val="nil"/>
            </w:tcBorders>
          </w:tcPr>
          <w:p w:rsidR="00D75780" w:rsidRPr="00131B9D" w:rsidRDefault="00D75780" w:rsidP="00515B9D">
            <w:pPr>
              <w:spacing w:line="0" w:lineRule="atLeast"/>
              <w:jc w:val="center"/>
              <w:rPr>
                <w:sz w:val="20"/>
                <w:szCs w:val="20"/>
              </w:rPr>
            </w:pPr>
          </w:p>
        </w:tc>
        <w:tc>
          <w:tcPr>
            <w:tcW w:w="1418" w:type="dxa"/>
            <w:tcBorders>
              <w:top w:val="single" w:sz="8" w:space="0" w:color="auto"/>
            </w:tcBorders>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19</w:t>
            </w:r>
          </w:p>
        </w:tc>
        <w:tc>
          <w:tcPr>
            <w:tcW w:w="141" w:type="dxa"/>
            <w:tcBorders>
              <w:top w:val="nil"/>
              <w:bottom w:val="nil"/>
            </w:tcBorders>
          </w:tcPr>
          <w:p w:rsidR="00D75780" w:rsidRPr="00131B9D" w:rsidRDefault="00D75780" w:rsidP="00515B9D">
            <w:pPr>
              <w:spacing w:line="0" w:lineRule="atLeast"/>
              <w:jc w:val="center"/>
              <w:rPr>
                <w:sz w:val="20"/>
                <w:szCs w:val="20"/>
              </w:rPr>
            </w:pPr>
          </w:p>
        </w:tc>
        <w:tc>
          <w:tcPr>
            <w:tcW w:w="851" w:type="dxa"/>
            <w:tcBorders>
              <w:top w:val="single" w:sz="8" w:space="0" w:color="auto"/>
            </w:tcBorders>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75780" w:rsidRPr="00131B9D" w:rsidTr="00515B9D">
        <w:trPr>
          <w:trHeight w:val="20"/>
          <w:jc w:val="center"/>
        </w:trPr>
        <w:tc>
          <w:tcPr>
            <w:tcW w:w="892" w:type="dxa"/>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2002</w:t>
            </w:r>
          </w:p>
        </w:tc>
        <w:tc>
          <w:tcPr>
            <w:tcW w:w="101" w:type="dxa"/>
          </w:tcPr>
          <w:p w:rsidR="00D75780" w:rsidRPr="00131B9D" w:rsidRDefault="00D75780" w:rsidP="00515B9D">
            <w:pPr>
              <w:spacing w:line="0" w:lineRule="atLeast"/>
              <w:rPr>
                <w:sz w:val="20"/>
                <w:szCs w:val="20"/>
              </w:rPr>
            </w:pPr>
          </w:p>
        </w:tc>
        <w:tc>
          <w:tcPr>
            <w:tcW w:w="1275"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313</w:t>
            </w:r>
          </w:p>
        </w:tc>
        <w:tc>
          <w:tcPr>
            <w:tcW w:w="142" w:type="dxa"/>
            <w:tcBorders>
              <w:top w:val="nil"/>
              <w:bottom w:val="nil"/>
            </w:tcBorders>
          </w:tcPr>
          <w:p w:rsidR="00D75780" w:rsidRPr="00131B9D" w:rsidRDefault="00D75780"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313</w:t>
            </w:r>
          </w:p>
        </w:tc>
        <w:tc>
          <w:tcPr>
            <w:tcW w:w="141" w:type="dxa"/>
            <w:tcBorders>
              <w:top w:val="nil"/>
              <w:bottom w:val="nil"/>
            </w:tcBorders>
          </w:tcPr>
          <w:p w:rsidR="00D75780" w:rsidRPr="00131B9D" w:rsidRDefault="00D75780"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75780" w:rsidRPr="00131B9D" w:rsidTr="00515B9D">
        <w:trPr>
          <w:trHeight w:val="20"/>
          <w:jc w:val="center"/>
        </w:trPr>
        <w:tc>
          <w:tcPr>
            <w:tcW w:w="892" w:type="dxa"/>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2003</w:t>
            </w:r>
          </w:p>
        </w:tc>
        <w:tc>
          <w:tcPr>
            <w:tcW w:w="101" w:type="dxa"/>
          </w:tcPr>
          <w:p w:rsidR="00D75780" w:rsidRPr="00131B9D" w:rsidRDefault="00D75780" w:rsidP="00515B9D">
            <w:pPr>
              <w:spacing w:line="0" w:lineRule="atLeast"/>
              <w:rPr>
                <w:sz w:val="20"/>
                <w:szCs w:val="20"/>
              </w:rPr>
            </w:pPr>
          </w:p>
        </w:tc>
        <w:tc>
          <w:tcPr>
            <w:tcW w:w="1275"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625</w:t>
            </w:r>
          </w:p>
        </w:tc>
        <w:tc>
          <w:tcPr>
            <w:tcW w:w="142" w:type="dxa"/>
            <w:tcBorders>
              <w:top w:val="nil"/>
            </w:tcBorders>
          </w:tcPr>
          <w:p w:rsidR="00D75780" w:rsidRPr="00131B9D" w:rsidRDefault="00D75780"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625</w:t>
            </w:r>
          </w:p>
        </w:tc>
        <w:tc>
          <w:tcPr>
            <w:tcW w:w="141" w:type="dxa"/>
            <w:tcBorders>
              <w:top w:val="nil"/>
            </w:tcBorders>
          </w:tcPr>
          <w:p w:rsidR="00D75780" w:rsidRPr="00131B9D" w:rsidRDefault="00D75780"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75780" w:rsidRPr="00131B9D" w:rsidTr="00515B9D">
        <w:trPr>
          <w:trHeight w:val="20"/>
          <w:jc w:val="center"/>
        </w:trPr>
        <w:tc>
          <w:tcPr>
            <w:tcW w:w="892" w:type="dxa"/>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2004</w:t>
            </w:r>
          </w:p>
        </w:tc>
        <w:tc>
          <w:tcPr>
            <w:tcW w:w="101" w:type="dxa"/>
          </w:tcPr>
          <w:p w:rsidR="00D75780" w:rsidRPr="00131B9D" w:rsidRDefault="00D75780" w:rsidP="00515B9D">
            <w:pPr>
              <w:spacing w:line="0" w:lineRule="atLeast"/>
              <w:rPr>
                <w:sz w:val="20"/>
                <w:szCs w:val="20"/>
              </w:rPr>
            </w:pPr>
          </w:p>
        </w:tc>
        <w:tc>
          <w:tcPr>
            <w:tcW w:w="1275"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722</w:t>
            </w:r>
          </w:p>
        </w:tc>
        <w:tc>
          <w:tcPr>
            <w:tcW w:w="142" w:type="dxa"/>
          </w:tcPr>
          <w:p w:rsidR="00D75780" w:rsidRPr="00131B9D" w:rsidRDefault="00D75780"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722</w:t>
            </w:r>
          </w:p>
        </w:tc>
        <w:tc>
          <w:tcPr>
            <w:tcW w:w="141" w:type="dxa"/>
          </w:tcPr>
          <w:p w:rsidR="00D75780" w:rsidRPr="00131B9D" w:rsidRDefault="00D75780"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75780" w:rsidRPr="00131B9D" w:rsidTr="00515B9D">
        <w:trPr>
          <w:trHeight w:val="20"/>
          <w:jc w:val="center"/>
        </w:trPr>
        <w:tc>
          <w:tcPr>
            <w:tcW w:w="892" w:type="dxa"/>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2005</w:t>
            </w:r>
          </w:p>
        </w:tc>
        <w:tc>
          <w:tcPr>
            <w:tcW w:w="101" w:type="dxa"/>
          </w:tcPr>
          <w:p w:rsidR="00D75780" w:rsidRPr="00131B9D" w:rsidRDefault="00D75780" w:rsidP="00515B9D">
            <w:pPr>
              <w:spacing w:line="0" w:lineRule="atLeast"/>
              <w:rPr>
                <w:sz w:val="20"/>
                <w:szCs w:val="20"/>
              </w:rPr>
            </w:pPr>
          </w:p>
        </w:tc>
        <w:tc>
          <w:tcPr>
            <w:tcW w:w="1275"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817</w:t>
            </w:r>
          </w:p>
        </w:tc>
        <w:tc>
          <w:tcPr>
            <w:tcW w:w="142" w:type="dxa"/>
          </w:tcPr>
          <w:p w:rsidR="00D75780" w:rsidRPr="00131B9D" w:rsidRDefault="00D75780"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817</w:t>
            </w:r>
          </w:p>
        </w:tc>
        <w:tc>
          <w:tcPr>
            <w:tcW w:w="141" w:type="dxa"/>
          </w:tcPr>
          <w:p w:rsidR="00D75780" w:rsidRPr="00131B9D" w:rsidRDefault="00D75780"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75780" w:rsidRPr="00131B9D" w:rsidTr="00515B9D">
        <w:trPr>
          <w:trHeight w:val="20"/>
          <w:jc w:val="center"/>
        </w:trPr>
        <w:tc>
          <w:tcPr>
            <w:tcW w:w="892" w:type="dxa"/>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2006</w:t>
            </w:r>
          </w:p>
        </w:tc>
        <w:tc>
          <w:tcPr>
            <w:tcW w:w="101" w:type="dxa"/>
          </w:tcPr>
          <w:p w:rsidR="00D75780" w:rsidRPr="00131B9D" w:rsidRDefault="00D75780" w:rsidP="00515B9D">
            <w:pPr>
              <w:spacing w:line="0" w:lineRule="atLeast"/>
              <w:rPr>
                <w:sz w:val="20"/>
                <w:szCs w:val="20"/>
              </w:rPr>
            </w:pPr>
          </w:p>
        </w:tc>
        <w:tc>
          <w:tcPr>
            <w:tcW w:w="1275"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773</w:t>
            </w:r>
          </w:p>
        </w:tc>
        <w:tc>
          <w:tcPr>
            <w:tcW w:w="142" w:type="dxa"/>
          </w:tcPr>
          <w:p w:rsidR="00D75780" w:rsidRPr="00131B9D" w:rsidRDefault="00D75780"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773</w:t>
            </w:r>
          </w:p>
        </w:tc>
        <w:tc>
          <w:tcPr>
            <w:tcW w:w="141" w:type="dxa"/>
          </w:tcPr>
          <w:p w:rsidR="00D75780" w:rsidRPr="00131B9D" w:rsidRDefault="00D75780"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75780" w:rsidRPr="00131B9D" w:rsidTr="00515B9D">
        <w:trPr>
          <w:trHeight w:val="20"/>
          <w:jc w:val="center"/>
        </w:trPr>
        <w:tc>
          <w:tcPr>
            <w:tcW w:w="892" w:type="dxa"/>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2007</w:t>
            </w:r>
          </w:p>
        </w:tc>
        <w:tc>
          <w:tcPr>
            <w:tcW w:w="101" w:type="dxa"/>
          </w:tcPr>
          <w:p w:rsidR="00D75780" w:rsidRPr="00131B9D" w:rsidRDefault="00D75780" w:rsidP="00515B9D">
            <w:pPr>
              <w:spacing w:line="0" w:lineRule="atLeast"/>
              <w:rPr>
                <w:sz w:val="20"/>
                <w:szCs w:val="20"/>
              </w:rPr>
            </w:pPr>
          </w:p>
        </w:tc>
        <w:tc>
          <w:tcPr>
            <w:tcW w:w="1275"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634</w:t>
            </w:r>
          </w:p>
        </w:tc>
        <w:tc>
          <w:tcPr>
            <w:tcW w:w="142" w:type="dxa"/>
          </w:tcPr>
          <w:p w:rsidR="00D75780" w:rsidRPr="00131B9D" w:rsidRDefault="00D75780"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634</w:t>
            </w:r>
          </w:p>
        </w:tc>
        <w:tc>
          <w:tcPr>
            <w:tcW w:w="141" w:type="dxa"/>
          </w:tcPr>
          <w:p w:rsidR="00D75780" w:rsidRPr="00131B9D" w:rsidRDefault="00D75780"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75780" w:rsidRPr="00131B9D" w:rsidTr="00515B9D">
        <w:trPr>
          <w:trHeight w:val="20"/>
          <w:jc w:val="center"/>
        </w:trPr>
        <w:tc>
          <w:tcPr>
            <w:tcW w:w="892" w:type="dxa"/>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2008</w:t>
            </w:r>
          </w:p>
        </w:tc>
        <w:tc>
          <w:tcPr>
            <w:tcW w:w="101" w:type="dxa"/>
          </w:tcPr>
          <w:p w:rsidR="00D75780" w:rsidRPr="00131B9D" w:rsidRDefault="00D75780" w:rsidP="00515B9D">
            <w:pPr>
              <w:spacing w:line="0" w:lineRule="atLeast"/>
              <w:rPr>
                <w:sz w:val="20"/>
                <w:szCs w:val="20"/>
              </w:rPr>
            </w:pPr>
          </w:p>
        </w:tc>
        <w:tc>
          <w:tcPr>
            <w:tcW w:w="1275"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543</w:t>
            </w:r>
          </w:p>
        </w:tc>
        <w:tc>
          <w:tcPr>
            <w:tcW w:w="142" w:type="dxa"/>
          </w:tcPr>
          <w:p w:rsidR="00D75780" w:rsidRPr="00131B9D" w:rsidRDefault="00D75780"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543</w:t>
            </w:r>
          </w:p>
        </w:tc>
        <w:tc>
          <w:tcPr>
            <w:tcW w:w="141" w:type="dxa"/>
          </w:tcPr>
          <w:p w:rsidR="00D75780" w:rsidRPr="00131B9D" w:rsidRDefault="00D75780"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75780" w:rsidRPr="00131B9D" w:rsidTr="00515B9D">
        <w:trPr>
          <w:trHeight w:val="20"/>
          <w:jc w:val="center"/>
        </w:trPr>
        <w:tc>
          <w:tcPr>
            <w:tcW w:w="892" w:type="dxa"/>
            <w:shd w:val="clear" w:color="auto" w:fill="auto"/>
            <w:noWrap/>
            <w:tcMar>
              <w:top w:w="0" w:type="dxa"/>
              <w:left w:w="108" w:type="dxa"/>
              <w:bottom w:w="0" w:type="dxa"/>
              <w:right w:w="108" w:type="dxa"/>
            </w:tcMar>
            <w:hideMark/>
          </w:tcPr>
          <w:p w:rsidR="00D75780" w:rsidRPr="00131B9D" w:rsidRDefault="00D75780" w:rsidP="00515B9D">
            <w:pPr>
              <w:spacing w:line="0" w:lineRule="atLeast"/>
              <w:rPr>
                <w:sz w:val="20"/>
                <w:szCs w:val="20"/>
              </w:rPr>
            </w:pPr>
            <w:r w:rsidRPr="00131B9D">
              <w:rPr>
                <w:sz w:val="20"/>
                <w:szCs w:val="20"/>
              </w:rPr>
              <w:t>2009</w:t>
            </w:r>
          </w:p>
        </w:tc>
        <w:tc>
          <w:tcPr>
            <w:tcW w:w="101" w:type="dxa"/>
          </w:tcPr>
          <w:p w:rsidR="00D75780" w:rsidRPr="00131B9D" w:rsidRDefault="00D75780" w:rsidP="00515B9D">
            <w:pPr>
              <w:spacing w:line="0" w:lineRule="atLeast"/>
              <w:rPr>
                <w:sz w:val="20"/>
                <w:szCs w:val="20"/>
              </w:rPr>
            </w:pPr>
          </w:p>
        </w:tc>
        <w:tc>
          <w:tcPr>
            <w:tcW w:w="1275"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647</w:t>
            </w:r>
          </w:p>
        </w:tc>
        <w:tc>
          <w:tcPr>
            <w:tcW w:w="142" w:type="dxa"/>
          </w:tcPr>
          <w:p w:rsidR="00D75780" w:rsidRPr="00131B9D" w:rsidRDefault="00D75780"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647</w:t>
            </w:r>
          </w:p>
        </w:tc>
        <w:tc>
          <w:tcPr>
            <w:tcW w:w="141" w:type="dxa"/>
          </w:tcPr>
          <w:p w:rsidR="00D75780" w:rsidRPr="00131B9D" w:rsidRDefault="00D75780"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hideMark/>
          </w:tcPr>
          <w:p w:rsidR="00D75780" w:rsidRPr="00131B9D" w:rsidRDefault="00D75780" w:rsidP="00515B9D">
            <w:pPr>
              <w:spacing w:line="0" w:lineRule="atLeast"/>
              <w:jc w:val="center"/>
              <w:rPr>
                <w:sz w:val="20"/>
                <w:szCs w:val="20"/>
              </w:rPr>
            </w:pPr>
            <w:r w:rsidRPr="00131B9D">
              <w:rPr>
                <w:sz w:val="20"/>
                <w:szCs w:val="20"/>
              </w:rPr>
              <w:t>100.0%</w:t>
            </w:r>
          </w:p>
        </w:tc>
      </w:tr>
      <w:tr w:rsidR="00DC42B8" w:rsidRPr="00131B9D" w:rsidTr="00515B9D">
        <w:trPr>
          <w:trHeight w:val="20"/>
          <w:jc w:val="center"/>
        </w:trPr>
        <w:tc>
          <w:tcPr>
            <w:tcW w:w="892" w:type="dxa"/>
            <w:shd w:val="clear" w:color="auto" w:fill="auto"/>
            <w:noWrap/>
            <w:tcMar>
              <w:top w:w="0" w:type="dxa"/>
              <w:left w:w="108" w:type="dxa"/>
              <w:bottom w:w="0" w:type="dxa"/>
              <w:right w:w="108" w:type="dxa"/>
            </w:tcMar>
          </w:tcPr>
          <w:p w:rsidR="00DC42B8" w:rsidRPr="00131B9D" w:rsidRDefault="00DC42B8" w:rsidP="00DC42B8">
            <w:pPr>
              <w:spacing w:line="0" w:lineRule="atLeast"/>
              <w:rPr>
                <w:sz w:val="20"/>
                <w:szCs w:val="20"/>
              </w:rPr>
            </w:pPr>
            <w:r w:rsidRPr="00131B9D">
              <w:rPr>
                <w:sz w:val="20"/>
                <w:szCs w:val="20"/>
              </w:rPr>
              <w:t>2010</w:t>
            </w:r>
          </w:p>
        </w:tc>
        <w:tc>
          <w:tcPr>
            <w:tcW w:w="101" w:type="dxa"/>
          </w:tcPr>
          <w:p w:rsidR="00DC42B8" w:rsidRPr="00131B9D" w:rsidRDefault="00DC42B8" w:rsidP="00DC42B8">
            <w:pPr>
              <w:spacing w:line="0" w:lineRule="atLeast"/>
              <w:rPr>
                <w:sz w:val="20"/>
                <w:szCs w:val="20"/>
              </w:rPr>
            </w:pPr>
          </w:p>
        </w:tc>
        <w:tc>
          <w:tcPr>
            <w:tcW w:w="1275" w:type="dxa"/>
            <w:shd w:val="clear" w:color="auto" w:fill="auto"/>
            <w:noWrap/>
            <w:tcMar>
              <w:top w:w="0" w:type="dxa"/>
              <w:left w:w="108" w:type="dxa"/>
              <w:bottom w:w="0" w:type="dxa"/>
              <w:right w:w="108" w:type="dxa"/>
            </w:tcMar>
          </w:tcPr>
          <w:p w:rsidR="00DC42B8" w:rsidRPr="00131B9D" w:rsidRDefault="00DC42B8" w:rsidP="00DC42B8">
            <w:pPr>
              <w:spacing w:line="0" w:lineRule="atLeast"/>
              <w:jc w:val="center"/>
              <w:rPr>
                <w:sz w:val="20"/>
                <w:szCs w:val="20"/>
              </w:rPr>
            </w:pPr>
            <w:r w:rsidRPr="00131B9D">
              <w:rPr>
                <w:sz w:val="20"/>
                <w:szCs w:val="20"/>
              </w:rPr>
              <w:t>704</w:t>
            </w:r>
          </w:p>
        </w:tc>
        <w:tc>
          <w:tcPr>
            <w:tcW w:w="142" w:type="dxa"/>
          </w:tcPr>
          <w:p w:rsidR="00DC42B8" w:rsidRPr="00131B9D" w:rsidRDefault="00DC42B8" w:rsidP="00DC42B8">
            <w:pPr>
              <w:spacing w:line="0" w:lineRule="atLeast"/>
              <w:jc w:val="center"/>
              <w:rPr>
                <w:sz w:val="20"/>
                <w:szCs w:val="20"/>
              </w:rPr>
            </w:pPr>
          </w:p>
        </w:tc>
        <w:tc>
          <w:tcPr>
            <w:tcW w:w="1418" w:type="dxa"/>
            <w:shd w:val="clear" w:color="auto" w:fill="auto"/>
            <w:noWrap/>
            <w:tcMar>
              <w:top w:w="0" w:type="dxa"/>
              <w:left w:w="108" w:type="dxa"/>
              <w:bottom w:w="0" w:type="dxa"/>
              <w:right w:w="108" w:type="dxa"/>
            </w:tcMar>
          </w:tcPr>
          <w:p w:rsidR="00DC42B8" w:rsidRPr="00131B9D" w:rsidRDefault="00DC42B8" w:rsidP="00DC42B8">
            <w:pPr>
              <w:spacing w:line="0" w:lineRule="atLeast"/>
              <w:jc w:val="center"/>
              <w:rPr>
                <w:sz w:val="20"/>
                <w:szCs w:val="20"/>
              </w:rPr>
            </w:pPr>
            <w:r w:rsidRPr="00131B9D">
              <w:rPr>
                <w:sz w:val="20"/>
                <w:szCs w:val="20"/>
              </w:rPr>
              <w:t>702</w:t>
            </w:r>
          </w:p>
        </w:tc>
        <w:tc>
          <w:tcPr>
            <w:tcW w:w="141" w:type="dxa"/>
          </w:tcPr>
          <w:p w:rsidR="00DC42B8" w:rsidRPr="00131B9D" w:rsidRDefault="00DC42B8" w:rsidP="00DC42B8">
            <w:pPr>
              <w:spacing w:line="0" w:lineRule="atLeast"/>
              <w:jc w:val="center"/>
              <w:rPr>
                <w:sz w:val="20"/>
                <w:szCs w:val="20"/>
              </w:rPr>
            </w:pPr>
          </w:p>
        </w:tc>
        <w:tc>
          <w:tcPr>
            <w:tcW w:w="851" w:type="dxa"/>
            <w:shd w:val="clear" w:color="auto" w:fill="auto"/>
            <w:noWrap/>
            <w:tcMar>
              <w:top w:w="0" w:type="dxa"/>
              <w:left w:w="108" w:type="dxa"/>
              <w:bottom w:w="0" w:type="dxa"/>
              <w:right w:w="108" w:type="dxa"/>
            </w:tcMar>
          </w:tcPr>
          <w:p w:rsidR="00DC42B8" w:rsidRPr="00131B9D" w:rsidRDefault="00DC42B8" w:rsidP="00DC42B8">
            <w:pPr>
              <w:spacing w:line="0" w:lineRule="atLeast"/>
              <w:jc w:val="center"/>
              <w:rPr>
                <w:sz w:val="20"/>
                <w:szCs w:val="20"/>
              </w:rPr>
            </w:pPr>
            <w:r w:rsidRPr="00131B9D">
              <w:rPr>
                <w:sz w:val="20"/>
                <w:szCs w:val="20"/>
              </w:rPr>
              <w:t>99.7%</w:t>
            </w:r>
          </w:p>
        </w:tc>
      </w:tr>
      <w:tr w:rsidR="00DC42B8" w:rsidRPr="00131B9D" w:rsidTr="00515B9D">
        <w:trPr>
          <w:trHeight w:val="20"/>
          <w:jc w:val="center"/>
        </w:trPr>
        <w:tc>
          <w:tcPr>
            <w:tcW w:w="892" w:type="dxa"/>
            <w:shd w:val="clear" w:color="auto" w:fill="auto"/>
            <w:noWrap/>
            <w:tcMar>
              <w:top w:w="0" w:type="dxa"/>
              <w:left w:w="108" w:type="dxa"/>
              <w:bottom w:w="0" w:type="dxa"/>
              <w:right w:w="108" w:type="dxa"/>
            </w:tcMar>
          </w:tcPr>
          <w:p w:rsidR="00DC42B8" w:rsidRPr="00131B9D" w:rsidRDefault="00DC42B8" w:rsidP="00515B9D">
            <w:pPr>
              <w:spacing w:line="0" w:lineRule="atLeast"/>
              <w:rPr>
                <w:sz w:val="20"/>
                <w:szCs w:val="20"/>
              </w:rPr>
            </w:pPr>
            <w:r w:rsidRPr="00131B9D">
              <w:rPr>
                <w:sz w:val="20"/>
                <w:szCs w:val="20"/>
              </w:rPr>
              <w:t>2011</w:t>
            </w:r>
          </w:p>
        </w:tc>
        <w:tc>
          <w:tcPr>
            <w:tcW w:w="101" w:type="dxa"/>
          </w:tcPr>
          <w:p w:rsidR="00DC42B8" w:rsidRPr="00131B9D" w:rsidRDefault="00DC42B8" w:rsidP="00515B9D">
            <w:pPr>
              <w:spacing w:line="0" w:lineRule="atLeast"/>
              <w:rPr>
                <w:sz w:val="20"/>
                <w:szCs w:val="20"/>
              </w:rPr>
            </w:pPr>
          </w:p>
        </w:tc>
        <w:tc>
          <w:tcPr>
            <w:tcW w:w="1275"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678</w:t>
            </w:r>
          </w:p>
        </w:tc>
        <w:tc>
          <w:tcPr>
            <w:tcW w:w="142" w:type="dxa"/>
          </w:tcPr>
          <w:p w:rsidR="00DC42B8" w:rsidRPr="00131B9D" w:rsidRDefault="00DC42B8"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678</w:t>
            </w:r>
          </w:p>
        </w:tc>
        <w:tc>
          <w:tcPr>
            <w:tcW w:w="141" w:type="dxa"/>
          </w:tcPr>
          <w:p w:rsidR="00DC42B8" w:rsidRPr="00131B9D" w:rsidRDefault="00DC42B8"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100.0%</w:t>
            </w:r>
          </w:p>
        </w:tc>
      </w:tr>
      <w:tr w:rsidR="00DC42B8" w:rsidRPr="00131B9D" w:rsidTr="00515B9D">
        <w:trPr>
          <w:trHeight w:val="20"/>
          <w:jc w:val="center"/>
        </w:trPr>
        <w:tc>
          <w:tcPr>
            <w:tcW w:w="892" w:type="dxa"/>
            <w:shd w:val="clear" w:color="auto" w:fill="auto"/>
            <w:noWrap/>
            <w:tcMar>
              <w:top w:w="0" w:type="dxa"/>
              <w:left w:w="108" w:type="dxa"/>
              <w:bottom w:w="0" w:type="dxa"/>
              <w:right w:w="108" w:type="dxa"/>
            </w:tcMar>
          </w:tcPr>
          <w:p w:rsidR="00DC42B8" w:rsidRPr="00131B9D" w:rsidRDefault="00DC42B8" w:rsidP="00515B9D">
            <w:pPr>
              <w:spacing w:line="0" w:lineRule="atLeast"/>
              <w:rPr>
                <w:sz w:val="20"/>
                <w:szCs w:val="20"/>
              </w:rPr>
            </w:pPr>
            <w:r w:rsidRPr="00131B9D">
              <w:rPr>
                <w:sz w:val="20"/>
                <w:szCs w:val="20"/>
              </w:rPr>
              <w:t>2012</w:t>
            </w:r>
          </w:p>
        </w:tc>
        <w:tc>
          <w:tcPr>
            <w:tcW w:w="101" w:type="dxa"/>
          </w:tcPr>
          <w:p w:rsidR="00DC42B8" w:rsidRPr="00131B9D" w:rsidRDefault="00DC42B8" w:rsidP="00515B9D">
            <w:pPr>
              <w:spacing w:line="0" w:lineRule="atLeast"/>
              <w:rPr>
                <w:sz w:val="20"/>
                <w:szCs w:val="20"/>
              </w:rPr>
            </w:pPr>
          </w:p>
        </w:tc>
        <w:tc>
          <w:tcPr>
            <w:tcW w:w="1275"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612</w:t>
            </w:r>
          </w:p>
        </w:tc>
        <w:tc>
          <w:tcPr>
            <w:tcW w:w="142" w:type="dxa"/>
          </w:tcPr>
          <w:p w:rsidR="00DC42B8" w:rsidRPr="00131B9D" w:rsidRDefault="00DC42B8"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612</w:t>
            </w:r>
          </w:p>
        </w:tc>
        <w:tc>
          <w:tcPr>
            <w:tcW w:w="141" w:type="dxa"/>
          </w:tcPr>
          <w:p w:rsidR="00DC42B8" w:rsidRPr="00131B9D" w:rsidRDefault="00DC42B8"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100.0%</w:t>
            </w:r>
          </w:p>
        </w:tc>
      </w:tr>
      <w:tr w:rsidR="00DC42B8" w:rsidRPr="00131B9D" w:rsidTr="00515B9D">
        <w:trPr>
          <w:trHeight w:val="20"/>
          <w:jc w:val="center"/>
        </w:trPr>
        <w:tc>
          <w:tcPr>
            <w:tcW w:w="892" w:type="dxa"/>
            <w:shd w:val="clear" w:color="auto" w:fill="auto"/>
            <w:noWrap/>
            <w:tcMar>
              <w:top w:w="0" w:type="dxa"/>
              <w:left w:w="108" w:type="dxa"/>
              <w:bottom w:w="0" w:type="dxa"/>
              <w:right w:w="108" w:type="dxa"/>
            </w:tcMar>
          </w:tcPr>
          <w:p w:rsidR="00DC42B8" w:rsidRPr="00131B9D" w:rsidRDefault="00DC42B8" w:rsidP="00515B9D">
            <w:pPr>
              <w:spacing w:line="0" w:lineRule="atLeast"/>
              <w:rPr>
                <w:sz w:val="20"/>
                <w:szCs w:val="20"/>
              </w:rPr>
            </w:pPr>
            <w:r w:rsidRPr="00131B9D">
              <w:rPr>
                <w:sz w:val="20"/>
                <w:szCs w:val="20"/>
              </w:rPr>
              <w:t>2013</w:t>
            </w:r>
          </w:p>
        </w:tc>
        <w:tc>
          <w:tcPr>
            <w:tcW w:w="101" w:type="dxa"/>
          </w:tcPr>
          <w:p w:rsidR="00DC42B8" w:rsidRPr="00131B9D" w:rsidRDefault="00DC42B8" w:rsidP="00515B9D">
            <w:pPr>
              <w:spacing w:line="0" w:lineRule="atLeast"/>
              <w:rPr>
                <w:sz w:val="20"/>
                <w:szCs w:val="20"/>
              </w:rPr>
            </w:pPr>
          </w:p>
        </w:tc>
        <w:tc>
          <w:tcPr>
            <w:tcW w:w="1275"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487</w:t>
            </w:r>
          </w:p>
        </w:tc>
        <w:tc>
          <w:tcPr>
            <w:tcW w:w="142" w:type="dxa"/>
          </w:tcPr>
          <w:p w:rsidR="00DC42B8" w:rsidRPr="00131B9D" w:rsidRDefault="00DC42B8"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485</w:t>
            </w:r>
          </w:p>
        </w:tc>
        <w:tc>
          <w:tcPr>
            <w:tcW w:w="141" w:type="dxa"/>
          </w:tcPr>
          <w:p w:rsidR="00DC42B8" w:rsidRPr="00131B9D" w:rsidRDefault="00DC42B8"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99.6%</w:t>
            </w:r>
          </w:p>
        </w:tc>
      </w:tr>
      <w:tr w:rsidR="00DC42B8" w:rsidRPr="00131B9D" w:rsidTr="00515B9D">
        <w:trPr>
          <w:trHeight w:val="20"/>
          <w:jc w:val="center"/>
        </w:trPr>
        <w:tc>
          <w:tcPr>
            <w:tcW w:w="892" w:type="dxa"/>
            <w:shd w:val="clear" w:color="auto" w:fill="auto"/>
            <w:noWrap/>
            <w:tcMar>
              <w:top w:w="0" w:type="dxa"/>
              <w:left w:w="108" w:type="dxa"/>
              <w:bottom w:w="0" w:type="dxa"/>
              <w:right w:w="108" w:type="dxa"/>
            </w:tcMar>
          </w:tcPr>
          <w:p w:rsidR="00DC42B8" w:rsidRPr="00131B9D" w:rsidRDefault="00DC42B8" w:rsidP="00515B9D">
            <w:pPr>
              <w:spacing w:line="0" w:lineRule="atLeast"/>
              <w:rPr>
                <w:sz w:val="20"/>
                <w:szCs w:val="20"/>
              </w:rPr>
            </w:pPr>
            <w:r w:rsidRPr="00131B9D">
              <w:rPr>
                <w:sz w:val="20"/>
                <w:szCs w:val="20"/>
              </w:rPr>
              <w:t>2014</w:t>
            </w:r>
          </w:p>
        </w:tc>
        <w:tc>
          <w:tcPr>
            <w:tcW w:w="101" w:type="dxa"/>
          </w:tcPr>
          <w:p w:rsidR="00DC42B8" w:rsidRPr="00131B9D" w:rsidRDefault="00DC42B8" w:rsidP="00515B9D">
            <w:pPr>
              <w:spacing w:line="0" w:lineRule="atLeast"/>
              <w:rPr>
                <w:sz w:val="20"/>
                <w:szCs w:val="20"/>
              </w:rPr>
            </w:pPr>
          </w:p>
        </w:tc>
        <w:tc>
          <w:tcPr>
            <w:tcW w:w="1275"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669</w:t>
            </w:r>
          </w:p>
        </w:tc>
        <w:tc>
          <w:tcPr>
            <w:tcW w:w="142" w:type="dxa"/>
          </w:tcPr>
          <w:p w:rsidR="00DC42B8" w:rsidRPr="00131B9D" w:rsidRDefault="00DC42B8" w:rsidP="00515B9D">
            <w:pPr>
              <w:spacing w:line="0" w:lineRule="atLeast"/>
              <w:jc w:val="center"/>
              <w:rPr>
                <w:sz w:val="20"/>
                <w:szCs w:val="20"/>
              </w:rPr>
            </w:pPr>
          </w:p>
        </w:tc>
        <w:tc>
          <w:tcPr>
            <w:tcW w:w="1418"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666</w:t>
            </w:r>
          </w:p>
        </w:tc>
        <w:tc>
          <w:tcPr>
            <w:tcW w:w="141" w:type="dxa"/>
          </w:tcPr>
          <w:p w:rsidR="00DC42B8" w:rsidRPr="00131B9D" w:rsidRDefault="00DC42B8" w:rsidP="00515B9D">
            <w:pPr>
              <w:spacing w:line="0" w:lineRule="atLeast"/>
              <w:jc w:val="center"/>
              <w:rPr>
                <w:sz w:val="20"/>
                <w:szCs w:val="20"/>
              </w:rPr>
            </w:pPr>
          </w:p>
        </w:tc>
        <w:tc>
          <w:tcPr>
            <w:tcW w:w="851" w:type="dxa"/>
            <w:shd w:val="clear" w:color="auto" w:fill="auto"/>
            <w:noWrap/>
            <w:tcMar>
              <w:top w:w="0" w:type="dxa"/>
              <w:left w:w="108" w:type="dxa"/>
              <w:bottom w:w="0" w:type="dxa"/>
              <w:right w:w="108" w:type="dxa"/>
            </w:tcMar>
          </w:tcPr>
          <w:p w:rsidR="00DC42B8" w:rsidRPr="00131B9D" w:rsidRDefault="00DC42B8" w:rsidP="00515B9D">
            <w:pPr>
              <w:spacing w:line="0" w:lineRule="atLeast"/>
              <w:jc w:val="center"/>
              <w:rPr>
                <w:sz w:val="20"/>
                <w:szCs w:val="20"/>
              </w:rPr>
            </w:pPr>
            <w:r w:rsidRPr="00131B9D">
              <w:rPr>
                <w:sz w:val="20"/>
                <w:szCs w:val="20"/>
              </w:rPr>
              <w:t>99.6%</w:t>
            </w:r>
          </w:p>
        </w:tc>
      </w:tr>
      <w:tr w:rsidR="00D75780" w:rsidRPr="00131B9D" w:rsidTr="00DC42B8">
        <w:trPr>
          <w:trHeight w:val="20"/>
          <w:jc w:val="center"/>
        </w:trPr>
        <w:tc>
          <w:tcPr>
            <w:tcW w:w="892" w:type="dxa"/>
            <w:tcBorders>
              <w:bottom w:val="single" w:sz="12" w:space="0" w:color="auto"/>
            </w:tcBorders>
            <w:shd w:val="clear" w:color="auto" w:fill="auto"/>
            <w:noWrap/>
            <w:tcMar>
              <w:top w:w="0" w:type="dxa"/>
              <w:left w:w="108" w:type="dxa"/>
              <w:bottom w:w="0" w:type="dxa"/>
              <w:right w:w="108" w:type="dxa"/>
            </w:tcMar>
            <w:hideMark/>
          </w:tcPr>
          <w:p w:rsidR="00D75780" w:rsidRPr="00131B9D" w:rsidRDefault="00DC42B8" w:rsidP="00515B9D">
            <w:pPr>
              <w:spacing w:line="0" w:lineRule="atLeast"/>
              <w:rPr>
                <w:sz w:val="20"/>
                <w:szCs w:val="20"/>
              </w:rPr>
            </w:pPr>
            <w:r w:rsidRPr="00131B9D">
              <w:rPr>
                <w:sz w:val="20"/>
                <w:szCs w:val="20"/>
              </w:rPr>
              <w:t>2015/9</w:t>
            </w:r>
          </w:p>
        </w:tc>
        <w:tc>
          <w:tcPr>
            <w:tcW w:w="101" w:type="dxa"/>
            <w:tcBorders>
              <w:bottom w:val="single" w:sz="12" w:space="0" w:color="auto"/>
            </w:tcBorders>
          </w:tcPr>
          <w:p w:rsidR="00D75780" w:rsidRPr="00131B9D" w:rsidRDefault="00D75780" w:rsidP="00515B9D">
            <w:pPr>
              <w:spacing w:line="0" w:lineRule="atLeast"/>
              <w:rPr>
                <w:sz w:val="20"/>
                <w:szCs w:val="20"/>
              </w:rPr>
            </w:pPr>
          </w:p>
        </w:tc>
        <w:tc>
          <w:tcPr>
            <w:tcW w:w="1275" w:type="dxa"/>
            <w:tcBorders>
              <w:bottom w:val="single" w:sz="12" w:space="0" w:color="auto"/>
            </w:tcBorders>
            <w:shd w:val="clear" w:color="auto" w:fill="auto"/>
            <w:noWrap/>
            <w:tcMar>
              <w:top w:w="0" w:type="dxa"/>
              <w:left w:w="108" w:type="dxa"/>
              <w:bottom w:w="0" w:type="dxa"/>
              <w:right w:w="108" w:type="dxa"/>
            </w:tcMar>
          </w:tcPr>
          <w:p w:rsidR="00D75780" w:rsidRPr="00131B9D" w:rsidRDefault="00DC42B8" w:rsidP="00515B9D">
            <w:pPr>
              <w:spacing w:line="0" w:lineRule="atLeast"/>
              <w:jc w:val="center"/>
              <w:rPr>
                <w:sz w:val="20"/>
                <w:szCs w:val="20"/>
              </w:rPr>
            </w:pPr>
            <w:r w:rsidRPr="00131B9D">
              <w:rPr>
                <w:sz w:val="20"/>
                <w:szCs w:val="20"/>
              </w:rPr>
              <w:t>651</w:t>
            </w:r>
          </w:p>
        </w:tc>
        <w:tc>
          <w:tcPr>
            <w:tcW w:w="142" w:type="dxa"/>
            <w:tcBorders>
              <w:bottom w:val="single" w:sz="12" w:space="0" w:color="auto"/>
            </w:tcBorders>
          </w:tcPr>
          <w:p w:rsidR="00D75780" w:rsidRPr="00131B9D" w:rsidRDefault="00D75780" w:rsidP="00515B9D">
            <w:pPr>
              <w:spacing w:line="0" w:lineRule="atLeast"/>
              <w:jc w:val="center"/>
              <w:rPr>
                <w:sz w:val="20"/>
                <w:szCs w:val="20"/>
              </w:rPr>
            </w:pPr>
          </w:p>
        </w:tc>
        <w:tc>
          <w:tcPr>
            <w:tcW w:w="1418" w:type="dxa"/>
            <w:tcBorders>
              <w:bottom w:val="single" w:sz="12" w:space="0" w:color="auto"/>
            </w:tcBorders>
            <w:shd w:val="clear" w:color="auto" w:fill="auto"/>
            <w:noWrap/>
            <w:tcMar>
              <w:top w:w="0" w:type="dxa"/>
              <w:left w:w="108" w:type="dxa"/>
              <w:bottom w:w="0" w:type="dxa"/>
              <w:right w:w="108" w:type="dxa"/>
            </w:tcMar>
          </w:tcPr>
          <w:p w:rsidR="00D75780" w:rsidRPr="00131B9D" w:rsidRDefault="00DC42B8" w:rsidP="00515B9D">
            <w:pPr>
              <w:spacing w:line="0" w:lineRule="atLeast"/>
              <w:jc w:val="center"/>
              <w:rPr>
                <w:sz w:val="20"/>
                <w:szCs w:val="20"/>
              </w:rPr>
            </w:pPr>
            <w:r w:rsidRPr="00131B9D">
              <w:rPr>
                <w:sz w:val="20"/>
                <w:szCs w:val="20"/>
              </w:rPr>
              <w:t>648</w:t>
            </w:r>
          </w:p>
        </w:tc>
        <w:tc>
          <w:tcPr>
            <w:tcW w:w="141" w:type="dxa"/>
            <w:tcBorders>
              <w:bottom w:val="single" w:sz="12" w:space="0" w:color="auto"/>
            </w:tcBorders>
          </w:tcPr>
          <w:p w:rsidR="00D75780" w:rsidRPr="00131B9D" w:rsidRDefault="00D75780" w:rsidP="00515B9D">
            <w:pPr>
              <w:spacing w:line="0" w:lineRule="atLeast"/>
              <w:jc w:val="center"/>
              <w:rPr>
                <w:sz w:val="20"/>
                <w:szCs w:val="20"/>
              </w:rPr>
            </w:pPr>
          </w:p>
        </w:tc>
        <w:tc>
          <w:tcPr>
            <w:tcW w:w="851" w:type="dxa"/>
            <w:tcBorders>
              <w:bottom w:val="single" w:sz="12" w:space="0" w:color="auto"/>
            </w:tcBorders>
            <w:shd w:val="clear" w:color="auto" w:fill="auto"/>
            <w:noWrap/>
            <w:tcMar>
              <w:top w:w="0" w:type="dxa"/>
              <w:left w:w="108" w:type="dxa"/>
              <w:bottom w:w="0" w:type="dxa"/>
              <w:right w:w="108" w:type="dxa"/>
            </w:tcMar>
          </w:tcPr>
          <w:p w:rsidR="00D75780" w:rsidRPr="00131B9D" w:rsidRDefault="00DC42B8" w:rsidP="00515B9D">
            <w:pPr>
              <w:spacing w:line="0" w:lineRule="atLeast"/>
              <w:jc w:val="center"/>
              <w:rPr>
                <w:sz w:val="20"/>
                <w:szCs w:val="20"/>
              </w:rPr>
            </w:pPr>
            <w:r w:rsidRPr="00131B9D">
              <w:rPr>
                <w:sz w:val="20"/>
                <w:szCs w:val="20"/>
              </w:rPr>
              <w:t>99.5%</w:t>
            </w:r>
          </w:p>
        </w:tc>
      </w:tr>
    </w:tbl>
    <w:p w:rsidR="00D75780" w:rsidRPr="00131B9D" w:rsidRDefault="00D75780" w:rsidP="00D75780">
      <w:pPr>
        <w:pStyle w:val="-"/>
        <w:snapToGrid/>
        <w:spacing w:beforeLines="0" w:afterLines="0" w:line="0" w:lineRule="atLeast"/>
        <w:ind w:firstLineChars="850" w:firstLine="1700"/>
        <w:rPr>
          <w:kern w:val="0"/>
          <w:sz w:val="20"/>
          <w:szCs w:val="20"/>
        </w:rPr>
      </w:pPr>
      <w:r w:rsidRPr="00131B9D">
        <w:rPr>
          <w:kern w:val="0"/>
          <w:sz w:val="20"/>
          <w:szCs w:val="20"/>
        </w:rPr>
        <w:t>資料來源：經濟部國際貿易局</w:t>
      </w:r>
      <w:r w:rsidR="00025F28" w:rsidRPr="00131B9D">
        <w:rPr>
          <w:kern w:val="0"/>
          <w:sz w:val="20"/>
          <w:szCs w:val="20"/>
        </w:rPr>
        <w:t>，統計至</w:t>
      </w:r>
      <w:r w:rsidR="00025F28" w:rsidRPr="00131B9D">
        <w:rPr>
          <w:kern w:val="0"/>
          <w:sz w:val="20"/>
          <w:szCs w:val="20"/>
        </w:rPr>
        <w:t>2015</w:t>
      </w:r>
      <w:r w:rsidR="00025F28" w:rsidRPr="00131B9D">
        <w:rPr>
          <w:kern w:val="0"/>
          <w:sz w:val="20"/>
          <w:szCs w:val="20"/>
        </w:rPr>
        <w:t>年</w:t>
      </w:r>
      <w:r w:rsidR="00025F28" w:rsidRPr="00131B9D">
        <w:rPr>
          <w:kern w:val="0"/>
          <w:sz w:val="20"/>
          <w:szCs w:val="20"/>
        </w:rPr>
        <w:t>9</w:t>
      </w:r>
      <w:r w:rsidR="00025F28" w:rsidRPr="00131B9D">
        <w:rPr>
          <w:kern w:val="0"/>
          <w:sz w:val="20"/>
          <w:szCs w:val="20"/>
        </w:rPr>
        <w:t>月</w:t>
      </w:r>
      <w:r w:rsidRPr="00131B9D">
        <w:rPr>
          <w:kern w:val="0"/>
          <w:sz w:val="20"/>
          <w:szCs w:val="20"/>
        </w:rPr>
        <w:t>。</w:t>
      </w:r>
    </w:p>
    <w:p w:rsidR="00104B2D" w:rsidRPr="00131B9D" w:rsidRDefault="00104B2D" w:rsidP="00F763B1"/>
    <w:p w:rsidR="002611FA" w:rsidRPr="00131B9D" w:rsidRDefault="002611FA" w:rsidP="002611FA">
      <w:pPr>
        <w:pStyle w:val="2"/>
        <w:spacing w:before="108" w:after="108"/>
        <w:rPr>
          <w:rFonts w:ascii="Times New Roman" w:hAnsi="Times New Roman"/>
        </w:rPr>
      </w:pPr>
      <w:bookmarkStart w:id="449" w:name="_Toc439162968"/>
      <w:r w:rsidRPr="00131B9D">
        <w:rPr>
          <w:rFonts w:ascii="Times New Roman" w:hAnsi="Times New Roman"/>
        </w:rPr>
        <w:t>九、飲料類</w:t>
      </w:r>
      <w:bookmarkEnd w:id="449"/>
    </w:p>
    <w:p w:rsidR="002611FA" w:rsidRPr="00131B9D" w:rsidRDefault="002611FA" w:rsidP="002611FA">
      <w:pPr>
        <w:pStyle w:val="-"/>
        <w:spacing w:before="72" w:after="72"/>
        <w:ind w:firstLine="560"/>
      </w:pPr>
      <w:r w:rsidRPr="00131B9D">
        <w:t>2012</w:t>
      </w:r>
      <w:r w:rsidRPr="00131B9D">
        <w:t>年</w:t>
      </w:r>
      <w:r w:rsidRPr="00131B9D">
        <w:t>1</w:t>
      </w:r>
      <w:r w:rsidRPr="00131B9D">
        <w:t>月至</w:t>
      </w:r>
      <w:r w:rsidRPr="00131B9D">
        <w:t>2015</w:t>
      </w:r>
      <w:r w:rsidRPr="00131B9D">
        <w:t>年</w:t>
      </w:r>
      <w:r w:rsidR="00DC42B8" w:rsidRPr="00131B9D">
        <w:t>11</w:t>
      </w:r>
      <w:r w:rsidRPr="00131B9D">
        <w:t>月各通路飲料價格走勢彙整如圖</w:t>
      </w:r>
      <w:r w:rsidR="005D32EF" w:rsidRPr="00131B9D">
        <w:t>4-</w:t>
      </w:r>
      <w:r w:rsidR="008323C0" w:rsidRPr="00131B9D">
        <w:t>30</w:t>
      </w:r>
      <w:r w:rsidRPr="00131B9D">
        <w:t>、</w:t>
      </w:r>
      <w:r w:rsidR="005D32EF" w:rsidRPr="00131B9D">
        <w:t>4-3</w:t>
      </w:r>
      <w:r w:rsidR="008323C0" w:rsidRPr="00131B9D">
        <w:t>1</w:t>
      </w:r>
      <w:r w:rsidRPr="00131B9D">
        <w:t>。本研究調查主要關注品項茶裏王</w:t>
      </w:r>
      <w:r w:rsidR="00595FF8" w:rsidRPr="00131B9D">
        <w:t>臺灣</w:t>
      </w:r>
      <w:r w:rsidRPr="00131B9D">
        <w:t>綠茶以及寶礦力水得，三大通路中，便利店價格走</w:t>
      </w:r>
      <w:r w:rsidR="00B5390B" w:rsidRPr="00131B9D">
        <w:t>勢</w:t>
      </w:r>
      <w:r w:rsidRPr="00131B9D">
        <w:t>平緩，超市與量販店則波動較大，主因為特定品牌進行促銷活動。</w:t>
      </w:r>
    </w:p>
    <w:p w:rsidR="002611FA" w:rsidRPr="00131B9D" w:rsidRDefault="008323C0" w:rsidP="002611FA">
      <w:pPr>
        <w:spacing w:line="0" w:lineRule="atLeast"/>
        <w:jc w:val="center"/>
      </w:pPr>
      <w:r w:rsidRPr="00131B9D">
        <w:rPr>
          <w:noProof/>
        </w:rPr>
        <w:lastRenderedPageBreak/>
        <w:drawing>
          <wp:inline distT="0" distB="0" distL="0" distR="0" wp14:anchorId="6DA83125" wp14:editId="68723A1C">
            <wp:extent cx="5274000" cy="2419200"/>
            <wp:effectExtent l="0" t="0" r="3175" b="0"/>
            <wp:docPr id="121" name="圖表 1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rsidR="002611FA" w:rsidRPr="00131B9D" w:rsidRDefault="002611FA" w:rsidP="002611FA">
      <w:pPr>
        <w:pStyle w:val="-"/>
        <w:snapToGrid/>
        <w:spacing w:beforeLines="0" w:afterLines="0" w:line="0" w:lineRule="atLeast"/>
        <w:ind w:firstLine="400"/>
        <w:rPr>
          <w:kern w:val="0"/>
          <w:sz w:val="20"/>
          <w:szCs w:val="20"/>
        </w:rPr>
      </w:pPr>
      <w:r w:rsidRPr="00131B9D">
        <w:rPr>
          <w:kern w:val="0"/>
          <w:sz w:val="20"/>
          <w:szCs w:val="20"/>
        </w:rPr>
        <w:t>資料來源：本文整理</w:t>
      </w:r>
    </w:p>
    <w:p w:rsidR="002611FA" w:rsidRPr="00131B9D" w:rsidRDefault="005D32EF" w:rsidP="005D32EF">
      <w:pPr>
        <w:pStyle w:val="afff5"/>
        <w:spacing w:line="0" w:lineRule="atLeast"/>
        <w:jc w:val="center"/>
        <w:rPr>
          <w:rFonts w:eastAsia="標楷體"/>
          <w:b/>
          <w:bCs/>
          <w:kern w:val="52"/>
          <w:sz w:val="28"/>
          <w:szCs w:val="28"/>
        </w:rPr>
      </w:pPr>
      <w:bookmarkStart w:id="450" w:name="_Toc437959001"/>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30</w:t>
      </w:r>
      <w:r w:rsidRPr="00131B9D">
        <w:rPr>
          <w:rFonts w:eastAsia="標楷體"/>
          <w:b/>
          <w:bCs/>
          <w:kern w:val="52"/>
          <w:sz w:val="28"/>
          <w:szCs w:val="28"/>
        </w:rPr>
        <w:fldChar w:fldCharType="end"/>
      </w:r>
      <w:r w:rsidR="002611FA" w:rsidRPr="00131B9D">
        <w:rPr>
          <w:rFonts w:eastAsia="標楷體"/>
          <w:b/>
          <w:bCs/>
          <w:kern w:val="52"/>
          <w:sz w:val="28"/>
          <w:szCs w:val="28"/>
        </w:rPr>
        <w:t xml:space="preserve">　茶裏王</w:t>
      </w:r>
      <w:r w:rsidR="00595FF8" w:rsidRPr="00131B9D">
        <w:rPr>
          <w:rFonts w:eastAsia="標楷體"/>
          <w:b/>
          <w:bCs/>
          <w:kern w:val="52"/>
          <w:sz w:val="28"/>
          <w:szCs w:val="28"/>
        </w:rPr>
        <w:t>臺灣</w:t>
      </w:r>
      <w:r w:rsidR="002611FA" w:rsidRPr="00131B9D">
        <w:rPr>
          <w:rFonts w:eastAsia="標楷體"/>
          <w:b/>
          <w:bCs/>
          <w:kern w:val="52"/>
          <w:sz w:val="28"/>
          <w:szCs w:val="28"/>
        </w:rPr>
        <w:t>綠茶價格長期走勢</w:t>
      </w:r>
      <w:r w:rsidR="00FD4A1A" w:rsidRPr="00131B9D">
        <w:rPr>
          <w:rFonts w:eastAsia="標楷體"/>
          <w:b/>
          <w:bCs/>
          <w:kern w:val="52"/>
          <w:sz w:val="28"/>
          <w:szCs w:val="28"/>
        </w:rPr>
        <w:t>圖</w:t>
      </w:r>
      <w:bookmarkEnd w:id="450"/>
    </w:p>
    <w:p w:rsidR="002611FA" w:rsidRPr="00131B9D" w:rsidRDefault="002611FA" w:rsidP="002611FA"/>
    <w:p w:rsidR="002611FA" w:rsidRPr="00131B9D" w:rsidRDefault="00991C07" w:rsidP="002611FA">
      <w:pPr>
        <w:spacing w:line="0" w:lineRule="atLeast"/>
        <w:jc w:val="center"/>
      </w:pPr>
      <w:r w:rsidRPr="00131B9D">
        <w:rPr>
          <w:noProof/>
        </w:rPr>
        <w:drawing>
          <wp:inline distT="0" distB="0" distL="0" distR="0" wp14:anchorId="012C3F6F" wp14:editId="198A3116">
            <wp:extent cx="5274000" cy="2419200"/>
            <wp:effectExtent l="0" t="0" r="3175" b="0"/>
            <wp:docPr id="122" name="圖表 1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p w:rsidR="002611FA" w:rsidRPr="00131B9D" w:rsidRDefault="002611FA" w:rsidP="002611FA">
      <w:pPr>
        <w:pStyle w:val="-"/>
        <w:snapToGrid/>
        <w:spacing w:beforeLines="0" w:afterLines="0" w:line="0" w:lineRule="atLeast"/>
        <w:ind w:firstLine="400"/>
        <w:rPr>
          <w:kern w:val="0"/>
          <w:sz w:val="20"/>
          <w:szCs w:val="20"/>
        </w:rPr>
      </w:pPr>
      <w:r w:rsidRPr="00131B9D">
        <w:rPr>
          <w:kern w:val="0"/>
          <w:sz w:val="20"/>
          <w:szCs w:val="20"/>
        </w:rPr>
        <w:t>資料來源：本文整理</w:t>
      </w:r>
    </w:p>
    <w:p w:rsidR="002611FA" w:rsidRPr="00131B9D" w:rsidRDefault="005D32EF" w:rsidP="005D32EF">
      <w:pPr>
        <w:pStyle w:val="afff5"/>
        <w:spacing w:line="0" w:lineRule="atLeast"/>
        <w:jc w:val="center"/>
        <w:rPr>
          <w:rFonts w:eastAsia="標楷體"/>
          <w:b/>
          <w:bCs/>
          <w:kern w:val="52"/>
          <w:sz w:val="28"/>
          <w:szCs w:val="28"/>
        </w:rPr>
      </w:pPr>
      <w:bookmarkStart w:id="451" w:name="_Toc437959002"/>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31</w:t>
      </w:r>
      <w:r w:rsidRPr="00131B9D">
        <w:rPr>
          <w:rFonts w:eastAsia="標楷體"/>
          <w:b/>
          <w:bCs/>
          <w:kern w:val="52"/>
          <w:sz w:val="28"/>
          <w:szCs w:val="28"/>
        </w:rPr>
        <w:fldChar w:fldCharType="end"/>
      </w:r>
      <w:r w:rsidR="002611FA" w:rsidRPr="00131B9D">
        <w:rPr>
          <w:rFonts w:eastAsia="標楷體"/>
          <w:b/>
          <w:bCs/>
          <w:kern w:val="52"/>
          <w:sz w:val="28"/>
          <w:szCs w:val="28"/>
        </w:rPr>
        <w:t xml:space="preserve">　寶礦力水得價格長期走勢</w:t>
      </w:r>
      <w:r w:rsidR="00FD4A1A" w:rsidRPr="00131B9D">
        <w:rPr>
          <w:rFonts w:eastAsia="標楷體"/>
          <w:b/>
          <w:bCs/>
          <w:kern w:val="52"/>
          <w:sz w:val="28"/>
          <w:szCs w:val="28"/>
        </w:rPr>
        <w:t>圖</w:t>
      </w:r>
      <w:bookmarkEnd w:id="451"/>
    </w:p>
    <w:p w:rsidR="002611FA" w:rsidRPr="00131B9D" w:rsidRDefault="002611FA" w:rsidP="002611FA"/>
    <w:p w:rsidR="002611FA" w:rsidRPr="00131B9D" w:rsidRDefault="002611FA" w:rsidP="002611FA">
      <w:pPr>
        <w:pStyle w:val="2"/>
        <w:spacing w:before="108" w:after="108"/>
        <w:rPr>
          <w:rFonts w:ascii="Times New Roman" w:hAnsi="Times New Roman"/>
        </w:rPr>
      </w:pPr>
      <w:bookmarkStart w:id="452" w:name="_Toc439162969"/>
      <w:r w:rsidRPr="00131B9D">
        <w:rPr>
          <w:rFonts w:ascii="Times New Roman" w:hAnsi="Times New Roman"/>
        </w:rPr>
        <w:t>十、冷凍食品類</w:t>
      </w:r>
      <w:bookmarkEnd w:id="452"/>
    </w:p>
    <w:p w:rsidR="00D86545" w:rsidRPr="00131B9D" w:rsidRDefault="00D86545" w:rsidP="00D86545">
      <w:pPr>
        <w:pStyle w:val="-"/>
        <w:spacing w:before="72" w:after="72"/>
        <w:ind w:firstLine="560"/>
      </w:pPr>
      <w:r w:rsidRPr="00131B9D">
        <w:t>2014</w:t>
      </w:r>
      <w:r w:rsidRPr="00131B9D">
        <w:t>年</w:t>
      </w:r>
      <w:r w:rsidRPr="00131B9D">
        <w:t>1</w:t>
      </w:r>
      <w:r w:rsidRPr="00131B9D">
        <w:t>月至</w:t>
      </w:r>
      <w:r w:rsidRPr="00131B9D">
        <w:t>2015</w:t>
      </w:r>
      <w:r w:rsidRPr="00131B9D">
        <w:t>年</w:t>
      </w:r>
      <w:r w:rsidR="00991C07" w:rsidRPr="00131B9D">
        <w:t>11</w:t>
      </w:r>
      <w:r w:rsidRPr="00131B9D">
        <w:t>月各通路冷凍食品價格走勢彙整如圖</w:t>
      </w:r>
      <w:r w:rsidR="00844667" w:rsidRPr="00131B9D">
        <w:t>4</w:t>
      </w:r>
      <w:r w:rsidR="005D32EF" w:rsidRPr="00131B9D">
        <w:t>-3</w:t>
      </w:r>
      <w:r w:rsidR="00FE5933" w:rsidRPr="00131B9D">
        <w:t>2</w:t>
      </w:r>
      <w:r w:rsidR="00844667" w:rsidRPr="00131B9D">
        <w:t>、</w:t>
      </w:r>
      <w:r w:rsidR="005D32EF" w:rsidRPr="00131B9D">
        <w:t>4-3</w:t>
      </w:r>
      <w:r w:rsidR="00FE5933" w:rsidRPr="00131B9D">
        <w:t>3</w:t>
      </w:r>
      <w:r w:rsidRPr="00131B9D">
        <w:t>。本研究調查品項包括統一及第豬肉水餃以及桂冠冷凍包子等，</w:t>
      </w:r>
      <w:r w:rsidRPr="00131B9D">
        <w:t>2015</w:t>
      </w:r>
      <w:r w:rsidRPr="00131B9D">
        <w:t>年</w:t>
      </w:r>
      <w:r w:rsidRPr="00131B9D">
        <w:t>1</w:t>
      </w:r>
      <w:r w:rsidRPr="00131B9D">
        <w:t>月至</w:t>
      </w:r>
      <w:r w:rsidR="00991C07" w:rsidRPr="00131B9D">
        <w:t>11</w:t>
      </w:r>
      <w:r w:rsidRPr="00131B9D">
        <w:t>月平均價格彙整如表</w:t>
      </w:r>
      <w:r w:rsidR="005D32EF" w:rsidRPr="00131B9D">
        <w:t>4</w:t>
      </w:r>
      <w:r w:rsidR="00844667" w:rsidRPr="00131B9D">
        <w:t>-</w:t>
      </w:r>
      <w:r w:rsidR="00572B36" w:rsidRPr="00131B9D">
        <w:t>9</w:t>
      </w:r>
      <w:r w:rsidRPr="00131B9D">
        <w:t>，整體而言，冷凍食品類價格</w:t>
      </w:r>
      <w:r w:rsidR="00E340A5" w:rsidRPr="00131B9D">
        <w:t>變動仍維持在標準區間內</w:t>
      </w:r>
      <w:r w:rsidRPr="00131B9D">
        <w:t>。</w:t>
      </w:r>
    </w:p>
    <w:p w:rsidR="00D86545" w:rsidRPr="00131B9D" w:rsidRDefault="00D86545" w:rsidP="00D86545"/>
    <w:p w:rsidR="00C66B87" w:rsidRPr="00131B9D" w:rsidRDefault="00E340A5" w:rsidP="00C66B87">
      <w:r w:rsidRPr="00131B9D">
        <w:rPr>
          <w:noProof/>
        </w:rPr>
        <w:lastRenderedPageBreak/>
        <w:drawing>
          <wp:inline distT="0" distB="0" distL="0" distR="0" wp14:anchorId="6589CF77" wp14:editId="72E8EF97">
            <wp:extent cx="5274310" cy="2430780"/>
            <wp:effectExtent l="0" t="0" r="2540" b="7620"/>
            <wp:docPr id="123" name="圖表 1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rsidR="00FE5933" w:rsidRPr="00131B9D" w:rsidRDefault="00FE5933" w:rsidP="00FE5933">
      <w:pPr>
        <w:pStyle w:val="-"/>
        <w:snapToGrid/>
        <w:spacing w:beforeLines="0" w:afterLines="0" w:line="0" w:lineRule="atLeast"/>
        <w:ind w:firstLine="400"/>
      </w:pPr>
      <w:r w:rsidRPr="00131B9D">
        <w:rPr>
          <w:kern w:val="0"/>
          <w:sz w:val="20"/>
          <w:szCs w:val="20"/>
        </w:rPr>
        <w:t>資料來源：本文整理</w:t>
      </w:r>
    </w:p>
    <w:p w:rsidR="009641DA" w:rsidRPr="00131B9D" w:rsidRDefault="005D32EF" w:rsidP="005D32EF">
      <w:pPr>
        <w:pStyle w:val="afff5"/>
        <w:spacing w:line="0" w:lineRule="atLeast"/>
        <w:jc w:val="center"/>
        <w:rPr>
          <w:rFonts w:eastAsia="標楷體"/>
          <w:b/>
          <w:bCs/>
          <w:kern w:val="52"/>
          <w:sz w:val="28"/>
          <w:szCs w:val="28"/>
        </w:rPr>
      </w:pPr>
      <w:bookmarkStart w:id="453" w:name="_Toc437959003"/>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32</w:t>
      </w:r>
      <w:r w:rsidRPr="00131B9D">
        <w:rPr>
          <w:rFonts w:eastAsia="標楷體"/>
          <w:b/>
          <w:bCs/>
          <w:kern w:val="52"/>
          <w:sz w:val="28"/>
          <w:szCs w:val="28"/>
        </w:rPr>
        <w:fldChar w:fldCharType="end"/>
      </w:r>
      <w:r w:rsidR="009641DA" w:rsidRPr="00131B9D">
        <w:rPr>
          <w:rFonts w:eastAsia="標楷體"/>
          <w:b/>
          <w:bCs/>
          <w:kern w:val="52"/>
          <w:sz w:val="28"/>
          <w:szCs w:val="28"/>
        </w:rPr>
        <w:t xml:space="preserve">　統一及第豬肉水餃價格長期走勢</w:t>
      </w:r>
      <w:r w:rsidR="00FD4A1A" w:rsidRPr="00131B9D">
        <w:rPr>
          <w:rFonts w:eastAsia="標楷體"/>
          <w:b/>
          <w:bCs/>
          <w:kern w:val="52"/>
          <w:sz w:val="28"/>
          <w:szCs w:val="28"/>
        </w:rPr>
        <w:t>圖</w:t>
      </w:r>
      <w:bookmarkEnd w:id="453"/>
    </w:p>
    <w:p w:rsidR="009641DA" w:rsidRPr="00131B9D" w:rsidRDefault="009641DA" w:rsidP="00C66B87"/>
    <w:p w:rsidR="009641DA" w:rsidRPr="00131B9D" w:rsidRDefault="00E340A5" w:rsidP="00D86545">
      <w:pPr>
        <w:jc w:val="center"/>
      </w:pPr>
      <w:r w:rsidRPr="00131B9D">
        <w:rPr>
          <w:noProof/>
        </w:rPr>
        <w:drawing>
          <wp:inline distT="0" distB="0" distL="0" distR="0" wp14:anchorId="6D3C76D4" wp14:editId="43A79056">
            <wp:extent cx="5274310" cy="2430780"/>
            <wp:effectExtent l="0" t="0" r="2540" b="7620"/>
            <wp:docPr id="124" name="圖表 1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9641DA" w:rsidRPr="00131B9D" w:rsidRDefault="005D32EF" w:rsidP="005D32EF">
      <w:pPr>
        <w:pStyle w:val="afff5"/>
        <w:spacing w:line="0" w:lineRule="atLeast"/>
        <w:jc w:val="center"/>
        <w:rPr>
          <w:rFonts w:eastAsia="標楷體"/>
          <w:b/>
          <w:bCs/>
          <w:kern w:val="52"/>
          <w:sz w:val="28"/>
          <w:szCs w:val="28"/>
        </w:rPr>
      </w:pPr>
      <w:bookmarkStart w:id="454" w:name="_Toc437959004"/>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33</w:t>
      </w:r>
      <w:r w:rsidRPr="00131B9D">
        <w:rPr>
          <w:rFonts w:eastAsia="標楷體"/>
          <w:b/>
          <w:bCs/>
          <w:kern w:val="52"/>
          <w:sz w:val="28"/>
          <w:szCs w:val="28"/>
        </w:rPr>
        <w:fldChar w:fldCharType="end"/>
      </w:r>
      <w:r w:rsidR="009641DA" w:rsidRPr="00131B9D">
        <w:rPr>
          <w:rFonts w:eastAsia="標楷體"/>
          <w:b/>
          <w:bCs/>
          <w:kern w:val="52"/>
          <w:sz w:val="28"/>
          <w:szCs w:val="28"/>
        </w:rPr>
        <w:t xml:space="preserve">　桂冠冷凍包子價格長期走勢</w:t>
      </w:r>
      <w:r w:rsidR="00FD4A1A" w:rsidRPr="00131B9D">
        <w:rPr>
          <w:rFonts w:eastAsia="標楷體"/>
          <w:b/>
          <w:bCs/>
          <w:kern w:val="52"/>
          <w:sz w:val="28"/>
          <w:szCs w:val="28"/>
        </w:rPr>
        <w:t>圖</w:t>
      </w:r>
      <w:bookmarkEnd w:id="454"/>
    </w:p>
    <w:p w:rsidR="00F41F8A" w:rsidRPr="00131B9D" w:rsidRDefault="00F41F8A" w:rsidP="00F41F8A"/>
    <w:p w:rsidR="00F41F8A" w:rsidRPr="00131B9D" w:rsidRDefault="005D32EF" w:rsidP="00CD2B44">
      <w:pPr>
        <w:pStyle w:val="aff1"/>
        <w:spacing w:line="0" w:lineRule="atLeast"/>
        <w:rPr>
          <w:b w:val="0"/>
          <w:bCs/>
          <w:kern w:val="52"/>
          <w:szCs w:val="28"/>
        </w:rPr>
      </w:pPr>
      <w:bookmarkStart w:id="455" w:name="_Toc439163013"/>
      <w:r w:rsidRPr="00131B9D">
        <w:rPr>
          <w:bCs/>
          <w:kern w:val="52"/>
          <w:szCs w:val="28"/>
        </w:rPr>
        <w:t>表</w:t>
      </w:r>
      <w:r w:rsidRPr="00131B9D">
        <w:rPr>
          <w:bCs/>
          <w:kern w:val="52"/>
          <w:szCs w:val="28"/>
        </w:rPr>
        <w:t xml:space="preserve">4- </w:t>
      </w:r>
      <w:r w:rsidR="00572B36" w:rsidRPr="00131B9D">
        <w:rPr>
          <w:bCs/>
          <w:kern w:val="52"/>
          <w:szCs w:val="28"/>
        </w:rPr>
        <w:t>9</w:t>
      </w:r>
      <w:r w:rsidR="00F41F8A" w:rsidRPr="00131B9D">
        <w:rPr>
          <w:bCs/>
          <w:kern w:val="52"/>
          <w:szCs w:val="28"/>
        </w:rPr>
        <w:t xml:space="preserve">　冷凍食品類價格變化</w:t>
      </w:r>
      <w:bookmarkEnd w:id="455"/>
    </w:p>
    <w:tbl>
      <w:tblPr>
        <w:tblStyle w:val="aff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1045"/>
        <w:gridCol w:w="1648"/>
        <w:gridCol w:w="1307"/>
        <w:gridCol w:w="1279"/>
        <w:gridCol w:w="1151"/>
      </w:tblGrid>
      <w:tr w:rsidR="00F41F8A" w:rsidRPr="00131B9D" w:rsidTr="00E340A5">
        <w:trPr>
          <w:jc w:val="center"/>
        </w:trPr>
        <w:tc>
          <w:tcPr>
            <w:tcW w:w="1418" w:type="dxa"/>
            <w:tcBorders>
              <w:top w:val="single" w:sz="12" w:space="0" w:color="auto"/>
              <w:bottom w:val="single" w:sz="4" w:space="0" w:color="auto"/>
            </w:tcBorders>
            <w:vAlign w:val="center"/>
          </w:tcPr>
          <w:p w:rsidR="00F41F8A" w:rsidRPr="00131B9D" w:rsidRDefault="00F41F8A" w:rsidP="00F41F8A">
            <w:pPr>
              <w:spacing w:line="0" w:lineRule="atLeast"/>
              <w:jc w:val="center"/>
            </w:pPr>
            <w:r w:rsidRPr="00131B9D">
              <w:t>品項</w:t>
            </w:r>
          </w:p>
        </w:tc>
        <w:tc>
          <w:tcPr>
            <w:tcW w:w="1045" w:type="dxa"/>
            <w:tcBorders>
              <w:top w:val="single" w:sz="12" w:space="0" w:color="auto"/>
              <w:bottom w:val="single" w:sz="4" w:space="0" w:color="auto"/>
            </w:tcBorders>
            <w:vAlign w:val="center"/>
          </w:tcPr>
          <w:p w:rsidR="00F41F8A" w:rsidRPr="00131B9D" w:rsidRDefault="00F41F8A" w:rsidP="00F41F8A">
            <w:pPr>
              <w:widowControl/>
              <w:spacing w:line="0" w:lineRule="atLeast"/>
              <w:jc w:val="center"/>
              <w:rPr>
                <w:color w:val="000000"/>
              </w:rPr>
            </w:pPr>
            <w:r w:rsidRPr="00131B9D">
              <w:rPr>
                <w:color w:val="000000"/>
              </w:rPr>
              <w:t>通路</w:t>
            </w:r>
          </w:p>
        </w:tc>
        <w:tc>
          <w:tcPr>
            <w:tcW w:w="1648" w:type="dxa"/>
            <w:tcBorders>
              <w:top w:val="single" w:sz="12" w:space="0" w:color="auto"/>
              <w:bottom w:val="single" w:sz="4" w:space="0" w:color="auto"/>
            </w:tcBorders>
            <w:vAlign w:val="center"/>
          </w:tcPr>
          <w:p w:rsidR="00F41F8A" w:rsidRPr="00131B9D" w:rsidRDefault="00F41F8A" w:rsidP="00F41F8A">
            <w:pPr>
              <w:widowControl/>
              <w:spacing w:line="0" w:lineRule="atLeast"/>
              <w:jc w:val="center"/>
            </w:pPr>
            <w:r w:rsidRPr="00131B9D">
              <w:t>規格</w:t>
            </w:r>
          </w:p>
        </w:tc>
        <w:tc>
          <w:tcPr>
            <w:tcW w:w="1307" w:type="dxa"/>
            <w:tcBorders>
              <w:top w:val="single" w:sz="12" w:space="0" w:color="auto"/>
              <w:bottom w:val="single" w:sz="4" w:space="0" w:color="auto"/>
            </w:tcBorders>
            <w:vAlign w:val="center"/>
          </w:tcPr>
          <w:p w:rsidR="00F41F8A" w:rsidRPr="00131B9D" w:rsidRDefault="00F41F8A" w:rsidP="00F41F8A">
            <w:pPr>
              <w:widowControl/>
              <w:spacing w:line="0" w:lineRule="atLeast"/>
              <w:jc w:val="center"/>
              <w:rPr>
                <w:color w:val="000000"/>
              </w:rPr>
            </w:pPr>
            <w:r w:rsidRPr="00131B9D">
              <w:rPr>
                <w:color w:val="000000"/>
              </w:rPr>
              <w:t>2014</w:t>
            </w:r>
          </w:p>
          <w:p w:rsidR="00F41F8A" w:rsidRPr="00131B9D" w:rsidRDefault="00E340A5" w:rsidP="00F41F8A">
            <w:pPr>
              <w:widowControl/>
              <w:spacing w:line="0" w:lineRule="atLeast"/>
              <w:jc w:val="center"/>
              <w:rPr>
                <w:color w:val="000000"/>
              </w:rPr>
            </w:pPr>
            <w:r w:rsidRPr="00131B9D">
              <w:rPr>
                <w:color w:val="000000"/>
              </w:rPr>
              <w:t>1-11</w:t>
            </w:r>
            <w:r w:rsidR="00F41F8A" w:rsidRPr="00131B9D">
              <w:rPr>
                <w:color w:val="000000"/>
              </w:rPr>
              <w:t>月平均</w:t>
            </w:r>
          </w:p>
        </w:tc>
        <w:tc>
          <w:tcPr>
            <w:tcW w:w="1279" w:type="dxa"/>
            <w:tcBorders>
              <w:top w:val="single" w:sz="12" w:space="0" w:color="auto"/>
              <w:bottom w:val="single" w:sz="4" w:space="0" w:color="auto"/>
            </w:tcBorders>
            <w:vAlign w:val="center"/>
          </w:tcPr>
          <w:p w:rsidR="00F41F8A" w:rsidRPr="00131B9D" w:rsidRDefault="00F41F8A" w:rsidP="00F41F8A">
            <w:pPr>
              <w:widowControl/>
              <w:spacing w:line="0" w:lineRule="atLeast"/>
              <w:jc w:val="center"/>
              <w:rPr>
                <w:color w:val="000000"/>
              </w:rPr>
            </w:pPr>
            <w:r w:rsidRPr="00131B9D">
              <w:rPr>
                <w:color w:val="000000"/>
              </w:rPr>
              <w:t>2015</w:t>
            </w:r>
          </w:p>
          <w:p w:rsidR="00F41F8A" w:rsidRPr="00131B9D" w:rsidRDefault="00F41F8A" w:rsidP="00F41F8A">
            <w:pPr>
              <w:widowControl/>
              <w:spacing w:line="0" w:lineRule="atLeast"/>
              <w:jc w:val="center"/>
              <w:rPr>
                <w:color w:val="000000"/>
              </w:rPr>
            </w:pPr>
            <w:r w:rsidRPr="00131B9D">
              <w:rPr>
                <w:color w:val="000000"/>
              </w:rPr>
              <w:t>1-</w:t>
            </w:r>
            <w:r w:rsidR="00E340A5" w:rsidRPr="00131B9D">
              <w:rPr>
                <w:color w:val="000000"/>
              </w:rPr>
              <w:t>11</w:t>
            </w:r>
            <w:r w:rsidRPr="00131B9D">
              <w:rPr>
                <w:color w:val="000000"/>
              </w:rPr>
              <w:t>月平均</w:t>
            </w:r>
          </w:p>
        </w:tc>
        <w:tc>
          <w:tcPr>
            <w:tcW w:w="1151" w:type="dxa"/>
            <w:tcBorders>
              <w:top w:val="single" w:sz="12" w:space="0" w:color="auto"/>
              <w:bottom w:val="single" w:sz="4" w:space="0" w:color="auto"/>
            </w:tcBorders>
            <w:vAlign w:val="center"/>
          </w:tcPr>
          <w:p w:rsidR="00E340A5" w:rsidRPr="00131B9D" w:rsidRDefault="00E340A5" w:rsidP="00F41F8A">
            <w:pPr>
              <w:widowControl/>
              <w:spacing w:line="0" w:lineRule="atLeast"/>
              <w:jc w:val="center"/>
              <w:rPr>
                <w:color w:val="000000"/>
              </w:rPr>
            </w:pPr>
            <w:r w:rsidRPr="00131B9D">
              <w:rPr>
                <w:color w:val="000000"/>
              </w:rPr>
              <w:t>累計</w:t>
            </w:r>
          </w:p>
          <w:p w:rsidR="00F41F8A" w:rsidRPr="00131B9D" w:rsidRDefault="00F41F8A" w:rsidP="00F41F8A">
            <w:pPr>
              <w:widowControl/>
              <w:spacing w:line="0" w:lineRule="atLeast"/>
              <w:jc w:val="center"/>
              <w:rPr>
                <w:color w:val="000000"/>
              </w:rPr>
            </w:pPr>
            <w:r w:rsidRPr="00131B9D">
              <w:rPr>
                <w:color w:val="000000"/>
              </w:rPr>
              <w:t>變動幅度</w:t>
            </w:r>
          </w:p>
        </w:tc>
      </w:tr>
      <w:tr w:rsidR="00E340A5" w:rsidRPr="00131B9D" w:rsidTr="00E340A5">
        <w:trPr>
          <w:jc w:val="center"/>
        </w:trPr>
        <w:tc>
          <w:tcPr>
            <w:tcW w:w="1418" w:type="dxa"/>
            <w:vMerge w:val="restart"/>
            <w:vAlign w:val="center"/>
          </w:tcPr>
          <w:p w:rsidR="00E340A5" w:rsidRPr="00131B9D" w:rsidRDefault="00E340A5" w:rsidP="00E340A5">
            <w:pPr>
              <w:spacing w:line="0" w:lineRule="atLeast"/>
              <w:jc w:val="center"/>
            </w:pPr>
            <w:r w:rsidRPr="00131B9D">
              <w:rPr>
                <w:color w:val="000000"/>
              </w:rPr>
              <w:t>統一及第豬肉水餃</w:t>
            </w:r>
          </w:p>
        </w:tc>
        <w:tc>
          <w:tcPr>
            <w:tcW w:w="1045" w:type="dxa"/>
            <w:vAlign w:val="center"/>
          </w:tcPr>
          <w:p w:rsidR="00E340A5" w:rsidRPr="00131B9D" w:rsidRDefault="00E340A5" w:rsidP="00E340A5">
            <w:pPr>
              <w:spacing w:line="0" w:lineRule="atLeast"/>
              <w:jc w:val="center"/>
            </w:pPr>
            <w:r w:rsidRPr="00131B9D">
              <w:rPr>
                <w:color w:val="000000"/>
              </w:rPr>
              <w:t>超市</w:t>
            </w:r>
          </w:p>
        </w:tc>
        <w:tc>
          <w:tcPr>
            <w:tcW w:w="1648" w:type="dxa"/>
            <w:vAlign w:val="center"/>
          </w:tcPr>
          <w:p w:rsidR="00E340A5" w:rsidRPr="00131B9D" w:rsidRDefault="00E340A5" w:rsidP="00E340A5">
            <w:pPr>
              <w:widowControl/>
              <w:spacing w:line="0" w:lineRule="atLeast"/>
              <w:jc w:val="center"/>
              <w:rPr>
                <w:color w:val="000000"/>
              </w:rPr>
            </w:pPr>
            <w:r w:rsidRPr="00131B9D">
              <w:rPr>
                <w:color w:val="000000"/>
              </w:rPr>
              <w:t>950</w:t>
            </w:r>
            <w:r w:rsidRPr="00131B9D">
              <w:rPr>
                <w:color w:val="000000"/>
              </w:rPr>
              <w:t>公克</w:t>
            </w:r>
          </w:p>
        </w:tc>
        <w:tc>
          <w:tcPr>
            <w:tcW w:w="1307" w:type="dxa"/>
            <w:vAlign w:val="center"/>
          </w:tcPr>
          <w:p w:rsidR="00E340A5" w:rsidRPr="00131B9D" w:rsidRDefault="00E340A5" w:rsidP="00E340A5">
            <w:pPr>
              <w:widowControl/>
              <w:spacing w:line="0" w:lineRule="atLeast"/>
              <w:jc w:val="center"/>
              <w:rPr>
                <w:color w:val="000000"/>
              </w:rPr>
            </w:pPr>
            <w:r w:rsidRPr="00131B9D">
              <w:rPr>
                <w:color w:val="000000"/>
              </w:rPr>
              <w:t xml:space="preserve">113.5 </w:t>
            </w:r>
          </w:p>
        </w:tc>
        <w:tc>
          <w:tcPr>
            <w:tcW w:w="1279" w:type="dxa"/>
            <w:vAlign w:val="center"/>
          </w:tcPr>
          <w:p w:rsidR="00E340A5" w:rsidRPr="00131B9D" w:rsidRDefault="00E340A5" w:rsidP="00E340A5">
            <w:pPr>
              <w:spacing w:line="0" w:lineRule="atLeast"/>
              <w:jc w:val="center"/>
              <w:rPr>
                <w:color w:val="000000"/>
              </w:rPr>
            </w:pPr>
            <w:r w:rsidRPr="00131B9D">
              <w:rPr>
                <w:color w:val="000000"/>
              </w:rPr>
              <w:t xml:space="preserve">115.5 </w:t>
            </w:r>
          </w:p>
        </w:tc>
        <w:tc>
          <w:tcPr>
            <w:tcW w:w="1151" w:type="dxa"/>
            <w:vAlign w:val="center"/>
          </w:tcPr>
          <w:p w:rsidR="00E340A5" w:rsidRPr="00131B9D" w:rsidRDefault="00E340A5" w:rsidP="00E340A5">
            <w:pPr>
              <w:spacing w:line="0" w:lineRule="atLeast"/>
              <w:jc w:val="center"/>
              <w:rPr>
                <w:color w:val="000000"/>
              </w:rPr>
            </w:pPr>
            <w:r w:rsidRPr="00131B9D">
              <w:rPr>
                <w:color w:val="000000"/>
              </w:rPr>
              <w:t>1.75%</w:t>
            </w:r>
          </w:p>
        </w:tc>
      </w:tr>
      <w:tr w:rsidR="00E340A5" w:rsidRPr="00131B9D" w:rsidTr="00E340A5">
        <w:trPr>
          <w:jc w:val="center"/>
        </w:trPr>
        <w:tc>
          <w:tcPr>
            <w:tcW w:w="1418" w:type="dxa"/>
            <w:vMerge/>
            <w:tcBorders>
              <w:bottom w:val="single" w:sz="4" w:space="0" w:color="auto"/>
            </w:tcBorders>
            <w:vAlign w:val="center"/>
          </w:tcPr>
          <w:p w:rsidR="00E340A5" w:rsidRPr="00131B9D" w:rsidRDefault="00E340A5" w:rsidP="00E340A5">
            <w:pPr>
              <w:spacing w:line="0" w:lineRule="atLeast"/>
              <w:jc w:val="center"/>
              <w:rPr>
                <w:color w:val="000000"/>
              </w:rPr>
            </w:pPr>
          </w:p>
        </w:tc>
        <w:tc>
          <w:tcPr>
            <w:tcW w:w="1045" w:type="dxa"/>
            <w:tcBorders>
              <w:bottom w:val="single" w:sz="4" w:space="0" w:color="auto"/>
            </w:tcBorders>
            <w:vAlign w:val="center"/>
          </w:tcPr>
          <w:p w:rsidR="00E340A5" w:rsidRPr="00131B9D" w:rsidRDefault="00E340A5" w:rsidP="00E340A5">
            <w:pPr>
              <w:spacing w:line="0" w:lineRule="atLeast"/>
              <w:jc w:val="center"/>
              <w:rPr>
                <w:color w:val="000000"/>
              </w:rPr>
            </w:pPr>
            <w:r w:rsidRPr="00131B9D">
              <w:rPr>
                <w:color w:val="000000"/>
              </w:rPr>
              <w:t>量販店</w:t>
            </w:r>
          </w:p>
        </w:tc>
        <w:tc>
          <w:tcPr>
            <w:tcW w:w="1648" w:type="dxa"/>
            <w:tcBorders>
              <w:bottom w:val="single" w:sz="4" w:space="0" w:color="auto"/>
            </w:tcBorders>
            <w:vAlign w:val="center"/>
          </w:tcPr>
          <w:p w:rsidR="00E340A5" w:rsidRPr="00131B9D" w:rsidRDefault="00E340A5" w:rsidP="00E340A5">
            <w:pPr>
              <w:widowControl/>
              <w:spacing w:line="0" w:lineRule="atLeast"/>
              <w:jc w:val="center"/>
              <w:rPr>
                <w:color w:val="000000"/>
              </w:rPr>
            </w:pPr>
            <w:r w:rsidRPr="00131B9D">
              <w:rPr>
                <w:color w:val="000000"/>
              </w:rPr>
              <w:t>950</w:t>
            </w:r>
            <w:r w:rsidRPr="00131B9D">
              <w:rPr>
                <w:color w:val="000000"/>
              </w:rPr>
              <w:t>公克</w:t>
            </w:r>
          </w:p>
        </w:tc>
        <w:tc>
          <w:tcPr>
            <w:tcW w:w="1307" w:type="dxa"/>
            <w:tcBorders>
              <w:bottom w:val="single" w:sz="4" w:space="0" w:color="auto"/>
            </w:tcBorders>
            <w:vAlign w:val="center"/>
          </w:tcPr>
          <w:p w:rsidR="00E340A5" w:rsidRPr="00131B9D" w:rsidRDefault="00E340A5" w:rsidP="00E340A5">
            <w:pPr>
              <w:widowControl/>
              <w:spacing w:line="0" w:lineRule="atLeast"/>
              <w:jc w:val="center"/>
              <w:rPr>
                <w:color w:val="000000"/>
              </w:rPr>
            </w:pPr>
            <w:r w:rsidRPr="00131B9D">
              <w:rPr>
                <w:color w:val="000000"/>
              </w:rPr>
              <w:t xml:space="preserve">108.3 </w:t>
            </w:r>
          </w:p>
        </w:tc>
        <w:tc>
          <w:tcPr>
            <w:tcW w:w="1279" w:type="dxa"/>
            <w:tcBorders>
              <w:bottom w:val="single" w:sz="4" w:space="0" w:color="auto"/>
            </w:tcBorders>
            <w:vAlign w:val="center"/>
          </w:tcPr>
          <w:p w:rsidR="00E340A5" w:rsidRPr="00131B9D" w:rsidRDefault="00E340A5" w:rsidP="00E340A5">
            <w:pPr>
              <w:widowControl/>
              <w:spacing w:line="0" w:lineRule="atLeast"/>
              <w:jc w:val="center"/>
              <w:rPr>
                <w:color w:val="000000"/>
              </w:rPr>
            </w:pPr>
            <w:r w:rsidRPr="00131B9D">
              <w:rPr>
                <w:color w:val="000000"/>
              </w:rPr>
              <w:t xml:space="preserve">112.7 </w:t>
            </w:r>
          </w:p>
        </w:tc>
        <w:tc>
          <w:tcPr>
            <w:tcW w:w="1151" w:type="dxa"/>
            <w:tcBorders>
              <w:bottom w:val="single" w:sz="4" w:space="0" w:color="auto"/>
            </w:tcBorders>
            <w:vAlign w:val="center"/>
          </w:tcPr>
          <w:p w:rsidR="00E340A5" w:rsidRPr="00131B9D" w:rsidRDefault="00E340A5" w:rsidP="00E340A5">
            <w:pPr>
              <w:widowControl/>
              <w:spacing w:line="0" w:lineRule="atLeast"/>
              <w:jc w:val="center"/>
              <w:rPr>
                <w:color w:val="000000"/>
              </w:rPr>
            </w:pPr>
            <w:r w:rsidRPr="00131B9D">
              <w:rPr>
                <w:color w:val="000000"/>
              </w:rPr>
              <w:t>4.10%</w:t>
            </w:r>
          </w:p>
        </w:tc>
      </w:tr>
      <w:tr w:rsidR="00E340A5" w:rsidRPr="00131B9D" w:rsidTr="00E340A5">
        <w:trPr>
          <w:jc w:val="center"/>
        </w:trPr>
        <w:tc>
          <w:tcPr>
            <w:tcW w:w="1418" w:type="dxa"/>
            <w:vMerge w:val="restart"/>
            <w:vAlign w:val="center"/>
          </w:tcPr>
          <w:p w:rsidR="00E340A5" w:rsidRPr="00131B9D" w:rsidRDefault="00E340A5" w:rsidP="00E340A5">
            <w:pPr>
              <w:widowControl/>
              <w:spacing w:line="0" w:lineRule="atLeast"/>
              <w:jc w:val="center"/>
              <w:rPr>
                <w:color w:val="000000"/>
              </w:rPr>
            </w:pPr>
            <w:r w:rsidRPr="00131B9D">
              <w:rPr>
                <w:color w:val="000000"/>
              </w:rPr>
              <w:t>桂冠冷凍包子</w:t>
            </w:r>
          </w:p>
        </w:tc>
        <w:tc>
          <w:tcPr>
            <w:tcW w:w="1045" w:type="dxa"/>
            <w:vAlign w:val="center"/>
          </w:tcPr>
          <w:p w:rsidR="00E340A5" w:rsidRPr="00131B9D" w:rsidRDefault="00E340A5" w:rsidP="00E340A5">
            <w:pPr>
              <w:spacing w:line="0" w:lineRule="atLeast"/>
              <w:jc w:val="center"/>
            </w:pPr>
            <w:r w:rsidRPr="00131B9D">
              <w:rPr>
                <w:color w:val="000000"/>
              </w:rPr>
              <w:t>超市</w:t>
            </w:r>
          </w:p>
        </w:tc>
        <w:tc>
          <w:tcPr>
            <w:tcW w:w="1648" w:type="dxa"/>
            <w:vAlign w:val="center"/>
          </w:tcPr>
          <w:p w:rsidR="00E340A5" w:rsidRPr="00131B9D" w:rsidRDefault="00E340A5" w:rsidP="00E340A5">
            <w:pPr>
              <w:widowControl/>
              <w:spacing w:line="0" w:lineRule="atLeast"/>
              <w:jc w:val="center"/>
              <w:rPr>
                <w:color w:val="000000"/>
              </w:rPr>
            </w:pPr>
            <w:r w:rsidRPr="00131B9D">
              <w:rPr>
                <w:color w:val="000000"/>
              </w:rPr>
              <w:t>420</w:t>
            </w:r>
            <w:r w:rsidRPr="00131B9D">
              <w:rPr>
                <w:color w:val="000000"/>
              </w:rPr>
              <w:t>公克</w:t>
            </w:r>
            <w:r w:rsidRPr="00131B9D">
              <w:rPr>
                <w:color w:val="000000"/>
              </w:rPr>
              <w:t>,</w:t>
            </w:r>
            <w:r w:rsidRPr="00131B9D">
              <w:rPr>
                <w:color w:val="000000"/>
              </w:rPr>
              <w:t>六個裝</w:t>
            </w:r>
          </w:p>
        </w:tc>
        <w:tc>
          <w:tcPr>
            <w:tcW w:w="1307" w:type="dxa"/>
            <w:vAlign w:val="center"/>
          </w:tcPr>
          <w:p w:rsidR="00E340A5" w:rsidRPr="00131B9D" w:rsidRDefault="00E340A5" w:rsidP="00E340A5">
            <w:pPr>
              <w:widowControl/>
              <w:spacing w:line="0" w:lineRule="atLeast"/>
              <w:jc w:val="center"/>
              <w:rPr>
                <w:color w:val="000000"/>
              </w:rPr>
            </w:pPr>
            <w:r w:rsidRPr="00131B9D">
              <w:rPr>
                <w:color w:val="000000"/>
              </w:rPr>
              <w:t xml:space="preserve">64.1 </w:t>
            </w:r>
          </w:p>
        </w:tc>
        <w:tc>
          <w:tcPr>
            <w:tcW w:w="1279" w:type="dxa"/>
            <w:vAlign w:val="center"/>
          </w:tcPr>
          <w:p w:rsidR="00E340A5" w:rsidRPr="00131B9D" w:rsidRDefault="00E340A5" w:rsidP="00E340A5">
            <w:pPr>
              <w:spacing w:line="0" w:lineRule="atLeast"/>
              <w:jc w:val="center"/>
              <w:rPr>
                <w:color w:val="000000"/>
              </w:rPr>
            </w:pPr>
            <w:r w:rsidRPr="00131B9D">
              <w:rPr>
                <w:color w:val="000000"/>
              </w:rPr>
              <w:t xml:space="preserve">63.3 </w:t>
            </w:r>
          </w:p>
        </w:tc>
        <w:tc>
          <w:tcPr>
            <w:tcW w:w="1151" w:type="dxa"/>
            <w:vAlign w:val="center"/>
          </w:tcPr>
          <w:p w:rsidR="00E340A5" w:rsidRPr="00131B9D" w:rsidRDefault="00E340A5" w:rsidP="00E340A5">
            <w:pPr>
              <w:spacing w:line="0" w:lineRule="atLeast"/>
              <w:jc w:val="center"/>
              <w:rPr>
                <w:color w:val="000000"/>
              </w:rPr>
            </w:pPr>
            <w:r w:rsidRPr="00131B9D">
              <w:rPr>
                <w:color w:val="000000"/>
              </w:rPr>
              <w:t>-1.26%</w:t>
            </w:r>
          </w:p>
        </w:tc>
      </w:tr>
      <w:tr w:rsidR="00E340A5" w:rsidRPr="00131B9D" w:rsidTr="00E340A5">
        <w:trPr>
          <w:jc w:val="center"/>
        </w:trPr>
        <w:tc>
          <w:tcPr>
            <w:tcW w:w="1418" w:type="dxa"/>
            <w:vMerge/>
            <w:tcBorders>
              <w:bottom w:val="single" w:sz="12" w:space="0" w:color="auto"/>
            </w:tcBorders>
            <w:vAlign w:val="center"/>
          </w:tcPr>
          <w:p w:rsidR="00E340A5" w:rsidRPr="00131B9D" w:rsidRDefault="00E340A5" w:rsidP="00E340A5">
            <w:pPr>
              <w:widowControl/>
              <w:spacing w:line="0" w:lineRule="atLeast"/>
              <w:jc w:val="center"/>
              <w:rPr>
                <w:color w:val="000000"/>
              </w:rPr>
            </w:pPr>
          </w:p>
        </w:tc>
        <w:tc>
          <w:tcPr>
            <w:tcW w:w="1045" w:type="dxa"/>
            <w:tcBorders>
              <w:bottom w:val="single" w:sz="12" w:space="0" w:color="auto"/>
            </w:tcBorders>
            <w:vAlign w:val="center"/>
          </w:tcPr>
          <w:p w:rsidR="00E340A5" w:rsidRPr="00131B9D" w:rsidRDefault="00E340A5" w:rsidP="00E340A5">
            <w:pPr>
              <w:spacing w:line="0" w:lineRule="atLeast"/>
              <w:jc w:val="center"/>
              <w:rPr>
                <w:color w:val="000000"/>
              </w:rPr>
            </w:pPr>
            <w:r w:rsidRPr="00131B9D">
              <w:rPr>
                <w:color w:val="000000"/>
              </w:rPr>
              <w:t>量販店</w:t>
            </w:r>
          </w:p>
        </w:tc>
        <w:tc>
          <w:tcPr>
            <w:tcW w:w="1648" w:type="dxa"/>
            <w:tcBorders>
              <w:bottom w:val="single" w:sz="12" w:space="0" w:color="auto"/>
            </w:tcBorders>
            <w:vAlign w:val="center"/>
          </w:tcPr>
          <w:p w:rsidR="00E340A5" w:rsidRPr="00131B9D" w:rsidRDefault="00E340A5" w:rsidP="00E340A5">
            <w:pPr>
              <w:widowControl/>
              <w:spacing w:line="0" w:lineRule="atLeast"/>
              <w:jc w:val="center"/>
              <w:rPr>
                <w:color w:val="000000"/>
              </w:rPr>
            </w:pPr>
            <w:r w:rsidRPr="00131B9D">
              <w:rPr>
                <w:color w:val="000000"/>
              </w:rPr>
              <w:t>420</w:t>
            </w:r>
            <w:r w:rsidRPr="00131B9D">
              <w:rPr>
                <w:color w:val="000000"/>
              </w:rPr>
              <w:t>公克</w:t>
            </w:r>
            <w:r w:rsidRPr="00131B9D">
              <w:rPr>
                <w:color w:val="000000"/>
              </w:rPr>
              <w:t>,</w:t>
            </w:r>
            <w:r w:rsidRPr="00131B9D">
              <w:rPr>
                <w:color w:val="000000"/>
              </w:rPr>
              <w:t>六個裝</w:t>
            </w:r>
          </w:p>
        </w:tc>
        <w:tc>
          <w:tcPr>
            <w:tcW w:w="1307" w:type="dxa"/>
            <w:tcBorders>
              <w:bottom w:val="single" w:sz="12" w:space="0" w:color="auto"/>
            </w:tcBorders>
            <w:vAlign w:val="center"/>
          </w:tcPr>
          <w:p w:rsidR="00E340A5" w:rsidRPr="00131B9D" w:rsidRDefault="00E340A5" w:rsidP="00E340A5">
            <w:pPr>
              <w:widowControl/>
              <w:spacing w:line="0" w:lineRule="atLeast"/>
              <w:jc w:val="center"/>
              <w:rPr>
                <w:color w:val="000000"/>
              </w:rPr>
            </w:pPr>
            <w:r w:rsidRPr="00131B9D">
              <w:rPr>
                <w:color w:val="000000"/>
              </w:rPr>
              <w:t xml:space="preserve">69.0 </w:t>
            </w:r>
          </w:p>
        </w:tc>
        <w:tc>
          <w:tcPr>
            <w:tcW w:w="1279" w:type="dxa"/>
            <w:tcBorders>
              <w:bottom w:val="single" w:sz="12" w:space="0" w:color="auto"/>
            </w:tcBorders>
            <w:vAlign w:val="center"/>
          </w:tcPr>
          <w:p w:rsidR="00E340A5" w:rsidRPr="00131B9D" w:rsidRDefault="00E340A5" w:rsidP="00E340A5">
            <w:pPr>
              <w:widowControl/>
              <w:spacing w:line="0" w:lineRule="atLeast"/>
              <w:jc w:val="center"/>
              <w:rPr>
                <w:color w:val="000000"/>
              </w:rPr>
            </w:pPr>
            <w:r w:rsidRPr="00131B9D">
              <w:rPr>
                <w:color w:val="000000"/>
              </w:rPr>
              <w:t xml:space="preserve">66.0 </w:t>
            </w:r>
          </w:p>
        </w:tc>
        <w:tc>
          <w:tcPr>
            <w:tcW w:w="1151" w:type="dxa"/>
            <w:tcBorders>
              <w:bottom w:val="single" w:sz="12" w:space="0" w:color="auto"/>
            </w:tcBorders>
            <w:vAlign w:val="center"/>
          </w:tcPr>
          <w:p w:rsidR="00E340A5" w:rsidRPr="00131B9D" w:rsidRDefault="00E340A5" w:rsidP="00E340A5">
            <w:pPr>
              <w:widowControl/>
              <w:spacing w:line="0" w:lineRule="atLeast"/>
              <w:jc w:val="center"/>
              <w:rPr>
                <w:color w:val="000000"/>
              </w:rPr>
            </w:pPr>
            <w:r w:rsidRPr="00131B9D">
              <w:rPr>
                <w:color w:val="000000"/>
              </w:rPr>
              <w:t>-4.38%</w:t>
            </w:r>
          </w:p>
        </w:tc>
      </w:tr>
    </w:tbl>
    <w:p w:rsidR="00FE5933" w:rsidRPr="00131B9D" w:rsidRDefault="00FE5933" w:rsidP="00FE5933">
      <w:pPr>
        <w:pStyle w:val="-"/>
        <w:snapToGrid/>
        <w:spacing w:beforeLines="0" w:afterLines="0" w:line="0" w:lineRule="atLeast"/>
        <w:ind w:firstLine="400"/>
        <w:rPr>
          <w:kern w:val="0"/>
          <w:sz w:val="20"/>
          <w:szCs w:val="20"/>
        </w:rPr>
      </w:pPr>
      <w:r w:rsidRPr="00131B9D">
        <w:rPr>
          <w:kern w:val="0"/>
          <w:sz w:val="20"/>
          <w:szCs w:val="20"/>
        </w:rPr>
        <w:t>資料來源：本文整理</w:t>
      </w:r>
    </w:p>
    <w:p w:rsidR="00E6156E" w:rsidRPr="00131B9D" w:rsidRDefault="00E6156E" w:rsidP="00E6156E">
      <w:pPr>
        <w:sectPr w:rsidR="00E6156E" w:rsidRPr="00131B9D" w:rsidSect="005D32EF">
          <w:pgSz w:w="11906" w:h="16838"/>
          <w:pgMar w:top="1440" w:right="1800" w:bottom="1440" w:left="1800" w:header="851" w:footer="992" w:gutter="0"/>
          <w:cols w:space="425"/>
          <w:docGrid w:type="linesAndChars" w:linePitch="360"/>
        </w:sectPr>
      </w:pPr>
    </w:p>
    <w:p w:rsidR="002611FA" w:rsidRPr="00131B9D" w:rsidRDefault="002611FA" w:rsidP="002611FA">
      <w:pPr>
        <w:pStyle w:val="2"/>
        <w:spacing w:before="108" w:after="108"/>
        <w:rPr>
          <w:rFonts w:ascii="Times New Roman" w:hAnsi="Times New Roman"/>
        </w:rPr>
      </w:pPr>
      <w:bookmarkStart w:id="456" w:name="_Toc439162970"/>
      <w:r w:rsidRPr="00131B9D">
        <w:rPr>
          <w:rFonts w:ascii="Times New Roman" w:hAnsi="Times New Roman"/>
        </w:rPr>
        <w:lastRenderedPageBreak/>
        <w:t>十一、生活</w:t>
      </w:r>
      <w:r w:rsidR="00BC1A77" w:rsidRPr="00131B9D">
        <w:rPr>
          <w:rFonts w:ascii="Times New Roman" w:hAnsi="Times New Roman"/>
        </w:rPr>
        <w:t>用品</w:t>
      </w:r>
      <w:r w:rsidRPr="00131B9D">
        <w:rPr>
          <w:rFonts w:ascii="Times New Roman" w:hAnsi="Times New Roman"/>
        </w:rPr>
        <w:t>類</w:t>
      </w:r>
      <w:bookmarkEnd w:id="456"/>
    </w:p>
    <w:p w:rsidR="00D75780" w:rsidRPr="00131B9D" w:rsidRDefault="00BC1A77" w:rsidP="00BC1A77">
      <w:pPr>
        <w:pStyle w:val="3"/>
        <w:rPr>
          <w:rFonts w:ascii="Times New Roman" w:hAnsi="Times New Roman"/>
        </w:rPr>
      </w:pPr>
      <w:r w:rsidRPr="00131B9D">
        <w:rPr>
          <w:rFonts w:ascii="Times New Roman" w:hAnsi="Times New Roman"/>
        </w:rPr>
        <w:t>（一）</w:t>
      </w:r>
      <w:r w:rsidR="00D75780" w:rsidRPr="00131B9D">
        <w:rPr>
          <w:rFonts w:ascii="Times New Roman" w:hAnsi="Times New Roman"/>
        </w:rPr>
        <w:t>洗衣粉</w:t>
      </w:r>
    </w:p>
    <w:p w:rsidR="00CB049E" w:rsidRPr="00131B9D" w:rsidRDefault="00D75780" w:rsidP="00CB049E">
      <w:pPr>
        <w:pStyle w:val="-"/>
        <w:spacing w:before="72" w:after="72"/>
        <w:ind w:firstLine="560"/>
      </w:pPr>
      <w:r w:rsidRPr="00131B9D">
        <w:t>2013</w:t>
      </w:r>
      <w:r w:rsidRPr="00131B9D">
        <w:t>年</w:t>
      </w:r>
      <w:r w:rsidRPr="00131B9D">
        <w:t>1</w:t>
      </w:r>
      <w:r w:rsidRPr="00131B9D">
        <w:t>月至</w:t>
      </w:r>
      <w:r w:rsidRPr="00131B9D">
        <w:t>2015</w:t>
      </w:r>
      <w:r w:rsidRPr="00131B9D">
        <w:t>年</w:t>
      </w:r>
      <w:r w:rsidR="00E340A5" w:rsidRPr="00131B9D">
        <w:t>11</w:t>
      </w:r>
      <w:r w:rsidRPr="00131B9D">
        <w:t>月各通路洗衣粉價格走勢彙整如圖</w:t>
      </w:r>
      <w:r w:rsidR="005D32EF" w:rsidRPr="00131B9D">
        <w:t>4-3</w:t>
      </w:r>
      <w:r w:rsidR="00FE5933" w:rsidRPr="00131B9D">
        <w:t>4</w:t>
      </w:r>
      <w:r w:rsidRPr="00131B9D">
        <w:t>。本研究調查主要關注品項為花王淨柔超濃縮新一匙靈洗衣粉，目前市面上清潔產品琳瑯滿目，品牌間彼此競爭市占率，通路間亦採取促銷活動吸引買氣，</w:t>
      </w:r>
      <w:r w:rsidRPr="00131B9D">
        <w:t>2015</w:t>
      </w:r>
      <w:r w:rsidRPr="00131B9D">
        <w:t>年間價格呈現震盪走勢，三大通路販售價格與去年同期相比變動幅度逾標準值，主因為促銷活動所致，僅量販店價格</w:t>
      </w:r>
      <w:r w:rsidR="00BD2275" w:rsidRPr="00131B9D">
        <w:t>較去年同期</w:t>
      </w:r>
      <w:r w:rsidRPr="00131B9D">
        <w:t>調漲。</w:t>
      </w:r>
    </w:p>
    <w:p w:rsidR="00FE5933" w:rsidRPr="00131B9D" w:rsidRDefault="00FE5933" w:rsidP="00FE5933"/>
    <w:p w:rsidR="00D75780" w:rsidRPr="00131B9D" w:rsidRDefault="00BD2275" w:rsidP="00CB049E">
      <w:r w:rsidRPr="00131B9D">
        <w:rPr>
          <w:noProof/>
        </w:rPr>
        <w:drawing>
          <wp:inline distT="0" distB="0" distL="0" distR="0" wp14:anchorId="0E590DAF" wp14:editId="096EAF45">
            <wp:extent cx="5274310" cy="2419200"/>
            <wp:effectExtent l="0" t="0" r="2540" b="0"/>
            <wp:docPr id="126" name="圖表 1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資料來源：本文整理</w:t>
      </w:r>
    </w:p>
    <w:p w:rsidR="00D75780" w:rsidRPr="00131B9D" w:rsidRDefault="005D32EF" w:rsidP="005D32EF">
      <w:pPr>
        <w:pStyle w:val="afff5"/>
        <w:spacing w:line="0" w:lineRule="atLeast"/>
        <w:jc w:val="center"/>
        <w:rPr>
          <w:rFonts w:eastAsia="標楷體"/>
          <w:b/>
          <w:bCs/>
          <w:kern w:val="52"/>
          <w:sz w:val="28"/>
          <w:szCs w:val="28"/>
        </w:rPr>
      </w:pPr>
      <w:bookmarkStart w:id="457" w:name="_Toc437959005"/>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34</w:t>
      </w:r>
      <w:r w:rsidRPr="00131B9D">
        <w:rPr>
          <w:rFonts w:eastAsia="標楷體"/>
          <w:b/>
          <w:bCs/>
          <w:kern w:val="52"/>
          <w:sz w:val="28"/>
          <w:szCs w:val="28"/>
        </w:rPr>
        <w:fldChar w:fldCharType="end"/>
      </w:r>
      <w:r w:rsidR="00D75780" w:rsidRPr="00131B9D">
        <w:rPr>
          <w:rFonts w:eastAsia="標楷體"/>
          <w:b/>
          <w:bCs/>
          <w:kern w:val="52"/>
          <w:sz w:val="28"/>
          <w:szCs w:val="28"/>
        </w:rPr>
        <w:t xml:space="preserve">　洗衣粉價格長期走勢</w:t>
      </w:r>
      <w:r w:rsidR="00FD4A1A" w:rsidRPr="00131B9D">
        <w:rPr>
          <w:rFonts w:eastAsia="標楷體"/>
          <w:b/>
          <w:bCs/>
          <w:kern w:val="52"/>
          <w:sz w:val="28"/>
          <w:szCs w:val="28"/>
        </w:rPr>
        <w:t>圖</w:t>
      </w:r>
      <w:bookmarkEnd w:id="457"/>
    </w:p>
    <w:p w:rsidR="005D32EF" w:rsidRPr="00131B9D" w:rsidRDefault="005D32EF" w:rsidP="005D32EF"/>
    <w:p w:rsidR="00D75780" w:rsidRPr="00131B9D" w:rsidRDefault="00BC1A77" w:rsidP="00BC1A77">
      <w:pPr>
        <w:pStyle w:val="3"/>
        <w:rPr>
          <w:rFonts w:ascii="Times New Roman" w:hAnsi="Times New Roman"/>
        </w:rPr>
      </w:pPr>
      <w:r w:rsidRPr="00131B9D">
        <w:rPr>
          <w:rFonts w:ascii="Times New Roman" w:hAnsi="Times New Roman"/>
        </w:rPr>
        <w:t>（二）</w:t>
      </w:r>
      <w:r w:rsidR="00D75780" w:rsidRPr="00131B9D">
        <w:rPr>
          <w:rFonts w:ascii="Times New Roman" w:hAnsi="Times New Roman"/>
        </w:rPr>
        <w:t>衛生紙</w:t>
      </w:r>
    </w:p>
    <w:p w:rsidR="00104B2D" w:rsidRPr="00131B9D" w:rsidRDefault="00D75780" w:rsidP="00104B2D">
      <w:pPr>
        <w:pStyle w:val="-"/>
        <w:spacing w:before="72" w:after="72"/>
        <w:ind w:firstLine="560"/>
      </w:pPr>
      <w:r w:rsidRPr="00131B9D">
        <w:t>2012</w:t>
      </w:r>
      <w:r w:rsidRPr="00131B9D">
        <w:t>年</w:t>
      </w:r>
      <w:r w:rsidRPr="00131B9D">
        <w:t>1</w:t>
      </w:r>
      <w:r w:rsidRPr="00131B9D">
        <w:t>月至</w:t>
      </w:r>
      <w:r w:rsidRPr="00131B9D">
        <w:t>2015</w:t>
      </w:r>
      <w:r w:rsidRPr="00131B9D">
        <w:t>年</w:t>
      </w:r>
      <w:r w:rsidR="00BD2275" w:rsidRPr="00131B9D">
        <w:t>11</w:t>
      </w:r>
      <w:r w:rsidRPr="00131B9D">
        <w:t>月各通路衛生紙價格走勢彙整如圖</w:t>
      </w:r>
      <w:r w:rsidR="005D32EF" w:rsidRPr="00131B9D">
        <w:t>4-3</w:t>
      </w:r>
      <w:r w:rsidR="00BD2275" w:rsidRPr="00131B9D">
        <w:t>5</w:t>
      </w:r>
      <w:r w:rsidRPr="00131B9D">
        <w:t>。本研究調查主要關注品項為舒潔優質抽取式衛生紙以及五月花平版衛生紙，價格波動主要為各通路業者不定期進行促銷活動所致，整體價格呈震盪走勢。</w:t>
      </w:r>
    </w:p>
    <w:p w:rsidR="00E6156E" w:rsidRPr="00131B9D" w:rsidRDefault="00E6156E" w:rsidP="00E6156E">
      <w:pPr>
        <w:sectPr w:rsidR="00E6156E" w:rsidRPr="00131B9D" w:rsidSect="005D32EF">
          <w:pgSz w:w="11906" w:h="16838"/>
          <w:pgMar w:top="1440" w:right="1800" w:bottom="1440" w:left="1800" w:header="851" w:footer="992" w:gutter="0"/>
          <w:cols w:space="425"/>
          <w:docGrid w:type="linesAndChars" w:linePitch="360"/>
        </w:sectPr>
      </w:pPr>
    </w:p>
    <w:p w:rsidR="00D75780" w:rsidRPr="00131B9D" w:rsidRDefault="00BD2275" w:rsidP="00104B2D">
      <w:r w:rsidRPr="00131B9D">
        <w:rPr>
          <w:noProof/>
        </w:rPr>
        <w:lastRenderedPageBreak/>
        <w:drawing>
          <wp:inline distT="0" distB="0" distL="0" distR="0" wp14:anchorId="7646A27C" wp14:editId="0ED466A3">
            <wp:extent cx="5274310" cy="2419200"/>
            <wp:effectExtent l="0" t="0" r="2540" b="0"/>
            <wp:docPr id="127" name="圖表 1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資料來源：本文整理</w:t>
      </w:r>
    </w:p>
    <w:p w:rsidR="00104B2D" w:rsidRPr="00131B9D" w:rsidRDefault="005D32EF" w:rsidP="005D32EF">
      <w:pPr>
        <w:pStyle w:val="afff5"/>
        <w:spacing w:line="0" w:lineRule="atLeast"/>
        <w:jc w:val="center"/>
        <w:rPr>
          <w:rFonts w:eastAsia="標楷體"/>
          <w:b/>
          <w:bCs/>
          <w:kern w:val="52"/>
          <w:sz w:val="28"/>
          <w:szCs w:val="28"/>
        </w:rPr>
      </w:pPr>
      <w:bookmarkStart w:id="458" w:name="_Toc437959006"/>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35</w:t>
      </w:r>
      <w:r w:rsidRPr="00131B9D">
        <w:rPr>
          <w:rFonts w:eastAsia="標楷體"/>
          <w:b/>
          <w:bCs/>
          <w:kern w:val="52"/>
          <w:sz w:val="28"/>
          <w:szCs w:val="28"/>
        </w:rPr>
        <w:fldChar w:fldCharType="end"/>
      </w:r>
      <w:r w:rsidR="00D75780" w:rsidRPr="00131B9D">
        <w:rPr>
          <w:rFonts w:eastAsia="標楷體"/>
          <w:b/>
          <w:bCs/>
          <w:kern w:val="52"/>
          <w:sz w:val="28"/>
          <w:szCs w:val="28"/>
        </w:rPr>
        <w:t xml:space="preserve">　衛生紙價格走勢</w:t>
      </w:r>
      <w:r w:rsidR="00FD4A1A" w:rsidRPr="00131B9D">
        <w:rPr>
          <w:rFonts w:eastAsia="標楷體"/>
          <w:b/>
          <w:bCs/>
          <w:kern w:val="52"/>
          <w:sz w:val="28"/>
          <w:szCs w:val="28"/>
        </w:rPr>
        <w:t>圖</w:t>
      </w:r>
      <w:bookmarkEnd w:id="458"/>
    </w:p>
    <w:p w:rsidR="00CD303D" w:rsidRPr="00131B9D" w:rsidRDefault="00CD303D" w:rsidP="00CD303D"/>
    <w:p w:rsidR="00D75780" w:rsidRPr="00131B9D" w:rsidRDefault="00D75780" w:rsidP="00D75780">
      <w:pPr>
        <w:pStyle w:val="-"/>
        <w:spacing w:before="72" w:after="72"/>
        <w:ind w:firstLine="560"/>
      </w:pPr>
      <w:r w:rsidRPr="00131B9D">
        <w:t>一般而言，衛生紙以原生紙漿為主要原料，目前國內紙漿產量不足以供給國內市場需求，故皆以進口為主，因此國內紙業行情與國際紙漿、廢紙價格連動性高。此外，</w:t>
      </w:r>
      <w:r w:rsidR="00595FF8" w:rsidRPr="00131B9D">
        <w:t>臺灣</w:t>
      </w:r>
      <w:r w:rsidRPr="00131B9D">
        <w:t>家庭用紙消費量每年成長百分之</w:t>
      </w:r>
      <w:r w:rsidRPr="00131B9D">
        <w:t>3</w:t>
      </w:r>
      <w:r w:rsidRPr="00131B9D">
        <w:t>至</w:t>
      </w:r>
      <w:r w:rsidRPr="00131B9D">
        <w:t>4</w:t>
      </w:r>
      <w:r w:rsidRPr="00131B9D">
        <w:t>，國人平均一年消耗約</w:t>
      </w:r>
      <w:r w:rsidRPr="00131B9D">
        <w:t>36</w:t>
      </w:r>
      <w:r w:rsidRPr="00131B9D">
        <w:t>萬噸家庭用紙，惟我國產量不足，每年仍需進口高達</w:t>
      </w:r>
      <w:r w:rsidRPr="00131B9D">
        <w:t>4</w:t>
      </w:r>
      <w:r w:rsidRPr="00131B9D">
        <w:t>萬餘公噸家庭用紙，顯示相關產品價格亦將隨國際上游原料價格波動（如圖</w:t>
      </w:r>
      <w:r w:rsidR="005D32EF" w:rsidRPr="00131B9D">
        <w:t>4-3</w:t>
      </w:r>
      <w:r w:rsidR="00CD303D" w:rsidRPr="00131B9D">
        <w:t>6</w:t>
      </w:r>
      <w:r w:rsidRPr="00131B9D">
        <w:t>）。</w:t>
      </w:r>
    </w:p>
    <w:p w:rsidR="00D75780" w:rsidRPr="00131B9D" w:rsidRDefault="00D75780" w:rsidP="00104B2D"/>
    <w:p w:rsidR="00D75780" w:rsidRPr="00131B9D" w:rsidRDefault="00D75780" w:rsidP="00D75780">
      <w:r w:rsidRPr="00131B9D">
        <w:rPr>
          <w:noProof/>
        </w:rPr>
        <w:drawing>
          <wp:inline distT="0" distB="0" distL="0" distR="0" wp14:anchorId="05722ACC" wp14:editId="07E094B4">
            <wp:extent cx="5429373" cy="2028825"/>
            <wp:effectExtent l="0" t="0" r="0" b="0"/>
            <wp:docPr id="91" name="圖片 1" descr="https://hackpad-attachments.s3.amazonaws.com/hackpad.com_gFVdGlRxsPo_p.226823_1413196453283_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ackpad-attachments.s3.amazonaws.com/hackpad.com_gFVdGlRxsPo_p.226823_1413196453283_undefined"/>
                    <pic:cNvPicPr>
                      <a:picLocks noChangeAspect="1" noChangeArrowheads="1"/>
                    </pic:cNvPicPr>
                  </pic:nvPicPr>
                  <pic:blipFill>
                    <a:blip r:embed="rId118"/>
                    <a:srcRect t="10329" b="11737"/>
                    <a:stretch>
                      <a:fillRect/>
                    </a:stretch>
                  </pic:blipFill>
                  <pic:spPr bwMode="auto">
                    <a:xfrm>
                      <a:off x="0" y="0"/>
                      <a:ext cx="5444362" cy="2034426"/>
                    </a:xfrm>
                    <a:prstGeom prst="rect">
                      <a:avLst/>
                    </a:prstGeom>
                    <a:noFill/>
                    <a:ln w="9525">
                      <a:noFill/>
                      <a:miter lim="800000"/>
                      <a:headEnd/>
                      <a:tailEnd/>
                    </a:ln>
                  </pic:spPr>
                </pic:pic>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資料來源：正隆股份有限公司，</w:t>
      </w:r>
      <w:r w:rsidRPr="00131B9D">
        <w:rPr>
          <w:kern w:val="0"/>
          <w:sz w:val="20"/>
          <w:szCs w:val="20"/>
        </w:rPr>
        <w:t>2008</w:t>
      </w:r>
      <w:r w:rsidRPr="00131B9D">
        <w:rPr>
          <w:kern w:val="0"/>
          <w:sz w:val="20"/>
          <w:szCs w:val="20"/>
        </w:rPr>
        <w:t>年年報。</w:t>
      </w:r>
    </w:p>
    <w:p w:rsidR="00D75780" w:rsidRPr="00131B9D" w:rsidRDefault="005D32EF" w:rsidP="005D32EF">
      <w:pPr>
        <w:pStyle w:val="afff5"/>
        <w:spacing w:line="0" w:lineRule="atLeast"/>
        <w:jc w:val="center"/>
        <w:rPr>
          <w:rFonts w:eastAsia="標楷體"/>
          <w:b/>
          <w:bCs/>
          <w:kern w:val="52"/>
          <w:sz w:val="28"/>
          <w:szCs w:val="28"/>
        </w:rPr>
      </w:pPr>
      <w:bookmarkStart w:id="459" w:name="_Toc437959007"/>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36</w:t>
      </w:r>
      <w:r w:rsidRPr="00131B9D">
        <w:rPr>
          <w:rFonts w:eastAsia="標楷體"/>
          <w:b/>
          <w:bCs/>
          <w:kern w:val="52"/>
          <w:sz w:val="28"/>
          <w:szCs w:val="28"/>
        </w:rPr>
        <w:fldChar w:fldCharType="end"/>
      </w:r>
      <w:r w:rsidR="00D75780" w:rsidRPr="00131B9D">
        <w:rPr>
          <w:rFonts w:eastAsia="標楷體"/>
          <w:b/>
          <w:bCs/>
          <w:kern w:val="52"/>
          <w:sz w:val="28"/>
          <w:szCs w:val="28"/>
        </w:rPr>
        <w:t xml:space="preserve">　造紙產業結構圖</w:t>
      </w:r>
      <w:bookmarkEnd w:id="459"/>
    </w:p>
    <w:p w:rsidR="00E6156E" w:rsidRPr="00131B9D" w:rsidRDefault="00E6156E" w:rsidP="00104B2D">
      <w:pPr>
        <w:sectPr w:rsidR="00E6156E" w:rsidRPr="00131B9D" w:rsidSect="005D32EF">
          <w:pgSz w:w="11906" w:h="16838"/>
          <w:pgMar w:top="1440" w:right="1800" w:bottom="1440" w:left="1800" w:header="851" w:footer="992" w:gutter="0"/>
          <w:cols w:space="425"/>
          <w:docGrid w:type="linesAndChars" w:linePitch="360"/>
        </w:sectPr>
      </w:pPr>
    </w:p>
    <w:p w:rsidR="00D75780" w:rsidRPr="00131B9D" w:rsidRDefault="00D75780" w:rsidP="00D75780">
      <w:pPr>
        <w:pStyle w:val="-"/>
        <w:spacing w:before="72" w:after="72"/>
        <w:ind w:firstLine="560"/>
      </w:pPr>
      <w:r w:rsidRPr="00131B9D">
        <w:lastRenderedPageBreak/>
        <w:t>國際紙漿價格自</w:t>
      </w:r>
      <w:r w:rsidRPr="00131B9D">
        <w:t>2014</w:t>
      </w:r>
      <w:r w:rsidRPr="00131B9D">
        <w:t>年第</w:t>
      </w:r>
      <w:r w:rsidRPr="00131B9D">
        <w:t>4</w:t>
      </w:r>
      <w:r w:rsidRPr="00131B9D">
        <w:t>季起逐步走高，</w:t>
      </w:r>
      <w:r w:rsidR="000F54E4" w:rsidRPr="00131B9D">
        <w:t>上半年</w:t>
      </w:r>
      <w:r w:rsidRPr="00131B9D">
        <w:t>短纖紙漿與長纖紙漿價格同步走揚，顯示市場狀況回溫，</w:t>
      </w:r>
      <w:r w:rsidR="000F54E4" w:rsidRPr="00131B9D">
        <w:t>惟下半年</w:t>
      </w:r>
      <w:r w:rsidRPr="00131B9D">
        <w:t>紙漿價格走勢</w:t>
      </w:r>
      <w:r w:rsidR="000F54E4" w:rsidRPr="00131B9D">
        <w:t>分歧</w:t>
      </w:r>
      <w:r w:rsidR="000F54E4" w:rsidRPr="00131B9D">
        <w:t>(</w:t>
      </w:r>
      <w:r w:rsidR="000F54E4" w:rsidRPr="00131B9D">
        <w:t>如圖</w:t>
      </w:r>
      <w:r w:rsidR="000F54E4" w:rsidRPr="00131B9D">
        <w:t>4-37</w:t>
      </w:r>
      <w:r w:rsidR="000F54E4" w:rsidRPr="00131B9D">
        <w:t>、</w:t>
      </w:r>
      <w:r w:rsidR="000F54E4" w:rsidRPr="00131B9D">
        <w:t>4-38)</w:t>
      </w:r>
      <w:r w:rsidR="000F54E4" w:rsidRPr="00131B9D">
        <w:t>，後續價格仍須密切觀察</w:t>
      </w:r>
      <w:r w:rsidRPr="00131B9D">
        <w:t>。</w:t>
      </w:r>
    </w:p>
    <w:p w:rsidR="00D75780" w:rsidRPr="00131B9D" w:rsidRDefault="00D75780" w:rsidP="00104B2D"/>
    <w:p w:rsidR="00D75780" w:rsidRPr="00131B9D" w:rsidRDefault="000F54E4" w:rsidP="00D75780">
      <w:pPr>
        <w:jc w:val="center"/>
      </w:pPr>
      <w:r w:rsidRPr="00131B9D">
        <w:rPr>
          <w:noProof/>
        </w:rPr>
        <w:drawing>
          <wp:inline distT="0" distB="0" distL="0" distR="0" wp14:anchorId="4DB56088" wp14:editId="42452283">
            <wp:extent cx="5274000" cy="2419200"/>
            <wp:effectExtent l="0" t="0" r="3175" b="635"/>
            <wp:docPr id="18432" name="圖片 184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9"/>
                    <a:srcRect l="903" r="1035" b="2327"/>
                    <a:stretch/>
                  </pic:blipFill>
                  <pic:spPr bwMode="auto">
                    <a:xfrm>
                      <a:off x="0" y="0"/>
                      <a:ext cx="5274000" cy="2419200"/>
                    </a:xfrm>
                    <a:prstGeom prst="rect">
                      <a:avLst/>
                    </a:prstGeom>
                    <a:ln>
                      <a:noFill/>
                    </a:ln>
                    <a:extLst>
                      <a:ext uri="{53640926-AAD7-44D8-BBD7-CCE9431645EC}">
                        <a14:shadowObscured xmlns:a14="http://schemas.microsoft.com/office/drawing/2010/main"/>
                      </a:ext>
                    </a:extLst>
                  </pic:spPr>
                </pic:pic>
              </a:graphicData>
            </a:graphic>
          </wp:inline>
        </w:drawing>
      </w:r>
    </w:p>
    <w:p w:rsidR="00D75780" w:rsidRPr="00131B9D" w:rsidRDefault="00D75780" w:rsidP="000F54E4">
      <w:pPr>
        <w:pStyle w:val="-"/>
        <w:snapToGrid/>
        <w:spacing w:beforeLines="0" w:afterLines="0" w:line="0" w:lineRule="atLeast"/>
        <w:ind w:firstLineChars="0" w:firstLine="0"/>
        <w:rPr>
          <w:kern w:val="0"/>
          <w:sz w:val="20"/>
          <w:szCs w:val="20"/>
        </w:rPr>
      </w:pPr>
      <w:r w:rsidRPr="00131B9D">
        <w:rPr>
          <w:kern w:val="0"/>
          <w:sz w:val="20"/>
          <w:szCs w:val="20"/>
        </w:rPr>
        <w:t>資料來源：富邦證券，統計至</w:t>
      </w:r>
      <w:r w:rsidRPr="00131B9D">
        <w:rPr>
          <w:kern w:val="0"/>
          <w:sz w:val="20"/>
          <w:szCs w:val="20"/>
        </w:rPr>
        <w:t>2015</w:t>
      </w:r>
      <w:r w:rsidRPr="00131B9D">
        <w:rPr>
          <w:kern w:val="0"/>
          <w:sz w:val="20"/>
          <w:szCs w:val="20"/>
        </w:rPr>
        <w:t>年</w:t>
      </w:r>
      <w:r w:rsidR="000F54E4" w:rsidRPr="00131B9D">
        <w:rPr>
          <w:kern w:val="0"/>
          <w:sz w:val="20"/>
          <w:szCs w:val="20"/>
        </w:rPr>
        <w:t>11</w:t>
      </w:r>
      <w:r w:rsidRPr="00131B9D">
        <w:rPr>
          <w:kern w:val="0"/>
          <w:sz w:val="20"/>
          <w:szCs w:val="20"/>
        </w:rPr>
        <w:t>月</w:t>
      </w:r>
      <w:r w:rsidR="000F54E4" w:rsidRPr="00131B9D">
        <w:rPr>
          <w:kern w:val="0"/>
          <w:sz w:val="20"/>
          <w:szCs w:val="20"/>
        </w:rPr>
        <w:t>28</w:t>
      </w:r>
      <w:r w:rsidRPr="00131B9D">
        <w:rPr>
          <w:kern w:val="0"/>
          <w:sz w:val="20"/>
          <w:szCs w:val="20"/>
        </w:rPr>
        <w:t>日。</w:t>
      </w:r>
    </w:p>
    <w:p w:rsidR="00104B2D" w:rsidRPr="00131B9D" w:rsidRDefault="005D32EF" w:rsidP="005D32EF">
      <w:pPr>
        <w:pStyle w:val="afff5"/>
        <w:spacing w:line="0" w:lineRule="atLeast"/>
        <w:jc w:val="center"/>
        <w:rPr>
          <w:rFonts w:eastAsia="標楷體"/>
          <w:b/>
          <w:bCs/>
          <w:kern w:val="52"/>
          <w:sz w:val="28"/>
          <w:szCs w:val="28"/>
        </w:rPr>
      </w:pPr>
      <w:bookmarkStart w:id="460" w:name="_Toc437959008"/>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37</w:t>
      </w:r>
      <w:r w:rsidRPr="00131B9D">
        <w:rPr>
          <w:rFonts w:eastAsia="標楷體"/>
          <w:b/>
          <w:bCs/>
          <w:kern w:val="52"/>
          <w:sz w:val="28"/>
          <w:szCs w:val="28"/>
        </w:rPr>
        <w:fldChar w:fldCharType="end"/>
      </w:r>
      <w:r w:rsidR="00D75780" w:rsidRPr="00131B9D">
        <w:rPr>
          <w:rFonts w:eastAsia="標楷體"/>
          <w:b/>
          <w:bCs/>
          <w:kern w:val="52"/>
          <w:sz w:val="28"/>
          <w:szCs w:val="28"/>
        </w:rPr>
        <w:t xml:space="preserve">　北美長纖漿近年價格走勢圖</w:t>
      </w:r>
      <w:bookmarkEnd w:id="460"/>
    </w:p>
    <w:p w:rsidR="000F54E4" w:rsidRPr="00131B9D" w:rsidRDefault="000F54E4" w:rsidP="000F54E4"/>
    <w:p w:rsidR="00D75780" w:rsidRPr="00131B9D" w:rsidRDefault="000F54E4" w:rsidP="00D75780">
      <w:pPr>
        <w:jc w:val="center"/>
      </w:pPr>
      <w:r w:rsidRPr="00131B9D">
        <w:rPr>
          <w:noProof/>
        </w:rPr>
        <w:drawing>
          <wp:inline distT="0" distB="0" distL="0" distR="0" wp14:anchorId="7149E503" wp14:editId="3AE393BC">
            <wp:extent cx="5274000" cy="2419200"/>
            <wp:effectExtent l="0" t="0" r="3175" b="635"/>
            <wp:docPr id="18433" name="圖片 184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5274000" cy="2419200"/>
                    </a:xfrm>
                    <a:prstGeom prst="rect">
                      <a:avLst/>
                    </a:prstGeom>
                  </pic:spPr>
                </pic:pic>
              </a:graphicData>
            </a:graphic>
          </wp:inline>
        </w:drawing>
      </w:r>
    </w:p>
    <w:p w:rsidR="00D75780" w:rsidRPr="00131B9D" w:rsidRDefault="00D75780" w:rsidP="000F54E4">
      <w:pPr>
        <w:pStyle w:val="-"/>
        <w:snapToGrid/>
        <w:spacing w:beforeLines="0" w:afterLines="0" w:line="0" w:lineRule="atLeast"/>
        <w:ind w:firstLineChars="0" w:firstLine="0"/>
        <w:rPr>
          <w:kern w:val="0"/>
          <w:sz w:val="20"/>
          <w:szCs w:val="20"/>
        </w:rPr>
      </w:pPr>
      <w:r w:rsidRPr="00131B9D">
        <w:rPr>
          <w:kern w:val="0"/>
          <w:sz w:val="20"/>
          <w:szCs w:val="20"/>
        </w:rPr>
        <w:t>資料來源：富邦證券，統計至</w:t>
      </w:r>
      <w:r w:rsidRPr="00131B9D">
        <w:rPr>
          <w:kern w:val="0"/>
          <w:sz w:val="20"/>
          <w:szCs w:val="20"/>
        </w:rPr>
        <w:t>2015</w:t>
      </w:r>
      <w:r w:rsidRPr="00131B9D">
        <w:rPr>
          <w:kern w:val="0"/>
          <w:sz w:val="20"/>
          <w:szCs w:val="20"/>
        </w:rPr>
        <w:t>年</w:t>
      </w:r>
      <w:r w:rsidR="000F54E4" w:rsidRPr="00131B9D">
        <w:rPr>
          <w:kern w:val="0"/>
          <w:sz w:val="20"/>
          <w:szCs w:val="20"/>
        </w:rPr>
        <w:t>11</w:t>
      </w:r>
      <w:r w:rsidRPr="00131B9D">
        <w:rPr>
          <w:kern w:val="0"/>
          <w:sz w:val="20"/>
          <w:szCs w:val="20"/>
        </w:rPr>
        <w:t>月</w:t>
      </w:r>
      <w:r w:rsidR="000F54E4" w:rsidRPr="00131B9D">
        <w:rPr>
          <w:kern w:val="0"/>
          <w:sz w:val="20"/>
          <w:szCs w:val="20"/>
        </w:rPr>
        <w:t>28</w:t>
      </w:r>
      <w:r w:rsidRPr="00131B9D">
        <w:rPr>
          <w:kern w:val="0"/>
          <w:sz w:val="20"/>
          <w:szCs w:val="20"/>
        </w:rPr>
        <w:t>日。</w:t>
      </w:r>
    </w:p>
    <w:p w:rsidR="00D75780" w:rsidRPr="00131B9D" w:rsidRDefault="005D32EF" w:rsidP="005D32EF">
      <w:pPr>
        <w:pStyle w:val="afff5"/>
        <w:spacing w:line="0" w:lineRule="atLeast"/>
        <w:jc w:val="center"/>
        <w:rPr>
          <w:rFonts w:eastAsia="標楷體"/>
          <w:b/>
          <w:bCs/>
          <w:kern w:val="52"/>
          <w:sz w:val="28"/>
          <w:szCs w:val="28"/>
        </w:rPr>
      </w:pPr>
      <w:bookmarkStart w:id="461" w:name="_Toc437959009"/>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38</w:t>
      </w:r>
      <w:r w:rsidRPr="00131B9D">
        <w:rPr>
          <w:rFonts w:eastAsia="標楷體"/>
          <w:b/>
          <w:bCs/>
          <w:kern w:val="52"/>
          <w:sz w:val="28"/>
          <w:szCs w:val="28"/>
        </w:rPr>
        <w:fldChar w:fldCharType="end"/>
      </w:r>
      <w:r w:rsidR="00D75780" w:rsidRPr="00131B9D">
        <w:rPr>
          <w:rFonts w:eastAsia="標楷體"/>
          <w:b/>
          <w:bCs/>
          <w:kern w:val="52"/>
          <w:sz w:val="28"/>
          <w:szCs w:val="28"/>
        </w:rPr>
        <w:t xml:space="preserve">　短纖紙漿近年價格走勢圖</w:t>
      </w:r>
      <w:bookmarkEnd w:id="461"/>
    </w:p>
    <w:p w:rsidR="00E6156E" w:rsidRPr="00131B9D" w:rsidRDefault="00E6156E" w:rsidP="000F54E4">
      <w:pPr>
        <w:sectPr w:rsidR="00E6156E" w:rsidRPr="00131B9D" w:rsidSect="005D32EF">
          <w:pgSz w:w="11906" w:h="16838"/>
          <w:pgMar w:top="1440" w:right="1800" w:bottom="1440" w:left="1800" w:header="851" w:footer="992" w:gutter="0"/>
          <w:cols w:space="425"/>
          <w:docGrid w:type="linesAndChars" w:linePitch="360"/>
        </w:sectPr>
      </w:pPr>
    </w:p>
    <w:p w:rsidR="00BC1A77" w:rsidRPr="00131B9D" w:rsidRDefault="00BC1A77" w:rsidP="00BC1A77">
      <w:pPr>
        <w:pStyle w:val="2"/>
        <w:spacing w:before="108" w:after="108"/>
        <w:rPr>
          <w:rFonts w:ascii="Times New Roman" w:hAnsi="Times New Roman"/>
        </w:rPr>
      </w:pPr>
      <w:bookmarkStart w:id="462" w:name="_Toc439162971"/>
      <w:r w:rsidRPr="00131B9D">
        <w:rPr>
          <w:rFonts w:ascii="Times New Roman" w:hAnsi="Times New Roman"/>
        </w:rPr>
        <w:lastRenderedPageBreak/>
        <w:t>十二、身體清潔用品纇</w:t>
      </w:r>
      <w:bookmarkEnd w:id="462"/>
    </w:p>
    <w:p w:rsidR="00BC1A77" w:rsidRPr="00131B9D" w:rsidRDefault="00BC1A77" w:rsidP="00BC1A77">
      <w:pPr>
        <w:pStyle w:val="3"/>
        <w:rPr>
          <w:rFonts w:ascii="Times New Roman" w:hAnsi="Times New Roman"/>
        </w:rPr>
      </w:pPr>
      <w:r w:rsidRPr="00131B9D">
        <w:rPr>
          <w:rFonts w:ascii="Times New Roman" w:hAnsi="Times New Roman"/>
        </w:rPr>
        <w:t>（一）香皂</w:t>
      </w:r>
    </w:p>
    <w:p w:rsidR="00BC1A77" w:rsidRPr="00131B9D" w:rsidRDefault="00BC1A77" w:rsidP="00BC1A77">
      <w:pPr>
        <w:pStyle w:val="-"/>
        <w:spacing w:before="72" w:after="72"/>
        <w:ind w:firstLine="560"/>
      </w:pPr>
      <w:r w:rsidRPr="00131B9D">
        <w:t>2012</w:t>
      </w:r>
      <w:r w:rsidRPr="00131B9D">
        <w:t>年</w:t>
      </w:r>
      <w:r w:rsidRPr="00131B9D">
        <w:t>1</w:t>
      </w:r>
      <w:r w:rsidRPr="00131B9D">
        <w:t>月至</w:t>
      </w:r>
      <w:r w:rsidRPr="00131B9D">
        <w:t>2015</w:t>
      </w:r>
      <w:r w:rsidRPr="00131B9D">
        <w:t>年</w:t>
      </w:r>
      <w:r w:rsidR="000F54E4" w:rsidRPr="00131B9D">
        <w:t>11</w:t>
      </w:r>
      <w:r w:rsidRPr="00131B9D">
        <w:t>月各通路香皂價格走勢彙整如圖</w:t>
      </w:r>
      <w:r w:rsidR="005D32EF" w:rsidRPr="00131B9D">
        <w:t>4-</w:t>
      </w:r>
      <w:r w:rsidR="0020098F" w:rsidRPr="00131B9D">
        <w:t>3</w:t>
      </w:r>
      <w:r w:rsidR="000F54E4" w:rsidRPr="00131B9D">
        <w:t>9</w:t>
      </w:r>
      <w:r w:rsidRPr="00131B9D">
        <w:t>。本研究調查關注品項以麗仕香皂為主，三大通路中，便利店販售價格持平，超市與量販店則呈現震盪走勢，主因為各通路不定期進行促銷活動所致。</w:t>
      </w:r>
    </w:p>
    <w:p w:rsidR="00BC1A77" w:rsidRPr="00131B9D" w:rsidRDefault="00BC1A77" w:rsidP="00BC1A77"/>
    <w:p w:rsidR="00BC1A77" w:rsidRPr="00131B9D" w:rsidRDefault="000F54E4" w:rsidP="00BC1A77">
      <w:pPr>
        <w:spacing w:line="0" w:lineRule="atLeast"/>
      </w:pPr>
      <w:r w:rsidRPr="00131B9D">
        <w:rPr>
          <w:noProof/>
        </w:rPr>
        <w:drawing>
          <wp:inline distT="0" distB="0" distL="0" distR="0" wp14:anchorId="47A75FA6" wp14:editId="7B0D40A9">
            <wp:extent cx="5274310" cy="2419200"/>
            <wp:effectExtent l="0" t="0" r="2540" b="0"/>
            <wp:docPr id="18434" name="圖表 184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p>
    <w:p w:rsidR="00BC1A77" w:rsidRPr="00131B9D" w:rsidRDefault="00BC1A77" w:rsidP="00BC1A77">
      <w:pPr>
        <w:pStyle w:val="-"/>
        <w:snapToGrid/>
        <w:spacing w:beforeLines="0" w:afterLines="0" w:line="0" w:lineRule="atLeast"/>
        <w:ind w:firstLine="400"/>
        <w:rPr>
          <w:kern w:val="0"/>
          <w:sz w:val="20"/>
          <w:szCs w:val="20"/>
        </w:rPr>
      </w:pPr>
      <w:r w:rsidRPr="00131B9D">
        <w:rPr>
          <w:kern w:val="0"/>
          <w:sz w:val="20"/>
          <w:szCs w:val="20"/>
        </w:rPr>
        <w:t>資料來源：本文整理</w:t>
      </w:r>
    </w:p>
    <w:p w:rsidR="00BC1A77" w:rsidRPr="00131B9D" w:rsidRDefault="005D32EF" w:rsidP="005D32EF">
      <w:pPr>
        <w:pStyle w:val="afff5"/>
        <w:spacing w:line="0" w:lineRule="atLeast"/>
        <w:jc w:val="center"/>
        <w:rPr>
          <w:rFonts w:eastAsia="標楷體"/>
          <w:b/>
          <w:bCs/>
          <w:kern w:val="52"/>
          <w:sz w:val="28"/>
          <w:szCs w:val="28"/>
        </w:rPr>
      </w:pPr>
      <w:bookmarkStart w:id="463" w:name="_Toc437959010"/>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39</w:t>
      </w:r>
      <w:r w:rsidRPr="00131B9D">
        <w:rPr>
          <w:rFonts w:eastAsia="標楷體"/>
          <w:b/>
          <w:bCs/>
          <w:kern w:val="52"/>
          <w:sz w:val="28"/>
          <w:szCs w:val="28"/>
        </w:rPr>
        <w:fldChar w:fldCharType="end"/>
      </w:r>
      <w:r w:rsidR="00BC1A77" w:rsidRPr="00131B9D">
        <w:rPr>
          <w:rFonts w:eastAsia="標楷體"/>
          <w:b/>
          <w:bCs/>
          <w:kern w:val="52"/>
          <w:sz w:val="28"/>
          <w:szCs w:val="28"/>
        </w:rPr>
        <w:t xml:space="preserve">　香皂價格長期走勢</w:t>
      </w:r>
      <w:r w:rsidR="00FD4A1A" w:rsidRPr="00131B9D">
        <w:rPr>
          <w:rFonts w:eastAsia="標楷體"/>
          <w:b/>
          <w:bCs/>
          <w:kern w:val="52"/>
          <w:sz w:val="28"/>
          <w:szCs w:val="28"/>
        </w:rPr>
        <w:t>圖</w:t>
      </w:r>
      <w:bookmarkEnd w:id="463"/>
    </w:p>
    <w:p w:rsidR="000F54E4" w:rsidRPr="00131B9D" w:rsidRDefault="000F54E4" w:rsidP="000F54E4"/>
    <w:p w:rsidR="00BC1A77" w:rsidRPr="00131B9D" w:rsidRDefault="00BC1A77" w:rsidP="00BC1A77">
      <w:pPr>
        <w:pStyle w:val="3"/>
        <w:rPr>
          <w:rFonts w:ascii="Times New Roman" w:hAnsi="Times New Roman"/>
        </w:rPr>
      </w:pPr>
      <w:r w:rsidRPr="00131B9D">
        <w:rPr>
          <w:rFonts w:ascii="Times New Roman" w:hAnsi="Times New Roman"/>
        </w:rPr>
        <w:t>（二）沐浴乳</w:t>
      </w:r>
    </w:p>
    <w:p w:rsidR="00BC1A77" w:rsidRPr="00131B9D" w:rsidRDefault="00BC1A77" w:rsidP="00BC1A77">
      <w:pPr>
        <w:pStyle w:val="-"/>
        <w:spacing w:before="72" w:after="72"/>
        <w:ind w:firstLine="560"/>
      </w:pPr>
      <w:r w:rsidRPr="00131B9D">
        <w:t>2012</w:t>
      </w:r>
      <w:r w:rsidRPr="00131B9D">
        <w:t>年</w:t>
      </w:r>
      <w:r w:rsidRPr="00131B9D">
        <w:t>1</w:t>
      </w:r>
      <w:r w:rsidRPr="00131B9D">
        <w:t>月至</w:t>
      </w:r>
      <w:r w:rsidRPr="00131B9D">
        <w:t>2015</w:t>
      </w:r>
      <w:r w:rsidRPr="00131B9D">
        <w:t>年</w:t>
      </w:r>
      <w:r w:rsidR="000F54E4" w:rsidRPr="00131B9D">
        <w:t>11</w:t>
      </w:r>
      <w:r w:rsidRPr="00131B9D">
        <w:t>月各通路沐浴乳價格走勢彙整如圖</w:t>
      </w:r>
      <w:r w:rsidR="005D32EF" w:rsidRPr="00131B9D">
        <w:t>4-</w:t>
      </w:r>
      <w:r w:rsidR="000F54E4" w:rsidRPr="00131B9D">
        <w:t>40</w:t>
      </w:r>
      <w:r w:rsidRPr="00131B9D">
        <w:t>。本研究調查主要關注品項為麗仕沐浴乳以及嬌生</w:t>
      </w:r>
      <w:r w:rsidRPr="00131B9D">
        <w:t>PH5.5</w:t>
      </w:r>
      <w:r w:rsidRPr="00131B9D">
        <w:t>沐浴乳，價格波動主要為各通路業者不定期進行促銷活動所致，</w:t>
      </w:r>
      <w:r w:rsidR="00624C72" w:rsidRPr="00131B9D">
        <w:t>上半年</w:t>
      </w:r>
      <w:r w:rsidRPr="00131B9D">
        <w:t>以量販店促銷幅度最大</w:t>
      </w:r>
      <w:r w:rsidR="00624C72" w:rsidRPr="00131B9D">
        <w:t>，下半年因特定便利店進行促銷，故價格亦呈現走跌。</w:t>
      </w:r>
    </w:p>
    <w:p w:rsidR="00624C72" w:rsidRPr="00131B9D" w:rsidRDefault="00624C72" w:rsidP="00624C72"/>
    <w:p w:rsidR="00BC1A77" w:rsidRPr="00131B9D" w:rsidRDefault="00624C72" w:rsidP="00BC1A77">
      <w:pPr>
        <w:spacing w:line="0" w:lineRule="atLeast"/>
      </w:pPr>
      <w:r w:rsidRPr="00131B9D">
        <w:rPr>
          <w:noProof/>
        </w:rPr>
        <w:lastRenderedPageBreak/>
        <w:drawing>
          <wp:inline distT="0" distB="0" distL="0" distR="0" wp14:anchorId="4676A009" wp14:editId="4FE650DC">
            <wp:extent cx="5274310" cy="2419200"/>
            <wp:effectExtent l="0" t="0" r="2540" b="0"/>
            <wp:docPr id="18435" name="圖表 184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p>
    <w:p w:rsidR="00BC1A77" w:rsidRPr="00131B9D" w:rsidRDefault="00BC1A77" w:rsidP="00BC1A77">
      <w:pPr>
        <w:pStyle w:val="-"/>
        <w:snapToGrid/>
        <w:spacing w:beforeLines="0" w:afterLines="0" w:line="0" w:lineRule="atLeast"/>
        <w:ind w:firstLine="400"/>
        <w:rPr>
          <w:kern w:val="0"/>
          <w:sz w:val="20"/>
          <w:szCs w:val="20"/>
        </w:rPr>
      </w:pPr>
      <w:r w:rsidRPr="00131B9D">
        <w:rPr>
          <w:kern w:val="0"/>
          <w:sz w:val="20"/>
          <w:szCs w:val="20"/>
        </w:rPr>
        <w:t>資料來源：本文整理</w:t>
      </w:r>
    </w:p>
    <w:p w:rsidR="00BC1A77" w:rsidRPr="00131B9D" w:rsidRDefault="005D32EF" w:rsidP="005D32EF">
      <w:pPr>
        <w:pStyle w:val="afff5"/>
        <w:spacing w:line="0" w:lineRule="atLeast"/>
        <w:jc w:val="center"/>
        <w:rPr>
          <w:rFonts w:eastAsia="標楷體"/>
          <w:b/>
          <w:bCs/>
          <w:kern w:val="52"/>
          <w:sz w:val="28"/>
          <w:szCs w:val="28"/>
        </w:rPr>
      </w:pPr>
      <w:bookmarkStart w:id="464" w:name="_Toc437959011"/>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40</w:t>
      </w:r>
      <w:r w:rsidRPr="00131B9D">
        <w:rPr>
          <w:rFonts w:eastAsia="標楷體"/>
          <w:b/>
          <w:bCs/>
          <w:kern w:val="52"/>
          <w:sz w:val="28"/>
          <w:szCs w:val="28"/>
        </w:rPr>
        <w:fldChar w:fldCharType="end"/>
      </w:r>
      <w:r w:rsidR="00BC1A77" w:rsidRPr="00131B9D">
        <w:rPr>
          <w:rFonts w:eastAsia="標楷體"/>
          <w:b/>
          <w:bCs/>
          <w:kern w:val="52"/>
          <w:sz w:val="28"/>
          <w:szCs w:val="28"/>
        </w:rPr>
        <w:t xml:space="preserve">　沐浴乳價格長期走勢</w:t>
      </w:r>
      <w:r w:rsidR="00FD4A1A" w:rsidRPr="00131B9D">
        <w:rPr>
          <w:rFonts w:eastAsia="標楷體"/>
          <w:b/>
          <w:bCs/>
          <w:kern w:val="52"/>
          <w:sz w:val="28"/>
          <w:szCs w:val="28"/>
        </w:rPr>
        <w:t>圖</w:t>
      </w:r>
      <w:bookmarkEnd w:id="464"/>
    </w:p>
    <w:p w:rsidR="00F763B1" w:rsidRPr="00131B9D" w:rsidRDefault="00F763B1" w:rsidP="00F763B1"/>
    <w:p w:rsidR="00D75780" w:rsidRPr="00131B9D" w:rsidRDefault="00BC1A77" w:rsidP="00BC1A77">
      <w:pPr>
        <w:pStyle w:val="3"/>
        <w:rPr>
          <w:rFonts w:ascii="Times New Roman" w:hAnsi="Times New Roman"/>
        </w:rPr>
      </w:pPr>
      <w:r w:rsidRPr="00131B9D">
        <w:rPr>
          <w:rFonts w:ascii="Times New Roman" w:hAnsi="Times New Roman"/>
        </w:rPr>
        <w:t>（三）</w:t>
      </w:r>
      <w:r w:rsidR="00D75780" w:rsidRPr="00131B9D">
        <w:rPr>
          <w:rFonts w:ascii="Times New Roman" w:hAnsi="Times New Roman"/>
        </w:rPr>
        <w:t>牙膏</w:t>
      </w:r>
    </w:p>
    <w:p w:rsidR="00D75780" w:rsidRPr="00131B9D" w:rsidRDefault="00D75780" w:rsidP="00D75780">
      <w:pPr>
        <w:pStyle w:val="-"/>
        <w:spacing w:before="72" w:after="72"/>
        <w:ind w:firstLine="560"/>
      </w:pPr>
      <w:r w:rsidRPr="00131B9D">
        <w:t>2012</w:t>
      </w:r>
      <w:r w:rsidRPr="00131B9D">
        <w:t>年</w:t>
      </w:r>
      <w:r w:rsidRPr="00131B9D">
        <w:t>1</w:t>
      </w:r>
      <w:r w:rsidRPr="00131B9D">
        <w:t>月至</w:t>
      </w:r>
      <w:r w:rsidRPr="00131B9D">
        <w:t>2015</w:t>
      </w:r>
      <w:r w:rsidRPr="00131B9D">
        <w:t>年</w:t>
      </w:r>
      <w:r w:rsidR="00624C72" w:rsidRPr="00131B9D">
        <w:t>11</w:t>
      </w:r>
      <w:r w:rsidRPr="00131B9D">
        <w:t>月各通路牙膏價格走勢彙整如圖</w:t>
      </w:r>
      <w:r w:rsidR="00624C72" w:rsidRPr="00131B9D">
        <w:t>4</w:t>
      </w:r>
      <w:r w:rsidRPr="00131B9D">
        <w:t>-</w:t>
      </w:r>
      <w:r w:rsidR="0020098F" w:rsidRPr="00131B9D">
        <w:t>4</w:t>
      </w:r>
      <w:r w:rsidR="00624C72" w:rsidRPr="00131B9D">
        <w:t>1</w:t>
      </w:r>
      <w:r w:rsidRPr="00131B9D">
        <w:t>。本研究調查主要關注品項為高露潔全效牙膏以及黑人超氟牙膏，三大通路中，便利店價格走勢平穩，超市與量販店則呈現震盪走勢，主要為通路業者不定期進行促銷活動所致。</w:t>
      </w:r>
    </w:p>
    <w:p w:rsidR="00624C72" w:rsidRPr="00131B9D" w:rsidRDefault="00624C72" w:rsidP="00624C72"/>
    <w:p w:rsidR="00D75780" w:rsidRPr="00131B9D" w:rsidRDefault="00624C72" w:rsidP="00D75780">
      <w:pPr>
        <w:spacing w:line="0" w:lineRule="atLeast"/>
      </w:pPr>
      <w:r w:rsidRPr="00131B9D">
        <w:rPr>
          <w:noProof/>
        </w:rPr>
        <w:drawing>
          <wp:inline distT="0" distB="0" distL="0" distR="0" wp14:anchorId="51B8EEB9" wp14:editId="3EAB1124">
            <wp:extent cx="5274000" cy="2419200"/>
            <wp:effectExtent l="0" t="0" r="3175" b="0"/>
            <wp:docPr id="18436" name="圖表 1843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rsidR="00D75780" w:rsidRPr="00131B9D" w:rsidRDefault="00D75780" w:rsidP="00D75780">
      <w:pPr>
        <w:pStyle w:val="-"/>
        <w:snapToGrid/>
        <w:spacing w:beforeLines="0" w:afterLines="0" w:line="0" w:lineRule="atLeast"/>
        <w:ind w:firstLine="400"/>
        <w:rPr>
          <w:kern w:val="0"/>
          <w:sz w:val="20"/>
          <w:szCs w:val="20"/>
        </w:rPr>
      </w:pPr>
      <w:r w:rsidRPr="00131B9D">
        <w:rPr>
          <w:kern w:val="0"/>
          <w:sz w:val="20"/>
          <w:szCs w:val="20"/>
        </w:rPr>
        <w:t>資料來源：本文整理</w:t>
      </w:r>
    </w:p>
    <w:p w:rsidR="00D75780" w:rsidRPr="00131B9D" w:rsidRDefault="005D32EF" w:rsidP="00FD4A1A">
      <w:pPr>
        <w:pStyle w:val="afff5"/>
        <w:spacing w:line="0" w:lineRule="atLeast"/>
        <w:jc w:val="center"/>
        <w:rPr>
          <w:rFonts w:eastAsia="標楷體"/>
          <w:b/>
          <w:bCs/>
          <w:kern w:val="52"/>
          <w:sz w:val="28"/>
          <w:szCs w:val="28"/>
        </w:rPr>
      </w:pPr>
      <w:bookmarkStart w:id="465" w:name="_Toc437959012"/>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41</w:t>
      </w:r>
      <w:r w:rsidRPr="00131B9D">
        <w:rPr>
          <w:rFonts w:eastAsia="標楷體"/>
          <w:b/>
          <w:bCs/>
          <w:kern w:val="52"/>
          <w:sz w:val="28"/>
          <w:szCs w:val="28"/>
        </w:rPr>
        <w:fldChar w:fldCharType="end"/>
      </w:r>
      <w:r w:rsidR="00D75780" w:rsidRPr="00131B9D">
        <w:rPr>
          <w:rFonts w:eastAsia="標楷體"/>
          <w:b/>
          <w:bCs/>
          <w:kern w:val="52"/>
          <w:sz w:val="28"/>
          <w:szCs w:val="28"/>
        </w:rPr>
        <w:t xml:space="preserve">　牙膏價格長期走勢</w:t>
      </w:r>
      <w:r w:rsidR="00FD4A1A" w:rsidRPr="00131B9D">
        <w:rPr>
          <w:rFonts w:eastAsia="標楷體"/>
          <w:b/>
          <w:bCs/>
          <w:kern w:val="52"/>
          <w:sz w:val="28"/>
          <w:szCs w:val="28"/>
        </w:rPr>
        <w:t>圖</w:t>
      </w:r>
      <w:bookmarkEnd w:id="465"/>
    </w:p>
    <w:p w:rsidR="00E6156E" w:rsidRPr="00131B9D" w:rsidRDefault="00E6156E" w:rsidP="000A31D2">
      <w:pPr>
        <w:sectPr w:rsidR="00E6156E" w:rsidRPr="00131B9D" w:rsidSect="005D32EF">
          <w:pgSz w:w="11906" w:h="16838"/>
          <w:pgMar w:top="1440" w:right="1800" w:bottom="1440" w:left="1800" w:header="851" w:footer="992" w:gutter="0"/>
          <w:cols w:space="425"/>
          <w:docGrid w:type="linesAndChars" w:linePitch="360"/>
        </w:sectPr>
      </w:pPr>
    </w:p>
    <w:p w:rsidR="00D75780" w:rsidRPr="00131B9D" w:rsidRDefault="00BC1A77" w:rsidP="00BC1A77">
      <w:pPr>
        <w:pStyle w:val="3"/>
        <w:rPr>
          <w:rFonts w:ascii="Times New Roman" w:hAnsi="Times New Roman"/>
        </w:rPr>
      </w:pPr>
      <w:r w:rsidRPr="00131B9D">
        <w:rPr>
          <w:rFonts w:ascii="Times New Roman" w:hAnsi="Times New Roman"/>
        </w:rPr>
        <w:lastRenderedPageBreak/>
        <w:t>（四）</w:t>
      </w:r>
      <w:r w:rsidR="00D75780" w:rsidRPr="00131B9D">
        <w:rPr>
          <w:rFonts w:ascii="Times New Roman" w:hAnsi="Times New Roman"/>
        </w:rPr>
        <w:t>洗髮精</w:t>
      </w:r>
    </w:p>
    <w:p w:rsidR="002E636F" w:rsidRPr="00131B9D" w:rsidRDefault="00D75780" w:rsidP="00D75780">
      <w:pPr>
        <w:pStyle w:val="-"/>
        <w:spacing w:before="72" w:after="72"/>
        <w:ind w:firstLine="560"/>
      </w:pPr>
      <w:r w:rsidRPr="00131B9D">
        <w:t>2012</w:t>
      </w:r>
      <w:r w:rsidRPr="00131B9D">
        <w:t>年</w:t>
      </w:r>
      <w:r w:rsidRPr="00131B9D">
        <w:t>1</w:t>
      </w:r>
      <w:r w:rsidRPr="00131B9D">
        <w:t>月至</w:t>
      </w:r>
      <w:r w:rsidRPr="00131B9D">
        <w:t>2015</w:t>
      </w:r>
      <w:r w:rsidRPr="00131B9D">
        <w:t>年</w:t>
      </w:r>
      <w:r w:rsidR="000B09AE" w:rsidRPr="00131B9D">
        <w:t>11</w:t>
      </w:r>
      <w:r w:rsidRPr="00131B9D">
        <w:t>月各通路洗髮精價格走勢彙整如圖</w:t>
      </w:r>
      <w:r w:rsidR="00844667" w:rsidRPr="00131B9D">
        <w:t>4</w:t>
      </w:r>
      <w:r w:rsidR="00FD4A1A" w:rsidRPr="00131B9D">
        <w:t>-</w:t>
      </w:r>
      <w:r w:rsidR="0020098F" w:rsidRPr="00131B9D">
        <w:t>4</w:t>
      </w:r>
      <w:r w:rsidR="000B09AE" w:rsidRPr="00131B9D">
        <w:t>2</w:t>
      </w:r>
      <w:r w:rsidRPr="00131B9D">
        <w:t>。本研究調查主要關注品項為海倫仙度絲洗髮乳以及多芬乳霜洗髮乳，其中，多芬乳霜洗髮乳價格走勢波動較大，主因為不定期進行促銷活動所致，海倫仙度絲洗髮乳則較為平穩，惟與去年同期相比，海倫仙度絲洗髮乳自</w:t>
      </w:r>
      <w:r w:rsidRPr="00131B9D">
        <w:t>2014</w:t>
      </w:r>
      <w:r w:rsidRPr="00131B9D">
        <w:t>年</w:t>
      </w:r>
      <w:r w:rsidRPr="00131B9D">
        <w:t>12</w:t>
      </w:r>
      <w:r w:rsidRPr="00131B9D">
        <w:t>月起調漲價格，使得價差拉大。</w:t>
      </w:r>
    </w:p>
    <w:p w:rsidR="0089564A" w:rsidRPr="00131B9D" w:rsidRDefault="000A31D2" w:rsidP="0089564A">
      <w:pPr>
        <w:spacing w:line="0" w:lineRule="atLeast"/>
      </w:pPr>
      <w:r w:rsidRPr="00131B9D">
        <w:rPr>
          <w:noProof/>
        </w:rPr>
        <w:drawing>
          <wp:inline distT="0" distB="0" distL="0" distR="0" wp14:anchorId="43BD5510" wp14:editId="51752F7D">
            <wp:extent cx="5274310" cy="2181225"/>
            <wp:effectExtent l="0" t="0" r="0" b="0"/>
            <wp:docPr id="18438" name="圖表 184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89564A" w:rsidRPr="00131B9D" w:rsidRDefault="0089564A" w:rsidP="0089564A">
      <w:pPr>
        <w:pStyle w:val="-"/>
        <w:snapToGrid/>
        <w:spacing w:beforeLines="0" w:afterLines="0" w:line="0" w:lineRule="atLeast"/>
        <w:ind w:firstLine="400"/>
        <w:rPr>
          <w:kern w:val="0"/>
          <w:sz w:val="20"/>
          <w:szCs w:val="20"/>
        </w:rPr>
      </w:pPr>
      <w:r w:rsidRPr="00131B9D">
        <w:rPr>
          <w:kern w:val="0"/>
          <w:sz w:val="20"/>
          <w:szCs w:val="20"/>
        </w:rPr>
        <w:t>資料來源：本文整理</w:t>
      </w:r>
    </w:p>
    <w:p w:rsidR="0089564A" w:rsidRPr="00131B9D" w:rsidRDefault="00FD4A1A" w:rsidP="00FD4A1A">
      <w:pPr>
        <w:pStyle w:val="afff5"/>
        <w:spacing w:line="0" w:lineRule="atLeast"/>
        <w:jc w:val="center"/>
        <w:rPr>
          <w:rFonts w:eastAsia="標楷體"/>
          <w:b/>
          <w:bCs/>
          <w:kern w:val="52"/>
          <w:sz w:val="28"/>
          <w:szCs w:val="28"/>
        </w:rPr>
      </w:pPr>
      <w:bookmarkStart w:id="466" w:name="_Toc437959013"/>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42</w:t>
      </w:r>
      <w:r w:rsidRPr="00131B9D">
        <w:rPr>
          <w:rFonts w:eastAsia="標楷體"/>
          <w:b/>
          <w:bCs/>
          <w:kern w:val="52"/>
          <w:sz w:val="28"/>
          <w:szCs w:val="28"/>
        </w:rPr>
        <w:fldChar w:fldCharType="end"/>
      </w:r>
      <w:r w:rsidR="0089564A" w:rsidRPr="00131B9D">
        <w:rPr>
          <w:rFonts w:eastAsia="標楷體"/>
          <w:b/>
          <w:bCs/>
          <w:kern w:val="52"/>
          <w:sz w:val="28"/>
          <w:szCs w:val="28"/>
        </w:rPr>
        <w:t xml:space="preserve">　洗髮精價格長期走勢</w:t>
      </w:r>
      <w:r w:rsidRPr="00131B9D">
        <w:rPr>
          <w:rFonts w:eastAsia="標楷體"/>
          <w:b/>
          <w:bCs/>
          <w:kern w:val="52"/>
          <w:sz w:val="28"/>
          <w:szCs w:val="28"/>
        </w:rPr>
        <w:t>圖</w:t>
      </w:r>
      <w:bookmarkEnd w:id="466"/>
    </w:p>
    <w:p w:rsidR="00F41F8A" w:rsidRPr="00131B9D" w:rsidRDefault="00F41F8A" w:rsidP="00F41F8A"/>
    <w:p w:rsidR="00BC1A77" w:rsidRPr="00131B9D" w:rsidRDefault="00BC1A77" w:rsidP="00BC1A77">
      <w:pPr>
        <w:pStyle w:val="2"/>
        <w:spacing w:before="108" w:after="108"/>
        <w:rPr>
          <w:rFonts w:ascii="Times New Roman" w:hAnsi="Times New Roman"/>
        </w:rPr>
      </w:pPr>
      <w:bookmarkStart w:id="467" w:name="_Toc439162972"/>
      <w:r w:rsidRPr="00131B9D">
        <w:rPr>
          <w:rFonts w:ascii="Times New Roman" w:hAnsi="Times New Roman"/>
        </w:rPr>
        <w:t>十三、豆製品類</w:t>
      </w:r>
      <w:bookmarkEnd w:id="467"/>
    </w:p>
    <w:p w:rsidR="00F41F8A" w:rsidRPr="00131B9D" w:rsidRDefault="00F41F8A" w:rsidP="00F41F8A">
      <w:pPr>
        <w:pStyle w:val="-"/>
        <w:spacing w:before="72" w:after="72"/>
        <w:ind w:firstLine="560"/>
      </w:pPr>
      <w:r w:rsidRPr="00131B9D">
        <w:t>2014</w:t>
      </w:r>
      <w:r w:rsidRPr="00131B9D">
        <w:t>年</w:t>
      </w:r>
      <w:r w:rsidRPr="00131B9D">
        <w:t>1</w:t>
      </w:r>
      <w:r w:rsidRPr="00131B9D">
        <w:t>月至</w:t>
      </w:r>
      <w:r w:rsidRPr="00131B9D">
        <w:t>2015</w:t>
      </w:r>
      <w:r w:rsidRPr="00131B9D">
        <w:t>年</w:t>
      </w:r>
      <w:r w:rsidR="004C1EE7" w:rsidRPr="00131B9D">
        <w:t>11</w:t>
      </w:r>
      <w:r w:rsidRPr="00131B9D">
        <w:t>月各通路豆製品價格走勢彙整如圖</w:t>
      </w:r>
      <w:r w:rsidR="004C1EE7" w:rsidRPr="00131B9D">
        <w:t>4</w:t>
      </w:r>
      <w:r w:rsidR="00844667" w:rsidRPr="00131B9D">
        <w:t>-</w:t>
      </w:r>
      <w:r w:rsidR="0020098F" w:rsidRPr="00131B9D">
        <w:t>4</w:t>
      </w:r>
      <w:r w:rsidR="004C1EE7" w:rsidRPr="00131B9D">
        <w:t>3</w:t>
      </w:r>
      <w:r w:rsidR="00844667" w:rsidRPr="00131B9D">
        <w:t>、</w:t>
      </w:r>
      <w:r w:rsidR="004C1EE7" w:rsidRPr="00131B9D">
        <w:t>4</w:t>
      </w:r>
      <w:r w:rsidR="00844667" w:rsidRPr="00131B9D">
        <w:t>-</w:t>
      </w:r>
      <w:r w:rsidR="0020098F" w:rsidRPr="00131B9D">
        <w:t>4</w:t>
      </w:r>
      <w:r w:rsidR="004C1EE7" w:rsidRPr="00131B9D">
        <w:t>4</w:t>
      </w:r>
      <w:r w:rsidRPr="00131B9D">
        <w:t>。本研究調查品項包括中華豆腐以及龍口粉絲等，除特定通路價格變動較大外，整體而言，</w:t>
      </w:r>
      <w:r w:rsidR="0089564A" w:rsidRPr="00131B9D">
        <w:t>豆製品</w:t>
      </w:r>
      <w:r w:rsidRPr="00131B9D">
        <w:t>類價格走勢相對平穩。</w:t>
      </w:r>
    </w:p>
    <w:p w:rsidR="009641DA" w:rsidRPr="00131B9D" w:rsidRDefault="004C1EE7" w:rsidP="007E1E0C">
      <w:r w:rsidRPr="00131B9D">
        <w:rPr>
          <w:noProof/>
        </w:rPr>
        <w:drawing>
          <wp:inline distT="0" distB="0" distL="0" distR="0" wp14:anchorId="17AB9EBC" wp14:editId="2DF56159">
            <wp:extent cx="5274310" cy="2124075"/>
            <wp:effectExtent l="0" t="0" r="2540" b="9525"/>
            <wp:docPr id="18439" name="圖表 1843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p>
    <w:p w:rsidR="00E6156E" w:rsidRPr="00131B9D" w:rsidRDefault="00FD4A1A" w:rsidP="00FD4A1A">
      <w:pPr>
        <w:pStyle w:val="afff5"/>
        <w:spacing w:line="0" w:lineRule="atLeast"/>
        <w:jc w:val="center"/>
        <w:rPr>
          <w:rFonts w:eastAsia="標楷體"/>
          <w:b/>
          <w:bCs/>
          <w:kern w:val="52"/>
          <w:sz w:val="28"/>
          <w:szCs w:val="28"/>
        </w:rPr>
        <w:sectPr w:rsidR="00E6156E" w:rsidRPr="00131B9D" w:rsidSect="005D32EF">
          <w:pgSz w:w="11906" w:h="16838"/>
          <w:pgMar w:top="1440" w:right="1800" w:bottom="1440" w:left="1800" w:header="851" w:footer="992" w:gutter="0"/>
          <w:cols w:space="425"/>
          <w:docGrid w:type="linesAndChars" w:linePitch="360"/>
        </w:sectPr>
      </w:pPr>
      <w:bookmarkStart w:id="468" w:name="_Toc437959014"/>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43</w:t>
      </w:r>
      <w:r w:rsidRPr="00131B9D">
        <w:rPr>
          <w:rFonts w:eastAsia="標楷體"/>
          <w:b/>
          <w:bCs/>
          <w:kern w:val="52"/>
          <w:sz w:val="28"/>
          <w:szCs w:val="28"/>
        </w:rPr>
        <w:fldChar w:fldCharType="end"/>
      </w:r>
      <w:r w:rsidR="009641DA" w:rsidRPr="00131B9D">
        <w:rPr>
          <w:rFonts w:eastAsia="標楷體"/>
          <w:b/>
          <w:bCs/>
          <w:kern w:val="52"/>
          <w:sz w:val="28"/>
          <w:szCs w:val="28"/>
        </w:rPr>
        <w:t xml:space="preserve">　中華豆腐價格長期走勢</w:t>
      </w:r>
      <w:r w:rsidRPr="00131B9D">
        <w:rPr>
          <w:rFonts w:eastAsia="標楷體"/>
          <w:b/>
          <w:bCs/>
          <w:kern w:val="52"/>
          <w:sz w:val="28"/>
          <w:szCs w:val="28"/>
        </w:rPr>
        <w:t>圖</w:t>
      </w:r>
      <w:bookmarkEnd w:id="468"/>
    </w:p>
    <w:p w:rsidR="009641DA" w:rsidRPr="00131B9D" w:rsidRDefault="004C1EE7" w:rsidP="007E1E0C">
      <w:pPr>
        <w:jc w:val="right"/>
      </w:pPr>
      <w:r w:rsidRPr="00131B9D">
        <w:rPr>
          <w:noProof/>
        </w:rPr>
        <w:lastRenderedPageBreak/>
        <w:drawing>
          <wp:inline distT="0" distB="0" distL="0" distR="0" wp14:anchorId="39A45F03" wp14:editId="71DDBB19">
            <wp:extent cx="5274310" cy="2430780"/>
            <wp:effectExtent l="0" t="0" r="2540" b="7620"/>
            <wp:docPr id="18440" name="圖表 1844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rsidR="009641DA" w:rsidRPr="00131B9D" w:rsidRDefault="00FD4A1A" w:rsidP="00FD4A1A">
      <w:pPr>
        <w:pStyle w:val="afff5"/>
        <w:spacing w:line="0" w:lineRule="atLeast"/>
        <w:jc w:val="center"/>
        <w:rPr>
          <w:rFonts w:eastAsia="標楷體"/>
          <w:b/>
          <w:bCs/>
          <w:kern w:val="52"/>
          <w:sz w:val="28"/>
          <w:szCs w:val="28"/>
        </w:rPr>
      </w:pPr>
      <w:bookmarkStart w:id="469" w:name="_Toc437959015"/>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44</w:t>
      </w:r>
      <w:r w:rsidRPr="00131B9D">
        <w:rPr>
          <w:rFonts w:eastAsia="標楷體"/>
          <w:b/>
          <w:bCs/>
          <w:kern w:val="52"/>
          <w:sz w:val="28"/>
          <w:szCs w:val="28"/>
        </w:rPr>
        <w:fldChar w:fldCharType="end"/>
      </w:r>
      <w:r w:rsidR="009641DA" w:rsidRPr="00131B9D">
        <w:rPr>
          <w:rFonts w:eastAsia="標楷體"/>
          <w:b/>
          <w:bCs/>
          <w:kern w:val="52"/>
          <w:sz w:val="28"/>
          <w:szCs w:val="28"/>
        </w:rPr>
        <w:t xml:space="preserve">　龍口粉絲價格長期走勢</w:t>
      </w:r>
      <w:r w:rsidRPr="00131B9D">
        <w:rPr>
          <w:rFonts w:eastAsia="標楷體"/>
          <w:b/>
          <w:bCs/>
          <w:kern w:val="52"/>
          <w:sz w:val="28"/>
          <w:szCs w:val="28"/>
        </w:rPr>
        <w:t>圖</w:t>
      </w:r>
      <w:bookmarkEnd w:id="469"/>
    </w:p>
    <w:p w:rsidR="00F763B1" w:rsidRPr="00131B9D" w:rsidRDefault="00F763B1" w:rsidP="00F763B1"/>
    <w:p w:rsidR="00C66B87" w:rsidRPr="00131B9D" w:rsidRDefault="00C66B87" w:rsidP="00C66B87">
      <w:pPr>
        <w:pStyle w:val="2"/>
        <w:spacing w:before="108" w:after="108"/>
        <w:rPr>
          <w:rFonts w:ascii="Times New Roman" w:hAnsi="Times New Roman"/>
        </w:rPr>
      </w:pPr>
      <w:bookmarkStart w:id="470" w:name="_Toc439162973"/>
      <w:r w:rsidRPr="00131B9D">
        <w:rPr>
          <w:rFonts w:ascii="Times New Roman" w:hAnsi="Times New Roman"/>
        </w:rPr>
        <w:t>十四、紐西蘭肉品類</w:t>
      </w:r>
      <w:bookmarkEnd w:id="470"/>
    </w:p>
    <w:p w:rsidR="0089564A" w:rsidRPr="00131B9D" w:rsidRDefault="0089564A" w:rsidP="0089564A">
      <w:pPr>
        <w:pStyle w:val="-"/>
        <w:spacing w:before="72" w:after="72"/>
        <w:ind w:firstLine="560"/>
      </w:pPr>
      <w:r w:rsidRPr="00131B9D">
        <w:t>2014</w:t>
      </w:r>
      <w:r w:rsidRPr="00131B9D">
        <w:t>年</w:t>
      </w:r>
      <w:r w:rsidRPr="00131B9D">
        <w:t>1</w:t>
      </w:r>
      <w:r w:rsidRPr="00131B9D">
        <w:t>月至</w:t>
      </w:r>
      <w:r w:rsidRPr="00131B9D">
        <w:t>2015</w:t>
      </w:r>
      <w:r w:rsidRPr="00131B9D">
        <w:t>年</w:t>
      </w:r>
      <w:r w:rsidR="004C1EE7" w:rsidRPr="00131B9D">
        <w:t>11</w:t>
      </w:r>
      <w:r w:rsidRPr="00131B9D">
        <w:t>月各通路紐西蘭肉品價格走勢彙整如圖</w:t>
      </w:r>
      <w:r w:rsidR="00FD4A1A" w:rsidRPr="00131B9D">
        <w:t>4-</w:t>
      </w:r>
      <w:r w:rsidR="0020098F" w:rsidRPr="00131B9D">
        <w:t>4</w:t>
      </w:r>
      <w:r w:rsidR="004C1EE7" w:rsidRPr="00131B9D">
        <w:t>5</w:t>
      </w:r>
      <w:r w:rsidRPr="00131B9D">
        <w:t>。整體而言，紐西蘭肉品價格走勢相對平穩，並無大幅變動。</w:t>
      </w:r>
    </w:p>
    <w:p w:rsidR="004C1EE7" w:rsidRPr="00131B9D" w:rsidRDefault="004C1EE7" w:rsidP="004C1EE7"/>
    <w:p w:rsidR="002E636F" w:rsidRPr="00131B9D" w:rsidRDefault="004C1EE7" w:rsidP="007E1E0C">
      <w:r w:rsidRPr="00131B9D">
        <w:rPr>
          <w:noProof/>
        </w:rPr>
        <w:drawing>
          <wp:inline distT="0" distB="0" distL="0" distR="0" wp14:anchorId="625F9315" wp14:editId="079A8724">
            <wp:extent cx="5274310" cy="2430780"/>
            <wp:effectExtent l="0" t="0" r="2540" b="7620"/>
            <wp:docPr id="18441" name="圖表 184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rsidR="00BC1A77" w:rsidRPr="00131B9D" w:rsidRDefault="00FD4A1A" w:rsidP="00FD4A1A">
      <w:pPr>
        <w:pStyle w:val="afff5"/>
        <w:spacing w:line="0" w:lineRule="atLeast"/>
        <w:jc w:val="center"/>
      </w:pPr>
      <w:bookmarkStart w:id="471" w:name="_Toc437959016"/>
      <w:r w:rsidRPr="00131B9D">
        <w:rPr>
          <w:rFonts w:eastAsia="標楷體"/>
          <w:b/>
          <w:bCs/>
          <w:kern w:val="52"/>
          <w:sz w:val="28"/>
          <w:szCs w:val="28"/>
        </w:rPr>
        <w:t>圖</w:t>
      </w:r>
      <w:r w:rsidRPr="00131B9D">
        <w:rPr>
          <w:rFonts w:eastAsia="標楷體"/>
          <w:b/>
          <w:bCs/>
          <w:kern w:val="52"/>
          <w:sz w:val="28"/>
          <w:szCs w:val="28"/>
        </w:rPr>
        <w:t xml:space="preserve">4- </w:t>
      </w:r>
      <w:r w:rsidRPr="00131B9D">
        <w:rPr>
          <w:rFonts w:eastAsia="標楷體"/>
          <w:b/>
          <w:bCs/>
          <w:kern w:val="52"/>
          <w:sz w:val="28"/>
          <w:szCs w:val="28"/>
        </w:rPr>
        <w:fldChar w:fldCharType="begin"/>
      </w:r>
      <w:r w:rsidRPr="00131B9D">
        <w:rPr>
          <w:rFonts w:eastAsia="標楷體"/>
          <w:b/>
          <w:bCs/>
          <w:kern w:val="52"/>
          <w:sz w:val="28"/>
          <w:szCs w:val="28"/>
        </w:rPr>
        <w:instrText xml:space="preserve"> SEQ </w:instrText>
      </w:r>
      <w:r w:rsidRPr="00131B9D">
        <w:rPr>
          <w:rFonts w:eastAsia="標楷體"/>
          <w:b/>
          <w:bCs/>
          <w:kern w:val="52"/>
          <w:sz w:val="28"/>
          <w:szCs w:val="28"/>
        </w:rPr>
        <w:instrText>圖</w:instrText>
      </w:r>
      <w:r w:rsidRPr="00131B9D">
        <w:rPr>
          <w:rFonts w:eastAsia="標楷體"/>
          <w:b/>
          <w:bCs/>
          <w:kern w:val="52"/>
          <w:sz w:val="28"/>
          <w:szCs w:val="28"/>
        </w:rPr>
        <w:instrText xml:space="preserve">4- \* ARABIC </w:instrText>
      </w:r>
      <w:r w:rsidRPr="00131B9D">
        <w:rPr>
          <w:rFonts w:eastAsia="標楷體"/>
          <w:b/>
          <w:bCs/>
          <w:kern w:val="52"/>
          <w:sz w:val="28"/>
          <w:szCs w:val="28"/>
        </w:rPr>
        <w:fldChar w:fldCharType="separate"/>
      </w:r>
      <w:r w:rsidR="001641D3">
        <w:rPr>
          <w:rFonts w:eastAsia="標楷體"/>
          <w:b/>
          <w:bCs/>
          <w:noProof/>
          <w:kern w:val="52"/>
          <w:sz w:val="28"/>
          <w:szCs w:val="28"/>
        </w:rPr>
        <w:t>45</w:t>
      </w:r>
      <w:r w:rsidRPr="00131B9D">
        <w:rPr>
          <w:rFonts w:eastAsia="標楷體"/>
          <w:b/>
          <w:bCs/>
          <w:kern w:val="52"/>
          <w:sz w:val="28"/>
          <w:szCs w:val="28"/>
        </w:rPr>
        <w:fldChar w:fldCharType="end"/>
      </w:r>
      <w:r w:rsidR="007E1E0C" w:rsidRPr="00131B9D">
        <w:rPr>
          <w:rFonts w:eastAsia="標楷體"/>
          <w:b/>
          <w:bCs/>
          <w:kern w:val="52"/>
          <w:sz w:val="28"/>
          <w:szCs w:val="28"/>
        </w:rPr>
        <w:t xml:space="preserve">　紐西蘭牛肉價格長期走勢</w:t>
      </w:r>
      <w:r w:rsidRPr="00131B9D">
        <w:rPr>
          <w:rFonts w:eastAsia="標楷體"/>
          <w:b/>
          <w:bCs/>
          <w:kern w:val="52"/>
          <w:sz w:val="28"/>
          <w:szCs w:val="28"/>
        </w:rPr>
        <w:t>圖</w:t>
      </w:r>
      <w:bookmarkEnd w:id="471"/>
    </w:p>
    <w:p w:rsidR="002E636F" w:rsidRPr="00131B9D" w:rsidRDefault="002E636F" w:rsidP="00D75780">
      <w:pPr>
        <w:pStyle w:val="-"/>
        <w:spacing w:before="72" w:after="72"/>
        <w:ind w:firstLine="560"/>
      </w:pPr>
    </w:p>
    <w:p w:rsidR="003D2BBF" w:rsidRPr="00131B9D" w:rsidRDefault="003D2BBF" w:rsidP="00D75780">
      <w:pPr>
        <w:pStyle w:val="-"/>
        <w:spacing w:before="72" w:after="72"/>
        <w:ind w:firstLine="560"/>
        <w:sectPr w:rsidR="003D2BBF" w:rsidRPr="00131B9D" w:rsidSect="005D32EF">
          <w:pgSz w:w="11906" w:h="16838"/>
          <w:pgMar w:top="1440" w:right="1800" w:bottom="1440" w:left="1800" w:header="851" w:footer="992" w:gutter="0"/>
          <w:cols w:space="425"/>
          <w:docGrid w:type="linesAndChars" w:linePitch="360"/>
        </w:sectPr>
      </w:pPr>
    </w:p>
    <w:p w:rsidR="003D2BBF" w:rsidRPr="00131B9D" w:rsidRDefault="003D2BBF" w:rsidP="003D2BBF">
      <w:pPr>
        <w:pStyle w:val="1"/>
        <w:rPr>
          <w:rFonts w:hAnsi="Times New Roman"/>
        </w:rPr>
      </w:pPr>
      <w:bookmarkStart w:id="472" w:name="_Toc439162974"/>
      <w:bookmarkStart w:id="473" w:name="_Toc330538857"/>
      <w:bookmarkStart w:id="474" w:name="_Toc324435363"/>
      <w:bookmarkEnd w:id="387"/>
      <w:bookmarkEnd w:id="388"/>
      <w:r w:rsidRPr="00131B9D">
        <w:rPr>
          <w:rFonts w:hAnsi="Times New Roman"/>
        </w:rPr>
        <w:lastRenderedPageBreak/>
        <w:t>伍、政策建議說明</w:t>
      </w:r>
      <w:bookmarkEnd w:id="472"/>
    </w:p>
    <w:p w:rsidR="003D2BBF" w:rsidRPr="00131B9D" w:rsidRDefault="003D2BBF" w:rsidP="003D2BBF">
      <w:pPr>
        <w:pStyle w:val="2"/>
        <w:spacing w:before="72" w:after="72"/>
        <w:rPr>
          <w:rFonts w:ascii="Times New Roman" w:hAnsi="Times New Roman"/>
        </w:rPr>
      </w:pPr>
      <w:bookmarkStart w:id="475" w:name="_Toc439162975"/>
      <w:r w:rsidRPr="00131B9D">
        <w:rPr>
          <w:rFonts w:ascii="Times New Roman" w:hAnsi="Times New Roman"/>
        </w:rPr>
        <w:t>一、重要農工原物料</w:t>
      </w:r>
      <w:bookmarkEnd w:id="475"/>
    </w:p>
    <w:p w:rsidR="00CE1637" w:rsidRPr="00131B9D" w:rsidRDefault="00CE1637" w:rsidP="00CE1637">
      <w:pPr>
        <w:snapToGrid w:val="0"/>
        <w:spacing w:before="72" w:after="72" w:line="480" w:lineRule="exact"/>
        <w:ind w:firstLine="480"/>
        <w:jc w:val="both"/>
        <w:rPr>
          <w:rFonts w:eastAsia="標楷體"/>
          <w:sz w:val="28"/>
          <w:szCs w:val="28"/>
        </w:rPr>
      </w:pPr>
      <w:r w:rsidRPr="006B2718">
        <w:rPr>
          <w:rFonts w:eastAsia="標楷體" w:hint="eastAsia"/>
          <w:sz w:val="28"/>
          <w:szCs w:val="28"/>
        </w:rPr>
        <w:t>參照表</w:t>
      </w:r>
      <w:r w:rsidRPr="006B2718">
        <w:rPr>
          <w:rFonts w:eastAsia="標楷體" w:hint="eastAsia"/>
          <w:sz w:val="28"/>
          <w:szCs w:val="28"/>
        </w:rPr>
        <w:t>3-1</w:t>
      </w:r>
      <w:r w:rsidRPr="006B2718">
        <w:rPr>
          <w:rFonts w:eastAsia="標楷體" w:hint="eastAsia"/>
          <w:sz w:val="28"/>
          <w:szCs w:val="28"/>
        </w:rPr>
        <w:t>所示，有鑑於新興市場和開發中經濟體成長減緩</w:t>
      </w:r>
      <w:r w:rsidRPr="006B2718">
        <w:rPr>
          <w:rFonts w:eastAsia="標楷體" w:hint="eastAsia"/>
          <w:sz w:val="28"/>
          <w:szCs w:val="28"/>
        </w:rPr>
        <w:t>IMF</w:t>
      </w:r>
      <w:r w:rsidRPr="006B2718">
        <w:rPr>
          <w:rFonts w:eastAsia="標楷體" w:hint="eastAsia"/>
          <w:sz w:val="28"/>
          <w:szCs w:val="28"/>
        </w:rPr>
        <w:t>於</w:t>
      </w:r>
      <w:r w:rsidRPr="006B2718">
        <w:rPr>
          <w:rFonts w:eastAsia="標楷體" w:hint="eastAsia"/>
          <w:sz w:val="28"/>
          <w:szCs w:val="28"/>
        </w:rPr>
        <w:t>10</w:t>
      </w:r>
      <w:r w:rsidRPr="006B2718">
        <w:rPr>
          <w:rFonts w:eastAsia="標楷體" w:hint="eastAsia"/>
          <w:sz w:val="28"/>
          <w:szCs w:val="28"/>
        </w:rPr>
        <w:t>月發布之世界經濟展望（</w:t>
      </w:r>
      <w:r w:rsidRPr="006B2718">
        <w:rPr>
          <w:rFonts w:eastAsia="標楷體" w:hint="eastAsia"/>
          <w:sz w:val="28"/>
          <w:szCs w:val="28"/>
        </w:rPr>
        <w:t>WEO</w:t>
      </w:r>
      <w:r w:rsidRPr="006B2718">
        <w:rPr>
          <w:rFonts w:eastAsia="標楷體" w:hint="eastAsia"/>
          <w:sz w:val="28"/>
          <w:szCs w:val="28"/>
        </w:rPr>
        <w:t>）報告，下修今、明年之經濟成長率，聯合國也在</w:t>
      </w:r>
      <w:r w:rsidRPr="006B2718">
        <w:rPr>
          <w:rFonts w:eastAsia="標楷體" w:hint="eastAsia"/>
          <w:sz w:val="28"/>
          <w:szCs w:val="28"/>
        </w:rPr>
        <w:t>12</w:t>
      </w:r>
      <w:r w:rsidRPr="006B2718">
        <w:rPr>
          <w:rFonts w:eastAsia="標楷體" w:hint="eastAsia"/>
          <w:sz w:val="28"/>
          <w:szCs w:val="28"/>
        </w:rPr>
        <w:t>月發布之年度世界經濟狀況和展望報告下調</w:t>
      </w:r>
      <w:r w:rsidRPr="006B2718">
        <w:rPr>
          <w:rFonts w:eastAsia="標楷體" w:hint="eastAsia"/>
          <w:sz w:val="28"/>
          <w:szCs w:val="28"/>
        </w:rPr>
        <w:t>2015</w:t>
      </w:r>
      <w:r w:rsidRPr="006B2718">
        <w:rPr>
          <w:rFonts w:eastAsia="標楷體" w:hint="eastAsia"/>
          <w:sz w:val="28"/>
          <w:szCs w:val="28"/>
        </w:rPr>
        <w:t>年經濟成長率。此外，根據國際經濟環球透視機構（</w:t>
      </w:r>
      <w:r w:rsidRPr="006B2718">
        <w:rPr>
          <w:rFonts w:eastAsia="標楷體" w:hint="eastAsia"/>
          <w:sz w:val="28"/>
          <w:szCs w:val="28"/>
        </w:rPr>
        <w:t>Global Insight</w:t>
      </w:r>
      <w:r w:rsidRPr="006B2718">
        <w:rPr>
          <w:rFonts w:eastAsia="標楷體" w:hint="eastAsia"/>
          <w:sz w:val="28"/>
          <w:szCs w:val="28"/>
        </w:rPr>
        <w:t>）資料顯示</w:t>
      </w:r>
      <w:r w:rsidRPr="00131B9D">
        <w:rPr>
          <w:rFonts w:eastAsia="標楷體"/>
          <w:sz w:val="28"/>
          <w:szCs w:val="28"/>
        </w:rPr>
        <w:t>，鄰近國家包括中國大陸、韓國及新加坡本年度經濟成長率皆較去年下滑，受當前景氣影響，目前大宗原物料價格多呈現下跌格局，尚不至於對國內造成壓力。其中，民眾最為關切之油價部分，國內採浮動油價調整機制，每週以當期杜拜及布蘭特原油之均價進行加權平均計算，再以匯率均價與前週均價調整。由於</w:t>
      </w:r>
      <w:r w:rsidRPr="00131B9D">
        <w:rPr>
          <w:rFonts w:eastAsia="標楷體"/>
          <w:sz w:val="28"/>
          <w:szCs w:val="28"/>
        </w:rPr>
        <w:t>2015</w:t>
      </w:r>
      <w:r w:rsidRPr="00131B9D">
        <w:rPr>
          <w:rFonts w:eastAsia="標楷體"/>
          <w:sz w:val="28"/>
          <w:szCs w:val="28"/>
        </w:rPr>
        <w:t>下半年國際油價走跌，因此尚無針對價格上漲提出應變措施。</w:t>
      </w:r>
    </w:p>
    <w:p w:rsidR="003D2BBF" w:rsidRPr="00131B9D" w:rsidRDefault="003D2BBF" w:rsidP="00F30474"/>
    <w:p w:rsidR="003D2BBF" w:rsidRPr="00131B9D" w:rsidRDefault="003D2BBF" w:rsidP="003D2BBF">
      <w:pPr>
        <w:pStyle w:val="2"/>
        <w:spacing w:before="72" w:after="72"/>
        <w:rPr>
          <w:rFonts w:ascii="Times New Roman" w:hAnsi="Times New Roman"/>
        </w:rPr>
      </w:pPr>
      <w:bookmarkStart w:id="476" w:name="_Toc439162976"/>
      <w:r w:rsidRPr="00131B9D">
        <w:rPr>
          <w:rFonts w:ascii="Times New Roman" w:hAnsi="Times New Roman"/>
        </w:rPr>
        <w:t>二、民生物資</w:t>
      </w:r>
      <w:bookmarkEnd w:id="476"/>
    </w:p>
    <w:p w:rsidR="005A7268" w:rsidRPr="00131B9D" w:rsidRDefault="00B63895" w:rsidP="005A7268">
      <w:pPr>
        <w:pStyle w:val="-"/>
        <w:spacing w:before="48" w:after="48"/>
        <w:ind w:firstLine="560"/>
      </w:pPr>
      <w:r w:rsidRPr="00131B9D">
        <w:t>由於影響民生物資價格因素隨產品而有所不同，以下依民生較關注品項</w:t>
      </w:r>
      <w:r w:rsidR="005A7268" w:rsidRPr="00131B9D">
        <w:t>及議題</w:t>
      </w:r>
      <w:r w:rsidRPr="00131B9D">
        <w:t>提出政策建議。</w:t>
      </w:r>
    </w:p>
    <w:p w:rsidR="00B63895" w:rsidRPr="00131B9D" w:rsidRDefault="00B63895" w:rsidP="00B63895">
      <w:pPr>
        <w:pStyle w:val="-"/>
        <w:spacing w:before="48" w:after="48"/>
        <w:ind w:firstLineChars="0" w:firstLine="0"/>
        <w:rPr>
          <w:b/>
        </w:rPr>
      </w:pPr>
      <w:r w:rsidRPr="00131B9D">
        <w:rPr>
          <w:b/>
        </w:rPr>
        <w:t>1.</w:t>
      </w:r>
      <w:r w:rsidRPr="00131B9D">
        <w:rPr>
          <w:b/>
        </w:rPr>
        <w:t xml:space="preserve">　蛋</w:t>
      </w:r>
    </w:p>
    <w:p w:rsidR="00F55F4E" w:rsidRPr="00131B9D" w:rsidRDefault="00F55F4E" w:rsidP="00F55F4E">
      <w:pPr>
        <w:pStyle w:val="-"/>
        <w:spacing w:before="48" w:after="48"/>
        <w:ind w:firstLineChars="0" w:firstLine="0"/>
        <w:rPr>
          <w:b/>
        </w:rPr>
      </w:pPr>
      <w:r w:rsidRPr="00131B9D">
        <w:rPr>
          <w:b/>
        </w:rPr>
        <w:t>(1)</w:t>
      </w:r>
      <w:r w:rsidRPr="00131B9D">
        <w:rPr>
          <w:b/>
        </w:rPr>
        <w:t xml:space="preserve">　疾病預防</w:t>
      </w:r>
    </w:p>
    <w:p w:rsidR="00F55F4E" w:rsidRPr="00131B9D" w:rsidRDefault="00DE22F3" w:rsidP="00F55F4E">
      <w:pPr>
        <w:pStyle w:val="-"/>
        <w:spacing w:before="48" w:after="48"/>
        <w:ind w:firstLine="560"/>
      </w:pPr>
      <w:r w:rsidRPr="00131B9D">
        <w:t>2015</w:t>
      </w:r>
      <w:r w:rsidRPr="00131B9D">
        <w:t>年</w:t>
      </w:r>
      <w:r w:rsidR="00F55F4E" w:rsidRPr="00131B9D">
        <w:t>禽流感延燒，導致蛋雞蛋鴨染病撲殺，國內蛋量供給一度受影響，此外，禽肉供給量亦受衝擊，包括雞、鴨與鵝等肉品價格均攀升。為防範禽流感疫情再度發生，建議國內可參照國外作法，</w:t>
      </w:r>
      <w:r w:rsidR="00870331" w:rsidRPr="00131B9D">
        <w:t>採取友善畜牧方式，可藉由增加家禽活動空間，以降低交叉感染機率，或於疫情期間改以室內飼養方式，避免接觸外來候鳥。以美國為例，加州於</w:t>
      </w:r>
      <w:r w:rsidR="00870331" w:rsidRPr="00131B9D">
        <w:t>2008</w:t>
      </w:r>
      <w:r w:rsidR="00870331" w:rsidRPr="00131B9D">
        <w:t>年通過《</w:t>
      </w:r>
      <w:r w:rsidR="00870331" w:rsidRPr="00131B9D">
        <w:t>2</w:t>
      </w:r>
      <w:r w:rsidR="00870331" w:rsidRPr="00131B9D">
        <w:t>號議案》（</w:t>
      </w:r>
      <w:r w:rsidR="00870331" w:rsidRPr="00131B9D">
        <w:t>Proposition 2</w:t>
      </w:r>
      <w:r w:rsidR="00870331" w:rsidRPr="00131B9D">
        <w:t>），提高加州蛋雞活動空間，同時議會也於</w:t>
      </w:r>
      <w:r w:rsidR="00870331" w:rsidRPr="00131B9D">
        <w:t>2010</w:t>
      </w:r>
      <w:r w:rsidR="00870331" w:rsidRPr="00131B9D">
        <w:t>年通過《第</w:t>
      </w:r>
      <w:r w:rsidR="00870331" w:rsidRPr="00131B9D">
        <w:t>1437</w:t>
      </w:r>
      <w:r w:rsidR="00870331" w:rsidRPr="00131B9D">
        <w:t>號法案》（</w:t>
      </w:r>
      <w:r w:rsidR="00870331" w:rsidRPr="00131B9D">
        <w:t>AB 1437</w:t>
      </w:r>
      <w:r w:rsidR="00870331" w:rsidRPr="00131B9D">
        <w:t>），規定在加州販售的雞蛋，皆須來自擁有足夠雞舍空間的母雞。</w:t>
      </w:r>
    </w:p>
    <w:p w:rsidR="00F55F4E" w:rsidRPr="00131B9D" w:rsidRDefault="00F55F4E" w:rsidP="00F55F4E">
      <w:pPr>
        <w:pStyle w:val="-"/>
        <w:spacing w:before="48" w:after="48"/>
        <w:ind w:firstLineChars="0" w:firstLine="0"/>
        <w:rPr>
          <w:b/>
        </w:rPr>
      </w:pPr>
      <w:r w:rsidRPr="00131B9D">
        <w:rPr>
          <w:b/>
        </w:rPr>
        <w:t>(2)</w:t>
      </w:r>
      <w:r w:rsidRPr="00131B9D">
        <w:rPr>
          <w:b/>
        </w:rPr>
        <w:t xml:space="preserve">　氣候異常</w:t>
      </w:r>
    </w:p>
    <w:p w:rsidR="00F55F4E" w:rsidRPr="00131B9D" w:rsidRDefault="004B1835" w:rsidP="00126607">
      <w:pPr>
        <w:pStyle w:val="-"/>
        <w:spacing w:before="48" w:after="48"/>
        <w:ind w:firstLine="560"/>
        <w:rPr>
          <w:b/>
        </w:rPr>
      </w:pPr>
      <w:r w:rsidRPr="00131B9D">
        <w:lastRenderedPageBreak/>
        <w:t>每年</w:t>
      </w:r>
      <w:r w:rsidR="00307E3A" w:rsidRPr="00131B9D">
        <w:t>寒流來襲或颱風季節</w:t>
      </w:r>
      <w:r w:rsidRPr="00131B9D">
        <w:t>期間</w:t>
      </w:r>
      <w:r w:rsidR="00307E3A" w:rsidRPr="00131B9D">
        <w:t>，國內農產品往往受影響而價格攀升，</w:t>
      </w:r>
      <w:r w:rsidR="00126607" w:rsidRPr="00131B9D">
        <w:t>為避免短期價格波動衝擊民生，包括蛋類與禽肉等產品均可委託農委會或國營企業進行居間協調，透過事先儲存方式備貨，並於適當時機釋出，以穩定市場供給，</w:t>
      </w:r>
      <w:r w:rsidR="000F2145" w:rsidRPr="00131B9D">
        <w:t>同時</w:t>
      </w:r>
      <w:r w:rsidR="00126607" w:rsidRPr="00131B9D">
        <w:t>達到最終穩定物價之目標。</w:t>
      </w:r>
    </w:p>
    <w:p w:rsidR="005C2147" w:rsidRPr="00131B9D" w:rsidRDefault="005C2147" w:rsidP="005C2147">
      <w:pPr>
        <w:pStyle w:val="-"/>
        <w:spacing w:before="48" w:after="48"/>
        <w:ind w:firstLineChars="0" w:firstLine="0"/>
        <w:rPr>
          <w:b/>
        </w:rPr>
      </w:pPr>
      <w:r w:rsidRPr="00131B9D">
        <w:rPr>
          <w:b/>
        </w:rPr>
        <w:t>2.</w:t>
      </w:r>
      <w:r w:rsidRPr="00131B9D">
        <w:rPr>
          <w:b/>
        </w:rPr>
        <w:t xml:space="preserve">　奶粉</w:t>
      </w:r>
    </w:p>
    <w:p w:rsidR="005A7268" w:rsidRPr="00131B9D" w:rsidRDefault="005C2147" w:rsidP="005A7268">
      <w:pPr>
        <w:pStyle w:val="-"/>
        <w:spacing w:before="48" w:after="48"/>
        <w:ind w:firstLine="560"/>
      </w:pPr>
      <w:r w:rsidRPr="00131B9D">
        <w:t>2015</w:t>
      </w:r>
      <w:r w:rsidRPr="00131B9D">
        <w:t>上半年國際奶粉走跌，惟嬰幼兒奶粉價格居高不下，成為國內媒體關注焦點，然而嬰幼兒奶粉</w:t>
      </w:r>
      <w:r w:rsidR="00C22423" w:rsidRPr="00131B9D">
        <w:t>並無</w:t>
      </w:r>
      <w:r w:rsidRPr="00131B9D">
        <w:t>全球參考價格</w:t>
      </w:r>
      <w:r w:rsidR="00C22423" w:rsidRPr="00131B9D">
        <w:t>可供</w:t>
      </w:r>
      <w:r w:rsidRPr="00131B9D">
        <w:t>追蹤，</w:t>
      </w:r>
      <w:r w:rsidR="00D92BD2" w:rsidRPr="00131B9D">
        <w:t>若以</w:t>
      </w:r>
      <w:r w:rsidR="00C5755F" w:rsidRPr="00131B9D">
        <w:t>今年</w:t>
      </w:r>
      <w:r w:rsidR="00C5755F" w:rsidRPr="00131B9D">
        <w:t>3</w:t>
      </w:r>
      <w:r w:rsidR="00C5755F" w:rsidRPr="00131B9D">
        <w:t>月上線之</w:t>
      </w:r>
      <w:r w:rsidR="00D92BD2" w:rsidRPr="00131B9D">
        <w:t>物價資訊看板平台</w:t>
      </w:r>
      <w:r w:rsidR="00C5755F" w:rsidRPr="00131B9D">
        <w:t>查詢，平台在嬰幼兒奶粉類別所提供之品項亦有限</w:t>
      </w:r>
      <w:r w:rsidR="00D92BD2" w:rsidRPr="00131B9D">
        <w:t>，</w:t>
      </w:r>
      <w:r w:rsidRPr="00131B9D">
        <w:t>難以掌握這類特殊品項的價格及供需上的變動，</w:t>
      </w:r>
      <w:r w:rsidR="00C22423" w:rsidRPr="00131B9D">
        <w:t>可提供民眾參考資訊略顯不足</w:t>
      </w:r>
      <w:r w:rsidRPr="00131B9D">
        <w:t>。因此，</w:t>
      </w:r>
      <w:r w:rsidR="00C22423" w:rsidRPr="00131B9D">
        <w:t>建議未來可針對</w:t>
      </w:r>
      <w:r w:rsidRPr="00131B9D">
        <w:t>業界資訊持續定期調查</w:t>
      </w:r>
      <w:r w:rsidR="00C22423" w:rsidRPr="00131B9D">
        <w:t>以</w:t>
      </w:r>
      <w:r w:rsidRPr="00131B9D">
        <w:t>掌握相關價格變動趨勢</w:t>
      </w:r>
      <w:r w:rsidR="00C22423" w:rsidRPr="00131B9D">
        <w:t>，以期可提供民</w:t>
      </w:r>
      <w:r w:rsidR="00CF2828" w:rsidRPr="00131B9D">
        <w:t>生</w:t>
      </w:r>
      <w:r w:rsidR="00C22423" w:rsidRPr="00131B9D">
        <w:t>更完善的資訊</w:t>
      </w:r>
      <w:r w:rsidRPr="00131B9D">
        <w:t>。</w:t>
      </w:r>
    </w:p>
    <w:p w:rsidR="00ED63C2" w:rsidRPr="00131B9D" w:rsidRDefault="00ED63C2" w:rsidP="005A7268">
      <w:pPr>
        <w:pStyle w:val="-"/>
        <w:spacing w:before="48" w:after="48"/>
        <w:ind w:firstLine="560"/>
      </w:pPr>
    </w:p>
    <w:p w:rsidR="00ED63C2" w:rsidRPr="00131B9D" w:rsidRDefault="00ED63C2" w:rsidP="00ED63C2">
      <w:pPr>
        <w:keepNext/>
        <w:spacing w:beforeLines="30" w:before="72" w:afterLines="30" w:after="72" w:line="520" w:lineRule="exact"/>
        <w:outlineLvl w:val="1"/>
        <w:rPr>
          <w:rFonts w:eastAsia="標楷體"/>
          <w:b/>
          <w:sz w:val="48"/>
          <w:szCs w:val="20"/>
        </w:rPr>
      </w:pPr>
      <w:r w:rsidRPr="00131B9D">
        <w:rPr>
          <w:rFonts w:eastAsia="標楷體"/>
          <w:b/>
          <w:sz w:val="48"/>
          <w:szCs w:val="20"/>
        </w:rPr>
        <w:t>三、</w:t>
      </w:r>
      <w:r w:rsidR="000411F4" w:rsidRPr="00131B9D">
        <w:rPr>
          <w:rFonts w:eastAsia="標楷體"/>
          <w:b/>
          <w:sz w:val="48"/>
          <w:szCs w:val="20"/>
        </w:rPr>
        <w:t>其他建議</w:t>
      </w:r>
    </w:p>
    <w:p w:rsidR="005A7268" w:rsidRPr="00131B9D" w:rsidRDefault="004C09CC" w:rsidP="005A7268">
      <w:pPr>
        <w:pStyle w:val="-"/>
        <w:spacing w:before="48" w:after="48"/>
        <w:ind w:firstLineChars="0" w:firstLine="0"/>
        <w:rPr>
          <w:b/>
        </w:rPr>
      </w:pPr>
      <w:r w:rsidRPr="00131B9D">
        <w:rPr>
          <w:b/>
        </w:rPr>
        <w:t>1</w:t>
      </w:r>
      <w:r w:rsidR="005A7268" w:rsidRPr="00131B9D">
        <w:rPr>
          <w:b/>
        </w:rPr>
        <w:t>.</w:t>
      </w:r>
      <w:r w:rsidR="005A7268" w:rsidRPr="00131B9D">
        <w:rPr>
          <w:b/>
        </w:rPr>
        <w:t xml:space="preserve">　</w:t>
      </w:r>
      <w:r w:rsidRPr="00131B9D">
        <w:rPr>
          <w:b/>
        </w:rPr>
        <w:t>針對與論食品廠商反映通路商機制使得價格「易漲難跌」</w:t>
      </w:r>
      <w:r w:rsidR="0083462A" w:rsidRPr="00131B9D">
        <w:rPr>
          <w:b/>
        </w:rPr>
        <w:t>情事</w:t>
      </w:r>
    </w:p>
    <w:p w:rsidR="005A7268" w:rsidRPr="00131B9D" w:rsidRDefault="005A7268" w:rsidP="005A7268">
      <w:pPr>
        <w:pStyle w:val="-"/>
        <w:spacing w:before="48" w:after="48"/>
        <w:ind w:firstLine="560"/>
      </w:pPr>
      <w:r w:rsidRPr="00131B9D">
        <w:t>研究團隊電訪國內食品大廠，廠商針對民生物資價格提出建議如下：</w:t>
      </w:r>
    </w:p>
    <w:p w:rsidR="001B1625" w:rsidRPr="00131B9D" w:rsidRDefault="001B1625" w:rsidP="001B1625">
      <w:pPr>
        <w:pStyle w:val="-"/>
        <w:spacing w:before="48" w:after="48"/>
        <w:ind w:firstLineChars="0" w:firstLine="0"/>
        <w:rPr>
          <w:b/>
        </w:rPr>
      </w:pPr>
      <w:r w:rsidRPr="00131B9D">
        <w:rPr>
          <w:b/>
        </w:rPr>
        <w:t>(1)</w:t>
      </w:r>
      <w:r w:rsidRPr="00131B9D">
        <w:rPr>
          <w:b/>
        </w:rPr>
        <w:t xml:space="preserve">　</w:t>
      </w:r>
      <w:r w:rsidR="005A7268" w:rsidRPr="00131B9D">
        <w:rPr>
          <w:b/>
        </w:rPr>
        <w:t>加強查價，訂定明確價格調整機制</w:t>
      </w:r>
    </w:p>
    <w:p w:rsidR="005A7268" w:rsidRPr="00131B9D" w:rsidRDefault="001B1625" w:rsidP="001B1625">
      <w:pPr>
        <w:pStyle w:val="-"/>
        <w:spacing w:before="48" w:after="48"/>
        <w:ind w:firstLine="560"/>
      </w:pPr>
      <w:r w:rsidRPr="00131B9D">
        <w:t>透過</w:t>
      </w:r>
      <w:r w:rsidR="005A7268" w:rsidRPr="00131B9D">
        <w:t>價格公式</w:t>
      </w:r>
      <w:r w:rsidRPr="00131B9D">
        <w:t>計算</w:t>
      </w:r>
      <w:r w:rsidR="005A7268" w:rsidRPr="00131B9D">
        <w:t>，當成本上升或下降多少百分比時，才能進行價格的變化，廠商建議賣場應有一公開透明的價格變化機制。</w:t>
      </w:r>
    </w:p>
    <w:p w:rsidR="001B1625" w:rsidRPr="00131B9D" w:rsidRDefault="001B1625" w:rsidP="001B1625">
      <w:pPr>
        <w:pStyle w:val="-"/>
        <w:spacing w:before="48" w:after="48"/>
        <w:ind w:firstLineChars="0" w:firstLine="0"/>
        <w:rPr>
          <w:b/>
        </w:rPr>
      </w:pPr>
      <w:r w:rsidRPr="00131B9D">
        <w:rPr>
          <w:b/>
        </w:rPr>
        <w:t>(2)</w:t>
      </w:r>
      <w:r w:rsidRPr="00131B9D">
        <w:rPr>
          <w:b/>
        </w:rPr>
        <w:t xml:space="preserve">　</w:t>
      </w:r>
      <w:r w:rsidR="005A7268" w:rsidRPr="00131B9D">
        <w:rPr>
          <w:b/>
        </w:rPr>
        <w:t>建議政府拍攝宣導短片</w:t>
      </w:r>
    </w:p>
    <w:p w:rsidR="005A7268" w:rsidRPr="00131B9D" w:rsidRDefault="005A7268" w:rsidP="001B1625">
      <w:pPr>
        <w:pStyle w:val="-"/>
        <w:spacing w:before="48" w:after="48"/>
        <w:ind w:firstLine="560"/>
      </w:pPr>
      <w:r w:rsidRPr="00131B9D">
        <w:t>近期食安問題主因近年景氣低迷，民眾選擇商品以低價取勝，導致賣場以低價競爭。廠商無法反映成本，在選擇較低價原物料來源時誤選到劣質與惡性廠商。儘管政府要求廠商標示商品明細，但甚少民眾關注品質。建議利用宣導短片讓民眾對漲價與跌價一樣重視，而不是只要求跌價反對漲價。</w:t>
      </w:r>
    </w:p>
    <w:p w:rsidR="001B1625" w:rsidRPr="00131B9D" w:rsidRDefault="001B1625" w:rsidP="001B1625">
      <w:pPr>
        <w:pStyle w:val="-"/>
        <w:spacing w:before="48" w:after="48"/>
        <w:ind w:firstLineChars="0" w:firstLine="0"/>
        <w:rPr>
          <w:b/>
        </w:rPr>
      </w:pPr>
      <w:r w:rsidRPr="00131B9D">
        <w:rPr>
          <w:b/>
        </w:rPr>
        <w:t>(3)</w:t>
      </w:r>
      <w:r w:rsidRPr="00131B9D">
        <w:rPr>
          <w:b/>
        </w:rPr>
        <w:t xml:space="preserve">　視情況適度介入</w:t>
      </w:r>
      <w:r w:rsidR="006501A8" w:rsidRPr="00131B9D">
        <w:rPr>
          <w:b/>
        </w:rPr>
        <w:t>調節</w:t>
      </w:r>
      <w:r w:rsidRPr="00131B9D">
        <w:rPr>
          <w:b/>
        </w:rPr>
        <w:t>價格</w:t>
      </w:r>
    </w:p>
    <w:p w:rsidR="001B1625" w:rsidRPr="00131B9D" w:rsidRDefault="001B1625" w:rsidP="001B1625">
      <w:pPr>
        <w:pStyle w:val="-"/>
        <w:spacing w:before="48" w:after="48"/>
        <w:ind w:firstLine="560"/>
      </w:pPr>
      <w:r w:rsidRPr="00131B9D">
        <w:t>原則上不建議政府介入干預價格漲跌，惟若屬天災所造成之農產</w:t>
      </w:r>
      <w:r w:rsidRPr="00131B9D">
        <w:lastRenderedPageBreak/>
        <w:t>品價格變化，政府可適度介入。價格變化本來就是市場機制，從歷史上各國進行價格管制的經驗可知，最終結果不是管制無效就是造成某些產品無法於市場上購得，產品價格不降反升。更甚者以廉價劣質產品替代原產品。國內許多民生物資品都有很高的商品替代性</w:t>
      </w:r>
      <w:r w:rsidRPr="00131B9D">
        <w:t>(</w:t>
      </w:r>
      <w:r w:rsidRPr="00131B9D">
        <w:t>如奶粉或沙拉油</w:t>
      </w:r>
      <w:r w:rsidRPr="00131B9D">
        <w:t>)</w:t>
      </w:r>
      <w:r w:rsidRPr="00131B9D">
        <w:t>，在品質上也有相當差異。價格的區隔某種程度也是市場與顧客的區隔。</w:t>
      </w:r>
    </w:p>
    <w:p w:rsidR="001B1625" w:rsidRPr="00131B9D" w:rsidRDefault="001B1625" w:rsidP="001B1625">
      <w:pPr>
        <w:pStyle w:val="-"/>
        <w:spacing w:before="48" w:after="48"/>
        <w:ind w:firstLine="560"/>
      </w:pPr>
      <w:r w:rsidRPr="00131B9D">
        <w:t>不過，對於因天災所造成之農產品價格變化，例如，天災或疾病造成豬肉供不應求，價格上漲呈現「肉貴傷民」的情況，短期供需失衡而造成的價格上漲，使許多</w:t>
      </w:r>
      <w:r w:rsidR="0010089A" w:rsidRPr="00131B9D">
        <w:t>投機者進入此行業。但因為從幼豬到可上市，需要一段時間，最後待成</w:t>
      </w:r>
      <w:r w:rsidRPr="00131B9D">
        <w:t>豬上市時因供應大增導致價格大跌，又變成「肉賤傷農」。此種農產品價格周期性的波動，亦即「蛛網理論」。在上述情況下，研究團隊建議政府適時介入與干預是可行的。</w:t>
      </w:r>
    </w:p>
    <w:p w:rsidR="006501A8" w:rsidRPr="00131B9D" w:rsidRDefault="006501A8" w:rsidP="006501A8">
      <w:pPr>
        <w:pStyle w:val="-"/>
        <w:spacing w:before="48" w:after="48"/>
        <w:ind w:firstLineChars="0" w:firstLine="0"/>
        <w:rPr>
          <w:b/>
        </w:rPr>
      </w:pPr>
      <w:r w:rsidRPr="00131B9D">
        <w:rPr>
          <w:b/>
        </w:rPr>
        <w:t>(4)</w:t>
      </w:r>
      <w:r w:rsidRPr="00131B9D">
        <w:rPr>
          <w:b/>
        </w:rPr>
        <w:t xml:space="preserve">　透過公協會扮演通路商與廠商間溝通橋樑</w:t>
      </w:r>
    </w:p>
    <w:p w:rsidR="006501A8" w:rsidRPr="00131B9D" w:rsidRDefault="006501A8" w:rsidP="006501A8">
      <w:pPr>
        <w:pStyle w:val="-"/>
        <w:spacing w:before="48" w:after="48"/>
        <w:ind w:firstLine="560"/>
      </w:pPr>
      <w:r w:rsidRPr="00131B9D">
        <w:t>政府可以介入通路商與廠商間的不對等關係，但不宜直接採用法律方式強勢介入。研究團隊比較建議藉由公協會力量，請通路商訂定明確價格變動機制。例如，大宗原物料上漲或下跌多少比例，雙方可進行價格變動之溝通。或參考央行邀請外資喝咖啡的方式，在必要或輿論沸騰時機邀請通路商「聊天溝通」。邀請商品多樣之大廠商與通路商聚會，智庫</w:t>
      </w:r>
      <w:r w:rsidRPr="00131B9D">
        <w:t>(</w:t>
      </w:r>
      <w:r w:rsidRPr="00131B9D">
        <w:t>如中經院</w:t>
      </w:r>
      <w:r w:rsidRPr="00131B9D">
        <w:t>)</w:t>
      </w:r>
      <w:r w:rsidRPr="00131B9D">
        <w:t>亦可派員出席，協助政府扮演橋樑溝通之角色。</w:t>
      </w:r>
    </w:p>
    <w:p w:rsidR="001B1625" w:rsidRPr="00131B9D" w:rsidRDefault="001B1625" w:rsidP="005A7268">
      <w:pPr>
        <w:pStyle w:val="-"/>
        <w:spacing w:before="48" w:after="48"/>
        <w:ind w:firstLineChars="0" w:firstLine="0"/>
        <w:rPr>
          <w:b/>
        </w:rPr>
      </w:pPr>
    </w:p>
    <w:p w:rsidR="001B1625" w:rsidRPr="00131B9D" w:rsidRDefault="001B1625" w:rsidP="005A7268">
      <w:pPr>
        <w:pStyle w:val="-"/>
        <w:spacing w:before="48" w:after="48"/>
        <w:ind w:firstLineChars="0" w:firstLine="0"/>
        <w:rPr>
          <w:b/>
        </w:rPr>
        <w:sectPr w:rsidR="001B1625" w:rsidRPr="00131B9D" w:rsidSect="003D2BBF">
          <w:footerReference w:type="default" r:id="rId128"/>
          <w:pgSz w:w="11906" w:h="16838"/>
          <w:pgMar w:top="1440" w:right="1800" w:bottom="1440" w:left="1800" w:header="851" w:footer="992" w:gutter="0"/>
          <w:cols w:space="425"/>
          <w:docGrid w:linePitch="360"/>
        </w:sectPr>
      </w:pPr>
    </w:p>
    <w:p w:rsidR="009B62F2" w:rsidRPr="00131B9D" w:rsidRDefault="003D2BBF" w:rsidP="00402957">
      <w:pPr>
        <w:pStyle w:val="1"/>
        <w:rPr>
          <w:rFonts w:hAnsi="Times New Roman"/>
        </w:rPr>
      </w:pPr>
      <w:bookmarkStart w:id="477" w:name="_Toc439162977"/>
      <w:r w:rsidRPr="00131B9D">
        <w:rPr>
          <w:rFonts w:hAnsi="Times New Roman"/>
        </w:rPr>
        <w:lastRenderedPageBreak/>
        <w:t>陸</w:t>
      </w:r>
      <w:r w:rsidR="009B62F2" w:rsidRPr="00131B9D">
        <w:rPr>
          <w:rFonts w:hAnsi="Times New Roman"/>
        </w:rPr>
        <w:t>、參考文獻</w:t>
      </w:r>
      <w:bookmarkEnd w:id="477"/>
    </w:p>
    <w:p w:rsidR="009B62F2" w:rsidRPr="00131B9D" w:rsidRDefault="009264B2" w:rsidP="00326534">
      <w:pPr>
        <w:rPr>
          <w:rFonts w:eastAsia="標楷體"/>
          <w:sz w:val="36"/>
        </w:rPr>
      </w:pPr>
      <w:bookmarkStart w:id="478" w:name="_Toc394499166"/>
      <w:bookmarkStart w:id="479" w:name="_Toc330906322"/>
      <w:bookmarkStart w:id="480" w:name="_Toc330909522"/>
      <w:bookmarkStart w:id="481" w:name="_Toc373761950"/>
      <w:r w:rsidRPr="00131B9D">
        <w:rPr>
          <w:rFonts w:eastAsia="標楷體"/>
          <w:sz w:val="36"/>
        </w:rPr>
        <w:t>參考網站：</w:t>
      </w:r>
      <w:bookmarkEnd w:id="478"/>
    </w:p>
    <w:tbl>
      <w:tblPr>
        <w:tblW w:w="9468" w:type="dxa"/>
        <w:tblLook w:val="01E0" w:firstRow="1" w:lastRow="1" w:firstColumn="1" w:lastColumn="1" w:noHBand="0" w:noVBand="0"/>
      </w:tblPr>
      <w:tblGrid>
        <w:gridCol w:w="9468"/>
      </w:tblGrid>
      <w:tr w:rsidR="009264B2" w:rsidRPr="00131B9D" w:rsidTr="00515B9D">
        <w:tc>
          <w:tcPr>
            <w:tcW w:w="8952" w:type="dxa"/>
          </w:tcPr>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中央氣象局，</w:t>
            </w:r>
            <w:hyperlink r:id="rId129" w:history="1">
              <w:r w:rsidRPr="00131B9D">
                <w:rPr>
                  <w:rStyle w:val="afe"/>
                  <w:rFonts w:ascii="Times New Roman" w:eastAsia="標楷體" w:hAnsi="Times New Roman"/>
                  <w:sz w:val="28"/>
                </w:rPr>
                <w:t>http://www.cwb.gov.tw/V7/index.htm</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經濟部水利署，</w:t>
            </w:r>
            <w:hyperlink r:id="rId130" w:history="1">
              <w:r w:rsidRPr="00131B9D">
                <w:rPr>
                  <w:rStyle w:val="afe"/>
                  <w:rFonts w:ascii="Times New Roman" w:eastAsia="標楷體" w:hAnsi="Times New Roman"/>
                  <w:sz w:val="28"/>
                </w:rPr>
                <w:t>http://www.wra.gov.tw/</w:t>
              </w:r>
            </w:hyperlink>
            <w:r w:rsidRPr="00131B9D">
              <w:rPr>
                <w:rFonts w:ascii="Times New Roman" w:eastAsia="標楷體" w:hAnsi="Times New Roman" w:cs="Times New Roman"/>
                <w:sz w:val="28"/>
              </w:rPr>
              <w:t xml:space="preserve"> </w:t>
            </w:r>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聯合國糧農組織</w:t>
            </w:r>
            <w:r w:rsidRPr="00131B9D">
              <w:rPr>
                <w:rFonts w:ascii="Times New Roman" w:eastAsia="標楷體" w:hAnsi="Times New Roman" w:cs="Times New Roman"/>
                <w:sz w:val="28"/>
              </w:rPr>
              <w:t>(FAO)</w:t>
            </w:r>
            <w:r w:rsidRPr="00131B9D">
              <w:rPr>
                <w:rFonts w:ascii="Times New Roman" w:eastAsia="標楷體" w:hAnsi="Times New Roman" w:cs="Times New Roman"/>
                <w:sz w:val="28"/>
              </w:rPr>
              <w:t>，</w:t>
            </w:r>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行政院農委會，</w:t>
            </w:r>
            <w:hyperlink r:id="rId131" w:history="1">
              <w:r w:rsidRPr="00131B9D">
                <w:rPr>
                  <w:rStyle w:val="afe"/>
                  <w:rFonts w:ascii="Times New Roman" w:eastAsia="標楷體" w:hAnsi="Times New Roman"/>
                  <w:sz w:val="28"/>
                </w:rPr>
                <w:t>http://agrstat.coa.gov.tw/sdweb/public/book/Book.aspx</w:t>
              </w:r>
            </w:hyperlink>
          </w:p>
        </w:tc>
      </w:tr>
      <w:tr w:rsidR="009264B2" w:rsidRPr="00131B9D" w:rsidTr="00515B9D">
        <w:tc>
          <w:tcPr>
            <w:tcW w:w="8952" w:type="dxa"/>
          </w:tcPr>
          <w:p w:rsidR="009264B2" w:rsidRPr="00131B9D" w:rsidRDefault="00D20FD8"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禽</w:t>
            </w:r>
            <w:r w:rsidR="009264B2" w:rsidRPr="00131B9D">
              <w:rPr>
                <w:rFonts w:ascii="Times New Roman" w:eastAsia="標楷體" w:hAnsi="Times New Roman" w:cs="Times New Roman"/>
                <w:sz w:val="28"/>
              </w:rPr>
              <w:t>流感資訊專區，</w:t>
            </w:r>
            <w:hyperlink r:id="rId132" w:history="1">
              <w:r w:rsidR="009264B2" w:rsidRPr="00131B9D">
                <w:rPr>
                  <w:rStyle w:val="afe"/>
                  <w:rFonts w:ascii="Times New Roman" w:eastAsia="標楷體" w:hAnsi="Times New Roman"/>
                  <w:sz w:val="28"/>
                </w:rPr>
                <w:t>http://ai.gov.tw/index.php?id=230</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行政院農委會畜產行情資訊網，</w:t>
            </w:r>
            <w:hyperlink r:id="rId133" w:history="1">
              <w:r w:rsidRPr="00131B9D">
                <w:rPr>
                  <w:rStyle w:val="afe"/>
                  <w:rFonts w:ascii="Times New Roman" w:eastAsia="標楷體" w:hAnsi="Times New Roman"/>
                  <w:sz w:val="28"/>
                </w:rPr>
                <w:t>http://ppg.naif.org.tw/naif/MarketInformation/Poultry/TranStatistics.aspx</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財團法人中央畜產會，</w:t>
            </w:r>
            <w:hyperlink r:id="rId134" w:history="1">
              <w:r w:rsidRPr="00131B9D">
                <w:rPr>
                  <w:rStyle w:val="afe"/>
                  <w:rFonts w:ascii="Times New Roman" w:eastAsia="標楷體" w:hAnsi="Times New Roman"/>
                  <w:sz w:val="28"/>
                </w:rPr>
                <w:t>http://www.naif.org.tw/naifOrigin.aspx?frontTitleMenuID=7</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中華民國養雞協會，</w:t>
            </w:r>
            <w:hyperlink r:id="rId135" w:history="1">
              <w:r w:rsidRPr="00131B9D">
                <w:rPr>
                  <w:rStyle w:val="afe"/>
                  <w:rFonts w:ascii="Times New Roman" w:eastAsia="標楷體" w:hAnsi="Times New Roman"/>
                  <w:sz w:val="28"/>
                </w:rPr>
                <w:t>http://www.poultry.org.tw/</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美國農業部《</w:t>
            </w:r>
            <w:r w:rsidRPr="00131B9D">
              <w:rPr>
                <w:rFonts w:ascii="Times New Roman" w:eastAsia="標楷體" w:hAnsi="Times New Roman" w:cs="Times New Roman"/>
                <w:sz w:val="28"/>
              </w:rPr>
              <w:t>Sugar: World Markets and Trade</w:t>
            </w:r>
            <w:r w:rsidRPr="00131B9D">
              <w:rPr>
                <w:rFonts w:ascii="Times New Roman" w:eastAsia="標楷體" w:hAnsi="Times New Roman" w:cs="Times New Roman"/>
                <w:sz w:val="28"/>
              </w:rPr>
              <w:t>》，</w:t>
            </w:r>
            <w:hyperlink r:id="rId136" w:history="1">
              <w:r w:rsidRPr="00131B9D">
                <w:rPr>
                  <w:rStyle w:val="afe"/>
                  <w:rFonts w:ascii="Times New Roman" w:eastAsia="標楷體" w:hAnsi="Times New Roman"/>
                  <w:sz w:val="28"/>
                </w:rPr>
                <w:t>https://apps.fas.usda.gov/psdonline/circulars/sugar.pdf</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經濟部國際貿易局，</w:t>
            </w:r>
            <w:hyperlink r:id="rId137" w:history="1">
              <w:r w:rsidRPr="00131B9D">
                <w:rPr>
                  <w:rStyle w:val="afe"/>
                  <w:rFonts w:ascii="Times New Roman" w:eastAsia="標楷體" w:hAnsi="Times New Roman"/>
                  <w:sz w:val="28"/>
                </w:rPr>
                <w:t>http://www.trade.gov.tw/</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富邦證券，</w:t>
            </w:r>
            <w:hyperlink r:id="rId138" w:history="1">
              <w:r w:rsidRPr="00131B9D">
                <w:rPr>
                  <w:rStyle w:val="afe"/>
                  <w:rFonts w:ascii="Times New Roman" w:eastAsia="標楷體" w:hAnsi="Times New Roman"/>
                  <w:sz w:val="28"/>
                </w:rPr>
                <w:t>http://fund.bot.com.tw/z/ze/zeq/zeqa_D0190020.djhtm</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能源局，</w:t>
            </w:r>
            <w:r w:rsidRPr="00131B9D">
              <w:rPr>
                <w:rFonts w:ascii="Times New Roman" w:eastAsia="標楷體" w:hAnsi="Times New Roman" w:cs="Times New Roman"/>
                <w:sz w:val="28"/>
              </w:rPr>
              <w:t xml:space="preserve"> </w:t>
            </w:r>
            <w:hyperlink r:id="rId139" w:history="1">
              <w:r w:rsidRPr="00131B9D">
                <w:rPr>
                  <w:rStyle w:val="afe"/>
                  <w:rFonts w:ascii="Times New Roman" w:eastAsia="標楷體" w:hAnsi="Times New Roman"/>
                  <w:sz w:val="28"/>
                </w:rPr>
                <w:t>http://www.moeaboe.gov.tw/</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美國農業部（</w:t>
            </w:r>
            <w:r w:rsidRPr="00131B9D">
              <w:rPr>
                <w:rFonts w:ascii="Times New Roman" w:eastAsia="標楷體" w:hAnsi="Times New Roman" w:cs="Times New Roman"/>
                <w:sz w:val="28"/>
              </w:rPr>
              <w:t>USDA</w:t>
            </w:r>
            <w:r w:rsidRPr="00131B9D">
              <w:rPr>
                <w:rFonts w:ascii="Times New Roman" w:eastAsia="標楷體" w:hAnsi="Times New Roman" w:cs="Times New Roman"/>
                <w:sz w:val="28"/>
              </w:rPr>
              <w:t>），</w:t>
            </w:r>
            <w:r w:rsidRPr="00131B9D">
              <w:rPr>
                <w:rFonts w:ascii="Times New Roman" w:eastAsia="標楷體" w:hAnsi="Times New Roman" w:cs="Times New Roman"/>
                <w:sz w:val="28"/>
              </w:rPr>
              <w:t xml:space="preserve"> </w:t>
            </w:r>
            <w:hyperlink r:id="rId140" w:history="1">
              <w:r w:rsidRPr="00131B9D">
                <w:rPr>
                  <w:rStyle w:val="afe"/>
                  <w:rFonts w:ascii="Times New Roman" w:eastAsia="標楷體" w:hAnsi="Times New Roman"/>
                  <w:sz w:val="28"/>
                </w:rPr>
                <w:t>http://www.usda.gov</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國際榖物協會（</w:t>
            </w:r>
            <w:r w:rsidRPr="00131B9D">
              <w:rPr>
                <w:rFonts w:ascii="Times New Roman" w:eastAsia="標楷體" w:hAnsi="Times New Roman" w:cs="Times New Roman"/>
                <w:sz w:val="28"/>
              </w:rPr>
              <w:t>IGC</w:t>
            </w:r>
            <w:r w:rsidRPr="00131B9D">
              <w:rPr>
                <w:rFonts w:ascii="Times New Roman" w:eastAsia="標楷體" w:hAnsi="Times New Roman" w:cs="Times New Roman"/>
                <w:sz w:val="28"/>
              </w:rPr>
              <w:t>），</w:t>
            </w:r>
            <w:hyperlink r:id="rId141" w:history="1">
              <w:r w:rsidRPr="00131B9D">
                <w:rPr>
                  <w:rStyle w:val="afe"/>
                  <w:rFonts w:ascii="Times New Roman" w:eastAsia="標楷體" w:hAnsi="Times New Roman"/>
                  <w:sz w:val="28"/>
                </w:rPr>
                <w:t>http://www.igc.int</w:t>
              </w:r>
            </w:hyperlink>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長江有色金屬網，</w:t>
            </w:r>
            <w:r w:rsidRPr="00131B9D">
              <w:rPr>
                <w:rFonts w:ascii="Times New Roman" w:eastAsia="標楷體" w:hAnsi="Times New Roman" w:cs="Times New Roman"/>
                <w:sz w:val="28"/>
              </w:rPr>
              <w:t>http://www.ccmn.cn</w:t>
            </w:r>
          </w:p>
          <w:p w:rsidR="009264B2" w:rsidRPr="00131B9D" w:rsidRDefault="009264B2" w:rsidP="00BD6C96">
            <w:pPr>
              <w:pStyle w:val="affe"/>
              <w:numPr>
                <w:ilvl w:val="0"/>
                <w:numId w:val="24"/>
              </w:numPr>
              <w:ind w:leftChars="0"/>
              <w:rPr>
                <w:rFonts w:ascii="Times New Roman" w:eastAsia="標楷體" w:hAnsi="Times New Roman" w:cs="Times New Roman"/>
                <w:sz w:val="28"/>
              </w:rPr>
            </w:pPr>
            <w:r w:rsidRPr="00131B9D">
              <w:rPr>
                <w:rFonts w:ascii="Times New Roman" w:eastAsia="標楷體" w:hAnsi="Times New Roman" w:cs="Times New Roman"/>
                <w:sz w:val="28"/>
              </w:rPr>
              <w:t>富寶小金屬網，</w:t>
            </w:r>
            <w:r w:rsidRPr="00131B9D">
              <w:rPr>
                <w:rFonts w:ascii="Times New Roman" w:eastAsia="標楷體" w:hAnsi="Times New Roman" w:cs="Times New Roman"/>
                <w:sz w:val="28"/>
              </w:rPr>
              <w:t>http://xjs.f139.com/</w:t>
            </w:r>
          </w:p>
        </w:tc>
      </w:tr>
    </w:tbl>
    <w:p w:rsidR="009264B2" w:rsidRPr="00131B9D" w:rsidRDefault="009264B2" w:rsidP="009264B2"/>
    <w:p w:rsidR="00A41F4E" w:rsidRPr="00131B9D" w:rsidRDefault="00A41F4E" w:rsidP="00D56976">
      <w:pPr>
        <w:sectPr w:rsidR="00A41F4E" w:rsidRPr="00131B9D" w:rsidSect="008109A9">
          <w:pgSz w:w="11906" w:h="16838"/>
          <w:pgMar w:top="851" w:right="1644" w:bottom="851" w:left="1440" w:header="851" w:footer="992" w:gutter="0"/>
          <w:cols w:space="425"/>
          <w:docGrid w:linePitch="360"/>
        </w:sectPr>
      </w:pPr>
    </w:p>
    <w:p w:rsidR="009B62F2" w:rsidRPr="00131B9D" w:rsidRDefault="009B62F2" w:rsidP="00D56976"/>
    <w:p w:rsidR="009B62F2" w:rsidRPr="00131B9D" w:rsidRDefault="009B62F2"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F70766" w:rsidRPr="00131B9D" w:rsidRDefault="00F70766" w:rsidP="00D56976"/>
    <w:p w:rsidR="009B62F2" w:rsidRPr="00131B9D" w:rsidRDefault="009B62F2" w:rsidP="00D56976"/>
    <w:p w:rsidR="009B62F2" w:rsidRPr="00131B9D" w:rsidRDefault="009B62F2" w:rsidP="00D56976"/>
    <w:p w:rsidR="009B62F2" w:rsidRPr="00131B9D" w:rsidRDefault="009B62F2" w:rsidP="00D56976"/>
    <w:p w:rsidR="009B62F2" w:rsidRPr="00131B9D" w:rsidRDefault="009B62F2" w:rsidP="00D56976"/>
    <w:p w:rsidR="009B62F2" w:rsidRPr="00131B9D" w:rsidRDefault="009B62F2" w:rsidP="00D56976"/>
    <w:p w:rsidR="009B62F2" w:rsidRPr="00131B9D" w:rsidRDefault="009B62F2" w:rsidP="00402957">
      <w:pPr>
        <w:pStyle w:val="1"/>
        <w:rPr>
          <w:rFonts w:hAnsi="Times New Roman"/>
        </w:rPr>
      </w:pPr>
      <w:bookmarkStart w:id="482" w:name="_Toc439162978"/>
      <w:r w:rsidRPr="00131B9D">
        <w:rPr>
          <w:rFonts w:hAnsi="Times New Roman"/>
        </w:rPr>
        <w:t>附件一、原物料各項價格變動附表</w:t>
      </w:r>
      <w:bookmarkEnd w:id="473"/>
      <w:bookmarkEnd w:id="479"/>
      <w:bookmarkEnd w:id="480"/>
      <w:bookmarkEnd w:id="481"/>
      <w:bookmarkEnd w:id="482"/>
    </w:p>
    <w:p w:rsidR="00A41F4E" w:rsidRPr="00131B9D" w:rsidRDefault="00A41F4E" w:rsidP="0067171C">
      <w:pPr>
        <w:pStyle w:val="aff1"/>
        <w:spacing w:afterLines="50" w:after="120"/>
      </w:pPr>
      <w:bookmarkStart w:id="483" w:name="_Toc375298468"/>
      <w:bookmarkStart w:id="484" w:name="_Toc398910003"/>
      <w:bookmarkStart w:id="485" w:name="_Toc330539044"/>
      <w:bookmarkStart w:id="486" w:name="_Toc373682424"/>
      <w:bookmarkStart w:id="487" w:name="_Toc330909523"/>
      <w:bookmarkStart w:id="488" w:name="_Toc365015482"/>
      <w:bookmarkStart w:id="489" w:name="_Toc373682596"/>
    </w:p>
    <w:p w:rsidR="00A41F4E" w:rsidRPr="00131B9D" w:rsidRDefault="00A41F4E" w:rsidP="0067171C">
      <w:pPr>
        <w:pStyle w:val="aff1"/>
        <w:spacing w:afterLines="50" w:after="120"/>
        <w:sectPr w:rsidR="00A41F4E" w:rsidRPr="00131B9D" w:rsidSect="00A41F4E">
          <w:type w:val="oddPage"/>
          <w:pgSz w:w="11906" w:h="16838"/>
          <w:pgMar w:top="851" w:right="1644" w:bottom="851" w:left="1440" w:header="851" w:footer="992" w:gutter="0"/>
          <w:cols w:space="425"/>
          <w:docGrid w:linePitch="360"/>
        </w:sectPr>
      </w:pPr>
    </w:p>
    <w:p w:rsidR="009B62F2" w:rsidRPr="00131B9D" w:rsidRDefault="00AF70C3" w:rsidP="00CD2B44">
      <w:pPr>
        <w:pStyle w:val="aff1"/>
        <w:spacing w:line="0" w:lineRule="atLeast"/>
      </w:pPr>
      <w:bookmarkStart w:id="490" w:name="_Toc439163014"/>
      <w:r w:rsidRPr="00131B9D">
        <w:lastRenderedPageBreak/>
        <w:t xml:space="preserve">A-1- </w:t>
      </w:r>
      <w:r w:rsidR="002F5B6D" w:rsidRPr="00131B9D">
        <w:fldChar w:fldCharType="begin"/>
      </w:r>
      <w:r w:rsidRPr="00131B9D">
        <w:instrText xml:space="preserve"> SEQ A-1- \* ARABIC </w:instrText>
      </w:r>
      <w:r w:rsidR="002F5B6D" w:rsidRPr="00131B9D">
        <w:fldChar w:fldCharType="separate"/>
      </w:r>
      <w:r w:rsidR="001641D3">
        <w:rPr>
          <w:noProof/>
        </w:rPr>
        <w:t>1</w:t>
      </w:r>
      <w:r w:rsidR="002F5B6D" w:rsidRPr="00131B9D">
        <w:fldChar w:fldCharType="end"/>
      </w:r>
      <w:r w:rsidRPr="00131B9D">
        <w:rPr>
          <w:b w:val="0"/>
        </w:rPr>
        <w:t xml:space="preserve">　</w:t>
      </w:r>
      <w:r w:rsidRPr="00131B9D">
        <w:t>農工原物料年均價格變動情形</w:t>
      </w:r>
      <w:bookmarkEnd w:id="483"/>
      <w:bookmarkEnd w:id="484"/>
      <w:bookmarkEnd w:id="490"/>
    </w:p>
    <w:tbl>
      <w:tblPr>
        <w:tblW w:w="9923"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993"/>
        <w:gridCol w:w="992"/>
        <w:gridCol w:w="1134"/>
        <w:gridCol w:w="1134"/>
        <w:gridCol w:w="851"/>
        <w:gridCol w:w="1134"/>
        <w:gridCol w:w="1134"/>
        <w:gridCol w:w="709"/>
        <w:gridCol w:w="1842"/>
      </w:tblGrid>
      <w:tr w:rsidR="00BB2F1F" w:rsidRPr="00131B9D" w:rsidTr="00384781">
        <w:trPr>
          <w:trHeight w:val="20"/>
          <w:jc w:val="center"/>
        </w:trPr>
        <w:tc>
          <w:tcPr>
            <w:tcW w:w="1985" w:type="dxa"/>
            <w:gridSpan w:val="2"/>
            <w:vMerge w:val="restart"/>
            <w:shd w:val="clear" w:color="auto" w:fill="D9D9D9"/>
            <w:vAlign w:val="center"/>
          </w:tcPr>
          <w:bookmarkEnd w:id="474"/>
          <w:bookmarkEnd w:id="485"/>
          <w:bookmarkEnd w:id="486"/>
          <w:bookmarkEnd w:id="487"/>
          <w:bookmarkEnd w:id="488"/>
          <w:bookmarkEnd w:id="489"/>
          <w:p w:rsidR="00BB2F1F" w:rsidRPr="00131B9D" w:rsidRDefault="00BB2F1F" w:rsidP="00384781">
            <w:pPr>
              <w:widowControl/>
              <w:snapToGrid w:val="0"/>
              <w:spacing w:line="240" w:lineRule="exact"/>
              <w:jc w:val="center"/>
              <w:rPr>
                <w:rFonts w:eastAsia="標楷體"/>
                <w:b/>
                <w:bCs/>
                <w:kern w:val="0"/>
                <w:sz w:val="20"/>
                <w:szCs w:val="20"/>
              </w:rPr>
            </w:pPr>
            <w:r w:rsidRPr="00131B9D">
              <w:rPr>
                <w:rFonts w:eastAsia="標楷體"/>
                <w:b/>
                <w:bCs/>
                <w:kern w:val="0"/>
                <w:sz w:val="20"/>
                <w:szCs w:val="20"/>
              </w:rPr>
              <w:t>項目</w:t>
            </w:r>
          </w:p>
        </w:tc>
        <w:tc>
          <w:tcPr>
            <w:tcW w:w="3119" w:type="dxa"/>
            <w:gridSpan w:val="3"/>
            <w:shd w:val="clear" w:color="auto" w:fill="D9D9D9"/>
            <w:vAlign w:val="center"/>
          </w:tcPr>
          <w:p w:rsidR="00BB2F1F" w:rsidRPr="00131B9D" w:rsidRDefault="00BB2F1F" w:rsidP="00384781">
            <w:pPr>
              <w:widowControl/>
              <w:snapToGrid w:val="0"/>
              <w:spacing w:line="240" w:lineRule="exact"/>
              <w:jc w:val="center"/>
              <w:rPr>
                <w:rFonts w:eastAsia="標楷體"/>
                <w:b/>
                <w:bCs/>
                <w:kern w:val="0"/>
                <w:sz w:val="20"/>
                <w:szCs w:val="20"/>
              </w:rPr>
            </w:pPr>
            <w:r w:rsidRPr="00131B9D">
              <w:rPr>
                <w:rFonts w:eastAsia="標楷體"/>
                <w:b/>
                <w:bCs/>
                <w:kern w:val="0"/>
                <w:sz w:val="20"/>
                <w:szCs w:val="20"/>
              </w:rPr>
              <w:t>國際價格</w:t>
            </w:r>
          </w:p>
        </w:tc>
        <w:tc>
          <w:tcPr>
            <w:tcW w:w="2977" w:type="dxa"/>
            <w:gridSpan w:val="3"/>
            <w:shd w:val="clear" w:color="auto" w:fill="D9D9D9"/>
            <w:vAlign w:val="center"/>
          </w:tcPr>
          <w:p w:rsidR="00BB2F1F" w:rsidRPr="00131B9D" w:rsidRDefault="00BB2F1F" w:rsidP="00384781">
            <w:pPr>
              <w:widowControl/>
              <w:snapToGrid w:val="0"/>
              <w:spacing w:line="240" w:lineRule="exact"/>
              <w:jc w:val="center"/>
              <w:rPr>
                <w:rFonts w:eastAsia="標楷體"/>
                <w:b/>
                <w:bCs/>
                <w:kern w:val="0"/>
                <w:sz w:val="20"/>
                <w:szCs w:val="20"/>
              </w:rPr>
            </w:pPr>
            <w:r w:rsidRPr="00131B9D">
              <w:rPr>
                <w:rFonts w:eastAsia="標楷體"/>
                <w:b/>
                <w:bCs/>
                <w:kern w:val="0"/>
                <w:sz w:val="20"/>
                <w:szCs w:val="20"/>
              </w:rPr>
              <w:t>國內價格</w:t>
            </w:r>
          </w:p>
        </w:tc>
        <w:tc>
          <w:tcPr>
            <w:tcW w:w="1842" w:type="dxa"/>
            <w:vMerge w:val="restart"/>
            <w:shd w:val="clear" w:color="auto" w:fill="D9D9D9"/>
            <w:vAlign w:val="center"/>
          </w:tcPr>
          <w:p w:rsidR="00BB2F1F" w:rsidRPr="00131B9D" w:rsidRDefault="00BB2F1F" w:rsidP="00384781">
            <w:pPr>
              <w:widowControl/>
              <w:snapToGrid w:val="0"/>
              <w:spacing w:line="240" w:lineRule="exact"/>
              <w:jc w:val="center"/>
              <w:rPr>
                <w:rFonts w:eastAsia="標楷體"/>
                <w:b/>
                <w:bCs/>
                <w:kern w:val="0"/>
                <w:sz w:val="20"/>
                <w:szCs w:val="20"/>
              </w:rPr>
            </w:pPr>
            <w:r w:rsidRPr="00131B9D">
              <w:rPr>
                <w:rFonts w:eastAsia="標楷體"/>
                <w:b/>
                <w:bCs/>
                <w:kern w:val="0"/>
                <w:sz w:val="20"/>
                <w:szCs w:val="20"/>
              </w:rPr>
              <w:t>說明</w:t>
            </w:r>
          </w:p>
        </w:tc>
      </w:tr>
      <w:tr w:rsidR="00BB2F1F" w:rsidRPr="00131B9D" w:rsidTr="00384781">
        <w:trPr>
          <w:trHeight w:val="20"/>
          <w:jc w:val="center"/>
        </w:trPr>
        <w:tc>
          <w:tcPr>
            <w:tcW w:w="1985" w:type="dxa"/>
            <w:gridSpan w:val="2"/>
            <w:vMerge/>
            <w:shd w:val="clear" w:color="auto" w:fill="D9D9D9"/>
            <w:vAlign w:val="center"/>
          </w:tcPr>
          <w:p w:rsidR="00BB2F1F" w:rsidRPr="00131B9D" w:rsidRDefault="00BB2F1F" w:rsidP="00384781">
            <w:pPr>
              <w:widowControl/>
              <w:snapToGrid w:val="0"/>
              <w:spacing w:line="240" w:lineRule="exact"/>
              <w:rPr>
                <w:rFonts w:eastAsia="標楷體"/>
                <w:b/>
                <w:bCs/>
                <w:kern w:val="0"/>
                <w:sz w:val="18"/>
                <w:szCs w:val="18"/>
              </w:rPr>
            </w:pPr>
          </w:p>
        </w:tc>
        <w:tc>
          <w:tcPr>
            <w:tcW w:w="1134" w:type="dxa"/>
            <w:shd w:val="clear" w:color="auto" w:fill="D9D9D9"/>
            <w:vAlign w:val="center"/>
          </w:tcPr>
          <w:p w:rsidR="00BB2F1F" w:rsidRPr="00131B9D" w:rsidRDefault="00BB2F1F" w:rsidP="00384781">
            <w:pPr>
              <w:widowControl/>
              <w:spacing w:line="240" w:lineRule="exact"/>
              <w:jc w:val="center"/>
              <w:rPr>
                <w:rFonts w:eastAsia="標楷體"/>
                <w:b/>
                <w:kern w:val="0"/>
                <w:sz w:val="20"/>
                <w:szCs w:val="20"/>
              </w:rPr>
            </w:pPr>
            <w:r w:rsidRPr="00131B9D">
              <w:rPr>
                <w:rFonts w:eastAsia="標楷體"/>
                <w:sz w:val="20"/>
                <w:szCs w:val="20"/>
              </w:rPr>
              <w:t>2015</w:t>
            </w:r>
            <w:r w:rsidRPr="00131B9D">
              <w:rPr>
                <w:rFonts w:eastAsia="標楷體"/>
                <w:sz w:val="20"/>
                <w:szCs w:val="20"/>
              </w:rPr>
              <w:t>年</w:t>
            </w:r>
            <w:r w:rsidRPr="00131B9D">
              <w:rPr>
                <w:rFonts w:eastAsia="標楷體"/>
                <w:sz w:val="20"/>
                <w:szCs w:val="20"/>
              </w:rPr>
              <w:t>1-11</w:t>
            </w:r>
            <w:r w:rsidRPr="00131B9D">
              <w:rPr>
                <w:rFonts w:eastAsia="標楷體"/>
                <w:sz w:val="20"/>
                <w:szCs w:val="20"/>
              </w:rPr>
              <w:t>月均價</w:t>
            </w:r>
          </w:p>
        </w:tc>
        <w:tc>
          <w:tcPr>
            <w:tcW w:w="1134" w:type="dxa"/>
            <w:shd w:val="clear" w:color="auto" w:fill="D9D9D9"/>
            <w:vAlign w:val="center"/>
          </w:tcPr>
          <w:p w:rsidR="00BB2F1F" w:rsidRPr="00131B9D" w:rsidRDefault="00BB2F1F" w:rsidP="00384781">
            <w:pPr>
              <w:widowControl/>
              <w:spacing w:line="240" w:lineRule="exact"/>
              <w:jc w:val="center"/>
              <w:rPr>
                <w:rFonts w:eastAsia="標楷體"/>
                <w:b/>
                <w:kern w:val="0"/>
                <w:sz w:val="20"/>
                <w:szCs w:val="20"/>
              </w:rPr>
            </w:pPr>
            <w:r w:rsidRPr="00131B9D">
              <w:rPr>
                <w:rFonts w:eastAsia="標楷體"/>
                <w:sz w:val="20"/>
                <w:szCs w:val="20"/>
              </w:rPr>
              <w:t>2014</w:t>
            </w:r>
            <w:r w:rsidRPr="00131B9D">
              <w:rPr>
                <w:rFonts w:eastAsia="標楷體"/>
                <w:sz w:val="20"/>
                <w:szCs w:val="20"/>
              </w:rPr>
              <w:t>年</w:t>
            </w:r>
            <w:r w:rsidRPr="00131B9D">
              <w:rPr>
                <w:rFonts w:eastAsia="標楷體"/>
                <w:sz w:val="20"/>
                <w:szCs w:val="20"/>
              </w:rPr>
              <w:t>1-11</w:t>
            </w:r>
            <w:r w:rsidRPr="00131B9D">
              <w:rPr>
                <w:rFonts w:eastAsia="標楷體"/>
                <w:sz w:val="20"/>
                <w:szCs w:val="20"/>
              </w:rPr>
              <w:t>月均價</w:t>
            </w:r>
          </w:p>
        </w:tc>
        <w:tc>
          <w:tcPr>
            <w:tcW w:w="851" w:type="dxa"/>
            <w:shd w:val="clear" w:color="auto" w:fill="D9D9D9"/>
            <w:vAlign w:val="center"/>
          </w:tcPr>
          <w:p w:rsidR="00BB2F1F" w:rsidRPr="00131B9D" w:rsidRDefault="00BB2F1F" w:rsidP="00384781">
            <w:pPr>
              <w:widowControl/>
              <w:snapToGrid w:val="0"/>
              <w:spacing w:line="240" w:lineRule="exact"/>
              <w:jc w:val="center"/>
              <w:rPr>
                <w:rFonts w:eastAsia="標楷體"/>
                <w:b/>
                <w:bCs/>
                <w:kern w:val="0"/>
                <w:sz w:val="18"/>
                <w:szCs w:val="18"/>
              </w:rPr>
            </w:pPr>
            <w:r w:rsidRPr="00131B9D">
              <w:rPr>
                <w:rFonts w:eastAsia="標楷體"/>
                <w:b/>
                <w:bCs/>
                <w:kern w:val="0"/>
                <w:sz w:val="18"/>
                <w:szCs w:val="18"/>
              </w:rPr>
              <w:t>漲跌幅</w:t>
            </w:r>
          </w:p>
        </w:tc>
        <w:tc>
          <w:tcPr>
            <w:tcW w:w="1134" w:type="dxa"/>
            <w:shd w:val="clear" w:color="auto" w:fill="D9D9D9"/>
            <w:vAlign w:val="center"/>
          </w:tcPr>
          <w:p w:rsidR="00BB2F1F" w:rsidRPr="00131B9D" w:rsidRDefault="00BB2F1F" w:rsidP="00384781">
            <w:pPr>
              <w:widowControl/>
              <w:spacing w:line="240" w:lineRule="exact"/>
              <w:jc w:val="center"/>
              <w:rPr>
                <w:rFonts w:eastAsia="標楷體"/>
                <w:b/>
                <w:kern w:val="0"/>
                <w:sz w:val="20"/>
                <w:szCs w:val="20"/>
              </w:rPr>
            </w:pPr>
            <w:r w:rsidRPr="00131B9D">
              <w:rPr>
                <w:rFonts w:eastAsia="標楷體"/>
                <w:sz w:val="20"/>
                <w:szCs w:val="20"/>
              </w:rPr>
              <w:t>2015</w:t>
            </w:r>
            <w:r w:rsidRPr="00131B9D">
              <w:rPr>
                <w:rFonts w:eastAsia="標楷體"/>
                <w:sz w:val="20"/>
                <w:szCs w:val="20"/>
              </w:rPr>
              <w:t>年</w:t>
            </w:r>
            <w:r w:rsidRPr="00131B9D">
              <w:rPr>
                <w:rFonts w:eastAsia="標楷體"/>
                <w:sz w:val="20"/>
                <w:szCs w:val="20"/>
              </w:rPr>
              <w:t>1-11</w:t>
            </w:r>
            <w:r w:rsidRPr="00131B9D">
              <w:rPr>
                <w:rFonts w:eastAsia="標楷體"/>
                <w:sz w:val="20"/>
                <w:szCs w:val="20"/>
              </w:rPr>
              <w:t>月均價</w:t>
            </w:r>
          </w:p>
        </w:tc>
        <w:tc>
          <w:tcPr>
            <w:tcW w:w="1134" w:type="dxa"/>
            <w:shd w:val="clear" w:color="auto" w:fill="D9D9D9"/>
            <w:vAlign w:val="center"/>
          </w:tcPr>
          <w:p w:rsidR="00BB2F1F" w:rsidRPr="00131B9D" w:rsidRDefault="00BB2F1F" w:rsidP="00384781">
            <w:pPr>
              <w:widowControl/>
              <w:spacing w:line="240" w:lineRule="exact"/>
              <w:jc w:val="center"/>
              <w:rPr>
                <w:rFonts w:eastAsia="標楷體"/>
                <w:b/>
                <w:kern w:val="0"/>
                <w:sz w:val="20"/>
                <w:szCs w:val="20"/>
              </w:rPr>
            </w:pPr>
            <w:r w:rsidRPr="00131B9D">
              <w:rPr>
                <w:rFonts w:eastAsia="標楷體"/>
                <w:sz w:val="20"/>
                <w:szCs w:val="20"/>
              </w:rPr>
              <w:t>2014</w:t>
            </w:r>
            <w:r w:rsidRPr="00131B9D">
              <w:rPr>
                <w:rFonts w:eastAsia="標楷體"/>
                <w:sz w:val="20"/>
                <w:szCs w:val="20"/>
              </w:rPr>
              <w:t>年</w:t>
            </w:r>
            <w:r w:rsidRPr="00131B9D">
              <w:rPr>
                <w:rFonts w:eastAsia="標楷體"/>
                <w:sz w:val="20"/>
                <w:szCs w:val="20"/>
              </w:rPr>
              <w:t>1-11</w:t>
            </w:r>
            <w:r w:rsidRPr="00131B9D">
              <w:rPr>
                <w:rFonts w:eastAsia="標楷體"/>
                <w:sz w:val="20"/>
                <w:szCs w:val="20"/>
              </w:rPr>
              <w:t>月均價</w:t>
            </w:r>
          </w:p>
        </w:tc>
        <w:tc>
          <w:tcPr>
            <w:tcW w:w="709" w:type="dxa"/>
            <w:shd w:val="clear" w:color="auto" w:fill="D9D9D9"/>
            <w:vAlign w:val="center"/>
          </w:tcPr>
          <w:p w:rsidR="00BB2F1F" w:rsidRPr="00131B9D" w:rsidRDefault="00BB2F1F" w:rsidP="00384781">
            <w:pPr>
              <w:widowControl/>
              <w:snapToGrid w:val="0"/>
              <w:spacing w:line="240" w:lineRule="exact"/>
              <w:jc w:val="center"/>
              <w:rPr>
                <w:rFonts w:eastAsia="標楷體"/>
                <w:b/>
                <w:bCs/>
                <w:kern w:val="0"/>
                <w:sz w:val="18"/>
                <w:szCs w:val="18"/>
              </w:rPr>
            </w:pPr>
            <w:r w:rsidRPr="00131B9D">
              <w:rPr>
                <w:rFonts w:eastAsia="標楷體"/>
                <w:b/>
                <w:bCs/>
                <w:kern w:val="0"/>
                <w:sz w:val="18"/>
                <w:szCs w:val="18"/>
              </w:rPr>
              <w:t>漲跌幅</w:t>
            </w:r>
          </w:p>
        </w:tc>
        <w:tc>
          <w:tcPr>
            <w:tcW w:w="1842" w:type="dxa"/>
            <w:vMerge/>
            <w:shd w:val="clear" w:color="auto" w:fill="D9D9D9"/>
            <w:vAlign w:val="center"/>
          </w:tcPr>
          <w:p w:rsidR="00BB2F1F" w:rsidRPr="00131B9D" w:rsidRDefault="00BB2F1F" w:rsidP="00384781">
            <w:pPr>
              <w:widowControl/>
              <w:snapToGrid w:val="0"/>
              <w:spacing w:line="240" w:lineRule="exact"/>
              <w:rPr>
                <w:rFonts w:eastAsia="標楷體"/>
                <w:b/>
                <w:bCs/>
                <w:kern w:val="0"/>
                <w:sz w:val="18"/>
                <w:szCs w:val="18"/>
              </w:rPr>
            </w:pPr>
          </w:p>
        </w:tc>
      </w:tr>
      <w:tr w:rsidR="00BB2F1F" w:rsidRPr="00131B9D" w:rsidTr="00384781">
        <w:trPr>
          <w:trHeight w:val="20"/>
          <w:jc w:val="center"/>
        </w:trPr>
        <w:tc>
          <w:tcPr>
            <w:tcW w:w="993" w:type="dxa"/>
            <w:vAlign w:val="center"/>
          </w:tcPr>
          <w:p w:rsidR="00BB2F1F" w:rsidRPr="00131B9D" w:rsidRDefault="00BB2F1F" w:rsidP="00384781">
            <w:pPr>
              <w:widowControl/>
              <w:spacing w:line="240" w:lineRule="exact"/>
              <w:jc w:val="center"/>
              <w:rPr>
                <w:rFonts w:eastAsia="標楷體"/>
                <w:kern w:val="0"/>
                <w:sz w:val="20"/>
                <w:szCs w:val="20"/>
              </w:rPr>
            </w:pPr>
            <w:r w:rsidRPr="00131B9D">
              <w:rPr>
                <w:rFonts w:eastAsia="標楷體"/>
                <w:b/>
                <w:bCs/>
                <w:kern w:val="0"/>
                <w:sz w:val="20"/>
                <w:szCs w:val="20"/>
              </w:rPr>
              <w:t>國際</w:t>
            </w:r>
          </w:p>
        </w:tc>
        <w:tc>
          <w:tcPr>
            <w:tcW w:w="992" w:type="dxa"/>
            <w:vAlign w:val="center"/>
          </w:tcPr>
          <w:p w:rsidR="00BB2F1F" w:rsidRPr="00131B9D" w:rsidRDefault="00BB2F1F" w:rsidP="00384781">
            <w:pPr>
              <w:widowControl/>
              <w:spacing w:line="240" w:lineRule="exact"/>
              <w:jc w:val="center"/>
              <w:rPr>
                <w:rFonts w:eastAsia="標楷體"/>
                <w:b/>
                <w:kern w:val="0"/>
                <w:sz w:val="20"/>
                <w:szCs w:val="20"/>
              </w:rPr>
            </w:pPr>
            <w:r w:rsidRPr="00131B9D">
              <w:rPr>
                <w:rFonts w:eastAsia="標楷體"/>
                <w:b/>
                <w:kern w:val="0"/>
                <w:sz w:val="20"/>
                <w:szCs w:val="20"/>
              </w:rPr>
              <w:t>國內</w:t>
            </w:r>
          </w:p>
        </w:tc>
        <w:tc>
          <w:tcPr>
            <w:tcW w:w="7938" w:type="dxa"/>
            <w:gridSpan w:val="7"/>
            <w:vAlign w:val="center"/>
          </w:tcPr>
          <w:p w:rsidR="00BB2F1F" w:rsidRPr="00131B9D" w:rsidRDefault="00BB2F1F" w:rsidP="00384781">
            <w:pPr>
              <w:widowControl/>
              <w:spacing w:line="240" w:lineRule="exact"/>
              <w:rPr>
                <w:rFonts w:eastAsia="標楷體"/>
                <w:kern w:val="0"/>
                <w:sz w:val="20"/>
                <w:szCs w:val="20"/>
              </w:rPr>
            </w:pPr>
            <w:r w:rsidRPr="00131B9D">
              <w:rPr>
                <w:rFonts w:eastAsia="標楷體"/>
                <w:b/>
                <w:bCs/>
                <w:kern w:val="0"/>
                <w:sz w:val="20"/>
                <w:szCs w:val="20"/>
              </w:rPr>
              <w:t xml:space="preserve">                       </w:t>
            </w:r>
            <w:r w:rsidRPr="00131B9D">
              <w:rPr>
                <w:rFonts w:eastAsia="標楷體"/>
                <w:b/>
                <w:bCs/>
                <w:kern w:val="0"/>
                <w:sz w:val="20"/>
                <w:szCs w:val="20"/>
              </w:rPr>
              <w:t>大宗物資</w:t>
            </w:r>
          </w:p>
        </w:tc>
      </w:tr>
      <w:tr w:rsidR="00BB2F1F" w:rsidRPr="00131B9D" w:rsidTr="00384781">
        <w:trPr>
          <w:trHeight w:val="20"/>
          <w:jc w:val="center"/>
        </w:trPr>
        <w:tc>
          <w:tcPr>
            <w:tcW w:w="993" w:type="dxa"/>
            <w:vAlign w:val="center"/>
          </w:tcPr>
          <w:p w:rsidR="00BB2F1F" w:rsidRPr="00131B9D" w:rsidRDefault="00BB2F1F" w:rsidP="00384781">
            <w:pPr>
              <w:widowControl/>
              <w:snapToGrid w:val="0"/>
              <w:spacing w:line="276" w:lineRule="auto"/>
              <w:jc w:val="center"/>
              <w:rPr>
                <w:rFonts w:eastAsia="標楷體"/>
                <w:kern w:val="0"/>
                <w:sz w:val="18"/>
                <w:szCs w:val="18"/>
              </w:rPr>
            </w:pPr>
            <w:r w:rsidRPr="00131B9D">
              <w:rPr>
                <w:rFonts w:eastAsia="標楷體"/>
                <w:kern w:val="0"/>
                <w:sz w:val="18"/>
                <w:szCs w:val="18"/>
              </w:rPr>
              <w:t>1.</w:t>
            </w:r>
            <w:r w:rsidRPr="00131B9D">
              <w:rPr>
                <w:rFonts w:eastAsia="標楷體"/>
                <w:kern w:val="0"/>
                <w:sz w:val="18"/>
                <w:szCs w:val="18"/>
              </w:rPr>
              <w:t>黃豆</w:t>
            </w:r>
          </w:p>
        </w:tc>
        <w:tc>
          <w:tcPr>
            <w:tcW w:w="992" w:type="dxa"/>
            <w:vAlign w:val="center"/>
          </w:tcPr>
          <w:p w:rsidR="00BB2F1F" w:rsidRPr="00131B9D" w:rsidRDefault="00BB2F1F" w:rsidP="00384781">
            <w:pPr>
              <w:widowControl/>
              <w:snapToGrid w:val="0"/>
              <w:spacing w:line="276" w:lineRule="auto"/>
              <w:jc w:val="center"/>
              <w:rPr>
                <w:rFonts w:eastAsia="標楷體"/>
                <w:kern w:val="0"/>
                <w:sz w:val="18"/>
                <w:szCs w:val="18"/>
              </w:rPr>
            </w:pPr>
            <w:r w:rsidRPr="00131B9D">
              <w:rPr>
                <w:rFonts w:eastAsia="標楷體"/>
                <w:kern w:val="0"/>
                <w:sz w:val="18"/>
                <w:szCs w:val="18"/>
              </w:rPr>
              <w:t>沙拉油</w:t>
            </w:r>
          </w:p>
        </w:tc>
        <w:tc>
          <w:tcPr>
            <w:tcW w:w="1134" w:type="dxa"/>
            <w:vAlign w:val="center"/>
          </w:tcPr>
          <w:p w:rsidR="00BB2F1F" w:rsidRPr="00131B9D" w:rsidRDefault="00BB2F1F" w:rsidP="00384781">
            <w:pPr>
              <w:snapToGrid w:val="0"/>
              <w:spacing w:line="276" w:lineRule="auto"/>
              <w:jc w:val="center"/>
              <w:rPr>
                <w:sz w:val="18"/>
                <w:szCs w:val="18"/>
              </w:rPr>
            </w:pPr>
            <w:r w:rsidRPr="00131B9D">
              <w:rPr>
                <w:sz w:val="18"/>
                <w:szCs w:val="18"/>
              </w:rPr>
              <w:t>350.33</w:t>
            </w:r>
          </w:p>
        </w:tc>
        <w:tc>
          <w:tcPr>
            <w:tcW w:w="1134" w:type="dxa"/>
            <w:vAlign w:val="center"/>
          </w:tcPr>
          <w:p w:rsidR="00BB2F1F" w:rsidRPr="00131B9D" w:rsidRDefault="00BB2F1F" w:rsidP="00384781">
            <w:pPr>
              <w:snapToGrid w:val="0"/>
              <w:spacing w:line="276" w:lineRule="auto"/>
              <w:jc w:val="center"/>
              <w:rPr>
                <w:sz w:val="18"/>
                <w:szCs w:val="18"/>
              </w:rPr>
            </w:pPr>
            <w:r w:rsidRPr="00131B9D">
              <w:rPr>
                <w:sz w:val="18"/>
                <w:szCs w:val="18"/>
              </w:rPr>
              <w:t>467.11</w:t>
            </w:r>
          </w:p>
        </w:tc>
        <w:tc>
          <w:tcPr>
            <w:tcW w:w="851" w:type="dxa"/>
            <w:vAlign w:val="center"/>
          </w:tcPr>
          <w:p w:rsidR="00BB2F1F" w:rsidRPr="00131B9D" w:rsidRDefault="00BB2F1F" w:rsidP="00384781">
            <w:pPr>
              <w:snapToGrid w:val="0"/>
              <w:spacing w:line="276" w:lineRule="auto"/>
              <w:jc w:val="center"/>
              <w:rPr>
                <w:sz w:val="18"/>
                <w:szCs w:val="18"/>
              </w:rPr>
            </w:pPr>
            <w:r w:rsidRPr="00131B9D">
              <w:rPr>
                <w:sz w:val="18"/>
                <w:szCs w:val="18"/>
              </w:rPr>
              <w:t>-25.00%</w:t>
            </w:r>
          </w:p>
        </w:tc>
        <w:tc>
          <w:tcPr>
            <w:tcW w:w="1134" w:type="dxa"/>
            <w:vAlign w:val="center"/>
          </w:tcPr>
          <w:p w:rsidR="00BB2F1F" w:rsidRPr="00131B9D" w:rsidRDefault="00BB2F1F" w:rsidP="00384781">
            <w:pPr>
              <w:spacing w:line="276" w:lineRule="auto"/>
              <w:jc w:val="center"/>
              <w:rPr>
                <w:sz w:val="18"/>
                <w:szCs w:val="18"/>
              </w:rPr>
            </w:pPr>
            <w:r w:rsidRPr="00131B9D">
              <w:rPr>
                <w:sz w:val="18"/>
                <w:szCs w:val="18"/>
              </w:rPr>
              <w:t>663.92</w:t>
            </w:r>
          </w:p>
        </w:tc>
        <w:tc>
          <w:tcPr>
            <w:tcW w:w="1134" w:type="dxa"/>
            <w:vAlign w:val="center"/>
          </w:tcPr>
          <w:p w:rsidR="00BB2F1F" w:rsidRPr="00131B9D" w:rsidRDefault="00BB2F1F" w:rsidP="00384781">
            <w:pPr>
              <w:spacing w:line="276" w:lineRule="auto"/>
              <w:jc w:val="center"/>
              <w:rPr>
                <w:sz w:val="18"/>
                <w:szCs w:val="18"/>
              </w:rPr>
            </w:pPr>
            <w:r w:rsidRPr="00131B9D">
              <w:rPr>
                <w:sz w:val="18"/>
                <w:szCs w:val="18"/>
              </w:rPr>
              <w:t>771.20</w:t>
            </w:r>
          </w:p>
        </w:tc>
        <w:tc>
          <w:tcPr>
            <w:tcW w:w="709" w:type="dxa"/>
            <w:vAlign w:val="center"/>
          </w:tcPr>
          <w:p w:rsidR="00BB2F1F" w:rsidRPr="00131B9D" w:rsidRDefault="00BB2F1F" w:rsidP="00384781">
            <w:pPr>
              <w:spacing w:line="276" w:lineRule="auto"/>
              <w:jc w:val="center"/>
              <w:rPr>
                <w:sz w:val="18"/>
                <w:szCs w:val="18"/>
              </w:rPr>
            </w:pPr>
            <w:r w:rsidRPr="00131B9D">
              <w:rPr>
                <w:sz w:val="18"/>
                <w:szCs w:val="18"/>
              </w:rPr>
              <w:t>-13.91%</w:t>
            </w:r>
          </w:p>
        </w:tc>
        <w:tc>
          <w:tcPr>
            <w:tcW w:w="1842" w:type="dxa"/>
            <w:vMerge w:val="restart"/>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r w:rsidRPr="00131B9D">
              <w:rPr>
                <w:rFonts w:ascii="新細明體" w:hAnsi="新細明體" w:cs="新細明體" w:hint="eastAsia"/>
                <w:kern w:val="0"/>
                <w:sz w:val="20"/>
                <w:szCs w:val="20"/>
              </w:rPr>
              <w:t>※</w:t>
            </w:r>
            <w:r w:rsidRPr="00131B9D">
              <w:rPr>
                <w:rFonts w:eastAsia="標楷體"/>
                <w:kern w:val="0"/>
                <w:sz w:val="20"/>
                <w:szCs w:val="20"/>
              </w:rPr>
              <w:t>國際小麥、黃豆、玉米及糖之主要生產國產量佳，庫存亦充足，致價格大幅下滑。而乳品亦因生產過剩，價格大跌，但糖價因供需狀況趨緊，近期有明顯走升的趨勢。</w:t>
            </w:r>
          </w:p>
        </w:tc>
      </w:tr>
      <w:tr w:rsidR="00BB2F1F" w:rsidRPr="00131B9D" w:rsidTr="00384781">
        <w:trPr>
          <w:trHeight w:val="20"/>
          <w:jc w:val="center"/>
        </w:trPr>
        <w:tc>
          <w:tcPr>
            <w:tcW w:w="993" w:type="dxa"/>
            <w:vAlign w:val="center"/>
          </w:tcPr>
          <w:p w:rsidR="00BB2F1F" w:rsidRPr="00131B9D" w:rsidRDefault="00BB2F1F" w:rsidP="00384781">
            <w:pPr>
              <w:widowControl/>
              <w:snapToGrid w:val="0"/>
              <w:spacing w:line="276" w:lineRule="auto"/>
              <w:jc w:val="center"/>
              <w:rPr>
                <w:rFonts w:eastAsia="標楷體"/>
                <w:kern w:val="0"/>
                <w:sz w:val="18"/>
                <w:szCs w:val="18"/>
              </w:rPr>
            </w:pPr>
            <w:r w:rsidRPr="00131B9D">
              <w:rPr>
                <w:rFonts w:eastAsia="標楷體"/>
                <w:kern w:val="0"/>
                <w:sz w:val="18"/>
                <w:szCs w:val="18"/>
              </w:rPr>
              <w:t>2.</w:t>
            </w:r>
            <w:r w:rsidRPr="00131B9D">
              <w:rPr>
                <w:rFonts w:eastAsia="標楷體"/>
                <w:kern w:val="0"/>
                <w:sz w:val="18"/>
                <w:szCs w:val="18"/>
              </w:rPr>
              <w:t>小麥</w:t>
            </w:r>
          </w:p>
        </w:tc>
        <w:tc>
          <w:tcPr>
            <w:tcW w:w="992" w:type="dxa"/>
            <w:vAlign w:val="center"/>
          </w:tcPr>
          <w:p w:rsidR="00BB2F1F" w:rsidRPr="00131B9D" w:rsidRDefault="00BB2F1F" w:rsidP="00384781">
            <w:pPr>
              <w:widowControl/>
              <w:snapToGrid w:val="0"/>
              <w:spacing w:line="276" w:lineRule="auto"/>
              <w:jc w:val="center"/>
              <w:rPr>
                <w:rFonts w:eastAsia="標楷體"/>
                <w:kern w:val="0"/>
                <w:sz w:val="18"/>
                <w:szCs w:val="18"/>
              </w:rPr>
            </w:pPr>
            <w:r w:rsidRPr="00131B9D">
              <w:rPr>
                <w:rFonts w:eastAsia="標楷體"/>
                <w:kern w:val="0"/>
                <w:sz w:val="18"/>
                <w:szCs w:val="18"/>
              </w:rPr>
              <w:t>麵粉</w:t>
            </w:r>
          </w:p>
        </w:tc>
        <w:tc>
          <w:tcPr>
            <w:tcW w:w="1134" w:type="dxa"/>
            <w:vAlign w:val="center"/>
          </w:tcPr>
          <w:p w:rsidR="00BB2F1F" w:rsidRPr="00131B9D" w:rsidRDefault="00BB2F1F" w:rsidP="00384781">
            <w:pPr>
              <w:snapToGrid w:val="0"/>
              <w:spacing w:line="276" w:lineRule="auto"/>
              <w:jc w:val="center"/>
              <w:rPr>
                <w:sz w:val="18"/>
                <w:szCs w:val="18"/>
              </w:rPr>
            </w:pPr>
            <w:r w:rsidRPr="00131B9D">
              <w:rPr>
                <w:sz w:val="18"/>
                <w:szCs w:val="18"/>
              </w:rPr>
              <w:t>188.21</w:t>
            </w:r>
          </w:p>
        </w:tc>
        <w:tc>
          <w:tcPr>
            <w:tcW w:w="1134" w:type="dxa"/>
            <w:vAlign w:val="center"/>
          </w:tcPr>
          <w:p w:rsidR="00BB2F1F" w:rsidRPr="00131B9D" w:rsidRDefault="00BB2F1F" w:rsidP="00384781">
            <w:pPr>
              <w:snapToGrid w:val="0"/>
              <w:spacing w:line="276" w:lineRule="auto"/>
              <w:jc w:val="center"/>
              <w:rPr>
                <w:sz w:val="18"/>
                <w:szCs w:val="18"/>
              </w:rPr>
            </w:pPr>
            <w:r w:rsidRPr="00131B9D">
              <w:rPr>
                <w:sz w:val="18"/>
                <w:szCs w:val="18"/>
              </w:rPr>
              <w:t>215.41</w:t>
            </w:r>
          </w:p>
        </w:tc>
        <w:tc>
          <w:tcPr>
            <w:tcW w:w="851" w:type="dxa"/>
            <w:vAlign w:val="center"/>
          </w:tcPr>
          <w:p w:rsidR="00BB2F1F" w:rsidRPr="00131B9D" w:rsidRDefault="00BB2F1F" w:rsidP="00384781">
            <w:pPr>
              <w:snapToGrid w:val="0"/>
              <w:spacing w:line="276" w:lineRule="auto"/>
              <w:jc w:val="center"/>
              <w:rPr>
                <w:sz w:val="18"/>
                <w:szCs w:val="18"/>
              </w:rPr>
            </w:pPr>
            <w:r w:rsidRPr="00131B9D">
              <w:rPr>
                <w:sz w:val="18"/>
                <w:szCs w:val="18"/>
              </w:rPr>
              <w:t>-12.63%</w:t>
            </w:r>
          </w:p>
        </w:tc>
        <w:tc>
          <w:tcPr>
            <w:tcW w:w="1134" w:type="dxa"/>
            <w:vAlign w:val="center"/>
          </w:tcPr>
          <w:p w:rsidR="00BB2F1F" w:rsidRPr="00131B9D" w:rsidRDefault="00BB2F1F" w:rsidP="00384781">
            <w:pPr>
              <w:spacing w:line="276" w:lineRule="auto"/>
              <w:jc w:val="center"/>
              <w:rPr>
                <w:sz w:val="18"/>
                <w:szCs w:val="18"/>
              </w:rPr>
            </w:pPr>
            <w:r w:rsidRPr="00131B9D">
              <w:rPr>
                <w:sz w:val="18"/>
                <w:szCs w:val="18"/>
              </w:rPr>
              <w:t>670</w:t>
            </w:r>
          </w:p>
        </w:tc>
        <w:tc>
          <w:tcPr>
            <w:tcW w:w="1134" w:type="dxa"/>
            <w:vAlign w:val="center"/>
          </w:tcPr>
          <w:p w:rsidR="00BB2F1F" w:rsidRPr="00131B9D" w:rsidRDefault="00BB2F1F" w:rsidP="00384781">
            <w:pPr>
              <w:spacing w:line="276" w:lineRule="auto"/>
              <w:jc w:val="center"/>
              <w:rPr>
                <w:sz w:val="18"/>
                <w:szCs w:val="18"/>
              </w:rPr>
            </w:pPr>
            <w:r w:rsidRPr="00131B9D">
              <w:rPr>
                <w:sz w:val="18"/>
                <w:szCs w:val="18"/>
              </w:rPr>
              <w:t>670</w:t>
            </w:r>
          </w:p>
        </w:tc>
        <w:tc>
          <w:tcPr>
            <w:tcW w:w="709" w:type="dxa"/>
            <w:vAlign w:val="center"/>
          </w:tcPr>
          <w:p w:rsidR="00BB2F1F" w:rsidRPr="00131B9D" w:rsidRDefault="00BB2F1F" w:rsidP="00384781">
            <w:pPr>
              <w:spacing w:line="276" w:lineRule="auto"/>
              <w:jc w:val="center"/>
              <w:rPr>
                <w:sz w:val="18"/>
                <w:szCs w:val="18"/>
              </w:rPr>
            </w:pPr>
            <w:r w:rsidRPr="00131B9D">
              <w:rPr>
                <w:sz w:val="18"/>
                <w:szCs w:val="18"/>
              </w:rPr>
              <w:t>0.00%</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993" w:type="dxa"/>
            <w:vAlign w:val="center"/>
          </w:tcPr>
          <w:p w:rsidR="00BB2F1F" w:rsidRPr="00131B9D" w:rsidRDefault="00BB2F1F" w:rsidP="00384781">
            <w:pPr>
              <w:widowControl/>
              <w:snapToGrid w:val="0"/>
              <w:spacing w:line="276" w:lineRule="auto"/>
              <w:jc w:val="center"/>
              <w:rPr>
                <w:rFonts w:eastAsia="標楷體"/>
                <w:kern w:val="0"/>
                <w:sz w:val="18"/>
                <w:szCs w:val="18"/>
              </w:rPr>
            </w:pPr>
            <w:r w:rsidRPr="00131B9D">
              <w:rPr>
                <w:rFonts w:eastAsia="標楷體"/>
                <w:kern w:val="0"/>
                <w:sz w:val="18"/>
                <w:szCs w:val="18"/>
              </w:rPr>
              <w:t>3.</w:t>
            </w:r>
            <w:r w:rsidRPr="00131B9D">
              <w:rPr>
                <w:rFonts w:eastAsia="標楷體"/>
                <w:kern w:val="0"/>
                <w:sz w:val="18"/>
                <w:szCs w:val="18"/>
              </w:rPr>
              <w:t>玉米</w:t>
            </w:r>
          </w:p>
        </w:tc>
        <w:tc>
          <w:tcPr>
            <w:tcW w:w="992" w:type="dxa"/>
            <w:vAlign w:val="center"/>
          </w:tcPr>
          <w:p w:rsidR="00BB2F1F" w:rsidRPr="00131B9D" w:rsidRDefault="00BB2F1F" w:rsidP="00384781">
            <w:pPr>
              <w:widowControl/>
              <w:snapToGrid w:val="0"/>
              <w:spacing w:line="276" w:lineRule="auto"/>
              <w:jc w:val="center"/>
              <w:rPr>
                <w:rFonts w:eastAsia="標楷體"/>
                <w:kern w:val="0"/>
                <w:sz w:val="18"/>
                <w:szCs w:val="18"/>
              </w:rPr>
            </w:pPr>
            <w:r w:rsidRPr="00131B9D">
              <w:rPr>
                <w:rFonts w:eastAsia="標楷體"/>
                <w:kern w:val="0"/>
                <w:sz w:val="18"/>
                <w:szCs w:val="18"/>
              </w:rPr>
              <w:t>大豬用飼料</w:t>
            </w:r>
          </w:p>
        </w:tc>
        <w:tc>
          <w:tcPr>
            <w:tcW w:w="1134" w:type="dxa"/>
            <w:vAlign w:val="center"/>
          </w:tcPr>
          <w:p w:rsidR="00BB2F1F" w:rsidRPr="00131B9D" w:rsidRDefault="00BB2F1F" w:rsidP="00384781">
            <w:pPr>
              <w:snapToGrid w:val="0"/>
              <w:spacing w:line="276" w:lineRule="auto"/>
              <w:jc w:val="center"/>
              <w:rPr>
                <w:sz w:val="18"/>
                <w:szCs w:val="18"/>
              </w:rPr>
            </w:pPr>
            <w:r w:rsidRPr="00131B9D">
              <w:rPr>
                <w:sz w:val="18"/>
                <w:szCs w:val="18"/>
              </w:rPr>
              <w:t>138.89</w:t>
            </w:r>
          </w:p>
        </w:tc>
        <w:tc>
          <w:tcPr>
            <w:tcW w:w="1134" w:type="dxa"/>
            <w:vAlign w:val="center"/>
          </w:tcPr>
          <w:p w:rsidR="00BB2F1F" w:rsidRPr="00131B9D" w:rsidRDefault="00BB2F1F" w:rsidP="00384781">
            <w:pPr>
              <w:snapToGrid w:val="0"/>
              <w:spacing w:line="276" w:lineRule="auto"/>
              <w:jc w:val="center"/>
              <w:rPr>
                <w:sz w:val="18"/>
                <w:szCs w:val="18"/>
              </w:rPr>
            </w:pPr>
            <w:r w:rsidRPr="00131B9D">
              <w:rPr>
                <w:sz w:val="18"/>
                <w:szCs w:val="18"/>
              </w:rPr>
              <w:t>153.83</w:t>
            </w:r>
          </w:p>
        </w:tc>
        <w:tc>
          <w:tcPr>
            <w:tcW w:w="851" w:type="dxa"/>
            <w:vAlign w:val="center"/>
          </w:tcPr>
          <w:p w:rsidR="00BB2F1F" w:rsidRPr="00131B9D" w:rsidRDefault="00BB2F1F" w:rsidP="00384781">
            <w:pPr>
              <w:snapToGrid w:val="0"/>
              <w:spacing w:line="276" w:lineRule="auto"/>
              <w:jc w:val="center"/>
              <w:rPr>
                <w:sz w:val="18"/>
                <w:szCs w:val="18"/>
              </w:rPr>
            </w:pPr>
            <w:r w:rsidRPr="00131B9D">
              <w:rPr>
                <w:sz w:val="18"/>
                <w:szCs w:val="18"/>
              </w:rPr>
              <w:t>-9.71%</w:t>
            </w:r>
          </w:p>
        </w:tc>
        <w:tc>
          <w:tcPr>
            <w:tcW w:w="1134" w:type="dxa"/>
            <w:vAlign w:val="center"/>
          </w:tcPr>
          <w:p w:rsidR="00BB2F1F" w:rsidRPr="00131B9D" w:rsidRDefault="00BB2F1F" w:rsidP="00384781">
            <w:pPr>
              <w:spacing w:line="276" w:lineRule="auto"/>
              <w:jc w:val="center"/>
              <w:rPr>
                <w:sz w:val="18"/>
                <w:szCs w:val="18"/>
              </w:rPr>
            </w:pPr>
            <w:r w:rsidRPr="00131B9D">
              <w:rPr>
                <w:sz w:val="18"/>
                <w:szCs w:val="18"/>
              </w:rPr>
              <w:t>246.68</w:t>
            </w:r>
          </w:p>
        </w:tc>
        <w:tc>
          <w:tcPr>
            <w:tcW w:w="1134" w:type="dxa"/>
            <w:vAlign w:val="center"/>
          </w:tcPr>
          <w:p w:rsidR="00BB2F1F" w:rsidRPr="00131B9D" w:rsidRDefault="00BB2F1F" w:rsidP="00384781">
            <w:pPr>
              <w:spacing w:line="276" w:lineRule="auto"/>
              <w:jc w:val="center"/>
              <w:rPr>
                <w:sz w:val="18"/>
                <w:szCs w:val="18"/>
              </w:rPr>
            </w:pPr>
            <w:r w:rsidRPr="00131B9D">
              <w:rPr>
                <w:sz w:val="18"/>
                <w:szCs w:val="18"/>
              </w:rPr>
              <w:t>268.90</w:t>
            </w:r>
          </w:p>
        </w:tc>
        <w:tc>
          <w:tcPr>
            <w:tcW w:w="709" w:type="dxa"/>
            <w:vAlign w:val="center"/>
          </w:tcPr>
          <w:p w:rsidR="00BB2F1F" w:rsidRPr="00131B9D" w:rsidRDefault="00BB2F1F" w:rsidP="00384781">
            <w:pPr>
              <w:spacing w:line="276" w:lineRule="auto"/>
              <w:jc w:val="center"/>
              <w:rPr>
                <w:sz w:val="18"/>
                <w:szCs w:val="18"/>
              </w:rPr>
            </w:pPr>
            <w:r w:rsidRPr="00131B9D">
              <w:rPr>
                <w:sz w:val="18"/>
                <w:szCs w:val="18"/>
              </w:rPr>
              <w:t>-8.26%</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993" w:type="dxa"/>
            <w:vAlign w:val="center"/>
          </w:tcPr>
          <w:p w:rsidR="00BB2F1F" w:rsidRPr="00131B9D" w:rsidRDefault="00BB2F1F" w:rsidP="00384781">
            <w:pPr>
              <w:widowControl/>
              <w:snapToGrid w:val="0"/>
              <w:spacing w:line="276" w:lineRule="auto"/>
              <w:jc w:val="center"/>
              <w:rPr>
                <w:rFonts w:eastAsia="標楷體"/>
                <w:kern w:val="0"/>
                <w:sz w:val="18"/>
                <w:szCs w:val="18"/>
              </w:rPr>
            </w:pPr>
            <w:r w:rsidRPr="00131B9D">
              <w:rPr>
                <w:rFonts w:eastAsia="標楷體"/>
                <w:kern w:val="0"/>
                <w:sz w:val="18"/>
                <w:szCs w:val="18"/>
              </w:rPr>
              <w:t>4. 5</w:t>
            </w:r>
            <w:r w:rsidRPr="00131B9D">
              <w:rPr>
                <w:rFonts w:eastAsia="標楷體"/>
                <w:kern w:val="0"/>
                <w:sz w:val="18"/>
                <w:szCs w:val="18"/>
              </w:rPr>
              <w:t>號精糖</w:t>
            </w:r>
            <w:r w:rsidRPr="00131B9D">
              <w:rPr>
                <w:rFonts w:eastAsia="標楷體"/>
                <w:kern w:val="0"/>
                <w:sz w:val="18"/>
                <w:szCs w:val="18"/>
              </w:rPr>
              <w:t xml:space="preserve"> LIFFE</w:t>
            </w:r>
            <w:r w:rsidRPr="00131B9D" w:rsidDel="002F5E61">
              <w:rPr>
                <w:rFonts w:eastAsia="標楷體"/>
                <w:kern w:val="0"/>
                <w:sz w:val="18"/>
                <w:szCs w:val="18"/>
              </w:rPr>
              <w:t xml:space="preserve"> </w:t>
            </w:r>
          </w:p>
        </w:tc>
        <w:tc>
          <w:tcPr>
            <w:tcW w:w="992" w:type="dxa"/>
            <w:vAlign w:val="center"/>
          </w:tcPr>
          <w:p w:rsidR="00BB2F1F" w:rsidRPr="00131B9D" w:rsidRDefault="00BB2F1F" w:rsidP="00384781">
            <w:pPr>
              <w:widowControl/>
              <w:snapToGrid w:val="0"/>
              <w:spacing w:line="276" w:lineRule="auto"/>
              <w:jc w:val="center"/>
              <w:rPr>
                <w:rFonts w:eastAsia="標楷體"/>
                <w:kern w:val="0"/>
                <w:sz w:val="18"/>
                <w:szCs w:val="18"/>
              </w:rPr>
            </w:pPr>
            <w:r w:rsidRPr="00131B9D">
              <w:rPr>
                <w:rFonts w:eastAsia="標楷體"/>
                <w:kern w:val="0"/>
                <w:sz w:val="18"/>
                <w:szCs w:val="18"/>
              </w:rPr>
              <w:t>台糖</w:t>
            </w:r>
            <w:r w:rsidRPr="00131B9D">
              <w:rPr>
                <w:rFonts w:eastAsia="標楷體"/>
                <w:kern w:val="0"/>
                <w:sz w:val="18"/>
                <w:szCs w:val="18"/>
              </w:rPr>
              <w:t xml:space="preserve"> </w:t>
            </w:r>
            <w:r w:rsidRPr="00131B9D">
              <w:rPr>
                <w:rFonts w:eastAsia="標楷體"/>
                <w:kern w:val="0"/>
                <w:sz w:val="18"/>
                <w:szCs w:val="18"/>
              </w:rPr>
              <w:t>精製特砂</w:t>
            </w:r>
          </w:p>
        </w:tc>
        <w:tc>
          <w:tcPr>
            <w:tcW w:w="1134" w:type="dxa"/>
            <w:vAlign w:val="center"/>
          </w:tcPr>
          <w:p w:rsidR="00BB2F1F" w:rsidRPr="00131B9D" w:rsidRDefault="00BB2F1F" w:rsidP="00384781">
            <w:pPr>
              <w:snapToGrid w:val="0"/>
              <w:spacing w:line="276" w:lineRule="auto"/>
              <w:jc w:val="center"/>
              <w:rPr>
                <w:sz w:val="18"/>
                <w:szCs w:val="18"/>
              </w:rPr>
            </w:pPr>
            <w:r w:rsidRPr="00131B9D">
              <w:rPr>
                <w:sz w:val="18"/>
                <w:szCs w:val="18"/>
              </w:rPr>
              <w:t>368.56</w:t>
            </w:r>
          </w:p>
        </w:tc>
        <w:tc>
          <w:tcPr>
            <w:tcW w:w="1134" w:type="dxa"/>
            <w:vAlign w:val="center"/>
          </w:tcPr>
          <w:p w:rsidR="00BB2F1F" w:rsidRPr="00131B9D" w:rsidRDefault="00BB2F1F" w:rsidP="00384781">
            <w:pPr>
              <w:snapToGrid w:val="0"/>
              <w:spacing w:line="276" w:lineRule="auto"/>
              <w:jc w:val="center"/>
              <w:rPr>
                <w:sz w:val="18"/>
                <w:szCs w:val="18"/>
              </w:rPr>
            </w:pPr>
            <w:r w:rsidRPr="00131B9D">
              <w:rPr>
                <w:sz w:val="18"/>
                <w:szCs w:val="18"/>
              </w:rPr>
              <w:t>445.29</w:t>
            </w:r>
          </w:p>
        </w:tc>
        <w:tc>
          <w:tcPr>
            <w:tcW w:w="851" w:type="dxa"/>
            <w:vAlign w:val="center"/>
          </w:tcPr>
          <w:p w:rsidR="00BB2F1F" w:rsidRPr="00131B9D" w:rsidRDefault="00BB2F1F" w:rsidP="00384781">
            <w:pPr>
              <w:snapToGrid w:val="0"/>
              <w:spacing w:line="276" w:lineRule="auto"/>
              <w:jc w:val="center"/>
              <w:rPr>
                <w:sz w:val="18"/>
                <w:szCs w:val="18"/>
              </w:rPr>
            </w:pPr>
            <w:r w:rsidRPr="00131B9D">
              <w:rPr>
                <w:sz w:val="18"/>
                <w:szCs w:val="18"/>
              </w:rPr>
              <w:t>-17.23%</w:t>
            </w:r>
          </w:p>
        </w:tc>
        <w:tc>
          <w:tcPr>
            <w:tcW w:w="1134" w:type="dxa"/>
            <w:vAlign w:val="center"/>
          </w:tcPr>
          <w:p w:rsidR="00BB2F1F" w:rsidRPr="00131B9D" w:rsidRDefault="00BB2F1F" w:rsidP="00384781">
            <w:pPr>
              <w:spacing w:line="276" w:lineRule="auto"/>
              <w:jc w:val="center"/>
              <w:rPr>
                <w:sz w:val="18"/>
                <w:szCs w:val="18"/>
              </w:rPr>
            </w:pPr>
            <w:r w:rsidRPr="00131B9D">
              <w:rPr>
                <w:sz w:val="18"/>
                <w:szCs w:val="18"/>
              </w:rPr>
              <w:t>661.55</w:t>
            </w:r>
          </w:p>
        </w:tc>
        <w:tc>
          <w:tcPr>
            <w:tcW w:w="1134" w:type="dxa"/>
            <w:vAlign w:val="center"/>
          </w:tcPr>
          <w:p w:rsidR="00BB2F1F" w:rsidRPr="00131B9D" w:rsidRDefault="00BB2F1F" w:rsidP="00384781">
            <w:pPr>
              <w:spacing w:line="276" w:lineRule="auto"/>
              <w:jc w:val="center"/>
              <w:rPr>
                <w:sz w:val="18"/>
                <w:szCs w:val="18"/>
              </w:rPr>
            </w:pPr>
            <w:r w:rsidRPr="00131B9D">
              <w:rPr>
                <w:sz w:val="18"/>
                <w:szCs w:val="18"/>
              </w:rPr>
              <w:t>674.84</w:t>
            </w:r>
          </w:p>
        </w:tc>
        <w:tc>
          <w:tcPr>
            <w:tcW w:w="709" w:type="dxa"/>
            <w:vAlign w:val="center"/>
          </w:tcPr>
          <w:p w:rsidR="00BB2F1F" w:rsidRPr="00131B9D" w:rsidRDefault="00BB2F1F" w:rsidP="00384781">
            <w:pPr>
              <w:spacing w:line="276" w:lineRule="auto"/>
              <w:jc w:val="center"/>
              <w:rPr>
                <w:sz w:val="18"/>
                <w:szCs w:val="18"/>
              </w:rPr>
            </w:pPr>
            <w:r w:rsidRPr="00131B9D">
              <w:rPr>
                <w:sz w:val="18"/>
                <w:szCs w:val="18"/>
              </w:rPr>
              <w:t>-1.97%</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jc w:val="center"/>
              <w:rPr>
                <w:rFonts w:eastAsia="標楷體"/>
                <w:kern w:val="0"/>
                <w:sz w:val="18"/>
                <w:szCs w:val="18"/>
              </w:rPr>
            </w:pPr>
            <w:r w:rsidRPr="00131B9D">
              <w:rPr>
                <w:rFonts w:eastAsia="標楷體"/>
                <w:kern w:val="0"/>
                <w:sz w:val="18"/>
                <w:szCs w:val="18"/>
              </w:rPr>
              <w:t>5.</w:t>
            </w:r>
            <w:r w:rsidRPr="00131B9D">
              <w:rPr>
                <w:rFonts w:eastAsia="標楷體"/>
                <w:kern w:val="0"/>
                <w:sz w:val="18"/>
                <w:szCs w:val="18"/>
              </w:rPr>
              <w:t>奶粉</w:t>
            </w:r>
          </w:p>
        </w:tc>
        <w:tc>
          <w:tcPr>
            <w:tcW w:w="1134" w:type="dxa"/>
            <w:vAlign w:val="center"/>
          </w:tcPr>
          <w:p w:rsidR="00BB2F1F" w:rsidRPr="00131B9D" w:rsidRDefault="00BB2F1F" w:rsidP="00384781">
            <w:pPr>
              <w:snapToGrid w:val="0"/>
              <w:jc w:val="center"/>
              <w:rPr>
                <w:rFonts w:eastAsia="標楷體"/>
                <w:sz w:val="18"/>
                <w:szCs w:val="18"/>
              </w:rPr>
            </w:pPr>
            <w:r w:rsidRPr="00131B9D">
              <w:rPr>
                <w:rFonts w:eastAsia="標楷體"/>
                <w:sz w:val="18"/>
                <w:szCs w:val="18"/>
              </w:rPr>
              <w:t>-</w:t>
            </w:r>
          </w:p>
        </w:tc>
        <w:tc>
          <w:tcPr>
            <w:tcW w:w="1134" w:type="dxa"/>
            <w:vAlign w:val="center"/>
          </w:tcPr>
          <w:p w:rsidR="00BB2F1F" w:rsidRPr="00131B9D" w:rsidRDefault="00BB2F1F" w:rsidP="00384781">
            <w:pPr>
              <w:snapToGrid w:val="0"/>
              <w:jc w:val="center"/>
              <w:rPr>
                <w:rFonts w:eastAsia="標楷體"/>
                <w:sz w:val="18"/>
                <w:szCs w:val="18"/>
              </w:rPr>
            </w:pPr>
            <w:r w:rsidRPr="00131B9D">
              <w:rPr>
                <w:rFonts w:eastAsia="標楷體"/>
                <w:sz w:val="18"/>
                <w:szCs w:val="18"/>
              </w:rPr>
              <w:t>-</w:t>
            </w:r>
          </w:p>
        </w:tc>
        <w:tc>
          <w:tcPr>
            <w:tcW w:w="851" w:type="dxa"/>
            <w:vAlign w:val="center"/>
          </w:tcPr>
          <w:p w:rsidR="00BB2F1F" w:rsidRPr="00131B9D" w:rsidRDefault="00BB2F1F" w:rsidP="00384781">
            <w:pPr>
              <w:snapToGrid w:val="0"/>
              <w:jc w:val="center"/>
              <w:rPr>
                <w:rFonts w:eastAsia="標楷體"/>
                <w:sz w:val="18"/>
                <w:szCs w:val="18"/>
              </w:rPr>
            </w:pPr>
            <w:r w:rsidRPr="00131B9D">
              <w:rPr>
                <w:rFonts w:eastAsia="標楷體"/>
                <w:sz w:val="18"/>
                <w:szCs w:val="18"/>
              </w:rPr>
              <w:t>-</w:t>
            </w:r>
          </w:p>
        </w:tc>
        <w:tc>
          <w:tcPr>
            <w:tcW w:w="1134" w:type="dxa"/>
            <w:vAlign w:val="center"/>
          </w:tcPr>
          <w:p w:rsidR="00BB2F1F" w:rsidRPr="00131B9D" w:rsidRDefault="00BB2F1F" w:rsidP="00384781">
            <w:pPr>
              <w:snapToGrid w:val="0"/>
              <w:jc w:val="center"/>
              <w:rPr>
                <w:rFonts w:eastAsia="標楷體"/>
                <w:sz w:val="18"/>
                <w:szCs w:val="18"/>
              </w:rPr>
            </w:pPr>
            <w:r w:rsidRPr="00131B9D">
              <w:rPr>
                <w:rFonts w:eastAsia="標楷體"/>
                <w:sz w:val="18"/>
                <w:szCs w:val="18"/>
              </w:rPr>
              <w:t>3150.93</w:t>
            </w:r>
          </w:p>
        </w:tc>
        <w:tc>
          <w:tcPr>
            <w:tcW w:w="1134" w:type="dxa"/>
            <w:vAlign w:val="center"/>
          </w:tcPr>
          <w:p w:rsidR="00BB2F1F" w:rsidRPr="00131B9D" w:rsidRDefault="00BB2F1F" w:rsidP="00384781">
            <w:pPr>
              <w:snapToGrid w:val="0"/>
              <w:jc w:val="center"/>
              <w:rPr>
                <w:rFonts w:eastAsia="標楷體"/>
                <w:sz w:val="18"/>
                <w:szCs w:val="18"/>
              </w:rPr>
            </w:pPr>
            <w:r w:rsidRPr="00131B9D">
              <w:rPr>
                <w:rFonts w:eastAsia="標楷體"/>
                <w:sz w:val="18"/>
                <w:szCs w:val="18"/>
              </w:rPr>
              <w:t>4471.91</w:t>
            </w:r>
          </w:p>
        </w:tc>
        <w:tc>
          <w:tcPr>
            <w:tcW w:w="709" w:type="dxa"/>
            <w:vAlign w:val="center"/>
          </w:tcPr>
          <w:p w:rsidR="00BB2F1F" w:rsidRPr="00131B9D" w:rsidRDefault="00BB2F1F" w:rsidP="00384781">
            <w:pPr>
              <w:snapToGrid w:val="0"/>
              <w:jc w:val="center"/>
              <w:rPr>
                <w:rFonts w:eastAsia="標楷體"/>
                <w:sz w:val="18"/>
                <w:szCs w:val="18"/>
              </w:rPr>
            </w:pPr>
            <w:r w:rsidRPr="00131B9D">
              <w:rPr>
                <w:rFonts w:eastAsia="標楷體"/>
                <w:sz w:val="18"/>
                <w:szCs w:val="18"/>
              </w:rPr>
              <w:t>-29.54%</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9923" w:type="dxa"/>
            <w:gridSpan w:val="9"/>
            <w:vAlign w:val="center"/>
          </w:tcPr>
          <w:p w:rsidR="00BB2F1F" w:rsidRPr="00131B9D" w:rsidRDefault="00BB2F1F" w:rsidP="00384781">
            <w:pPr>
              <w:widowControl/>
              <w:spacing w:line="240" w:lineRule="exact"/>
              <w:jc w:val="center"/>
              <w:rPr>
                <w:rFonts w:eastAsia="標楷體"/>
                <w:kern w:val="0"/>
                <w:sz w:val="20"/>
                <w:szCs w:val="20"/>
              </w:rPr>
            </w:pPr>
            <w:r w:rsidRPr="00131B9D">
              <w:rPr>
                <w:rFonts w:eastAsia="標楷體"/>
                <w:b/>
                <w:bCs/>
                <w:kern w:val="0"/>
                <w:sz w:val="20"/>
                <w:szCs w:val="20"/>
              </w:rPr>
              <w:t>基本金屬</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6.</w:t>
            </w:r>
            <w:r w:rsidRPr="00131B9D">
              <w:rPr>
                <w:rFonts w:eastAsia="標楷體"/>
                <w:kern w:val="0"/>
                <w:sz w:val="18"/>
                <w:szCs w:val="18"/>
              </w:rPr>
              <w:t>鐵礦石</w:t>
            </w:r>
            <w:r w:rsidRPr="00131B9D">
              <w:rPr>
                <w:rFonts w:eastAsia="標楷體"/>
                <w:kern w:val="0"/>
                <w:sz w:val="18"/>
                <w:szCs w:val="18"/>
              </w:rPr>
              <w:t>62%</w:t>
            </w:r>
          </w:p>
        </w:tc>
        <w:tc>
          <w:tcPr>
            <w:tcW w:w="1134" w:type="dxa"/>
            <w:vAlign w:val="center"/>
          </w:tcPr>
          <w:p w:rsidR="00BB2F1F" w:rsidRPr="00131B9D" w:rsidRDefault="00BB2F1F" w:rsidP="00384781">
            <w:pPr>
              <w:jc w:val="center"/>
              <w:rPr>
                <w:sz w:val="18"/>
                <w:szCs w:val="18"/>
              </w:rPr>
            </w:pPr>
            <w:r w:rsidRPr="00131B9D">
              <w:rPr>
                <w:sz w:val="18"/>
                <w:szCs w:val="18"/>
              </w:rPr>
              <w:t xml:space="preserve">60.35 </w:t>
            </w:r>
          </w:p>
        </w:tc>
        <w:tc>
          <w:tcPr>
            <w:tcW w:w="1134" w:type="dxa"/>
            <w:vAlign w:val="center"/>
          </w:tcPr>
          <w:p w:rsidR="00BB2F1F" w:rsidRPr="00131B9D" w:rsidRDefault="00BB2F1F" w:rsidP="00384781">
            <w:pPr>
              <w:jc w:val="center"/>
              <w:rPr>
                <w:sz w:val="18"/>
                <w:szCs w:val="18"/>
              </w:rPr>
            </w:pPr>
            <w:r w:rsidRPr="00131B9D">
              <w:rPr>
                <w:sz w:val="18"/>
                <w:szCs w:val="18"/>
              </w:rPr>
              <w:t>111.26</w:t>
            </w:r>
          </w:p>
        </w:tc>
        <w:tc>
          <w:tcPr>
            <w:tcW w:w="851" w:type="dxa"/>
            <w:vAlign w:val="center"/>
          </w:tcPr>
          <w:p w:rsidR="00BB2F1F" w:rsidRPr="00131B9D" w:rsidRDefault="00BB2F1F" w:rsidP="00384781">
            <w:pPr>
              <w:jc w:val="center"/>
              <w:rPr>
                <w:sz w:val="18"/>
                <w:szCs w:val="18"/>
              </w:rPr>
            </w:pPr>
            <w:r w:rsidRPr="00131B9D">
              <w:rPr>
                <w:sz w:val="18"/>
                <w:szCs w:val="18"/>
              </w:rPr>
              <w:t>-45.76%</w:t>
            </w:r>
          </w:p>
        </w:tc>
        <w:tc>
          <w:tcPr>
            <w:tcW w:w="1134" w:type="dxa"/>
            <w:vAlign w:val="center"/>
          </w:tcPr>
          <w:p w:rsidR="00BB2F1F" w:rsidRPr="00131B9D" w:rsidRDefault="00BB2F1F" w:rsidP="00384781">
            <w:pPr>
              <w:spacing w:line="240" w:lineRule="exact"/>
              <w:jc w:val="center"/>
              <w:rPr>
                <w:rFonts w:eastAsia="標楷體"/>
                <w:sz w:val="18"/>
                <w:szCs w:val="18"/>
              </w:rPr>
            </w:pPr>
            <w:r w:rsidRPr="00131B9D">
              <w:rPr>
                <w:rFonts w:eastAsia="標楷體"/>
                <w:kern w:val="0"/>
                <w:sz w:val="18"/>
                <w:szCs w:val="18"/>
              </w:rPr>
              <w:t>-</w:t>
            </w:r>
          </w:p>
        </w:tc>
        <w:tc>
          <w:tcPr>
            <w:tcW w:w="1134" w:type="dxa"/>
            <w:vAlign w:val="center"/>
          </w:tcPr>
          <w:p w:rsidR="00BB2F1F" w:rsidRPr="00131B9D" w:rsidRDefault="00BB2F1F" w:rsidP="00384781">
            <w:pPr>
              <w:spacing w:line="240" w:lineRule="exact"/>
              <w:jc w:val="center"/>
              <w:rPr>
                <w:rFonts w:eastAsia="標楷體"/>
                <w:sz w:val="18"/>
                <w:szCs w:val="18"/>
              </w:rPr>
            </w:pPr>
            <w:r w:rsidRPr="00131B9D">
              <w:rPr>
                <w:rFonts w:eastAsia="標楷體"/>
                <w:kern w:val="0"/>
                <w:sz w:val="18"/>
                <w:szCs w:val="18"/>
              </w:rPr>
              <w:t>-</w:t>
            </w:r>
          </w:p>
        </w:tc>
        <w:tc>
          <w:tcPr>
            <w:tcW w:w="709" w:type="dxa"/>
            <w:vAlign w:val="center"/>
          </w:tcPr>
          <w:p w:rsidR="00BB2F1F" w:rsidRPr="00131B9D" w:rsidRDefault="00BB2F1F" w:rsidP="00384781">
            <w:pPr>
              <w:spacing w:line="240" w:lineRule="exact"/>
              <w:jc w:val="center"/>
              <w:rPr>
                <w:rFonts w:eastAsia="標楷體"/>
                <w:sz w:val="18"/>
                <w:szCs w:val="18"/>
              </w:rPr>
            </w:pPr>
            <w:r w:rsidRPr="00131B9D">
              <w:rPr>
                <w:rFonts w:eastAsia="標楷體"/>
                <w:kern w:val="0"/>
                <w:sz w:val="18"/>
                <w:szCs w:val="18"/>
              </w:rPr>
              <w:t>-</w:t>
            </w:r>
          </w:p>
        </w:tc>
        <w:tc>
          <w:tcPr>
            <w:tcW w:w="1842" w:type="dxa"/>
            <w:vMerge w:val="restart"/>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r w:rsidRPr="00131B9D">
              <w:rPr>
                <w:rFonts w:ascii="新細明體" w:hAnsi="新細明體" w:cs="新細明體" w:hint="eastAsia"/>
                <w:kern w:val="0"/>
                <w:sz w:val="20"/>
                <w:szCs w:val="20"/>
              </w:rPr>
              <w:t>※</w:t>
            </w:r>
            <w:r w:rsidRPr="00131B9D">
              <w:rPr>
                <w:rFonts w:eastAsia="標楷體"/>
                <w:kern w:val="0"/>
                <w:sz w:val="20"/>
                <w:szCs w:val="20"/>
              </w:rPr>
              <w:t>基本金屬因全球經濟增速放緩及產量過剩，價格普遍偏弱。</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7.</w:t>
            </w:r>
            <w:r w:rsidRPr="00131B9D">
              <w:rPr>
                <w:rFonts w:eastAsia="標楷體"/>
                <w:kern w:val="0"/>
                <w:sz w:val="18"/>
                <w:szCs w:val="18"/>
              </w:rPr>
              <w:t>銅</w:t>
            </w:r>
          </w:p>
        </w:tc>
        <w:tc>
          <w:tcPr>
            <w:tcW w:w="1134" w:type="dxa"/>
            <w:vAlign w:val="center"/>
          </w:tcPr>
          <w:p w:rsidR="00BB2F1F" w:rsidRPr="00131B9D" w:rsidRDefault="00BB2F1F" w:rsidP="00384781">
            <w:pPr>
              <w:jc w:val="center"/>
              <w:rPr>
                <w:sz w:val="18"/>
                <w:szCs w:val="18"/>
              </w:rPr>
            </w:pPr>
            <w:r w:rsidRPr="00131B9D">
              <w:rPr>
                <w:sz w:val="18"/>
                <w:szCs w:val="18"/>
              </w:rPr>
              <w:t>5,624.23</w:t>
            </w:r>
          </w:p>
        </w:tc>
        <w:tc>
          <w:tcPr>
            <w:tcW w:w="1134" w:type="dxa"/>
            <w:vAlign w:val="center"/>
          </w:tcPr>
          <w:p w:rsidR="00BB2F1F" w:rsidRPr="00131B9D" w:rsidRDefault="00BB2F1F" w:rsidP="00384781">
            <w:pPr>
              <w:jc w:val="center"/>
              <w:rPr>
                <w:sz w:val="18"/>
                <w:szCs w:val="18"/>
              </w:rPr>
            </w:pPr>
            <w:r w:rsidRPr="00131B9D">
              <w:rPr>
                <w:sz w:val="18"/>
                <w:szCs w:val="18"/>
              </w:rPr>
              <w:t>6912.34</w:t>
            </w:r>
          </w:p>
        </w:tc>
        <w:tc>
          <w:tcPr>
            <w:tcW w:w="851" w:type="dxa"/>
            <w:vAlign w:val="center"/>
          </w:tcPr>
          <w:p w:rsidR="00BB2F1F" w:rsidRPr="00131B9D" w:rsidRDefault="00BB2F1F" w:rsidP="00384781">
            <w:pPr>
              <w:jc w:val="center"/>
              <w:rPr>
                <w:sz w:val="18"/>
                <w:szCs w:val="18"/>
              </w:rPr>
            </w:pPr>
            <w:r w:rsidRPr="00131B9D">
              <w:rPr>
                <w:sz w:val="18"/>
                <w:szCs w:val="18"/>
              </w:rPr>
              <w:t>-18.63%</w:t>
            </w:r>
          </w:p>
        </w:tc>
        <w:tc>
          <w:tcPr>
            <w:tcW w:w="1134" w:type="dxa"/>
            <w:vAlign w:val="center"/>
          </w:tcPr>
          <w:p w:rsidR="00BB2F1F" w:rsidRPr="00131B9D" w:rsidRDefault="00BB2F1F" w:rsidP="00384781">
            <w:pPr>
              <w:jc w:val="center"/>
              <w:rPr>
                <w:sz w:val="18"/>
                <w:szCs w:val="18"/>
              </w:rPr>
            </w:pPr>
            <w:r w:rsidRPr="00131B9D">
              <w:rPr>
                <w:sz w:val="18"/>
                <w:szCs w:val="18"/>
              </w:rPr>
              <w:t>8552.93</w:t>
            </w:r>
          </w:p>
        </w:tc>
        <w:tc>
          <w:tcPr>
            <w:tcW w:w="1134" w:type="dxa"/>
            <w:vAlign w:val="center"/>
          </w:tcPr>
          <w:p w:rsidR="00BB2F1F" w:rsidRPr="00131B9D" w:rsidRDefault="00BB2F1F" w:rsidP="00384781">
            <w:pPr>
              <w:jc w:val="center"/>
              <w:rPr>
                <w:sz w:val="18"/>
                <w:szCs w:val="18"/>
              </w:rPr>
            </w:pPr>
            <w:r w:rsidRPr="00131B9D">
              <w:rPr>
                <w:sz w:val="18"/>
                <w:szCs w:val="18"/>
              </w:rPr>
              <w:t>9560.39</w:t>
            </w:r>
          </w:p>
        </w:tc>
        <w:tc>
          <w:tcPr>
            <w:tcW w:w="709" w:type="dxa"/>
            <w:vAlign w:val="center"/>
          </w:tcPr>
          <w:p w:rsidR="00BB2F1F" w:rsidRPr="00131B9D" w:rsidRDefault="00BB2F1F" w:rsidP="00384781">
            <w:pPr>
              <w:jc w:val="center"/>
              <w:rPr>
                <w:sz w:val="18"/>
                <w:szCs w:val="18"/>
              </w:rPr>
            </w:pPr>
            <w:r w:rsidRPr="00131B9D">
              <w:rPr>
                <w:sz w:val="18"/>
                <w:szCs w:val="18"/>
              </w:rPr>
              <w:t>-10.54%</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8.</w:t>
            </w:r>
            <w:r w:rsidRPr="00131B9D">
              <w:rPr>
                <w:rFonts w:eastAsia="標楷體"/>
                <w:kern w:val="0"/>
                <w:sz w:val="18"/>
                <w:szCs w:val="18"/>
              </w:rPr>
              <w:t>鋁</w:t>
            </w:r>
          </w:p>
        </w:tc>
        <w:tc>
          <w:tcPr>
            <w:tcW w:w="1134" w:type="dxa"/>
            <w:vAlign w:val="center"/>
          </w:tcPr>
          <w:p w:rsidR="00BB2F1F" w:rsidRPr="00131B9D" w:rsidRDefault="00BB2F1F" w:rsidP="00384781">
            <w:pPr>
              <w:jc w:val="center"/>
              <w:rPr>
                <w:sz w:val="18"/>
                <w:szCs w:val="18"/>
              </w:rPr>
            </w:pPr>
            <w:r w:rsidRPr="00131B9D">
              <w:rPr>
                <w:sz w:val="18"/>
                <w:szCs w:val="18"/>
              </w:rPr>
              <w:t>1,687.09</w:t>
            </w:r>
          </w:p>
        </w:tc>
        <w:tc>
          <w:tcPr>
            <w:tcW w:w="1134" w:type="dxa"/>
            <w:vAlign w:val="center"/>
          </w:tcPr>
          <w:p w:rsidR="00BB2F1F" w:rsidRPr="00131B9D" w:rsidRDefault="00BB2F1F" w:rsidP="00384781">
            <w:pPr>
              <w:jc w:val="center"/>
              <w:rPr>
                <w:sz w:val="18"/>
                <w:szCs w:val="18"/>
              </w:rPr>
            </w:pPr>
            <w:r w:rsidRPr="00131B9D">
              <w:rPr>
                <w:sz w:val="18"/>
                <w:szCs w:val="18"/>
              </w:rPr>
              <w:t>1857.6</w:t>
            </w:r>
          </w:p>
        </w:tc>
        <w:tc>
          <w:tcPr>
            <w:tcW w:w="851" w:type="dxa"/>
            <w:vAlign w:val="center"/>
          </w:tcPr>
          <w:p w:rsidR="00BB2F1F" w:rsidRPr="00131B9D" w:rsidRDefault="00BB2F1F" w:rsidP="00384781">
            <w:pPr>
              <w:jc w:val="center"/>
              <w:rPr>
                <w:sz w:val="18"/>
                <w:szCs w:val="18"/>
              </w:rPr>
            </w:pPr>
            <w:r w:rsidRPr="00131B9D">
              <w:rPr>
                <w:sz w:val="18"/>
                <w:szCs w:val="18"/>
              </w:rPr>
              <w:t>-9.18%</w:t>
            </w:r>
          </w:p>
        </w:tc>
        <w:tc>
          <w:tcPr>
            <w:tcW w:w="1134" w:type="dxa"/>
            <w:vAlign w:val="center"/>
          </w:tcPr>
          <w:p w:rsidR="00BB2F1F" w:rsidRPr="00131B9D" w:rsidRDefault="00BB2F1F" w:rsidP="00384781">
            <w:pPr>
              <w:jc w:val="center"/>
              <w:rPr>
                <w:sz w:val="18"/>
                <w:szCs w:val="18"/>
              </w:rPr>
            </w:pPr>
            <w:r w:rsidRPr="00131B9D">
              <w:rPr>
                <w:sz w:val="18"/>
                <w:szCs w:val="18"/>
              </w:rPr>
              <w:t>3949.28</w:t>
            </w:r>
          </w:p>
        </w:tc>
        <w:tc>
          <w:tcPr>
            <w:tcW w:w="1134" w:type="dxa"/>
            <w:vAlign w:val="center"/>
          </w:tcPr>
          <w:p w:rsidR="00BB2F1F" w:rsidRPr="00131B9D" w:rsidRDefault="00BB2F1F" w:rsidP="00384781">
            <w:pPr>
              <w:jc w:val="center"/>
              <w:rPr>
                <w:sz w:val="18"/>
                <w:szCs w:val="18"/>
              </w:rPr>
            </w:pPr>
            <w:r w:rsidRPr="00131B9D">
              <w:rPr>
                <w:sz w:val="18"/>
                <w:szCs w:val="18"/>
              </w:rPr>
              <w:t>3955.76</w:t>
            </w:r>
          </w:p>
        </w:tc>
        <w:tc>
          <w:tcPr>
            <w:tcW w:w="709" w:type="dxa"/>
            <w:vAlign w:val="center"/>
          </w:tcPr>
          <w:p w:rsidR="00BB2F1F" w:rsidRPr="00131B9D" w:rsidRDefault="00BB2F1F" w:rsidP="00384781">
            <w:pPr>
              <w:jc w:val="center"/>
              <w:rPr>
                <w:sz w:val="18"/>
                <w:szCs w:val="18"/>
              </w:rPr>
            </w:pPr>
            <w:r w:rsidRPr="00131B9D">
              <w:rPr>
                <w:sz w:val="18"/>
                <w:szCs w:val="18"/>
              </w:rPr>
              <w:t>-0.16%</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9.</w:t>
            </w:r>
            <w:r w:rsidRPr="00131B9D">
              <w:rPr>
                <w:rFonts w:eastAsia="標楷體"/>
                <w:kern w:val="0"/>
                <w:sz w:val="18"/>
                <w:szCs w:val="18"/>
              </w:rPr>
              <w:t>鎳</w:t>
            </w:r>
          </w:p>
        </w:tc>
        <w:tc>
          <w:tcPr>
            <w:tcW w:w="1134" w:type="dxa"/>
            <w:vAlign w:val="center"/>
          </w:tcPr>
          <w:p w:rsidR="00BB2F1F" w:rsidRPr="00131B9D" w:rsidRDefault="00BB2F1F" w:rsidP="00384781">
            <w:pPr>
              <w:jc w:val="center"/>
              <w:rPr>
                <w:sz w:val="18"/>
                <w:szCs w:val="18"/>
              </w:rPr>
            </w:pPr>
            <w:r w:rsidRPr="00131B9D">
              <w:rPr>
                <w:sz w:val="18"/>
                <w:szCs w:val="18"/>
              </w:rPr>
              <w:t>1,2247.7</w:t>
            </w:r>
          </w:p>
        </w:tc>
        <w:tc>
          <w:tcPr>
            <w:tcW w:w="1134" w:type="dxa"/>
            <w:vAlign w:val="center"/>
          </w:tcPr>
          <w:p w:rsidR="00BB2F1F" w:rsidRPr="00131B9D" w:rsidRDefault="00BB2F1F" w:rsidP="00384781">
            <w:pPr>
              <w:jc w:val="center"/>
              <w:rPr>
                <w:sz w:val="18"/>
                <w:szCs w:val="18"/>
              </w:rPr>
            </w:pPr>
            <w:r w:rsidRPr="00131B9D">
              <w:rPr>
                <w:sz w:val="18"/>
                <w:szCs w:val="18"/>
              </w:rPr>
              <w:t>17008.1</w:t>
            </w:r>
          </w:p>
        </w:tc>
        <w:tc>
          <w:tcPr>
            <w:tcW w:w="851" w:type="dxa"/>
            <w:vAlign w:val="center"/>
          </w:tcPr>
          <w:p w:rsidR="00BB2F1F" w:rsidRPr="00131B9D" w:rsidRDefault="00BB2F1F" w:rsidP="00384781">
            <w:pPr>
              <w:jc w:val="center"/>
              <w:rPr>
                <w:sz w:val="18"/>
                <w:szCs w:val="18"/>
              </w:rPr>
            </w:pPr>
            <w:r w:rsidRPr="00131B9D">
              <w:rPr>
                <w:sz w:val="18"/>
                <w:szCs w:val="18"/>
              </w:rPr>
              <w:t>-27.99%</w:t>
            </w:r>
          </w:p>
        </w:tc>
        <w:tc>
          <w:tcPr>
            <w:tcW w:w="1134" w:type="dxa"/>
            <w:vAlign w:val="center"/>
          </w:tcPr>
          <w:p w:rsidR="00BB2F1F" w:rsidRPr="00131B9D" w:rsidRDefault="00BB2F1F" w:rsidP="00384781">
            <w:pPr>
              <w:jc w:val="center"/>
              <w:rPr>
                <w:sz w:val="18"/>
                <w:szCs w:val="18"/>
              </w:rPr>
            </w:pPr>
            <w:r w:rsidRPr="00131B9D">
              <w:rPr>
                <w:sz w:val="18"/>
                <w:szCs w:val="18"/>
              </w:rPr>
              <w:t>15554.5</w:t>
            </w:r>
          </w:p>
        </w:tc>
        <w:tc>
          <w:tcPr>
            <w:tcW w:w="1134" w:type="dxa"/>
            <w:vAlign w:val="center"/>
          </w:tcPr>
          <w:p w:rsidR="00BB2F1F" w:rsidRPr="00131B9D" w:rsidRDefault="00BB2F1F" w:rsidP="00384781">
            <w:pPr>
              <w:jc w:val="center"/>
              <w:rPr>
                <w:sz w:val="18"/>
                <w:szCs w:val="18"/>
              </w:rPr>
            </w:pPr>
            <w:r w:rsidRPr="00131B9D">
              <w:rPr>
                <w:sz w:val="18"/>
                <w:szCs w:val="18"/>
              </w:rPr>
              <w:t>19581.3</w:t>
            </w:r>
          </w:p>
        </w:tc>
        <w:tc>
          <w:tcPr>
            <w:tcW w:w="709" w:type="dxa"/>
            <w:vAlign w:val="center"/>
          </w:tcPr>
          <w:p w:rsidR="00BB2F1F" w:rsidRPr="00131B9D" w:rsidRDefault="00BB2F1F" w:rsidP="00384781">
            <w:pPr>
              <w:jc w:val="center"/>
              <w:rPr>
                <w:sz w:val="18"/>
                <w:szCs w:val="18"/>
              </w:rPr>
            </w:pPr>
            <w:r w:rsidRPr="00131B9D">
              <w:rPr>
                <w:sz w:val="18"/>
                <w:szCs w:val="18"/>
              </w:rPr>
              <w:t>-20.56%</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10.</w:t>
            </w:r>
            <w:r w:rsidRPr="00131B9D">
              <w:rPr>
                <w:rFonts w:eastAsia="標楷體"/>
                <w:kern w:val="0"/>
                <w:sz w:val="18"/>
                <w:szCs w:val="18"/>
              </w:rPr>
              <w:t>鋅</w:t>
            </w:r>
          </w:p>
        </w:tc>
        <w:tc>
          <w:tcPr>
            <w:tcW w:w="1134" w:type="dxa"/>
            <w:vAlign w:val="center"/>
          </w:tcPr>
          <w:p w:rsidR="00BB2F1F" w:rsidRPr="00131B9D" w:rsidRDefault="00BB2F1F" w:rsidP="00384781">
            <w:pPr>
              <w:jc w:val="center"/>
              <w:rPr>
                <w:sz w:val="18"/>
                <w:szCs w:val="18"/>
              </w:rPr>
            </w:pPr>
            <w:r w:rsidRPr="00131B9D">
              <w:rPr>
                <w:sz w:val="18"/>
                <w:szCs w:val="18"/>
              </w:rPr>
              <w:t>1,981.69</w:t>
            </w:r>
          </w:p>
        </w:tc>
        <w:tc>
          <w:tcPr>
            <w:tcW w:w="1134" w:type="dxa"/>
            <w:vAlign w:val="center"/>
          </w:tcPr>
          <w:p w:rsidR="00BB2F1F" w:rsidRPr="00131B9D" w:rsidRDefault="00BB2F1F" w:rsidP="00384781">
            <w:pPr>
              <w:jc w:val="center"/>
              <w:rPr>
                <w:sz w:val="18"/>
                <w:szCs w:val="18"/>
              </w:rPr>
            </w:pPr>
            <w:r w:rsidRPr="00131B9D">
              <w:rPr>
                <w:sz w:val="18"/>
                <w:szCs w:val="18"/>
              </w:rPr>
              <w:t>2157.95</w:t>
            </w:r>
          </w:p>
        </w:tc>
        <w:tc>
          <w:tcPr>
            <w:tcW w:w="851" w:type="dxa"/>
            <w:vAlign w:val="center"/>
          </w:tcPr>
          <w:p w:rsidR="00BB2F1F" w:rsidRPr="00131B9D" w:rsidRDefault="00BB2F1F" w:rsidP="00384781">
            <w:pPr>
              <w:jc w:val="center"/>
              <w:rPr>
                <w:sz w:val="18"/>
                <w:szCs w:val="18"/>
              </w:rPr>
            </w:pPr>
            <w:r w:rsidRPr="00131B9D">
              <w:rPr>
                <w:sz w:val="18"/>
                <w:szCs w:val="18"/>
              </w:rPr>
              <w:t>-8.17%</w:t>
            </w:r>
          </w:p>
        </w:tc>
        <w:tc>
          <w:tcPr>
            <w:tcW w:w="1134" w:type="dxa"/>
            <w:vAlign w:val="center"/>
          </w:tcPr>
          <w:p w:rsidR="00BB2F1F" w:rsidRPr="00131B9D" w:rsidRDefault="00BB2F1F" w:rsidP="00384781">
            <w:pPr>
              <w:jc w:val="center"/>
              <w:rPr>
                <w:sz w:val="18"/>
                <w:szCs w:val="18"/>
              </w:rPr>
            </w:pPr>
            <w:r w:rsidRPr="00131B9D">
              <w:rPr>
                <w:sz w:val="18"/>
                <w:szCs w:val="18"/>
              </w:rPr>
              <w:t>2372.84</w:t>
            </w:r>
          </w:p>
        </w:tc>
        <w:tc>
          <w:tcPr>
            <w:tcW w:w="1134" w:type="dxa"/>
            <w:vAlign w:val="center"/>
          </w:tcPr>
          <w:p w:rsidR="00BB2F1F" w:rsidRPr="00131B9D" w:rsidRDefault="00BB2F1F" w:rsidP="00384781">
            <w:pPr>
              <w:jc w:val="center"/>
              <w:rPr>
                <w:sz w:val="18"/>
                <w:szCs w:val="18"/>
              </w:rPr>
            </w:pPr>
            <w:r w:rsidRPr="00131B9D">
              <w:rPr>
                <w:sz w:val="18"/>
                <w:szCs w:val="18"/>
              </w:rPr>
              <w:t>2453.91</w:t>
            </w:r>
          </w:p>
        </w:tc>
        <w:tc>
          <w:tcPr>
            <w:tcW w:w="709" w:type="dxa"/>
            <w:vAlign w:val="center"/>
          </w:tcPr>
          <w:p w:rsidR="00BB2F1F" w:rsidRPr="00131B9D" w:rsidRDefault="00BB2F1F" w:rsidP="00384781">
            <w:pPr>
              <w:jc w:val="center"/>
              <w:rPr>
                <w:sz w:val="18"/>
                <w:szCs w:val="18"/>
              </w:rPr>
            </w:pPr>
            <w:r w:rsidRPr="00131B9D">
              <w:rPr>
                <w:sz w:val="18"/>
                <w:szCs w:val="18"/>
              </w:rPr>
              <w:t>-3.30%</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jc w:val="center"/>
              <w:rPr>
                <w:rFonts w:eastAsia="標楷體"/>
                <w:kern w:val="0"/>
                <w:sz w:val="20"/>
                <w:szCs w:val="20"/>
              </w:rPr>
            </w:pPr>
            <w:r w:rsidRPr="00131B9D">
              <w:rPr>
                <w:rFonts w:eastAsia="標楷體"/>
                <w:kern w:val="0"/>
                <w:sz w:val="20"/>
                <w:szCs w:val="20"/>
              </w:rPr>
              <w:t>11.</w:t>
            </w:r>
            <w:r w:rsidRPr="00131B9D">
              <w:rPr>
                <w:rFonts w:eastAsia="標楷體"/>
                <w:kern w:val="0"/>
                <w:sz w:val="20"/>
                <w:szCs w:val="20"/>
              </w:rPr>
              <w:t>鈷</w:t>
            </w:r>
          </w:p>
        </w:tc>
        <w:tc>
          <w:tcPr>
            <w:tcW w:w="1134" w:type="dxa"/>
            <w:vAlign w:val="center"/>
          </w:tcPr>
          <w:p w:rsidR="00BB2F1F" w:rsidRPr="00131B9D" w:rsidRDefault="00BB2F1F" w:rsidP="00384781">
            <w:pPr>
              <w:snapToGrid w:val="0"/>
              <w:jc w:val="center"/>
              <w:rPr>
                <w:sz w:val="18"/>
                <w:szCs w:val="18"/>
              </w:rPr>
            </w:pPr>
            <w:r w:rsidRPr="00131B9D">
              <w:rPr>
                <w:sz w:val="18"/>
                <w:szCs w:val="18"/>
              </w:rPr>
              <w:t>29,040.9</w:t>
            </w:r>
          </w:p>
        </w:tc>
        <w:tc>
          <w:tcPr>
            <w:tcW w:w="1134" w:type="dxa"/>
            <w:vAlign w:val="center"/>
          </w:tcPr>
          <w:p w:rsidR="00BB2F1F" w:rsidRPr="00131B9D" w:rsidRDefault="00BB2F1F" w:rsidP="00384781">
            <w:pPr>
              <w:snapToGrid w:val="0"/>
              <w:jc w:val="center"/>
              <w:rPr>
                <w:sz w:val="18"/>
                <w:szCs w:val="18"/>
              </w:rPr>
            </w:pPr>
            <w:r w:rsidRPr="00131B9D">
              <w:rPr>
                <w:sz w:val="18"/>
                <w:szCs w:val="18"/>
              </w:rPr>
              <w:t>30855.09</w:t>
            </w:r>
          </w:p>
        </w:tc>
        <w:tc>
          <w:tcPr>
            <w:tcW w:w="851" w:type="dxa"/>
            <w:vAlign w:val="center"/>
          </w:tcPr>
          <w:p w:rsidR="00BB2F1F" w:rsidRPr="00131B9D" w:rsidRDefault="00BB2F1F" w:rsidP="00384781">
            <w:pPr>
              <w:snapToGrid w:val="0"/>
              <w:jc w:val="center"/>
              <w:rPr>
                <w:sz w:val="18"/>
                <w:szCs w:val="18"/>
              </w:rPr>
            </w:pPr>
            <w:r w:rsidRPr="00131B9D">
              <w:rPr>
                <w:sz w:val="18"/>
                <w:szCs w:val="18"/>
              </w:rPr>
              <w:t>-5.88%</w:t>
            </w:r>
          </w:p>
        </w:tc>
        <w:tc>
          <w:tcPr>
            <w:tcW w:w="1134" w:type="dxa"/>
            <w:vAlign w:val="center"/>
          </w:tcPr>
          <w:p w:rsidR="00BB2F1F" w:rsidRPr="00131B9D" w:rsidRDefault="00BB2F1F" w:rsidP="00384781">
            <w:pPr>
              <w:snapToGrid w:val="0"/>
              <w:jc w:val="center"/>
              <w:rPr>
                <w:rFonts w:eastAsia="標楷體"/>
                <w:sz w:val="18"/>
                <w:szCs w:val="18"/>
              </w:rPr>
            </w:pPr>
            <w:r w:rsidRPr="00131B9D">
              <w:rPr>
                <w:rFonts w:eastAsia="標楷體"/>
                <w:kern w:val="0"/>
                <w:sz w:val="18"/>
                <w:szCs w:val="18"/>
              </w:rPr>
              <w:t>-</w:t>
            </w:r>
          </w:p>
        </w:tc>
        <w:tc>
          <w:tcPr>
            <w:tcW w:w="1134" w:type="dxa"/>
            <w:vAlign w:val="center"/>
          </w:tcPr>
          <w:p w:rsidR="00BB2F1F" w:rsidRPr="00131B9D" w:rsidRDefault="00BB2F1F" w:rsidP="00384781">
            <w:pPr>
              <w:snapToGrid w:val="0"/>
              <w:jc w:val="center"/>
              <w:rPr>
                <w:rFonts w:eastAsia="標楷體"/>
                <w:sz w:val="18"/>
                <w:szCs w:val="18"/>
              </w:rPr>
            </w:pPr>
            <w:r w:rsidRPr="00131B9D">
              <w:rPr>
                <w:rFonts w:eastAsia="標楷體"/>
                <w:kern w:val="0"/>
                <w:sz w:val="18"/>
                <w:szCs w:val="18"/>
              </w:rPr>
              <w:t>-</w:t>
            </w:r>
          </w:p>
        </w:tc>
        <w:tc>
          <w:tcPr>
            <w:tcW w:w="709" w:type="dxa"/>
            <w:vAlign w:val="center"/>
          </w:tcPr>
          <w:p w:rsidR="00BB2F1F" w:rsidRPr="00131B9D" w:rsidRDefault="00BB2F1F" w:rsidP="00384781">
            <w:pPr>
              <w:snapToGrid w:val="0"/>
              <w:jc w:val="center"/>
              <w:rPr>
                <w:rFonts w:eastAsia="標楷體"/>
                <w:sz w:val="18"/>
                <w:szCs w:val="18"/>
              </w:rPr>
            </w:pPr>
            <w:r w:rsidRPr="00131B9D">
              <w:rPr>
                <w:rFonts w:eastAsia="標楷體"/>
                <w:kern w:val="0"/>
                <w:sz w:val="18"/>
                <w:szCs w:val="18"/>
              </w:rPr>
              <w:t>-</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jc w:val="center"/>
              <w:rPr>
                <w:rFonts w:eastAsia="標楷體"/>
                <w:kern w:val="0"/>
                <w:sz w:val="20"/>
                <w:szCs w:val="20"/>
              </w:rPr>
            </w:pPr>
            <w:r w:rsidRPr="00131B9D">
              <w:rPr>
                <w:rFonts w:eastAsia="標楷體"/>
                <w:kern w:val="0"/>
                <w:sz w:val="20"/>
                <w:szCs w:val="20"/>
              </w:rPr>
              <w:t>12.</w:t>
            </w:r>
            <w:r w:rsidRPr="00131B9D">
              <w:rPr>
                <w:rFonts w:eastAsia="標楷體"/>
                <w:kern w:val="0"/>
                <w:sz w:val="20"/>
                <w:szCs w:val="20"/>
              </w:rPr>
              <w:t>釹</w:t>
            </w:r>
          </w:p>
        </w:tc>
        <w:tc>
          <w:tcPr>
            <w:tcW w:w="1134" w:type="dxa"/>
            <w:vAlign w:val="center"/>
          </w:tcPr>
          <w:p w:rsidR="00BB2F1F" w:rsidRPr="00131B9D" w:rsidRDefault="00BB2F1F" w:rsidP="00384781">
            <w:pPr>
              <w:snapToGrid w:val="0"/>
              <w:jc w:val="center"/>
              <w:rPr>
                <w:sz w:val="18"/>
                <w:szCs w:val="18"/>
              </w:rPr>
            </w:pPr>
            <w:r w:rsidRPr="00131B9D">
              <w:rPr>
                <w:sz w:val="18"/>
                <w:szCs w:val="18"/>
              </w:rPr>
              <w:t>127.12</w:t>
            </w:r>
          </w:p>
        </w:tc>
        <w:tc>
          <w:tcPr>
            <w:tcW w:w="1134" w:type="dxa"/>
            <w:vAlign w:val="center"/>
          </w:tcPr>
          <w:p w:rsidR="00BB2F1F" w:rsidRPr="00131B9D" w:rsidRDefault="00BB2F1F" w:rsidP="00384781">
            <w:pPr>
              <w:snapToGrid w:val="0"/>
              <w:jc w:val="center"/>
              <w:rPr>
                <w:sz w:val="18"/>
                <w:szCs w:val="18"/>
              </w:rPr>
            </w:pPr>
            <w:r w:rsidRPr="00131B9D">
              <w:rPr>
                <w:sz w:val="18"/>
                <w:szCs w:val="18"/>
              </w:rPr>
              <w:t>145.33</w:t>
            </w:r>
          </w:p>
        </w:tc>
        <w:tc>
          <w:tcPr>
            <w:tcW w:w="851" w:type="dxa"/>
            <w:vAlign w:val="center"/>
          </w:tcPr>
          <w:p w:rsidR="00BB2F1F" w:rsidRPr="00131B9D" w:rsidRDefault="00BB2F1F" w:rsidP="00384781">
            <w:pPr>
              <w:snapToGrid w:val="0"/>
              <w:jc w:val="center"/>
              <w:rPr>
                <w:sz w:val="18"/>
                <w:szCs w:val="18"/>
              </w:rPr>
            </w:pPr>
            <w:r w:rsidRPr="00131B9D">
              <w:rPr>
                <w:sz w:val="18"/>
                <w:szCs w:val="18"/>
              </w:rPr>
              <w:t>-12.53%</w:t>
            </w:r>
          </w:p>
        </w:tc>
        <w:tc>
          <w:tcPr>
            <w:tcW w:w="1134" w:type="dxa"/>
            <w:vAlign w:val="center"/>
          </w:tcPr>
          <w:p w:rsidR="00BB2F1F" w:rsidRPr="00131B9D" w:rsidRDefault="00BB2F1F" w:rsidP="00384781">
            <w:pPr>
              <w:snapToGrid w:val="0"/>
              <w:jc w:val="center"/>
              <w:rPr>
                <w:rFonts w:eastAsia="標楷體"/>
                <w:sz w:val="18"/>
                <w:szCs w:val="18"/>
              </w:rPr>
            </w:pPr>
            <w:r w:rsidRPr="00131B9D">
              <w:rPr>
                <w:rFonts w:eastAsia="標楷體"/>
                <w:kern w:val="0"/>
                <w:sz w:val="18"/>
                <w:szCs w:val="18"/>
              </w:rPr>
              <w:t>-</w:t>
            </w:r>
          </w:p>
        </w:tc>
        <w:tc>
          <w:tcPr>
            <w:tcW w:w="1134" w:type="dxa"/>
            <w:vAlign w:val="center"/>
          </w:tcPr>
          <w:p w:rsidR="00BB2F1F" w:rsidRPr="00131B9D" w:rsidRDefault="00BB2F1F" w:rsidP="00384781">
            <w:pPr>
              <w:snapToGrid w:val="0"/>
              <w:jc w:val="center"/>
              <w:rPr>
                <w:rFonts w:eastAsia="標楷體"/>
                <w:sz w:val="18"/>
                <w:szCs w:val="18"/>
              </w:rPr>
            </w:pPr>
            <w:r w:rsidRPr="00131B9D">
              <w:rPr>
                <w:rFonts w:eastAsia="標楷體"/>
                <w:kern w:val="0"/>
                <w:sz w:val="18"/>
                <w:szCs w:val="18"/>
              </w:rPr>
              <w:t>-</w:t>
            </w:r>
          </w:p>
        </w:tc>
        <w:tc>
          <w:tcPr>
            <w:tcW w:w="709" w:type="dxa"/>
            <w:vAlign w:val="center"/>
          </w:tcPr>
          <w:p w:rsidR="00BB2F1F" w:rsidRPr="00131B9D" w:rsidRDefault="00BB2F1F" w:rsidP="00384781">
            <w:pPr>
              <w:snapToGrid w:val="0"/>
              <w:jc w:val="center"/>
              <w:rPr>
                <w:rFonts w:eastAsia="標楷體"/>
                <w:sz w:val="18"/>
                <w:szCs w:val="18"/>
              </w:rPr>
            </w:pPr>
            <w:r w:rsidRPr="00131B9D">
              <w:rPr>
                <w:rFonts w:eastAsia="標楷體"/>
                <w:kern w:val="0"/>
                <w:sz w:val="18"/>
                <w:szCs w:val="18"/>
              </w:rPr>
              <w:t>-</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9923" w:type="dxa"/>
            <w:gridSpan w:val="9"/>
            <w:vAlign w:val="center"/>
          </w:tcPr>
          <w:p w:rsidR="00BB2F1F" w:rsidRPr="00131B9D" w:rsidRDefault="00BB2F1F" w:rsidP="00384781">
            <w:pPr>
              <w:widowControl/>
              <w:spacing w:line="240" w:lineRule="exact"/>
              <w:jc w:val="center"/>
              <w:rPr>
                <w:rFonts w:eastAsia="標楷體"/>
                <w:b/>
                <w:bCs/>
                <w:kern w:val="0"/>
                <w:sz w:val="20"/>
                <w:szCs w:val="20"/>
              </w:rPr>
            </w:pPr>
            <w:r w:rsidRPr="00131B9D">
              <w:rPr>
                <w:rFonts w:eastAsia="標楷體"/>
                <w:b/>
                <w:bCs/>
                <w:kern w:val="0"/>
                <w:sz w:val="20"/>
                <w:szCs w:val="20"/>
              </w:rPr>
              <w:t>工業原料</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11.</w:t>
            </w:r>
            <w:r w:rsidRPr="00131B9D">
              <w:rPr>
                <w:rFonts w:eastAsia="標楷體"/>
                <w:kern w:val="0"/>
                <w:sz w:val="18"/>
                <w:szCs w:val="18"/>
              </w:rPr>
              <w:t>廢鋼</w:t>
            </w:r>
          </w:p>
        </w:tc>
        <w:tc>
          <w:tcPr>
            <w:tcW w:w="1134" w:type="dxa"/>
            <w:vAlign w:val="center"/>
          </w:tcPr>
          <w:p w:rsidR="00BB2F1F" w:rsidRPr="00131B9D" w:rsidRDefault="00BB2F1F" w:rsidP="00384781">
            <w:pPr>
              <w:jc w:val="center"/>
              <w:rPr>
                <w:sz w:val="18"/>
                <w:szCs w:val="18"/>
              </w:rPr>
            </w:pPr>
            <w:r w:rsidRPr="00131B9D">
              <w:rPr>
                <w:sz w:val="18"/>
                <w:szCs w:val="18"/>
              </w:rPr>
              <w:t xml:space="preserve">219.68 </w:t>
            </w:r>
          </w:p>
        </w:tc>
        <w:tc>
          <w:tcPr>
            <w:tcW w:w="1134" w:type="dxa"/>
            <w:vAlign w:val="center"/>
          </w:tcPr>
          <w:p w:rsidR="00BB2F1F" w:rsidRPr="00131B9D" w:rsidRDefault="00BB2F1F" w:rsidP="00384781">
            <w:pPr>
              <w:jc w:val="center"/>
              <w:rPr>
                <w:sz w:val="18"/>
                <w:szCs w:val="18"/>
              </w:rPr>
            </w:pPr>
            <w:r w:rsidRPr="00131B9D">
              <w:rPr>
                <w:sz w:val="18"/>
                <w:szCs w:val="18"/>
              </w:rPr>
              <w:t xml:space="preserve">357.13 </w:t>
            </w:r>
          </w:p>
        </w:tc>
        <w:tc>
          <w:tcPr>
            <w:tcW w:w="851" w:type="dxa"/>
            <w:vAlign w:val="center"/>
          </w:tcPr>
          <w:p w:rsidR="00BB2F1F" w:rsidRPr="00131B9D" w:rsidRDefault="00BB2F1F" w:rsidP="00384781">
            <w:pPr>
              <w:jc w:val="center"/>
              <w:rPr>
                <w:sz w:val="18"/>
                <w:szCs w:val="18"/>
              </w:rPr>
            </w:pPr>
            <w:r w:rsidRPr="00131B9D">
              <w:rPr>
                <w:sz w:val="18"/>
                <w:szCs w:val="18"/>
              </w:rPr>
              <w:t>-38.49%</w:t>
            </w:r>
          </w:p>
        </w:tc>
        <w:tc>
          <w:tcPr>
            <w:tcW w:w="1134" w:type="dxa"/>
            <w:vAlign w:val="center"/>
          </w:tcPr>
          <w:p w:rsidR="00BB2F1F" w:rsidRPr="00131B9D" w:rsidRDefault="00BB2F1F" w:rsidP="00384781">
            <w:pPr>
              <w:jc w:val="center"/>
              <w:rPr>
                <w:sz w:val="18"/>
                <w:szCs w:val="18"/>
              </w:rPr>
            </w:pPr>
            <w:r w:rsidRPr="00131B9D">
              <w:rPr>
                <w:sz w:val="18"/>
                <w:szCs w:val="18"/>
              </w:rPr>
              <w:t>196.62</w:t>
            </w:r>
          </w:p>
        </w:tc>
        <w:tc>
          <w:tcPr>
            <w:tcW w:w="1134" w:type="dxa"/>
            <w:vAlign w:val="center"/>
          </w:tcPr>
          <w:p w:rsidR="00BB2F1F" w:rsidRPr="00131B9D" w:rsidRDefault="00BB2F1F" w:rsidP="00384781">
            <w:pPr>
              <w:jc w:val="center"/>
              <w:rPr>
                <w:sz w:val="18"/>
                <w:szCs w:val="18"/>
              </w:rPr>
            </w:pPr>
            <w:r w:rsidRPr="00131B9D">
              <w:rPr>
                <w:sz w:val="18"/>
                <w:szCs w:val="18"/>
              </w:rPr>
              <w:t>329.09</w:t>
            </w:r>
          </w:p>
        </w:tc>
        <w:tc>
          <w:tcPr>
            <w:tcW w:w="709" w:type="dxa"/>
            <w:vAlign w:val="center"/>
          </w:tcPr>
          <w:p w:rsidR="00BB2F1F" w:rsidRPr="00131B9D" w:rsidRDefault="00BB2F1F" w:rsidP="00384781">
            <w:pPr>
              <w:jc w:val="center"/>
              <w:rPr>
                <w:sz w:val="18"/>
                <w:szCs w:val="18"/>
              </w:rPr>
            </w:pPr>
            <w:r w:rsidRPr="00131B9D">
              <w:rPr>
                <w:sz w:val="18"/>
                <w:szCs w:val="18"/>
              </w:rPr>
              <w:t>-40.25%</w:t>
            </w:r>
          </w:p>
        </w:tc>
        <w:tc>
          <w:tcPr>
            <w:tcW w:w="1842" w:type="dxa"/>
            <w:vMerge w:val="restart"/>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r w:rsidRPr="00131B9D">
              <w:rPr>
                <w:rFonts w:ascii="新細明體" w:hAnsi="新細明體" w:cs="新細明體" w:hint="eastAsia"/>
                <w:kern w:val="0"/>
                <w:sz w:val="20"/>
                <w:szCs w:val="20"/>
              </w:rPr>
              <w:t>※</w:t>
            </w:r>
            <w:r w:rsidRPr="00131B9D">
              <w:rPr>
                <w:rFonts w:eastAsia="標楷體"/>
                <w:kern w:val="0"/>
                <w:sz w:val="20"/>
                <w:szCs w:val="20"/>
              </w:rPr>
              <w:t>國際鋼材供過於求，因此鋼鐵相關產品價格下跌。</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12.</w:t>
            </w:r>
            <w:r w:rsidRPr="00131B9D">
              <w:rPr>
                <w:rFonts w:eastAsia="標楷體"/>
                <w:kern w:val="0"/>
                <w:sz w:val="18"/>
                <w:szCs w:val="18"/>
              </w:rPr>
              <w:t>生鐵</w:t>
            </w:r>
          </w:p>
        </w:tc>
        <w:tc>
          <w:tcPr>
            <w:tcW w:w="1134" w:type="dxa"/>
            <w:vAlign w:val="center"/>
          </w:tcPr>
          <w:p w:rsidR="00BB2F1F" w:rsidRPr="00131B9D" w:rsidRDefault="00BB2F1F" w:rsidP="00384781">
            <w:pPr>
              <w:jc w:val="center"/>
              <w:rPr>
                <w:sz w:val="18"/>
                <w:szCs w:val="18"/>
              </w:rPr>
            </w:pPr>
            <w:r w:rsidRPr="00131B9D">
              <w:rPr>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w:t>
            </w:r>
          </w:p>
        </w:tc>
        <w:tc>
          <w:tcPr>
            <w:tcW w:w="851" w:type="dxa"/>
            <w:vAlign w:val="center"/>
          </w:tcPr>
          <w:p w:rsidR="00BB2F1F" w:rsidRPr="00131B9D" w:rsidRDefault="00BB2F1F" w:rsidP="00384781">
            <w:pPr>
              <w:jc w:val="center"/>
              <w:rPr>
                <w:sz w:val="18"/>
                <w:szCs w:val="18"/>
              </w:rPr>
            </w:pPr>
            <w:r w:rsidRPr="00131B9D">
              <w:rPr>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268.33</w:t>
            </w:r>
          </w:p>
        </w:tc>
        <w:tc>
          <w:tcPr>
            <w:tcW w:w="1134" w:type="dxa"/>
            <w:vAlign w:val="center"/>
          </w:tcPr>
          <w:p w:rsidR="00BB2F1F" w:rsidRPr="00131B9D" w:rsidRDefault="00BB2F1F" w:rsidP="00384781">
            <w:pPr>
              <w:jc w:val="center"/>
              <w:rPr>
                <w:sz w:val="18"/>
                <w:szCs w:val="18"/>
              </w:rPr>
            </w:pPr>
            <w:r w:rsidRPr="00131B9D">
              <w:rPr>
                <w:sz w:val="18"/>
                <w:szCs w:val="18"/>
              </w:rPr>
              <w:t>424.06</w:t>
            </w:r>
          </w:p>
        </w:tc>
        <w:tc>
          <w:tcPr>
            <w:tcW w:w="709" w:type="dxa"/>
            <w:vAlign w:val="center"/>
          </w:tcPr>
          <w:p w:rsidR="00BB2F1F" w:rsidRPr="00131B9D" w:rsidRDefault="00BB2F1F" w:rsidP="00384781">
            <w:pPr>
              <w:jc w:val="center"/>
              <w:rPr>
                <w:sz w:val="18"/>
                <w:szCs w:val="18"/>
              </w:rPr>
            </w:pPr>
            <w:r w:rsidRPr="00131B9D">
              <w:rPr>
                <w:sz w:val="18"/>
                <w:szCs w:val="18"/>
              </w:rPr>
              <w:t>-36.72%</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13.</w:t>
            </w:r>
            <w:r w:rsidRPr="00131B9D">
              <w:rPr>
                <w:rFonts w:eastAsia="標楷體"/>
                <w:kern w:val="0"/>
                <w:sz w:val="18"/>
                <w:szCs w:val="18"/>
              </w:rPr>
              <w:t>小鋼胚</w:t>
            </w:r>
            <w:r w:rsidRPr="00131B9D">
              <w:rPr>
                <w:rFonts w:eastAsia="標楷體"/>
                <w:kern w:val="0"/>
                <w:sz w:val="18"/>
                <w:szCs w:val="18"/>
              </w:rPr>
              <w:br/>
            </w:r>
            <w:r w:rsidRPr="00131B9D">
              <w:rPr>
                <w:rFonts w:eastAsia="標楷體"/>
                <w:kern w:val="0"/>
                <w:sz w:val="18"/>
                <w:szCs w:val="18"/>
              </w:rPr>
              <w:t>（國際價格停止報價）</w:t>
            </w:r>
          </w:p>
        </w:tc>
        <w:tc>
          <w:tcPr>
            <w:tcW w:w="1134" w:type="dxa"/>
            <w:vAlign w:val="center"/>
          </w:tcPr>
          <w:p w:rsidR="00BB2F1F" w:rsidRPr="00131B9D" w:rsidRDefault="00BB2F1F" w:rsidP="00384781">
            <w:pPr>
              <w:jc w:val="center"/>
              <w:rPr>
                <w:sz w:val="18"/>
                <w:szCs w:val="18"/>
              </w:rPr>
            </w:pPr>
            <w:r w:rsidRPr="00131B9D">
              <w:rPr>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w:t>
            </w:r>
          </w:p>
        </w:tc>
        <w:tc>
          <w:tcPr>
            <w:tcW w:w="851" w:type="dxa"/>
            <w:vAlign w:val="center"/>
          </w:tcPr>
          <w:p w:rsidR="00BB2F1F" w:rsidRPr="00131B9D" w:rsidRDefault="00BB2F1F" w:rsidP="00384781">
            <w:pPr>
              <w:jc w:val="center"/>
              <w:rPr>
                <w:sz w:val="18"/>
                <w:szCs w:val="18"/>
              </w:rPr>
            </w:pPr>
            <w:r w:rsidRPr="00131B9D">
              <w:rPr>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 xml:space="preserve">366.33 </w:t>
            </w:r>
          </w:p>
        </w:tc>
        <w:tc>
          <w:tcPr>
            <w:tcW w:w="1134" w:type="dxa"/>
            <w:vAlign w:val="center"/>
          </w:tcPr>
          <w:p w:rsidR="00BB2F1F" w:rsidRPr="00131B9D" w:rsidRDefault="00BB2F1F" w:rsidP="00384781">
            <w:pPr>
              <w:jc w:val="center"/>
              <w:rPr>
                <w:sz w:val="18"/>
                <w:szCs w:val="18"/>
              </w:rPr>
            </w:pPr>
            <w:r w:rsidRPr="00131B9D">
              <w:rPr>
                <w:sz w:val="18"/>
                <w:szCs w:val="18"/>
              </w:rPr>
              <w:t xml:space="preserve">512.36 </w:t>
            </w:r>
          </w:p>
        </w:tc>
        <w:tc>
          <w:tcPr>
            <w:tcW w:w="709" w:type="dxa"/>
            <w:vAlign w:val="center"/>
          </w:tcPr>
          <w:p w:rsidR="00BB2F1F" w:rsidRPr="00131B9D" w:rsidRDefault="00BB2F1F" w:rsidP="00384781">
            <w:pPr>
              <w:jc w:val="center"/>
              <w:rPr>
                <w:sz w:val="18"/>
                <w:szCs w:val="18"/>
              </w:rPr>
            </w:pPr>
            <w:r w:rsidRPr="00131B9D">
              <w:rPr>
                <w:sz w:val="18"/>
                <w:szCs w:val="18"/>
              </w:rPr>
              <w:t>-28.50%</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14.</w:t>
            </w:r>
            <w:r w:rsidRPr="00131B9D">
              <w:rPr>
                <w:rFonts w:eastAsia="標楷體"/>
                <w:kern w:val="0"/>
                <w:sz w:val="18"/>
                <w:szCs w:val="18"/>
              </w:rPr>
              <w:t>鍍鋅鋼捲</w:t>
            </w:r>
          </w:p>
        </w:tc>
        <w:tc>
          <w:tcPr>
            <w:tcW w:w="1134" w:type="dxa"/>
            <w:vAlign w:val="center"/>
          </w:tcPr>
          <w:p w:rsidR="00BB2F1F" w:rsidRPr="00131B9D" w:rsidRDefault="00BB2F1F" w:rsidP="00384781">
            <w:pPr>
              <w:jc w:val="center"/>
              <w:rPr>
                <w:sz w:val="18"/>
                <w:szCs w:val="18"/>
              </w:rPr>
            </w:pPr>
            <w:r w:rsidRPr="00131B9D">
              <w:rPr>
                <w:sz w:val="18"/>
                <w:szCs w:val="18"/>
              </w:rPr>
              <w:t xml:space="preserve">745.99 </w:t>
            </w:r>
          </w:p>
        </w:tc>
        <w:tc>
          <w:tcPr>
            <w:tcW w:w="1134" w:type="dxa"/>
            <w:vAlign w:val="center"/>
          </w:tcPr>
          <w:p w:rsidR="00BB2F1F" w:rsidRPr="00131B9D" w:rsidRDefault="00BB2F1F" w:rsidP="00384781">
            <w:pPr>
              <w:jc w:val="center"/>
              <w:rPr>
                <w:sz w:val="18"/>
                <w:szCs w:val="18"/>
              </w:rPr>
            </w:pPr>
            <w:r w:rsidRPr="00131B9D">
              <w:rPr>
                <w:sz w:val="18"/>
                <w:szCs w:val="18"/>
              </w:rPr>
              <w:t xml:space="preserve">959.11 </w:t>
            </w:r>
          </w:p>
        </w:tc>
        <w:tc>
          <w:tcPr>
            <w:tcW w:w="851" w:type="dxa"/>
            <w:vAlign w:val="center"/>
          </w:tcPr>
          <w:p w:rsidR="00BB2F1F" w:rsidRPr="00131B9D" w:rsidRDefault="00BB2F1F" w:rsidP="00384781">
            <w:pPr>
              <w:jc w:val="center"/>
              <w:rPr>
                <w:sz w:val="18"/>
                <w:szCs w:val="18"/>
              </w:rPr>
            </w:pPr>
            <w:r w:rsidRPr="00131B9D">
              <w:rPr>
                <w:sz w:val="18"/>
                <w:szCs w:val="18"/>
              </w:rPr>
              <w:t>-22.22%</w:t>
            </w:r>
          </w:p>
        </w:tc>
        <w:tc>
          <w:tcPr>
            <w:tcW w:w="1134" w:type="dxa"/>
            <w:vAlign w:val="center"/>
          </w:tcPr>
          <w:p w:rsidR="00BB2F1F" w:rsidRPr="00131B9D" w:rsidRDefault="00BB2F1F" w:rsidP="00384781">
            <w:pPr>
              <w:jc w:val="center"/>
              <w:rPr>
                <w:sz w:val="18"/>
                <w:szCs w:val="18"/>
              </w:rPr>
            </w:pPr>
            <w:r w:rsidRPr="00131B9D">
              <w:rPr>
                <w:sz w:val="18"/>
                <w:szCs w:val="18"/>
              </w:rPr>
              <w:t xml:space="preserve">673.64 </w:t>
            </w:r>
          </w:p>
        </w:tc>
        <w:tc>
          <w:tcPr>
            <w:tcW w:w="1134" w:type="dxa"/>
            <w:vAlign w:val="center"/>
          </w:tcPr>
          <w:p w:rsidR="00BB2F1F" w:rsidRPr="00131B9D" w:rsidRDefault="00BB2F1F" w:rsidP="00384781">
            <w:pPr>
              <w:jc w:val="center"/>
              <w:rPr>
                <w:sz w:val="18"/>
                <w:szCs w:val="18"/>
              </w:rPr>
            </w:pPr>
            <w:r w:rsidRPr="00131B9D">
              <w:rPr>
                <w:sz w:val="18"/>
                <w:szCs w:val="18"/>
              </w:rPr>
              <w:t xml:space="preserve">795.65 </w:t>
            </w:r>
          </w:p>
        </w:tc>
        <w:tc>
          <w:tcPr>
            <w:tcW w:w="709" w:type="dxa"/>
            <w:vAlign w:val="center"/>
          </w:tcPr>
          <w:p w:rsidR="00BB2F1F" w:rsidRPr="00131B9D" w:rsidRDefault="00BB2F1F" w:rsidP="00384781">
            <w:pPr>
              <w:jc w:val="center"/>
              <w:rPr>
                <w:sz w:val="18"/>
                <w:szCs w:val="18"/>
              </w:rPr>
            </w:pPr>
            <w:r w:rsidRPr="00131B9D">
              <w:rPr>
                <w:sz w:val="18"/>
                <w:szCs w:val="18"/>
              </w:rPr>
              <w:t>-15.33%</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15.</w:t>
            </w:r>
            <w:r w:rsidRPr="00131B9D">
              <w:rPr>
                <w:rFonts w:eastAsia="標楷體"/>
                <w:kern w:val="0"/>
                <w:sz w:val="18"/>
                <w:szCs w:val="18"/>
              </w:rPr>
              <w:t>鋼筋</w:t>
            </w:r>
          </w:p>
        </w:tc>
        <w:tc>
          <w:tcPr>
            <w:tcW w:w="1134" w:type="dxa"/>
            <w:vAlign w:val="center"/>
          </w:tcPr>
          <w:p w:rsidR="00BB2F1F" w:rsidRPr="00131B9D" w:rsidRDefault="00BB2F1F" w:rsidP="00384781">
            <w:pPr>
              <w:jc w:val="center"/>
              <w:rPr>
                <w:sz w:val="18"/>
                <w:szCs w:val="18"/>
              </w:rPr>
            </w:pPr>
            <w:r w:rsidRPr="00131B9D">
              <w:rPr>
                <w:sz w:val="18"/>
                <w:szCs w:val="18"/>
              </w:rPr>
              <w:t xml:space="preserve">424.74 </w:t>
            </w:r>
          </w:p>
        </w:tc>
        <w:tc>
          <w:tcPr>
            <w:tcW w:w="1134" w:type="dxa"/>
            <w:vAlign w:val="center"/>
          </w:tcPr>
          <w:p w:rsidR="00BB2F1F" w:rsidRPr="00131B9D" w:rsidRDefault="00BB2F1F" w:rsidP="00384781">
            <w:pPr>
              <w:jc w:val="center"/>
              <w:rPr>
                <w:sz w:val="18"/>
                <w:szCs w:val="18"/>
              </w:rPr>
            </w:pPr>
            <w:r w:rsidRPr="00131B9D">
              <w:rPr>
                <w:sz w:val="18"/>
                <w:szCs w:val="18"/>
              </w:rPr>
              <w:t xml:space="preserve">567.36 </w:t>
            </w:r>
          </w:p>
        </w:tc>
        <w:tc>
          <w:tcPr>
            <w:tcW w:w="851" w:type="dxa"/>
            <w:vAlign w:val="center"/>
          </w:tcPr>
          <w:p w:rsidR="00BB2F1F" w:rsidRPr="00131B9D" w:rsidRDefault="00BB2F1F" w:rsidP="00384781">
            <w:pPr>
              <w:jc w:val="center"/>
              <w:rPr>
                <w:sz w:val="18"/>
                <w:szCs w:val="18"/>
              </w:rPr>
            </w:pPr>
            <w:r w:rsidRPr="00131B9D">
              <w:rPr>
                <w:sz w:val="18"/>
                <w:szCs w:val="18"/>
              </w:rPr>
              <w:t>-25.14%</w:t>
            </w:r>
          </w:p>
        </w:tc>
        <w:tc>
          <w:tcPr>
            <w:tcW w:w="1134" w:type="dxa"/>
            <w:vAlign w:val="center"/>
          </w:tcPr>
          <w:p w:rsidR="00BB2F1F" w:rsidRPr="00131B9D" w:rsidRDefault="00BB2F1F" w:rsidP="00384781">
            <w:pPr>
              <w:jc w:val="center"/>
              <w:rPr>
                <w:sz w:val="18"/>
                <w:szCs w:val="18"/>
              </w:rPr>
            </w:pPr>
            <w:r w:rsidRPr="00131B9D">
              <w:rPr>
                <w:sz w:val="18"/>
                <w:szCs w:val="18"/>
              </w:rPr>
              <w:t xml:space="preserve">442.69 </w:t>
            </w:r>
          </w:p>
        </w:tc>
        <w:tc>
          <w:tcPr>
            <w:tcW w:w="1134" w:type="dxa"/>
            <w:vAlign w:val="center"/>
          </w:tcPr>
          <w:p w:rsidR="00BB2F1F" w:rsidRPr="00131B9D" w:rsidRDefault="00BB2F1F" w:rsidP="00384781">
            <w:pPr>
              <w:jc w:val="center"/>
              <w:rPr>
                <w:sz w:val="18"/>
                <w:szCs w:val="18"/>
              </w:rPr>
            </w:pPr>
            <w:r w:rsidRPr="00131B9D">
              <w:rPr>
                <w:sz w:val="18"/>
                <w:szCs w:val="18"/>
              </w:rPr>
              <w:t xml:space="preserve">585.79 </w:t>
            </w:r>
          </w:p>
        </w:tc>
        <w:tc>
          <w:tcPr>
            <w:tcW w:w="709" w:type="dxa"/>
            <w:vAlign w:val="center"/>
          </w:tcPr>
          <w:p w:rsidR="00BB2F1F" w:rsidRPr="00131B9D" w:rsidRDefault="00BB2F1F" w:rsidP="00384781">
            <w:pPr>
              <w:jc w:val="center"/>
              <w:rPr>
                <w:sz w:val="18"/>
                <w:szCs w:val="18"/>
              </w:rPr>
            </w:pPr>
            <w:r w:rsidRPr="00131B9D">
              <w:rPr>
                <w:sz w:val="18"/>
                <w:szCs w:val="18"/>
              </w:rPr>
              <w:t>-24.43%</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9923" w:type="dxa"/>
            <w:gridSpan w:val="9"/>
            <w:vAlign w:val="center"/>
          </w:tcPr>
          <w:p w:rsidR="00BB2F1F" w:rsidRPr="00131B9D" w:rsidRDefault="00BB2F1F" w:rsidP="00384781">
            <w:pPr>
              <w:widowControl/>
              <w:spacing w:line="240" w:lineRule="exact"/>
              <w:jc w:val="center"/>
              <w:rPr>
                <w:rFonts w:eastAsia="標楷體"/>
                <w:kern w:val="0"/>
                <w:sz w:val="18"/>
                <w:szCs w:val="18"/>
              </w:rPr>
            </w:pPr>
            <w:r w:rsidRPr="00131B9D">
              <w:rPr>
                <w:rFonts w:eastAsia="標楷體"/>
                <w:b/>
                <w:bCs/>
                <w:kern w:val="0"/>
                <w:sz w:val="20"/>
                <w:szCs w:val="20"/>
              </w:rPr>
              <w:t>石化原料</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16.</w:t>
            </w:r>
            <w:r w:rsidRPr="00131B9D">
              <w:rPr>
                <w:rFonts w:eastAsia="標楷體"/>
                <w:kern w:val="0"/>
                <w:sz w:val="18"/>
                <w:szCs w:val="18"/>
              </w:rPr>
              <w:t>乙烯</w:t>
            </w:r>
          </w:p>
        </w:tc>
        <w:tc>
          <w:tcPr>
            <w:tcW w:w="1134" w:type="dxa"/>
            <w:vAlign w:val="center"/>
          </w:tcPr>
          <w:p w:rsidR="00BB2F1F" w:rsidRPr="00131B9D" w:rsidRDefault="00BB2F1F" w:rsidP="00384781">
            <w:pPr>
              <w:jc w:val="center"/>
              <w:rPr>
                <w:sz w:val="18"/>
                <w:szCs w:val="18"/>
              </w:rPr>
            </w:pPr>
            <w:r w:rsidRPr="00131B9D">
              <w:rPr>
                <w:sz w:val="18"/>
                <w:szCs w:val="18"/>
              </w:rPr>
              <w:t xml:space="preserve">696.20 </w:t>
            </w:r>
          </w:p>
        </w:tc>
        <w:tc>
          <w:tcPr>
            <w:tcW w:w="1134" w:type="dxa"/>
            <w:vAlign w:val="center"/>
          </w:tcPr>
          <w:p w:rsidR="00BB2F1F" w:rsidRPr="00131B9D" w:rsidRDefault="00BB2F1F" w:rsidP="00384781">
            <w:pPr>
              <w:jc w:val="center"/>
              <w:rPr>
                <w:sz w:val="18"/>
                <w:szCs w:val="18"/>
              </w:rPr>
            </w:pPr>
            <w:r w:rsidRPr="00131B9D">
              <w:rPr>
                <w:sz w:val="18"/>
                <w:szCs w:val="18"/>
              </w:rPr>
              <w:t xml:space="preserve">1,305.05 </w:t>
            </w:r>
          </w:p>
        </w:tc>
        <w:tc>
          <w:tcPr>
            <w:tcW w:w="851" w:type="dxa"/>
            <w:vAlign w:val="center"/>
          </w:tcPr>
          <w:p w:rsidR="00BB2F1F" w:rsidRPr="00131B9D" w:rsidRDefault="00BB2F1F" w:rsidP="00384781">
            <w:pPr>
              <w:jc w:val="center"/>
              <w:rPr>
                <w:sz w:val="18"/>
                <w:szCs w:val="18"/>
              </w:rPr>
            </w:pPr>
            <w:r w:rsidRPr="00131B9D">
              <w:rPr>
                <w:sz w:val="18"/>
                <w:szCs w:val="18"/>
              </w:rPr>
              <w:t>-46.65%</w:t>
            </w:r>
          </w:p>
        </w:tc>
        <w:tc>
          <w:tcPr>
            <w:tcW w:w="1134" w:type="dxa"/>
            <w:vAlign w:val="center"/>
          </w:tcPr>
          <w:p w:rsidR="00BB2F1F" w:rsidRPr="00131B9D" w:rsidRDefault="00BB2F1F" w:rsidP="00384781">
            <w:pPr>
              <w:jc w:val="center"/>
              <w:rPr>
                <w:sz w:val="18"/>
                <w:szCs w:val="18"/>
              </w:rPr>
            </w:pPr>
            <w:r w:rsidRPr="00131B9D">
              <w:rPr>
                <w:sz w:val="18"/>
                <w:szCs w:val="18"/>
              </w:rPr>
              <w:t xml:space="preserve">1,537.35 </w:t>
            </w:r>
          </w:p>
        </w:tc>
        <w:tc>
          <w:tcPr>
            <w:tcW w:w="1134" w:type="dxa"/>
            <w:vAlign w:val="center"/>
          </w:tcPr>
          <w:p w:rsidR="00BB2F1F" w:rsidRPr="00131B9D" w:rsidRDefault="00BB2F1F" w:rsidP="00384781">
            <w:pPr>
              <w:jc w:val="center"/>
              <w:rPr>
                <w:sz w:val="18"/>
                <w:szCs w:val="18"/>
              </w:rPr>
            </w:pPr>
            <w:r w:rsidRPr="00131B9D">
              <w:rPr>
                <w:sz w:val="18"/>
                <w:szCs w:val="18"/>
              </w:rPr>
              <w:t xml:space="preserve">1,932.82 </w:t>
            </w:r>
          </w:p>
        </w:tc>
        <w:tc>
          <w:tcPr>
            <w:tcW w:w="709" w:type="dxa"/>
            <w:vAlign w:val="center"/>
          </w:tcPr>
          <w:p w:rsidR="00BB2F1F" w:rsidRPr="00131B9D" w:rsidRDefault="00BB2F1F" w:rsidP="00384781">
            <w:pPr>
              <w:jc w:val="center"/>
              <w:rPr>
                <w:sz w:val="18"/>
                <w:szCs w:val="18"/>
              </w:rPr>
            </w:pPr>
            <w:r w:rsidRPr="00131B9D">
              <w:rPr>
                <w:sz w:val="18"/>
                <w:szCs w:val="18"/>
              </w:rPr>
              <w:t>-20.46%</w:t>
            </w:r>
          </w:p>
        </w:tc>
        <w:tc>
          <w:tcPr>
            <w:tcW w:w="1842" w:type="dxa"/>
            <w:vMerge w:val="restart"/>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r w:rsidRPr="00131B9D">
              <w:rPr>
                <w:rFonts w:ascii="新細明體" w:hAnsi="新細明體" w:cs="新細明體" w:hint="eastAsia"/>
                <w:kern w:val="0"/>
                <w:sz w:val="20"/>
                <w:szCs w:val="20"/>
              </w:rPr>
              <w:t>※</w:t>
            </w:r>
            <w:r w:rsidRPr="00131B9D">
              <w:rPr>
                <w:rFonts w:eastAsia="標楷體"/>
                <w:kern w:val="0"/>
                <w:sz w:val="20"/>
                <w:szCs w:val="20"/>
              </w:rPr>
              <w:t>因原油價格大跌導致下游相關產品也因此跌價。</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17.</w:t>
            </w:r>
            <w:r w:rsidRPr="00131B9D">
              <w:rPr>
                <w:rFonts w:eastAsia="標楷體"/>
                <w:kern w:val="0"/>
                <w:sz w:val="18"/>
                <w:szCs w:val="18"/>
              </w:rPr>
              <w:t>丙烯</w:t>
            </w:r>
          </w:p>
        </w:tc>
        <w:tc>
          <w:tcPr>
            <w:tcW w:w="1134" w:type="dxa"/>
            <w:vAlign w:val="center"/>
          </w:tcPr>
          <w:p w:rsidR="00BB2F1F" w:rsidRPr="00131B9D" w:rsidRDefault="00BB2F1F" w:rsidP="00384781">
            <w:pPr>
              <w:jc w:val="center"/>
              <w:rPr>
                <w:sz w:val="18"/>
                <w:szCs w:val="18"/>
              </w:rPr>
            </w:pPr>
            <w:r w:rsidRPr="00131B9D">
              <w:rPr>
                <w:sz w:val="18"/>
                <w:szCs w:val="18"/>
              </w:rPr>
              <w:t xml:space="preserve">805.99 </w:t>
            </w:r>
          </w:p>
        </w:tc>
        <w:tc>
          <w:tcPr>
            <w:tcW w:w="1134" w:type="dxa"/>
            <w:vAlign w:val="center"/>
          </w:tcPr>
          <w:p w:rsidR="00BB2F1F" w:rsidRPr="00131B9D" w:rsidRDefault="00BB2F1F" w:rsidP="00384781">
            <w:pPr>
              <w:jc w:val="center"/>
              <w:rPr>
                <w:sz w:val="18"/>
                <w:szCs w:val="18"/>
              </w:rPr>
            </w:pPr>
            <w:r w:rsidRPr="00131B9D">
              <w:rPr>
                <w:sz w:val="18"/>
                <w:szCs w:val="18"/>
              </w:rPr>
              <w:t xml:space="preserve">1,293.96 </w:t>
            </w:r>
          </w:p>
        </w:tc>
        <w:tc>
          <w:tcPr>
            <w:tcW w:w="851" w:type="dxa"/>
            <w:vAlign w:val="center"/>
          </w:tcPr>
          <w:p w:rsidR="00BB2F1F" w:rsidRPr="00131B9D" w:rsidRDefault="00BB2F1F" w:rsidP="00384781">
            <w:pPr>
              <w:jc w:val="center"/>
              <w:rPr>
                <w:sz w:val="18"/>
                <w:szCs w:val="18"/>
              </w:rPr>
            </w:pPr>
            <w:r w:rsidRPr="00131B9D">
              <w:rPr>
                <w:sz w:val="18"/>
                <w:szCs w:val="18"/>
              </w:rPr>
              <w:t>-37.71%</w:t>
            </w:r>
          </w:p>
        </w:tc>
        <w:tc>
          <w:tcPr>
            <w:tcW w:w="1134" w:type="dxa"/>
            <w:vAlign w:val="center"/>
          </w:tcPr>
          <w:p w:rsidR="00BB2F1F" w:rsidRPr="00131B9D" w:rsidRDefault="00BB2F1F" w:rsidP="00384781">
            <w:pPr>
              <w:jc w:val="center"/>
              <w:rPr>
                <w:sz w:val="18"/>
                <w:szCs w:val="18"/>
              </w:rPr>
            </w:pPr>
            <w:r w:rsidRPr="00131B9D">
              <w:rPr>
                <w:sz w:val="18"/>
                <w:szCs w:val="18"/>
              </w:rPr>
              <w:t xml:space="preserve">848.41 </w:t>
            </w:r>
          </w:p>
        </w:tc>
        <w:tc>
          <w:tcPr>
            <w:tcW w:w="1134" w:type="dxa"/>
            <w:vAlign w:val="center"/>
          </w:tcPr>
          <w:p w:rsidR="00BB2F1F" w:rsidRPr="00131B9D" w:rsidRDefault="00BB2F1F" w:rsidP="00384781">
            <w:pPr>
              <w:jc w:val="center"/>
              <w:rPr>
                <w:sz w:val="18"/>
                <w:szCs w:val="18"/>
              </w:rPr>
            </w:pPr>
            <w:r w:rsidRPr="00131B9D">
              <w:rPr>
                <w:sz w:val="18"/>
                <w:szCs w:val="18"/>
              </w:rPr>
              <w:t xml:space="preserve">1,390.43 </w:t>
            </w:r>
          </w:p>
        </w:tc>
        <w:tc>
          <w:tcPr>
            <w:tcW w:w="709" w:type="dxa"/>
            <w:vAlign w:val="center"/>
          </w:tcPr>
          <w:p w:rsidR="00BB2F1F" w:rsidRPr="00131B9D" w:rsidRDefault="00BB2F1F" w:rsidP="00384781">
            <w:pPr>
              <w:jc w:val="center"/>
              <w:rPr>
                <w:sz w:val="18"/>
                <w:szCs w:val="18"/>
              </w:rPr>
            </w:pPr>
            <w:r w:rsidRPr="00131B9D">
              <w:rPr>
                <w:sz w:val="18"/>
                <w:szCs w:val="18"/>
              </w:rPr>
              <w:t>-38.98%</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18.</w:t>
            </w:r>
            <w:r w:rsidRPr="00131B9D">
              <w:rPr>
                <w:rFonts w:eastAsia="標楷體"/>
                <w:kern w:val="0"/>
                <w:sz w:val="18"/>
                <w:szCs w:val="18"/>
              </w:rPr>
              <w:t>苯</w:t>
            </w:r>
          </w:p>
        </w:tc>
        <w:tc>
          <w:tcPr>
            <w:tcW w:w="1134" w:type="dxa"/>
            <w:vAlign w:val="center"/>
          </w:tcPr>
          <w:p w:rsidR="00BB2F1F" w:rsidRPr="00131B9D" w:rsidRDefault="00BB2F1F" w:rsidP="00384781">
            <w:pPr>
              <w:jc w:val="center"/>
              <w:rPr>
                <w:sz w:val="18"/>
                <w:szCs w:val="18"/>
              </w:rPr>
            </w:pPr>
            <w:r w:rsidRPr="00131B9D">
              <w:rPr>
                <w:sz w:val="18"/>
                <w:szCs w:val="18"/>
              </w:rPr>
              <w:t xml:space="preserve">689.83 </w:t>
            </w:r>
          </w:p>
        </w:tc>
        <w:tc>
          <w:tcPr>
            <w:tcW w:w="1134" w:type="dxa"/>
            <w:vAlign w:val="center"/>
          </w:tcPr>
          <w:p w:rsidR="00BB2F1F" w:rsidRPr="00131B9D" w:rsidRDefault="00BB2F1F" w:rsidP="00384781">
            <w:pPr>
              <w:jc w:val="center"/>
              <w:rPr>
                <w:sz w:val="18"/>
                <w:szCs w:val="18"/>
              </w:rPr>
            </w:pPr>
            <w:r w:rsidRPr="00131B9D">
              <w:rPr>
                <w:sz w:val="18"/>
                <w:szCs w:val="18"/>
              </w:rPr>
              <w:t xml:space="preserve">1,258.57 </w:t>
            </w:r>
          </w:p>
        </w:tc>
        <w:tc>
          <w:tcPr>
            <w:tcW w:w="851" w:type="dxa"/>
            <w:vAlign w:val="center"/>
          </w:tcPr>
          <w:p w:rsidR="00BB2F1F" w:rsidRPr="00131B9D" w:rsidRDefault="00BB2F1F" w:rsidP="00384781">
            <w:pPr>
              <w:jc w:val="center"/>
              <w:rPr>
                <w:sz w:val="18"/>
                <w:szCs w:val="18"/>
              </w:rPr>
            </w:pPr>
            <w:r w:rsidRPr="00131B9D">
              <w:rPr>
                <w:sz w:val="18"/>
                <w:szCs w:val="18"/>
              </w:rPr>
              <w:t>-45.19%</w:t>
            </w:r>
          </w:p>
        </w:tc>
        <w:tc>
          <w:tcPr>
            <w:tcW w:w="1134" w:type="dxa"/>
            <w:vAlign w:val="center"/>
          </w:tcPr>
          <w:p w:rsidR="00BB2F1F" w:rsidRPr="00131B9D" w:rsidRDefault="00BB2F1F" w:rsidP="00384781">
            <w:pPr>
              <w:jc w:val="center"/>
              <w:rPr>
                <w:sz w:val="18"/>
                <w:szCs w:val="18"/>
              </w:rPr>
            </w:pPr>
            <w:r w:rsidRPr="00131B9D">
              <w:rPr>
                <w:sz w:val="18"/>
                <w:szCs w:val="18"/>
              </w:rPr>
              <w:t xml:space="preserve">706.47 </w:t>
            </w:r>
          </w:p>
        </w:tc>
        <w:tc>
          <w:tcPr>
            <w:tcW w:w="1134" w:type="dxa"/>
            <w:vAlign w:val="center"/>
          </w:tcPr>
          <w:p w:rsidR="00BB2F1F" w:rsidRPr="00131B9D" w:rsidRDefault="00BB2F1F" w:rsidP="00384781">
            <w:pPr>
              <w:jc w:val="center"/>
              <w:rPr>
                <w:sz w:val="18"/>
                <w:szCs w:val="18"/>
              </w:rPr>
            </w:pPr>
            <w:r w:rsidRPr="00131B9D">
              <w:rPr>
                <w:sz w:val="18"/>
                <w:szCs w:val="18"/>
              </w:rPr>
              <w:t xml:space="preserve">1,283.91 </w:t>
            </w:r>
          </w:p>
        </w:tc>
        <w:tc>
          <w:tcPr>
            <w:tcW w:w="709" w:type="dxa"/>
            <w:vAlign w:val="center"/>
          </w:tcPr>
          <w:p w:rsidR="00BB2F1F" w:rsidRPr="00131B9D" w:rsidRDefault="00BB2F1F" w:rsidP="00384781">
            <w:pPr>
              <w:jc w:val="center"/>
              <w:rPr>
                <w:sz w:val="18"/>
                <w:szCs w:val="18"/>
              </w:rPr>
            </w:pPr>
            <w:r w:rsidRPr="00131B9D">
              <w:rPr>
                <w:sz w:val="18"/>
                <w:szCs w:val="18"/>
              </w:rPr>
              <w:t>-44.98%</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19.</w:t>
            </w:r>
            <w:r w:rsidRPr="00131B9D">
              <w:rPr>
                <w:rFonts w:eastAsia="標楷體"/>
                <w:kern w:val="0"/>
                <w:sz w:val="18"/>
                <w:szCs w:val="18"/>
              </w:rPr>
              <w:t>聚氯乙烯（</w:t>
            </w:r>
            <w:r w:rsidRPr="00131B9D">
              <w:rPr>
                <w:rFonts w:eastAsia="標楷體"/>
                <w:kern w:val="0"/>
                <w:sz w:val="18"/>
                <w:szCs w:val="18"/>
              </w:rPr>
              <w:t>PVC</w:t>
            </w:r>
            <w:r w:rsidRPr="00131B9D">
              <w:rPr>
                <w:rFonts w:eastAsia="標楷體"/>
                <w:kern w:val="0"/>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 xml:space="preserve">832.02 </w:t>
            </w:r>
          </w:p>
        </w:tc>
        <w:tc>
          <w:tcPr>
            <w:tcW w:w="1134" w:type="dxa"/>
            <w:vAlign w:val="center"/>
          </w:tcPr>
          <w:p w:rsidR="00BB2F1F" w:rsidRPr="00131B9D" w:rsidRDefault="00BB2F1F" w:rsidP="00384781">
            <w:pPr>
              <w:jc w:val="center"/>
              <w:rPr>
                <w:sz w:val="18"/>
                <w:szCs w:val="18"/>
              </w:rPr>
            </w:pPr>
            <w:r w:rsidRPr="00131B9D">
              <w:rPr>
                <w:sz w:val="18"/>
                <w:szCs w:val="18"/>
              </w:rPr>
              <w:t xml:space="preserve">1,031.49 </w:t>
            </w:r>
          </w:p>
        </w:tc>
        <w:tc>
          <w:tcPr>
            <w:tcW w:w="851" w:type="dxa"/>
            <w:vAlign w:val="center"/>
          </w:tcPr>
          <w:p w:rsidR="00BB2F1F" w:rsidRPr="00131B9D" w:rsidRDefault="00BB2F1F" w:rsidP="00384781">
            <w:pPr>
              <w:jc w:val="center"/>
              <w:rPr>
                <w:sz w:val="18"/>
                <w:szCs w:val="18"/>
              </w:rPr>
            </w:pPr>
            <w:r w:rsidRPr="00131B9D">
              <w:rPr>
                <w:sz w:val="18"/>
                <w:szCs w:val="18"/>
              </w:rPr>
              <w:t>-19.34%</w:t>
            </w:r>
          </w:p>
        </w:tc>
        <w:tc>
          <w:tcPr>
            <w:tcW w:w="1134" w:type="dxa"/>
            <w:vAlign w:val="center"/>
          </w:tcPr>
          <w:p w:rsidR="00BB2F1F" w:rsidRPr="00131B9D" w:rsidRDefault="00BB2F1F" w:rsidP="00384781">
            <w:pPr>
              <w:jc w:val="center"/>
              <w:rPr>
                <w:sz w:val="18"/>
                <w:szCs w:val="18"/>
              </w:rPr>
            </w:pPr>
            <w:r w:rsidRPr="00131B9D">
              <w:rPr>
                <w:sz w:val="18"/>
                <w:szCs w:val="18"/>
              </w:rPr>
              <w:t xml:space="preserve">956.92 </w:t>
            </w:r>
          </w:p>
        </w:tc>
        <w:tc>
          <w:tcPr>
            <w:tcW w:w="1134" w:type="dxa"/>
            <w:vAlign w:val="center"/>
          </w:tcPr>
          <w:p w:rsidR="00BB2F1F" w:rsidRPr="00131B9D" w:rsidRDefault="00BB2F1F" w:rsidP="00384781">
            <w:pPr>
              <w:jc w:val="center"/>
              <w:rPr>
                <w:sz w:val="18"/>
                <w:szCs w:val="18"/>
              </w:rPr>
            </w:pPr>
            <w:r w:rsidRPr="00131B9D">
              <w:rPr>
                <w:sz w:val="18"/>
                <w:szCs w:val="18"/>
              </w:rPr>
              <w:t xml:space="preserve">1,115.77 </w:t>
            </w:r>
          </w:p>
        </w:tc>
        <w:tc>
          <w:tcPr>
            <w:tcW w:w="709" w:type="dxa"/>
            <w:vAlign w:val="center"/>
          </w:tcPr>
          <w:p w:rsidR="00BB2F1F" w:rsidRPr="00131B9D" w:rsidRDefault="00BB2F1F" w:rsidP="00384781">
            <w:pPr>
              <w:jc w:val="center"/>
              <w:rPr>
                <w:sz w:val="18"/>
                <w:szCs w:val="18"/>
              </w:rPr>
            </w:pPr>
            <w:r w:rsidRPr="00131B9D">
              <w:rPr>
                <w:sz w:val="18"/>
                <w:szCs w:val="18"/>
              </w:rPr>
              <w:t>-14.24%</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20.</w:t>
            </w:r>
            <w:r w:rsidRPr="00131B9D">
              <w:rPr>
                <w:rFonts w:eastAsia="標楷體"/>
                <w:kern w:val="0"/>
                <w:sz w:val="18"/>
                <w:szCs w:val="18"/>
              </w:rPr>
              <w:t>聚丙烯（</w:t>
            </w:r>
            <w:r w:rsidRPr="00131B9D">
              <w:rPr>
                <w:rFonts w:eastAsia="標楷體"/>
                <w:kern w:val="0"/>
                <w:sz w:val="18"/>
                <w:szCs w:val="18"/>
              </w:rPr>
              <w:t>PP</w:t>
            </w:r>
            <w:r w:rsidRPr="00131B9D">
              <w:rPr>
                <w:rFonts w:eastAsia="標楷體"/>
                <w:kern w:val="0"/>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1146.63</w:t>
            </w:r>
          </w:p>
        </w:tc>
        <w:tc>
          <w:tcPr>
            <w:tcW w:w="1134" w:type="dxa"/>
            <w:vAlign w:val="center"/>
          </w:tcPr>
          <w:p w:rsidR="00BB2F1F" w:rsidRPr="00131B9D" w:rsidRDefault="00BB2F1F" w:rsidP="00384781">
            <w:pPr>
              <w:jc w:val="center"/>
              <w:rPr>
                <w:sz w:val="18"/>
                <w:szCs w:val="18"/>
              </w:rPr>
            </w:pPr>
            <w:r w:rsidRPr="00131B9D">
              <w:rPr>
                <w:sz w:val="18"/>
                <w:szCs w:val="18"/>
              </w:rPr>
              <w:t>1561.97</w:t>
            </w:r>
          </w:p>
        </w:tc>
        <w:tc>
          <w:tcPr>
            <w:tcW w:w="851" w:type="dxa"/>
            <w:vAlign w:val="center"/>
          </w:tcPr>
          <w:p w:rsidR="00BB2F1F" w:rsidRPr="00131B9D" w:rsidRDefault="00BB2F1F" w:rsidP="00384781">
            <w:pPr>
              <w:jc w:val="center"/>
              <w:rPr>
                <w:sz w:val="18"/>
                <w:szCs w:val="18"/>
              </w:rPr>
            </w:pPr>
            <w:r w:rsidRPr="00131B9D">
              <w:rPr>
                <w:sz w:val="18"/>
                <w:szCs w:val="18"/>
              </w:rPr>
              <w:t>-26.59%</w:t>
            </w:r>
          </w:p>
        </w:tc>
        <w:tc>
          <w:tcPr>
            <w:tcW w:w="1134" w:type="dxa"/>
            <w:vAlign w:val="center"/>
          </w:tcPr>
          <w:p w:rsidR="00BB2F1F" w:rsidRPr="00131B9D" w:rsidRDefault="00BB2F1F" w:rsidP="00384781">
            <w:pPr>
              <w:jc w:val="center"/>
              <w:rPr>
                <w:sz w:val="18"/>
                <w:szCs w:val="18"/>
              </w:rPr>
            </w:pPr>
            <w:r w:rsidRPr="00131B9D">
              <w:rPr>
                <w:sz w:val="18"/>
                <w:szCs w:val="18"/>
              </w:rPr>
              <w:t>51.97</w:t>
            </w:r>
          </w:p>
        </w:tc>
        <w:tc>
          <w:tcPr>
            <w:tcW w:w="1134" w:type="dxa"/>
            <w:vAlign w:val="center"/>
          </w:tcPr>
          <w:p w:rsidR="00BB2F1F" w:rsidRPr="00131B9D" w:rsidRDefault="00BB2F1F" w:rsidP="00384781">
            <w:pPr>
              <w:jc w:val="center"/>
              <w:rPr>
                <w:sz w:val="18"/>
                <w:szCs w:val="18"/>
              </w:rPr>
            </w:pPr>
            <w:r w:rsidRPr="00131B9D">
              <w:rPr>
                <w:sz w:val="18"/>
                <w:szCs w:val="18"/>
              </w:rPr>
              <w:t>60.82</w:t>
            </w:r>
          </w:p>
        </w:tc>
        <w:tc>
          <w:tcPr>
            <w:tcW w:w="709" w:type="dxa"/>
            <w:vAlign w:val="center"/>
          </w:tcPr>
          <w:p w:rsidR="00BB2F1F" w:rsidRPr="00131B9D" w:rsidRDefault="00BB2F1F" w:rsidP="00384781">
            <w:pPr>
              <w:jc w:val="center"/>
              <w:rPr>
                <w:sz w:val="18"/>
                <w:szCs w:val="18"/>
              </w:rPr>
            </w:pPr>
            <w:r w:rsidRPr="00131B9D">
              <w:rPr>
                <w:sz w:val="18"/>
                <w:szCs w:val="18"/>
              </w:rPr>
              <w:t>-14.55%</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21.ABS</w:t>
            </w:r>
            <w:r w:rsidRPr="00131B9D">
              <w:rPr>
                <w:rFonts w:eastAsia="標楷體"/>
                <w:kern w:val="0"/>
                <w:sz w:val="18"/>
                <w:szCs w:val="18"/>
              </w:rPr>
              <w:t>樹脂</w:t>
            </w:r>
          </w:p>
        </w:tc>
        <w:tc>
          <w:tcPr>
            <w:tcW w:w="1134" w:type="dxa"/>
            <w:vAlign w:val="center"/>
          </w:tcPr>
          <w:p w:rsidR="00BB2F1F" w:rsidRPr="00131B9D" w:rsidRDefault="00BB2F1F" w:rsidP="00384781">
            <w:pPr>
              <w:jc w:val="center"/>
              <w:rPr>
                <w:sz w:val="18"/>
                <w:szCs w:val="18"/>
              </w:rPr>
            </w:pPr>
            <w:r w:rsidRPr="00131B9D">
              <w:rPr>
                <w:sz w:val="18"/>
                <w:szCs w:val="18"/>
              </w:rPr>
              <w:t xml:space="preserve">1,479.10 </w:t>
            </w:r>
          </w:p>
        </w:tc>
        <w:tc>
          <w:tcPr>
            <w:tcW w:w="1134" w:type="dxa"/>
            <w:vAlign w:val="center"/>
          </w:tcPr>
          <w:p w:rsidR="00BB2F1F" w:rsidRPr="00131B9D" w:rsidRDefault="00BB2F1F" w:rsidP="00384781">
            <w:pPr>
              <w:jc w:val="center"/>
              <w:rPr>
                <w:sz w:val="18"/>
                <w:szCs w:val="18"/>
              </w:rPr>
            </w:pPr>
            <w:r w:rsidRPr="00131B9D">
              <w:rPr>
                <w:sz w:val="18"/>
                <w:szCs w:val="18"/>
              </w:rPr>
              <w:t xml:space="preserve">1,908.27 </w:t>
            </w:r>
          </w:p>
        </w:tc>
        <w:tc>
          <w:tcPr>
            <w:tcW w:w="851" w:type="dxa"/>
            <w:vAlign w:val="center"/>
          </w:tcPr>
          <w:p w:rsidR="00BB2F1F" w:rsidRPr="00131B9D" w:rsidRDefault="00BB2F1F" w:rsidP="00384781">
            <w:pPr>
              <w:jc w:val="center"/>
              <w:rPr>
                <w:sz w:val="18"/>
                <w:szCs w:val="18"/>
              </w:rPr>
            </w:pPr>
            <w:r w:rsidRPr="00131B9D">
              <w:rPr>
                <w:sz w:val="18"/>
                <w:szCs w:val="18"/>
              </w:rPr>
              <w:t>-22.49%</w:t>
            </w:r>
          </w:p>
        </w:tc>
        <w:tc>
          <w:tcPr>
            <w:tcW w:w="1134" w:type="dxa"/>
            <w:vAlign w:val="center"/>
          </w:tcPr>
          <w:p w:rsidR="00BB2F1F" w:rsidRPr="00131B9D" w:rsidRDefault="00BB2F1F" w:rsidP="00384781">
            <w:pPr>
              <w:jc w:val="center"/>
              <w:rPr>
                <w:sz w:val="18"/>
                <w:szCs w:val="18"/>
              </w:rPr>
            </w:pPr>
            <w:r w:rsidRPr="00131B9D">
              <w:rPr>
                <w:sz w:val="18"/>
                <w:szCs w:val="18"/>
              </w:rPr>
              <w:t xml:space="preserve">1,705.20 </w:t>
            </w:r>
          </w:p>
        </w:tc>
        <w:tc>
          <w:tcPr>
            <w:tcW w:w="1134" w:type="dxa"/>
            <w:vAlign w:val="center"/>
          </w:tcPr>
          <w:p w:rsidR="00BB2F1F" w:rsidRPr="00131B9D" w:rsidRDefault="00BB2F1F" w:rsidP="00384781">
            <w:pPr>
              <w:jc w:val="center"/>
              <w:rPr>
                <w:sz w:val="18"/>
                <w:szCs w:val="18"/>
              </w:rPr>
            </w:pPr>
            <w:r w:rsidRPr="00131B9D">
              <w:rPr>
                <w:sz w:val="18"/>
                <w:szCs w:val="18"/>
              </w:rPr>
              <w:t xml:space="preserve">2,091.92 </w:t>
            </w:r>
          </w:p>
        </w:tc>
        <w:tc>
          <w:tcPr>
            <w:tcW w:w="709" w:type="dxa"/>
            <w:vAlign w:val="center"/>
          </w:tcPr>
          <w:p w:rsidR="00BB2F1F" w:rsidRPr="00131B9D" w:rsidRDefault="00BB2F1F" w:rsidP="00384781">
            <w:pPr>
              <w:jc w:val="center"/>
              <w:rPr>
                <w:sz w:val="18"/>
                <w:szCs w:val="18"/>
              </w:rPr>
            </w:pPr>
            <w:r w:rsidRPr="00131B9D">
              <w:rPr>
                <w:sz w:val="18"/>
                <w:szCs w:val="18"/>
              </w:rPr>
              <w:t>-18.49%</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22.</w:t>
            </w:r>
            <w:r w:rsidRPr="00131B9D">
              <w:rPr>
                <w:rFonts w:eastAsia="標楷體"/>
                <w:kern w:val="0"/>
                <w:sz w:val="18"/>
                <w:szCs w:val="18"/>
              </w:rPr>
              <w:t>己內醯胺（</w:t>
            </w:r>
            <w:r w:rsidRPr="00131B9D">
              <w:rPr>
                <w:rFonts w:eastAsia="標楷體"/>
                <w:kern w:val="0"/>
                <w:sz w:val="18"/>
                <w:szCs w:val="18"/>
              </w:rPr>
              <w:t>CPL</w:t>
            </w:r>
            <w:r w:rsidRPr="00131B9D">
              <w:rPr>
                <w:rFonts w:eastAsia="標楷體"/>
                <w:kern w:val="0"/>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 xml:space="preserve">1,598.49 </w:t>
            </w:r>
          </w:p>
        </w:tc>
        <w:tc>
          <w:tcPr>
            <w:tcW w:w="1134" w:type="dxa"/>
            <w:vAlign w:val="center"/>
          </w:tcPr>
          <w:p w:rsidR="00BB2F1F" w:rsidRPr="00131B9D" w:rsidRDefault="00BB2F1F" w:rsidP="00384781">
            <w:pPr>
              <w:jc w:val="center"/>
              <w:rPr>
                <w:sz w:val="18"/>
                <w:szCs w:val="18"/>
              </w:rPr>
            </w:pPr>
            <w:r w:rsidRPr="00131B9D">
              <w:rPr>
                <w:sz w:val="18"/>
                <w:szCs w:val="18"/>
              </w:rPr>
              <w:t xml:space="preserve">2,235.63 </w:t>
            </w:r>
          </w:p>
        </w:tc>
        <w:tc>
          <w:tcPr>
            <w:tcW w:w="851" w:type="dxa"/>
            <w:vAlign w:val="center"/>
          </w:tcPr>
          <w:p w:rsidR="00BB2F1F" w:rsidRPr="00131B9D" w:rsidRDefault="00BB2F1F" w:rsidP="00384781">
            <w:pPr>
              <w:jc w:val="center"/>
              <w:rPr>
                <w:sz w:val="18"/>
                <w:szCs w:val="18"/>
              </w:rPr>
            </w:pPr>
            <w:r w:rsidRPr="00131B9D">
              <w:rPr>
                <w:sz w:val="18"/>
                <w:szCs w:val="18"/>
              </w:rPr>
              <w:t>-28.50%</w:t>
            </w:r>
          </w:p>
        </w:tc>
        <w:tc>
          <w:tcPr>
            <w:tcW w:w="1134" w:type="dxa"/>
            <w:vAlign w:val="center"/>
          </w:tcPr>
          <w:p w:rsidR="00BB2F1F" w:rsidRPr="00131B9D" w:rsidRDefault="00BB2F1F" w:rsidP="00384781">
            <w:pPr>
              <w:jc w:val="center"/>
              <w:rPr>
                <w:sz w:val="18"/>
                <w:szCs w:val="18"/>
              </w:rPr>
            </w:pPr>
            <w:r w:rsidRPr="00131B9D">
              <w:rPr>
                <w:sz w:val="18"/>
                <w:szCs w:val="18"/>
              </w:rPr>
              <w:t xml:space="preserve">1,610.22 </w:t>
            </w:r>
          </w:p>
        </w:tc>
        <w:tc>
          <w:tcPr>
            <w:tcW w:w="1134" w:type="dxa"/>
            <w:vAlign w:val="center"/>
          </w:tcPr>
          <w:p w:rsidR="00BB2F1F" w:rsidRPr="00131B9D" w:rsidRDefault="00BB2F1F" w:rsidP="00384781">
            <w:pPr>
              <w:jc w:val="center"/>
              <w:rPr>
                <w:sz w:val="18"/>
                <w:szCs w:val="18"/>
              </w:rPr>
            </w:pPr>
            <w:r w:rsidRPr="00131B9D">
              <w:rPr>
                <w:sz w:val="18"/>
                <w:szCs w:val="18"/>
              </w:rPr>
              <w:t xml:space="preserve">2,234.38 </w:t>
            </w:r>
          </w:p>
        </w:tc>
        <w:tc>
          <w:tcPr>
            <w:tcW w:w="709" w:type="dxa"/>
            <w:vAlign w:val="center"/>
          </w:tcPr>
          <w:p w:rsidR="00BB2F1F" w:rsidRPr="00131B9D" w:rsidRDefault="00BB2F1F" w:rsidP="00384781">
            <w:pPr>
              <w:jc w:val="center"/>
              <w:rPr>
                <w:sz w:val="18"/>
                <w:szCs w:val="18"/>
              </w:rPr>
            </w:pPr>
            <w:r w:rsidRPr="00131B9D">
              <w:rPr>
                <w:sz w:val="18"/>
                <w:szCs w:val="18"/>
              </w:rPr>
              <w:t>-27.93%</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23.</w:t>
            </w:r>
            <w:r w:rsidRPr="00131B9D">
              <w:rPr>
                <w:rFonts w:eastAsia="標楷體"/>
                <w:kern w:val="0"/>
                <w:sz w:val="18"/>
                <w:szCs w:val="18"/>
              </w:rPr>
              <w:t>純對苯二甲酸（</w:t>
            </w:r>
            <w:r w:rsidRPr="00131B9D">
              <w:rPr>
                <w:rFonts w:eastAsia="標楷體"/>
                <w:kern w:val="0"/>
                <w:sz w:val="18"/>
                <w:szCs w:val="18"/>
              </w:rPr>
              <w:t>PTA</w:t>
            </w:r>
            <w:r w:rsidRPr="00131B9D">
              <w:rPr>
                <w:rFonts w:eastAsia="標楷體"/>
                <w:kern w:val="0"/>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 xml:space="preserve">635.37 </w:t>
            </w:r>
          </w:p>
        </w:tc>
        <w:tc>
          <w:tcPr>
            <w:tcW w:w="1134" w:type="dxa"/>
            <w:vAlign w:val="center"/>
          </w:tcPr>
          <w:p w:rsidR="00BB2F1F" w:rsidRPr="00131B9D" w:rsidRDefault="00BB2F1F" w:rsidP="00384781">
            <w:pPr>
              <w:jc w:val="center"/>
              <w:rPr>
                <w:sz w:val="18"/>
                <w:szCs w:val="18"/>
              </w:rPr>
            </w:pPr>
            <w:r w:rsidRPr="00131B9D">
              <w:rPr>
                <w:sz w:val="18"/>
                <w:szCs w:val="18"/>
              </w:rPr>
              <w:t xml:space="preserve">915.83 </w:t>
            </w:r>
          </w:p>
        </w:tc>
        <w:tc>
          <w:tcPr>
            <w:tcW w:w="851" w:type="dxa"/>
            <w:vAlign w:val="center"/>
          </w:tcPr>
          <w:p w:rsidR="00BB2F1F" w:rsidRPr="00131B9D" w:rsidRDefault="00BB2F1F" w:rsidP="00384781">
            <w:pPr>
              <w:jc w:val="center"/>
              <w:rPr>
                <w:sz w:val="18"/>
                <w:szCs w:val="18"/>
              </w:rPr>
            </w:pPr>
            <w:r w:rsidRPr="00131B9D">
              <w:rPr>
                <w:sz w:val="18"/>
                <w:szCs w:val="18"/>
              </w:rPr>
              <w:t>-30.62%</w:t>
            </w:r>
          </w:p>
        </w:tc>
        <w:tc>
          <w:tcPr>
            <w:tcW w:w="1134" w:type="dxa"/>
            <w:vAlign w:val="center"/>
          </w:tcPr>
          <w:p w:rsidR="00BB2F1F" w:rsidRPr="00131B9D" w:rsidRDefault="00BB2F1F" w:rsidP="00384781">
            <w:pPr>
              <w:jc w:val="center"/>
              <w:rPr>
                <w:sz w:val="18"/>
                <w:szCs w:val="18"/>
              </w:rPr>
            </w:pPr>
            <w:r w:rsidRPr="00131B9D">
              <w:rPr>
                <w:sz w:val="18"/>
                <w:szCs w:val="18"/>
              </w:rPr>
              <w:t xml:space="preserve">664.91 </w:t>
            </w:r>
          </w:p>
        </w:tc>
        <w:tc>
          <w:tcPr>
            <w:tcW w:w="1134" w:type="dxa"/>
            <w:vAlign w:val="center"/>
          </w:tcPr>
          <w:p w:rsidR="00BB2F1F" w:rsidRPr="00131B9D" w:rsidRDefault="00BB2F1F" w:rsidP="00384781">
            <w:pPr>
              <w:jc w:val="center"/>
              <w:rPr>
                <w:sz w:val="18"/>
                <w:szCs w:val="18"/>
              </w:rPr>
            </w:pPr>
            <w:r w:rsidRPr="00131B9D">
              <w:rPr>
                <w:sz w:val="18"/>
                <w:szCs w:val="18"/>
              </w:rPr>
              <w:t xml:space="preserve">939.83 </w:t>
            </w:r>
          </w:p>
        </w:tc>
        <w:tc>
          <w:tcPr>
            <w:tcW w:w="709" w:type="dxa"/>
            <w:vAlign w:val="center"/>
          </w:tcPr>
          <w:p w:rsidR="00BB2F1F" w:rsidRPr="00131B9D" w:rsidRDefault="00BB2F1F" w:rsidP="00384781">
            <w:pPr>
              <w:jc w:val="center"/>
              <w:rPr>
                <w:sz w:val="18"/>
                <w:szCs w:val="18"/>
              </w:rPr>
            </w:pPr>
            <w:r w:rsidRPr="00131B9D">
              <w:rPr>
                <w:sz w:val="18"/>
                <w:szCs w:val="18"/>
              </w:rPr>
              <w:t>-29.25%</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24.</w:t>
            </w:r>
            <w:r w:rsidRPr="00131B9D">
              <w:rPr>
                <w:rFonts w:eastAsia="標楷體"/>
                <w:kern w:val="0"/>
                <w:sz w:val="18"/>
                <w:szCs w:val="18"/>
              </w:rPr>
              <w:t>乙二醇（</w:t>
            </w:r>
            <w:r w:rsidRPr="00131B9D">
              <w:rPr>
                <w:rFonts w:eastAsia="標楷體"/>
                <w:kern w:val="0"/>
                <w:sz w:val="18"/>
                <w:szCs w:val="18"/>
              </w:rPr>
              <w:t>EG</w:t>
            </w:r>
            <w:r w:rsidRPr="00131B9D">
              <w:rPr>
                <w:rFonts w:eastAsia="標楷體"/>
                <w:kern w:val="0"/>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 xml:space="preserve">806.01 </w:t>
            </w:r>
          </w:p>
        </w:tc>
        <w:tc>
          <w:tcPr>
            <w:tcW w:w="1134" w:type="dxa"/>
            <w:vAlign w:val="center"/>
          </w:tcPr>
          <w:p w:rsidR="00BB2F1F" w:rsidRPr="00131B9D" w:rsidRDefault="00BB2F1F" w:rsidP="00384781">
            <w:pPr>
              <w:jc w:val="center"/>
              <w:rPr>
                <w:sz w:val="18"/>
                <w:szCs w:val="18"/>
              </w:rPr>
            </w:pPr>
            <w:r w:rsidRPr="00131B9D">
              <w:rPr>
                <w:sz w:val="18"/>
                <w:szCs w:val="18"/>
              </w:rPr>
              <w:t xml:space="preserve">946.35 </w:t>
            </w:r>
          </w:p>
        </w:tc>
        <w:tc>
          <w:tcPr>
            <w:tcW w:w="851" w:type="dxa"/>
            <w:vAlign w:val="center"/>
          </w:tcPr>
          <w:p w:rsidR="00BB2F1F" w:rsidRPr="00131B9D" w:rsidRDefault="00BB2F1F" w:rsidP="00384781">
            <w:pPr>
              <w:jc w:val="center"/>
              <w:rPr>
                <w:sz w:val="18"/>
                <w:szCs w:val="18"/>
              </w:rPr>
            </w:pPr>
            <w:r w:rsidRPr="00131B9D">
              <w:rPr>
                <w:sz w:val="18"/>
                <w:szCs w:val="18"/>
              </w:rPr>
              <w:t>-14.83%</w:t>
            </w:r>
          </w:p>
        </w:tc>
        <w:tc>
          <w:tcPr>
            <w:tcW w:w="1134" w:type="dxa"/>
            <w:vAlign w:val="center"/>
          </w:tcPr>
          <w:p w:rsidR="00BB2F1F" w:rsidRPr="00131B9D" w:rsidRDefault="00BB2F1F" w:rsidP="00384781">
            <w:pPr>
              <w:jc w:val="center"/>
              <w:rPr>
                <w:sz w:val="18"/>
                <w:szCs w:val="18"/>
              </w:rPr>
            </w:pPr>
            <w:r w:rsidRPr="00131B9D">
              <w:rPr>
                <w:sz w:val="18"/>
                <w:szCs w:val="18"/>
              </w:rPr>
              <w:t xml:space="preserve">830.46 </w:t>
            </w:r>
          </w:p>
        </w:tc>
        <w:tc>
          <w:tcPr>
            <w:tcW w:w="1134" w:type="dxa"/>
            <w:vAlign w:val="center"/>
          </w:tcPr>
          <w:p w:rsidR="00BB2F1F" w:rsidRPr="00131B9D" w:rsidRDefault="00BB2F1F" w:rsidP="00384781">
            <w:pPr>
              <w:jc w:val="center"/>
              <w:rPr>
                <w:sz w:val="18"/>
                <w:szCs w:val="18"/>
              </w:rPr>
            </w:pPr>
            <w:r w:rsidRPr="00131B9D">
              <w:rPr>
                <w:sz w:val="18"/>
                <w:szCs w:val="18"/>
              </w:rPr>
              <w:t xml:space="preserve">969.29 </w:t>
            </w:r>
          </w:p>
        </w:tc>
        <w:tc>
          <w:tcPr>
            <w:tcW w:w="709" w:type="dxa"/>
            <w:vAlign w:val="center"/>
          </w:tcPr>
          <w:p w:rsidR="00BB2F1F" w:rsidRPr="00131B9D" w:rsidRDefault="00BB2F1F" w:rsidP="00384781">
            <w:pPr>
              <w:jc w:val="center"/>
              <w:rPr>
                <w:sz w:val="18"/>
                <w:szCs w:val="18"/>
              </w:rPr>
            </w:pPr>
            <w:r w:rsidRPr="00131B9D">
              <w:rPr>
                <w:sz w:val="18"/>
                <w:szCs w:val="18"/>
              </w:rPr>
              <w:t>-14.32%</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9923" w:type="dxa"/>
            <w:gridSpan w:val="9"/>
            <w:vAlign w:val="center"/>
          </w:tcPr>
          <w:p w:rsidR="00BB2F1F" w:rsidRPr="00131B9D" w:rsidRDefault="00BB2F1F" w:rsidP="00384781">
            <w:pPr>
              <w:widowControl/>
              <w:spacing w:line="240" w:lineRule="exact"/>
              <w:jc w:val="center"/>
              <w:rPr>
                <w:rFonts w:eastAsia="標楷體"/>
                <w:kern w:val="0"/>
                <w:sz w:val="18"/>
                <w:szCs w:val="18"/>
              </w:rPr>
            </w:pPr>
            <w:r w:rsidRPr="00131B9D">
              <w:rPr>
                <w:rFonts w:eastAsia="標楷體"/>
                <w:b/>
                <w:bCs/>
                <w:kern w:val="0"/>
                <w:sz w:val="20"/>
                <w:szCs w:val="20"/>
              </w:rPr>
              <w:t>紙類</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jc w:val="center"/>
              <w:rPr>
                <w:rFonts w:eastAsia="標楷體"/>
                <w:kern w:val="0"/>
                <w:sz w:val="18"/>
                <w:szCs w:val="18"/>
              </w:rPr>
            </w:pPr>
            <w:r w:rsidRPr="00131B9D">
              <w:rPr>
                <w:rFonts w:eastAsia="標楷體"/>
                <w:kern w:val="0"/>
                <w:sz w:val="18"/>
                <w:szCs w:val="18"/>
              </w:rPr>
              <w:t>25.</w:t>
            </w:r>
            <w:r w:rsidRPr="00131B9D">
              <w:rPr>
                <w:rFonts w:eastAsia="標楷體"/>
                <w:kern w:val="0"/>
                <w:sz w:val="18"/>
                <w:szCs w:val="18"/>
              </w:rPr>
              <w:t>紙漿</w:t>
            </w:r>
          </w:p>
        </w:tc>
        <w:tc>
          <w:tcPr>
            <w:tcW w:w="1134" w:type="dxa"/>
            <w:vAlign w:val="center"/>
          </w:tcPr>
          <w:p w:rsidR="00BB2F1F" w:rsidRPr="00131B9D" w:rsidRDefault="00BB2F1F" w:rsidP="00384781">
            <w:pPr>
              <w:snapToGrid w:val="0"/>
              <w:jc w:val="center"/>
              <w:rPr>
                <w:sz w:val="18"/>
                <w:szCs w:val="18"/>
              </w:rPr>
            </w:pPr>
            <w:r w:rsidRPr="00131B9D">
              <w:rPr>
                <w:sz w:val="18"/>
                <w:szCs w:val="18"/>
              </w:rPr>
              <w:t>657.81</w:t>
            </w:r>
          </w:p>
        </w:tc>
        <w:tc>
          <w:tcPr>
            <w:tcW w:w="1134" w:type="dxa"/>
            <w:vAlign w:val="center"/>
          </w:tcPr>
          <w:p w:rsidR="00BB2F1F" w:rsidRPr="00131B9D" w:rsidRDefault="00BB2F1F" w:rsidP="00384781">
            <w:pPr>
              <w:snapToGrid w:val="0"/>
              <w:jc w:val="center"/>
              <w:rPr>
                <w:sz w:val="18"/>
                <w:szCs w:val="18"/>
              </w:rPr>
            </w:pPr>
            <w:r w:rsidRPr="00131B9D">
              <w:rPr>
                <w:sz w:val="18"/>
                <w:szCs w:val="18"/>
              </w:rPr>
              <w:t>619.41</w:t>
            </w:r>
          </w:p>
        </w:tc>
        <w:tc>
          <w:tcPr>
            <w:tcW w:w="851" w:type="dxa"/>
            <w:vAlign w:val="center"/>
          </w:tcPr>
          <w:p w:rsidR="00BB2F1F" w:rsidRPr="00131B9D" w:rsidRDefault="00BB2F1F" w:rsidP="00384781">
            <w:pPr>
              <w:snapToGrid w:val="0"/>
              <w:jc w:val="center"/>
              <w:rPr>
                <w:sz w:val="18"/>
                <w:szCs w:val="18"/>
              </w:rPr>
            </w:pPr>
            <w:r w:rsidRPr="00131B9D">
              <w:rPr>
                <w:sz w:val="18"/>
                <w:szCs w:val="18"/>
              </w:rPr>
              <w:t>6.20%</w:t>
            </w:r>
          </w:p>
        </w:tc>
        <w:tc>
          <w:tcPr>
            <w:tcW w:w="1134" w:type="dxa"/>
            <w:vAlign w:val="center"/>
          </w:tcPr>
          <w:p w:rsidR="00BB2F1F" w:rsidRPr="00131B9D" w:rsidRDefault="00BB2F1F" w:rsidP="00384781">
            <w:pPr>
              <w:snapToGrid w:val="0"/>
              <w:jc w:val="center"/>
              <w:rPr>
                <w:sz w:val="18"/>
                <w:szCs w:val="18"/>
              </w:rPr>
            </w:pPr>
            <w:r w:rsidRPr="00131B9D">
              <w:rPr>
                <w:sz w:val="18"/>
                <w:szCs w:val="18"/>
              </w:rPr>
              <w:t>706.21</w:t>
            </w:r>
          </w:p>
        </w:tc>
        <w:tc>
          <w:tcPr>
            <w:tcW w:w="1134" w:type="dxa"/>
            <w:vAlign w:val="center"/>
          </w:tcPr>
          <w:p w:rsidR="00BB2F1F" w:rsidRPr="00131B9D" w:rsidRDefault="00BB2F1F" w:rsidP="00384781">
            <w:pPr>
              <w:snapToGrid w:val="0"/>
              <w:jc w:val="center"/>
              <w:rPr>
                <w:sz w:val="18"/>
                <w:szCs w:val="18"/>
              </w:rPr>
            </w:pPr>
            <w:r w:rsidRPr="00131B9D">
              <w:rPr>
                <w:sz w:val="18"/>
                <w:szCs w:val="18"/>
              </w:rPr>
              <w:t>629.43</w:t>
            </w:r>
          </w:p>
        </w:tc>
        <w:tc>
          <w:tcPr>
            <w:tcW w:w="709" w:type="dxa"/>
            <w:vAlign w:val="center"/>
          </w:tcPr>
          <w:p w:rsidR="00BB2F1F" w:rsidRPr="00131B9D" w:rsidRDefault="00BB2F1F" w:rsidP="00384781">
            <w:pPr>
              <w:snapToGrid w:val="0"/>
              <w:jc w:val="center"/>
              <w:rPr>
                <w:sz w:val="18"/>
                <w:szCs w:val="18"/>
              </w:rPr>
            </w:pPr>
            <w:r w:rsidRPr="00131B9D">
              <w:rPr>
                <w:sz w:val="18"/>
                <w:szCs w:val="18"/>
              </w:rPr>
              <w:t>12.20%</w:t>
            </w:r>
          </w:p>
        </w:tc>
        <w:tc>
          <w:tcPr>
            <w:tcW w:w="1842" w:type="dxa"/>
            <w:vMerge w:val="restart"/>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r w:rsidRPr="00131B9D">
              <w:rPr>
                <w:rFonts w:ascii="新細明體" w:hAnsi="新細明體" w:cs="新細明體" w:hint="eastAsia"/>
                <w:kern w:val="0"/>
                <w:sz w:val="20"/>
                <w:szCs w:val="20"/>
              </w:rPr>
              <w:t>※</w:t>
            </w:r>
            <w:r w:rsidRPr="00131B9D">
              <w:rPr>
                <w:rFonts w:eastAsia="標楷體"/>
                <w:kern w:val="0"/>
                <w:sz w:val="20"/>
                <w:szCs w:val="20"/>
              </w:rPr>
              <w:t>紙漿原料成本上漲，推動價格上揚，廢紙市場後市看好。</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jc w:val="center"/>
              <w:rPr>
                <w:rFonts w:eastAsia="標楷體"/>
                <w:kern w:val="0"/>
                <w:sz w:val="18"/>
                <w:szCs w:val="18"/>
              </w:rPr>
            </w:pPr>
            <w:r w:rsidRPr="00131B9D">
              <w:rPr>
                <w:rFonts w:eastAsia="標楷體"/>
                <w:kern w:val="0"/>
                <w:sz w:val="18"/>
                <w:szCs w:val="18"/>
              </w:rPr>
              <w:t>26.</w:t>
            </w:r>
            <w:r w:rsidRPr="00131B9D">
              <w:rPr>
                <w:rFonts w:eastAsia="標楷體"/>
                <w:kern w:val="0"/>
                <w:sz w:val="18"/>
                <w:szCs w:val="18"/>
              </w:rPr>
              <w:t>廢紙</w:t>
            </w:r>
          </w:p>
        </w:tc>
        <w:tc>
          <w:tcPr>
            <w:tcW w:w="1134" w:type="dxa"/>
            <w:vAlign w:val="center"/>
          </w:tcPr>
          <w:p w:rsidR="00BB2F1F" w:rsidRPr="00131B9D" w:rsidRDefault="00BB2F1F" w:rsidP="00384781">
            <w:pPr>
              <w:snapToGrid w:val="0"/>
              <w:jc w:val="center"/>
              <w:rPr>
                <w:sz w:val="18"/>
                <w:szCs w:val="18"/>
              </w:rPr>
            </w:pPr>
            <w:r w:rsidRPr="00131B9D">
              <w:rPr>
                <w:sz w:val="18"/>
                <w:szCs w:val="18"/>
              </w:rPr>
              <w:t>211.47</w:t>
            </w:r>
          </w:p>
        </w:tc>
        <w:tc>
          <w:tcPr>
            <w:tcW w:w="1134" w:type="dxa"/>
            <w:vAlign w:val="center"/>
          </w:tcPr>
          <w:p w:rsidR="00BB2F1F" w:rsidRPr="00131B9D" w:rsidRDefault="00BB2F1F" w:rsidP="00384781">
            <w:pPr>
              <w:snapToGrid w:val="0"/>
              <w:jc w:val="center"/>
              <w:rPr>
                <w:sz w:val="18"/>
                <w:szCs w:val="18"/>
              </w:rPr>
            </w:pPr>
            <w:r w:rsidRPr="00131B9D">
              <w:rPr>
                <w:sz w:val="18"/>
                <w:szCs w:val="18"/>
              </w:rPr>
              <w:t>210.69</w:t>
            </w:r>
          </w:p>
        </w:tc>
        <w:tc>
          <w:tcPr>
            <w:tcW w:w="851" w:type="dxa"/>
            <w:vAlign w:val="center"/>
          </w:tcPr>
          <w:p w:rsidR="00BB2F1F" w:rsidRPr="00131B9D" w:rsidRDefault="00BB2F1F" w:rsidP="00384781">
            <w:pPr>
              <w:snapToGrid w:val="0"/>
              <w:jc w:val="center"/>
              <w:rPr>
                <w:sz w:val="18"/>
                <w:szCs w:val="18"/>
              </w:rPr>
            </w:pPr>
            <w:r w:rsidRPr="00131B9D">
              <w:rPr>
                <w:sz w:val="18"/>
                <w:szCs w:val="18"/>
              </w:rPr>
              <w:t>0.37%</w:t>
            </w:r>
          </w:p>
        </w:tc>
        <w:tc>
          <w:tcPr>
            <w:tcW w:w="1134" w:type="dxa"/>
            <w:vAlign w:val="center"/>
          </w:tcPr>
          <w:p w:rsidR="00BB2F1F" w:rsidRPr="00131B9D" w:rsidRDefault="00BB2F1F" w:rsidP="00384781">
            <w:pPr>
              <w:snapToGrid w:val="0"/>
              <w:jc w:val="center"/>
              <w:rPr>
                <w:sz w:val="18"/>
                <w:szCs w:val="18"/>
              </w:rPr>
            </w:pPr>
            <w:r w:rsidRPr="00131B9D">
              <w:rPr>
                <w:sz w:val="18"/>
                <w:szCs w:val="18"/>
              </w:rPr>
              <w:t>106.60</w:t>
            </w:r>
          </w:p>
        </w:tc>
        <w:tc>
          <w:tcPr>
            <w:tcW w:w="1134" w:type="dxa"/>
            <w:vAlign w:val="center"/>
          </w:tcPr>
          <w:p w:rsidR="00BB2F1F" w:rsidRPr="00131B9D" w:rsidRDefault="00BB2F1F" w:rsidP="00384781">
            <w:pPr>
              <w:snapToGrid w:val="0"/>
              <w:jc w:val="center"/>
              <w:rPr>
                <w:sz w:val="18"/>
                <w:szCs w:val="18"/>
              </w:rPr>
            </w:pPr>
            <w:r w:rsidRPr="00131B9D">
              <w:rPr>
                <w:sz w:val="18"/>
                <w:szCs w:val="18"/>
              </w:rPr>
              <w:t>116.81</w:t>
            </w:r>
          </w:p>
        </w:tc>
        <w:tc>
          <w:tcPr>
            <w:tcW w:w="709" w:type="dxa"/>
            <w:vAlign w:val="center"/>
          </w:tcPr>
          <w:p w:rsidR="00BB2F1F" w:rsidRPr="00131B9D" w:rsidRDefault="00BB2F1F" w:rsidP="00384781">
            <w:pPr>
              <w:snapToGrid w:val="0"/>
              <w:jc w:val="center"/>
              <w:rPr>
                <w:sz w:val="18"/>
                <w:szCs w:val="18"/>
              </w:rPr>
            </w:pPr>
            <w:r w:rsidRPr="00131B9D">
              <w:rPr>
                <w:sz w:val="18"/>
                <w:szCs w:val="18"/>
              </w:rPr>
              <w:t>-8.74%</w:t>
            </w:r>
          </w:p>
        </w:tc>
        <w:tc>
          <w:tcPr>
            <w:tcW w:w="1842" w:type="dxa"/>
            <w:vMerge/>
            <w:vAlign w:val="center"/>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p>
        </w:tc>
      </w:tr>
      <w:tr w:rsidR="00BB2F1F" w:rsidRPr="00131B9D" w:rsidTr="00384781">
        <w:trPr>
          <w:trHeight w:val="20"/>
          <w:jc w:val="center"/>
        </w:trPr>
        <w:tc>
          <w:tcPr>
            <w:tcW w:w="9923" w:type="dxa"/>
            <w:gridSpan w:val="9"/>
            <w:vAlign w:val="center"/>
          </w:tcPr>
          <w:p w:rsidR="00BB2F1F" w:rsidRPr="00131B9D" w:rsidRDefault="00BB2F1F" w:rsidP="00384781">
            <w:pPr>
              <w:widowControl/>
              <w:spacing w:line="240" w:lineRule="exact"/>
              <w:jc w:val="center"/>
              <w:rPr>
                <w:rFonts w:eastAsia="標楷體"/>
                <w:kern w:val="0"/>
                <w:sz w:val="18"/>
                <w:szCs w:val="18"/>
              </w:rPr>
            </w:pPr>
            <w:r w:rsidRPr="00131B9D">
              <w:rPr>
                <w:rFonts w:eastAsia="標楷體"/>
                <w:b/>
                <w:bCs/>
                <w:kern w:val="0"/>
                <w:sz w:val="20"/>
                <w:szCs w:val="20"/>
              </w:rPr>
              <w:t>其他</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27.</w:t>
            </w:r>
            <w:r w:rsidRPr="00131B9D">
              <w:rPr>
                <w:rFonts w:eastAsia="標楷體"/>
                <w:kern w:val="0"/>
                <w:sz w:val="18"/>
                <w:szCs w:val="18"/>
              </w:rPr>
              <w:t>水泥</w:t>
            </w:r>
          </w:p>
        </w:tc>
        <w:tc>
          <w:tcPr>
            <w:tcW w:w="1134" w:type="dxa"/>
            <w:vAlign w:val="center"/>
          </w:tcPr>
          <w:p w:rsidR="00BB2F1F" w:rsidRPr="00131B9D" w:rsidRDefault="00BB2F1F" w:rsidP="00384781">
            <w:pPr>
              <w:jc w:val="center"/>
              <w:rPr>
                <w:sz w:val="18"/>
                <w:szCs w:val="18"/>
              </w:rPr>
            </w:pPr>
            <w:r w:rsidRPr="00131B9D">
              <w:rPr>
                <w:sz w:val="18"/>
                <w:szCs w:val="18"/>
              </w:rPr>
              <w:t>43.00</w:t>
            </w:r>
          </w:p>
        </w:tc>
        <w:tc>
          <w:tcPr>
            <w:tcW w:w="1134" w:type="dxa"/>
            <w:vAlign w:val="center"/>
          </w:tcPr>
          <w:p w:rsidR="00BB2F1F" w:rsidRPr="00131B9D" w:rsidRDefault="00BB2F1F" w:rsidP="00384781">
            <w:pPr>
              <w:jc w:val="center"/>
              <w:rPr>
                <w:sz w:val="18"/>
                <w:szCs w:val="18"/>
              </w:rPr>
            </w:pPr>
            <w:r w:rsidRPr="00131B9D">
              <w:rPr>
                <w:sz w:val="18"/>
                <w:szCs w:val="18"/>
              </w:rPr>
              <w:t>43.00</w:t>
            </w:r>
          </w:p>
        </w:tc>
        <w:tc>
          <w:tcPr>
            <w:tcW w:w="851" w:type="dxa"/>
            <w:vAlign w:val="center"/>
          </w:tcPr>
          <w:p w:rsidR="00BB2F1F" w:rsidRPr="00131B9D" w:rsidRDefault="00BB2F1F" w:rsidP="00384781">
            <w:pPr>
              <w:jc w:val="center"/>
              <w:rPr>
                <w:sz w:val="18"/>
                <w:szCs w:val="18"/>
              </w:rPr>
            </w:pPr>
            <w:r w:rsidRPr="00131B9D">
              <w:rPr>
                <w:sz w:val="18"/>
                <w:szCs w:val="18"/>
              </w:rPr>
              <w:t>0.00%</w:t>
            </w:r>
          </w:p>
        </w:tc>
        <w:tc>
          <w:tcPr>
            <w:tcW w:w="1134" w:type="dxa"/>
            <w:vAlign w:val="center"/>
          </w:tcPr>
          <w:p w:rsidR="00BB2F1F" w:rsidRPr="00131B9D" w:rsidRDefault="00BB2F1F" w:rsidP="00384781">
            <w:pPr>
              <w:jc w:val="center"/>
              <w:rPr>
                <w:sz w:val="18"/>
                <w:szCs w:val="18"/>
              </w:rPr>
            </w:pPr>
            <w:r w:rsidRPr="00131B9D">
              <w:rPr>
                <w:sz w:val="18"/>
                <w:szCs w:val="18"/>
              </w:rPr>
              <w:t xml:space="preserve">2,314.58 </w:t>
            </w:r>
          </w:p>
        </w:tc>
        <w:tc>
          <w:tcPr>
            <w:tcW w:w="1134" w:type="dxa"/>
            <w:vAlign w:val="center"/>
          </w:tcPr>
          <w:p w:rsidR="00BB2F1F" w:rsidRPr="00131B9D" w:rsidRDefault="00BB2F1F" w:rsidP="00384781">
            <w:pPr>
              <w:jc w:val="center"/>
              <w:rPr>
                <w:sz w:val="18"/>
                <w:szCs w:val="18"/>
              </w:rPr>
            </w:pPr>
            <w:r w:rsidRPr="00131B9D">
              <w:rPr>
                <w:sz w:val="18"/>
                <w:szCs w:val="18"/>
              </w:rPr>
              <w:t xml:space="preserve">2,350.00 </w:t>
            </w:r>
          </w:p>
        </w:tc>
        <w:tc>
          <w:tcPr>
            <w:tcW w:w="709" w:type="dxa"/>
            <w:vAlign w:val="center"/>
          </w:tcPr>
          <w:p w:rsidR="00BB2F1F" w:rsidRPr="00131B9D" w:rsidRDefault="00BB2F1F" w:rsidP="00384781">
            <w:pPr>
              <w:jc w:val="center"/>
              <w:rPr>
                <w:sz w:val="18"/>
                <w:szCs w:val="18"/>
              </w:rPr>
            </w:pPr>
            <w:r w:rsidRPr="00131B9D">
              <w:rPr>
                <w:sz w:val="18"/>
                <w:szCs w:val="18"/>
              </w:rPr>
              <w:t>-1.51%</w:t>
            </w:r>
          </w:p>
        </w:tc>
        <w:tc>
          <w:tcPr>
            <w:tcW w:w="1842" w:type="dxa"/>
            <w:vMerge w:val="restart"/>
          </w:tcPr>
          <w:p w:rsidR="00BB2F1F" w:rsidRPr="00131B9D" w:rsidRDefault="00BB2F1F" w:rsidP="00384781">
            <w:pPr>
              <w:adjustRightInd w:val="0"/>
              <w:snapToGrid w:val="0"/>
              <w:spacing w:line="240" w:lineRule="exact"/>
              <w:ind w:leftChars="10" w:left="236" w:rightChars="10" w:right="24" w:hangingChars="106" w:hanging="212"/>
              <w:jc w:val="both"/>
              <w:rPr>
                <w:rFonts w:eastAsia="標楷體"/>
                <w:kern w:val="0"/>
                <w:sz w:val="20"/>
                <w:szCs w:val="20"/>
              </w:rPr>
            </w:pPr>
            <w:r w:rsidRPr="00131B9D">
              <w:rPr>
                <w:rFonts w:ascii="新細明體" w:hAnsi="新細明體" w:cs="新細明體" w:hint="eastAsia"/>
                <w:kern w:val="0"/>
                <w:sz w:val="20"/>
                <w:szCs w:val="20"/>
              </w:rPr>
              <w:t>※</w:t>
            </w:r>
            <w:r w:rsidRPr="00131B9D">
              <w:rPr>
                <w:rFonts w:eastAsia="標楷體"/>
                <w:kern w:val="0"/>
                <w:sz w:val="20"/>
                <w:szCs w:val="20"/>
              </w:rPr>
              <w:t>咖啡生產普遍良好，而全球咖啡市場需求增溫，聖嬰現象對咖啡產量值得持續關注。</w:t>
            </w: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28.</w:t>
            </w:r>
            <w:r w:rsidRPr="00131B9D">
              <w:rPr>
                <w:rFonts w:eastAsia="標楷體"/>
                <w:kern w:val="0"/>
                <w:sz w:val="18"/>
                <w:szCs w:val="18"/>
              </w:rPr>
              <w:t>砂石</w:t>
            </w:r>
          </w:p>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w:t>
            </w:r>
            <w:r w:rsidRPr="00131B9D">
              <w:rPr>
                <w:rFonts w:eastAsia="標楷體"/>
                <w:kern w:val="0"/>
                <w:sz w:val="18"/>
                <w:szCs w:val="18"/>
              </w:rPr>
              <w:t>國際價格停止報價</w:t>
            </w:r>
            <w:r w:rsidRPr="00131B9D">
              <w:rPr>
                <w:rFonts w:eastAsia="標楷體"/>
                <w:kern w:val="0"/>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w:t>
            </w:r>
          </w:p>
        </w:tc>
        <w:tc>
          <w:tcPr>
            <w:tcW w:w="851" w:type="dxa"/>
            <w:vAlign w:val="center"/>
          </w:tcPr>
          <w:p w:rsidR="00BB2F1F" w:rsidRPr="00131B9D" w:rsidRDefault="00BB2F1F" w:rsidP="00384781">
            <w:pPr>
              <w:jc w:val="center"/>
              <w:rPr>
                <w:sz w:val="18"/>
                <w:szCs w:val="18"/>
              </w:rPr>
            </w:pPr>
            <w:r w:rsidRPr="00131B9D">
              <w:rPr>
                <w:sz w:val="18"/>
                <w:szCs w:val="18"/>
              </w:rPr>
              <w:t>-</w:t>
            </w:r>
          </w:p>
        </w:tc>
        <w:tc>
          <w:tcPr>
            <w:tcW w:w="1134" w:type="dxa"/>
            <w:vAlign w:val="center"/>
          </w:tcPr>
          <w:p w:rsidR="00BB2F1F" w:rsidRPr="00131B9D" w:rsidRDefault="00BB2F1F" w:rsidP="00384781">
            <w:pPr>
              <w:jc w:val="center"/>
              <w:rPr>
                <w:sz w:val="18"/>
                <w:szCs w:val="18"/>
              </w:rPr>
            </w:pPr>
            <w:r w:rsidRPr="00131B9D">
              <w:rPr>
                <w:sz w:val="18"/>
                <w:szCs w:val="18"/>
              </w:rPr>
              <w:t xml:space="preserve">619.35 </w:t>
            </w:r>
          </w:p>
        </w:tc>
        <w:tc>
          <w:tcPr>
            <w:tcW w:w="1134" w:type="dxa"/>
            <w:vAlign w:val="center"/>
          </w:tcPr>
          <w:p w:rsidR="00BB2F1F" w:rsidRPr="00131B9D" w:rsidRDefault="00BB2F1F" w:rsidP="00384781">
            <w:pPr>
              <w:jc w:val="center"/>
              <w:rPr>
                <w:sz w:val="18"/>
                <w:szCs w:val="18"/>
              </w:rPr>
            </w:pPr>
            <w:r w:rsidRPr="00131B9D">
              <w:rPr>
                <w:sz w:val="18"/>
                <w:szCs w:val="18"/>
              </w:rPr>
              <w:t xml:space="preserve">632.22 </w:t>
            </w:r>
          </w:p>
        </w:tc>
        <w:tc>
          <w:tcPr>
            <w:tcW w:w="709" w:type="dxa"/>
            <w:vAlign w:val="center"/>
          </w:tcPr>
          <w:p w:rsidR="00BB2F1F" w:rsidRPr="00131B9D" w:rsidRDefault="00BB2F1F" w:rsidP="00384781">
            <w:pPr>
              <w:jc w:val="center"/>
              <w:rPr>
                <w:sz w:val="18"/>
                <w:szCs w:val="18"/>
              </w:rPr>
            </w:pPr>
            <w:r w:rsidRPr="00131B9D">
              <w:rPr>
                <w:sz w:val="18"/>
                <w:szCs w:val="18"/>
              </w:rPr>
              <w:t>-2.04%</w:t>
            </w:r>
          </w:p>
        </w:tc>
        <w:tc>
          <w:tcPr>
            <w:tcW w:w="1842" w:type="dxa"/>
            <w:vMerge/>
            <w:vAlign w:val="center"/>
          </w:tcPr>
          <w:p w:rsidR="00BB2F1F" w:rsidRPr="00131B9D" w:rsidRDefault="00BB2F1F" w:rsidP="00384781">
            <w:pPr>
              <w:widowControl/>
              <w:snapToGrid w:val="0"/>
              <w:spacing w:line="240" w:lineRule="exact"/>
              <w:rPr>
                <w:rFonts w:eastAsia="標楷體"/>
                <w:kern w:val="0"/>
                <w:sz w:val="18"/>
                <w:szCs w:val="18"/>
              </w:rPr>
            </w:pPr>
          </w:p>
        </w:tc>
      </w:tr>
      <w:tr w:rsidR="00BB2F1F" w:rsidRPr="00131B9D" w:rsidTr="00384781">
        <w:trPr>
          <w:trHeight w:val="20"/>
          <w:jc w:val="center"/>
        </w:trPr>
        <w:tc>
          <w:tcPr>
            <w:tcW w:w="1985" w:type="dxa"/>
            <w:gridSpan w:val="2"/>
            <w:vAlign w:val="center"/>
          </w:tcPr>
          <w:p w:rsidR="00BB2F1F" w:rsidRPr="00131B9D" w:rsidRDefault="00BB2F1F" w:rsidP="00384781">
            <w:pPr>
              <w:widowControl/>
              <w:snapToGrid w:val="0"/>
              <w:spacing w:line="240" w:lineRule="exact"/>
              <w:jc w:val="center"/>
              <w:rPr>
                <w:rFonts w:eastAsia="標楷體"/>
                <w:kern w:val="0"/>
                <w:sz w:val="18"/>
                <w:szCs w:val="18"/>
              </w:rPr>
            </w:pPr>
            <w:r w:rsidRPr="00131B9D">
              <w:rPr>
                <w:rFonts w:eastAsia="標楷體"/>
                <w:kern w:val="0"/>
                <w:sz w:val="18"/>
                <w:szCs w:val="18"/>
              </w:rPr>
              <w:t>29.</w:t>
            </w:r>
            <w:r w:rsidRPr="00131B9D">
              <w:rPr>
                <w:rFonts w:eastAsia="標楷體"/>
                <w:kern w:val="0"/>
                <w:sz w:val="18"/>
                <w:szCs w:val="18"/>
              </w:rPr>
              <w:t>咖啡豆</w:t>
            </w:r>
          </w:p>
        </w:tc>
        <w:tc>
          <w:tcPr>
            <w:tcW w:w="1134" w:type="dxa"/>
            <w:vAlign w:val="center"/>
          </w:tcPr>
          <w:p w:rsidR="00BB2F1F" w:rsidRPr="00131B9D" w:rsidRDefault="00BB2F1F" w:rsidP="00384781">
            <w:pPr>
              <w:jc w:val="center"/>
              <w:rPr>
                <w:sz w:val="18"/>
                <w:szCs w:val="18"/>
              </w:rPr>
            </w:pPr>
            <w:r w:rsidRPr="00131B9D">
              <w:rPr>
                <w:sz w:val="18"/>
                <w:szCs w:val="18"/>
              </w:rPr>
              <w:t>125.97</w:t>
            </w:r>
          </w:p>
        </w:tc>
        <w:tc>
          <w:tcPr>
            <w:tcW w:w="1134" w:type="dxa"/>
            <w:vAlign w:val="center"/>
          </w:tcPr>
          <w:p w:rsidR="00BB2F1F" w:rsidRPr="00131B9D" w:rsidRDefault="00BB2F1F" w:rsidP="00384781">
            <w:pPr>
              <w:jc w:val="center"/>
              <w:rPr>
                <w:sz w:val="18"/>
                <w:szCs w:val="18"/>
              </w:rPr>
            </w:pPr>
            <w:r w:rsidRPr="00131B9D">
              <w:rPr>
                <w:sz w:val="18"/>
                <w:szCs w:val="18"/>
              </w:rPr>
              <w:t>154.81</w:t>
            </w:r>
          </w:p>
        </w:tc>
        <w:tc>
          <w:tcPr>
            <w:tcW w:w="851" w:type="dxa"/>
            <w:vAlign w:val="center"/>
          </w:tcPr>
          <w:p w:rsidR="00BB2F1F" w:rsidRPr="00131B9D" w:rsidRDefault="00BB2F1F" w:rsidP="00384781">
            <w:pPr>
              <w:jc w:val="center"/>
              <w:rPr>
                <w:sz w:val="18"/>
                <w:szCs w:val="18"/>
              </w:rPr>
            </w:pPr>
            <w:r w:rsidRPr="00131B9D">
              <w:rPr>
                <w:sz w:val="18"/>
                <w:szCs w:val="18"/>
              </w:rPr>
              <w:t>-18.63%</w:t>
            </w:r>
          </w:p>
        </w:tc>
        <w:tc>
          <w:tcPr>
            <w:tcW w:w="1134" w:type="dxa"/>
            <w:vAlign w:val="center"/>
          </w:tcPr>
          <w:p w:rsidR="00BB2F1F" w:rsidRPr="00131B9D" w:rsidRDefault="00BB2F1F" w:rsidP="00384781">
            <w:pPr>
              <w:spacing w:line="240" w:lineRule="exact"/>
              <w:jc w:val="center"/>
              <w:rPr>
                <w:rFonts w:eastAsia="標楷體"/>
                <w:sz w:val="18"/>
                <w:szCs w:val="18"/>
              </w:rPr>
            </w:pPr>
            <w:r w:rsidRPr="00131B9D">
              <w:rPr>
                <w:rFonts w:eastAsia="標楷體"/>
                <w:kern w:val="0"/>
                <w:sz w:val="18"/>
                <w:szCs w:val="18"/>
              </w:rPr>
              <w:t>-</w:t>
            </w:r>
          </w:p>
        </w:tc>
        <w:tc>
          <w:tcPr>
            <w:tcW w:w="1134" w:type="dxa"/>
            <w:vAlign w:val="center"/>
          </w:tcPr>
          <w:p w:rsidR="00BB2F1F" w:rsidRPr="00131B9D" w:rsidRDefault="00BB2F1F" w:rsidP="00384781">
            <w:pPr>
              <w:spacing w:line="240" w:lineRule="exact"/>
              <w:jc w:val="center"/>
              <w:rPr>
                <w:rFonts w:eastAsia="標楷體"/>
                <w:sz w:val="18"/>
                <w:szCs w:val="18"/>
              </w:rPr>
            </w:pPr>
            <w:r w:rsidRPr="00131B9D">
              <w:rPr>
                <w:rFonts w:eastAsia="標楷體"/>
                <w:kern w:val="0"/>
                <w:sz w:val="18"/>
                <w:szCs w:val="18"/>
              </w:rPr>
              <w:t>-</w:t>
            </w:r>
          </w:p>
        </w:tc>
        <w:tc>
          <w:tcPr>
            <w:tcW w:w="709" w:type="dxa"/>
            <w:vAlign w:val="center"/>
          </w:tcPr>
          <w:p w:rsidR="00BB2F1F" w:rsidRPr="00131B9D" w:rsidRDefault="00BB2F1F" w:rsidP="00384781">
            <w:pPr>
              <w:spacing w:line="240" w:lineRule="exact"/>
              <w:jc w:val="center"/>
              <w:rPr>
                <w:rFonts w:eastAsia="標楷體"/>
                <w:sz w:val="18"/>
                <w:szCs w:val="18"/>
              </w:rPr>
            </w:pPr>
            <w:r w:rsidRPr="00131B9D">
              <w:rPr>
                <w:rFonts w:eastAsia="標楷體"/>
                <w:kern w:val="0"/>
                <w:sz w:val="18"/>
                <w:szCs w:val="18"/>
              </w:rPr>
              <w:t>-</w:t>
            </w:r>
          </w:p>
        </w:tc>
        <w:tc>
          <w:tcPr>
            <w:tcW w:w="1842" w:type="dxa"/>
            <w:vMerge/>
            <w:vAlign w:val="center"/>
          </w:tcPr>
          <w:p w:rsidR="00BB2F1F" w:rsidRPr="00131B9D" w:rsidRDefault="00BB2F1F" w:rsidP="00384781">
            <w:pPr>
              <w:widowControl/>
              <w:snapToGrid w:val="0"/>
              <w:spacing w:line="240" w:lineRule="exact"/>
              <w:rPr>
                <w:rFonts w:eastAsia="標楷體"/>
                <w:kern w:val="0"/>
                <w:sz w:val="18"/>
                <w:szCs w:val="18"/>
              </w:rPr>
            </w:pPr>
          </w:p>
        </w:tc>
      </w:tr>
    </w:tbl>
    <w:p w:rsidR="001506FF" w:rsidRPr="00131B9D" w:rsidRDefault="00D80788" w:rsidP="00D80788">
      <w:pPr>
        <w:ind w:leftChars="-236" w:hangingChars="236" w:hanging="566"/>
        <w:rPr>
          <w:rFonts w:eastAsia="標楷體"/>
        </w:rPr>
      </w:pPr>
      <w:r w:rsidRPr="00131B9D">
        <w:rPr>
          <w:rFonts w:eastAsia="標楷體"/>
        </w:rPr>
        <w:t>註：</w:t>
      </w:r>
      <w:r w:rsidRPr="00131B9D">
        <w:rPr>
          <w:rFonts w:eastAsia="標楷體"/>
        </w:rPr>
        <w:t>PP</w:t>
      </w:r>
      <w:r w:rsidRPr="00131B9D">
        <w:rPr>
          <w:rFonts w:eastAsia="標楷體"/>
        </w:rPr>
        <w:t>李長榮</w:t>
      </w:r>
      <w:r w:rsidRPr="00131B9D">
        <w:rPr>
          <w:rFonts w:eastAsia="標楷體"/>
        </w:rPr>
        <w:t>/</w:t>
      </w:r>
      <w:r w:rsidRPr="00131B9D">
        <w:rPr>
          <w:rFonts w:eastAsia="標楷體"/>
        </w:rPr>
        <w:t>福聚</w:t>
      </w:r>
      <w:r w:rsidRPr="00131B9D">
        <w:rPr>
          <w:rFonts w:eastAsia="標楷體"/>
        </w:rPr>
        <w:t xml:space="preserve"> </w:t>
      </w:r>
      <w:r w:rsidRPr="00131B9D">
        <w:rPr>
          <w:rFonts w:eastAsia="標楷體"/>
        </w:rPr>
        <w:t>從</w:t>
      </w:r>
      <w:r w:rsidRPr="00131B9D">
        <w:rPr>
          <w:rFonts w:eastAsia="標楷體"/>
        </w:rPr>
        <w:t>2014</w:t>
      </w:r>
      <w:r w:rsidRPr="00131B9D">
        <w:rPr>
          <w:rFonts w:eastAsia="標楷體"/>
        </w:rPr>
        <w:t>年</w:t>
      </w:r>
      <w:r w:rsidRPr="00131B9D">
        <w:rPr>
          <w:rFonts w:eastAsia="標楷體"/>
        </w:rPr>
        <w:t>9</w:t>
      </w:r>
      <w:r w:rsidRPr="00131B9D">
        <w:rPr>
          <w:rFonts w:eastAsia="標楷體"/>
        </w:rPr>
        <w:t>月</w:t>
      </w:r>
      <w:r w:rsidRPr="00131B9D">
        <w:rPr>
          <w:rFonts w:eastAsia="標楷體"/>
        </w:rPr>
        <w:t>1</w:t>
      </w:r>
      <w:r w:rsidRPr="00131B9D">
        <w:rPr>
          <w:rFonts w:eastAsia="標楷體"/>
        </w:rPr>
        <w:t>日開始至</w:t>
      </w:r>
      <w:r w:rsidRPr="00131B9D">
        <w:rPr>
          <w:rFonts w:eastAsia="標楷體"/>
        </w:rPr>
        <w:t>2015</w:t>
      </w:r>
      <w:r w:rsidRPr="00131B9D">
        <w:rPr>
          <w:rFonts w:eastAsia="標楷體"/>
        </w:rPr>
        <w:t>年</w:t>
      </w:r>
      <w:r w:rsidRPr="00131B9D">
        <w:rPr>
          <w:rFonts w:eastAsia="標楷體"/>
        </w:rPr>
        <w:t>1</w:t>
      </w:r>
      <w:r w:rsidRPr="00131B9D">
        <w:rPr>
          <w:rFonts w:eastAsia="標楷體"/>
        </w:rPr>
        <w:t>月</w:t>
      </w:r>
      <w:r w:rsidRPr="00131B9D">
        <w:rPr>
          <w:rFonts w:eastAsia="標楷體"/>
        </w:rPr>
        <w:t>31</w:t>
      </w:r>
      <w:r w:rsidRPr="00131B9D">
        <w:rPr>
          <w:rFonts w:eastAsia="標楷體"/>
        </w:rPr>
        <w:t>日止期間無報價。</w:t>
      </w:r>
    </w:p>
    <w:p w:rsidR="001506FF" w:rsidRPr="00131B9D" w:rsidRDefault="001506FF" w:rsidP="00D131F8">
      <w:pPr>
        <w:rPr>
          <w:rFonts w:eastAsia="標楷體"/>
        </w:rPr>
      </w:pPr>
    </w:p>
    <w:p w:rsidR="00D80788" w:rsidRPr="00131B9D" w:rsidRDefault="00D80788" w:rsidP="00D131F8">
      <w:pPr>
        <w:rPr>
          <w:rFonts w:eastAsia="標楷體"/>
        </w:rPr>
        <w:sectPr w:rsidR="00D80788" w:rsidRPr="00131B9D" w:rsidSect="00A41F4E">
          <w:type w:val="oddPage"/>
          <w:pgSz w:w="11906" w:h="16838"/>
          <w:pgMar w:top="851" w:right="1644" w:bottom="851" w:left="1440" w:header="851" w:footer="992" w:gutter="0"/>
          <w:cols w:space="425"/>
          <w:docGrid w:linePitch="360"/>
        </w:sectPr>
      </w:pPr>
    </w:p>
    <w:p w:rsidR="00A41F4E" w:rsidRPr="00131B9D" w:rsidRDefault="00A41F4E" w:rsidP="00A41F4E">
      <w:bookmarkStart w:id="491" w:name="_Toc330538858"/>
      <w:bookmarkStart w:id="492" w:name="_Toc330906323"/>
      <w:bookmarkStart w:id="493" w:name="_Toc330909526"/>
      <w:bookmarkStart w:id="494" w:name="_Toc343261509"/>
      <w:bookmarkStart w:id="495" w:name="_Toc373761951"/>
    </w:p>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A41F4E" w:rsidRPr="00131B9D" w:rsidRDefault="00A41F4E" w:rsidP="00A41F4E"/>
    <w:p w:rsidR="009B62F2" w:rsidRPr="00131B9D" w:rsidRDefault="00A41F4E" w:rsidP="00402957">
      <w:pPr>
        <w:pStyle w:val="1"/>
        <w:spacing w:after="360"/>
        <w:rPr>
          <w:rFonts w:hAnsi="Times New Roman"/>
        </w:rPr>
      </w:pPr>
      <w:bookmarkStart w:id="496" w:name="_Toc373761952"/>
      <w:bookmarkStart w:id="497" w:name="_Toc439162979"/>
      <w:bookmarkEnd w:id="491"/>
      <w:bookmarkEnd w:id="492"/>
      <w:bookmarkEnd w:id="493"/>
      <w:bookmarkEnd w:id="494"/>
      <w:bookmarkEnd w:id="495"/>
      <w:r w:rsidRPr="00131B9D">
        <w:rPr>
          <w:rFonts w:hAnsi="Times New Roman"/>
        </w:rPr>
        <w:t>附</w:t>
      </w:r>
      <w:r w:rsidR="009B62F2" w:rsidRPr="00131B9D">
        <w:rPr>
          <w:rFonts w:hAnsi="Times New Roman"/>
        </w:rPr>
        <w:t>件</w:t>
      </w:r>
      <w:r w:rsidR="00EC0D9A">
        <w:rPr>
          <w:rFonts w:hAnsi="Times New Roman" w:hint="eastAsia"/>
        </w:rPr>
        <w:t>二</w:t>
      </w:r>
      <w:r w:rsidR="009B62F2" w:rsidRPr="00131B9D">
        <w:rPr>
          <w:rFonts w:hAnsi="Times New Roman"/>
        </w:rPr>
        <w:t>、</w:t>
      </w:r>
      <w:r w:rsidR="00701467" w:rsidRPr="00131B9D">
        <w:rPr>
          <w:rFonts w:hAnsi="Times New Roman"/>
        </w:rPr>
        <w:t>2015</w:t>
      </w:r>
      <w:r w:rsidR="009B62F2" w:rsidRPr="00131B9D">
        <w:rPr>
          <w:rFonts w:hAnsi="Times New Roman"/>
        </w:rPr>
        <w:t>年</w:t>
      </w:r>
      <w:bookmarkEnd w:id="496"/>
      <w:r w:rsidR="00D20FD8" w:rsidRPr="00131B9D">
        <w:rPr>
          <w:rFonts w:hAnsi="Times New Roman"/>
        </w:rPr>
        <w:t>臨時交辦事項</w:t>
      </w:r>
      <w:bookmarkEnd w:id="497"/>
    </w:p>
    <w:p w:rsidR="00F960A6" w:rsidRPr="00131B9D" w:rsidRDefault="00F960A6" w:rsidP="00F960A6">
      <w:bookmarkStart w:id="498" w:name="OLE_LINK1"/>
    </w:p>
    <w:p w:rsidR="00F960A6" w:rsidRPr="00131B9D" w:rsidRDefault="00F960A6" w:rsidP="00F960A6">
      <w:pPr>
        <w:sectPr w:rsidR="00F960A6" w:rsidRPr="00131B9D" w:rsidSect="00A41F4E">
          <w:headerReference w:type="even" r:id="rId142"/>
          <w:footerReference w:type="even" r:id="rId143"/>
          <w:footerReference w:type="default" r:id="rId144"/>
          <w:type w:val="oddPage"/>
          <w:pgSz w:w="11906" w:h="16838" w:code="9"/>
          <w:pgMar w:top="1701" w:right="1701" w:bottom="1701" w:left="1701" w:header="540" w:footer="1418" w:gutter="0"/>
          <w:cols w:space="425"/>
          <w:docGrid w:type="lines" w:linePitch="360"/>
        </w:sectPr>
      </w:pPr>
    </w:p>
    <w:p w:rsidR="00A33A0D" w:rsidRPr="00131B9D" w:rsidRDefault="00191CE4" w:rsidP="00D56976">
      <w:pPr>
        <w:pStyle w:val="2"/>
        <w:spacing w:before="108" w:after="108"/>
        <w:rPr>
          <w:rFonts w:ascii="Times New Roman" w:hAnsi="Times New Roman"/>
        </w:rPr>
      </w:pPr>
      <w:bookmarkStart w:id="499" w:name="_Toc439162980"/>
      <w:r w:rsidRPr="00131B9D">
        <w:rPr>
          <w:rFonts w:ascii="Times New Roman" w:hAnsi="Times New Roman"/>
        </w:rPr>
        <w:lastRenderedPageBreak/>
        <w:t>一</w:t>
      </w:r>
      <w:r w:rsidR="00701467" w:rsidRPr="00131B9D">
        <w:rPr>
          <w:rFonts w:ascii="Times New Roman" w:hAnsi="Times New Roman"/>
        </w:rPr>
        <w:t>、</w:t>
      </w:r>
      <w:r w:rsidR="00A33A0D" w:rsidRPr="00131B9D">
        <w:rPr>
          <w:rFonts w:ascii="Times New Roman" w:hAnsi="Times New Roman"/>
        </w:rPr>
        <w:t>文稿形式</w:t>
      </w:r>
      <w:bookmarkEnd w:id="499"/>
    </w:p>
    <w:p w:rsidR="00701467" w:rsidRPr="00131B9D" w:rsidRDefault="00A33A0D" w:rsidP="00A33A0D">
      <w:pPr>
        <w:pStyle w:val="3"/>
        <w:rPr>
          <w:rFonts w:ascii="Times New Roman" w:hAnsi="Times New Roman"/>
        </w:rPr>
      </w:pPr>
      <w:r w:rsidRPr="00131B9D">
        <w:rPr>
          <w:rFonts w:ascii="Times New Roman" w:hAnsi="Times New Roman"/>
        </w:rPr>
        <w:t>（一）</w:t>
      </w:r>
      <w:r w:rsidR="00701467" w:rsidRPr="00131B9D">
        <w:rPr>
          <w:rFonts w:ascii="Times New Roman" w:hAnsi="Times New Roman"/>
        </w:rPr>
        <w:t>各國物價管制措施彙整表</w:t>
      </w:r>
      <w:r w:rsidR="009B0779" w:rsidRPr="00131B9D">
        <w:rPr>
          <w:rFonts w:ascii="Times New Roman" w:hAnsi="Times New Roman"/>
        </w:rPr>
        <w:t>(</w:t>
      </w:r>
      <w:r w:rsidRPr="00131B9D">
        <w:rPr>
          <w:rFonts w:ascii="Times New Roman" w:hAnsi="Times New Roman"/>
        </w:rPr>
        <w:t>1/19</w:t>
      </w:r>
      <w:r w:rsidR="009B0779" w:rsidRPr="00131B9D">
        <w:rPr>
          <w:rFonts w:ascii="Times New Roman" w:hAnsi="Times New Roman"/>
        </w:rPr>
        <w:t>)</w:t>
      </w:r>
    </w:p>
    <w:p w:rsidR="008A7271" w:rsidRPr="00131B9D" w:rsidRDefault="00546A57" w:rsidP="00546A57">
      <w:pPr>
        <w:pStyle w:val="-"/>
        <w:spacing w:before="72" w:after="72"/>
        <w:ind w:firstLine="560"/>
      </w:pPr>
      <w:r w:rsidRPr="00131B9D">
        <w:t>本團隊於</w:t>
      </w:r>
      <w:r w:rsidRPr="00131B9D">
        <w:t>2015</w:t>
      </w:r>
      <w:r w:rsidRPr="00131B9D">
        <w:t>年</w:t>
      </w:r>
      <w:r w:rsidRPr="00131B9D">
        <w:t>1</w:t>
      </w:r>
      <w:r w:rsidRPr="00131B9D">
        <w:t>月</w:t>
      </w:r>
      <w:r w:rsidRPr="00131B9D">
        <w:t>19</w:t>
      </w:r>
      <w:r w:rsidRPr="00131B9D">
        <w:t>日接獲臨時交辦事項，針對各國物價管制措施進行研究，分析國家包括韓國、阿根廷、中國、英國、美國、委內瑞拉與蘇聯</w:t>
      </w:r>
      <w:r w:rsidRPr="00131B9D">
        <w:t>/</w:t>
      </w:r>
      <w:r w:rsidRPr="00131B9D">
        <w:t>俄羅斯等，詳見以下彙整表。</w:t>
      </w:r>
    </w:p>
    <w:p w:rsidR="00F960A6" w:rsidRPr="00131B9D" w:rsidRDefault="00F960A6" w:rsidP="008A7271"/>
    <w:p w:rsidR="00546A57" w:rsidRPr="00131B9D" w:rsidRDefault="00546A57" w:rsidP="008A7271"/>
    <w:p w:rsidR="00191CE4" w:rsidRPr="00131B9D" w:rsidRDefault="00191CE4" w:rsidP="008A7271">
      <w:pPr>
        <w:sectPr w:rsidR="00191CE4" w:rsidRPr="00131B9D" w:rsidSect="00F960A6">
          <w:footerReference w:type="default" r:id="rId145"/>
          <w:type w:val="oddPage"/>
          <w:pgSz w:w="11906" w:h="16838"/>
          <w:pgMar w:top="1440" w:right="1800" w:bottom="1440" w:left="1800" w:header="851" w:footer="992" w:gutter="0"/>
          <w:cols w:space="425"/>
          <w:docGrid w:type="lines" w:linePitch="360"/>
        </w:sectPr>
      </w:pPr>
    </w:p>
    <w:p w:rsidR="00AF70C3" w:rsidRPr="00131B9D" w:rsidRDefault="00AF70C3" w:rsidP="0067171C">
      <w:pPr>
        <w:pStyle w:val="aff1"/>
        <w:spacing w:afterLines="50" w:after="180"/>
      </w:pPr>
      <w:bookmarkStart w:id="500" w:name="_Toc439163015"/>
      <w:r w:rsidRPr="00131B9D">
        <w:lastRenderedPageBreak/>
        <w:t>A-</w:t>
      </w:r>
      <w:r w:rsidR="00EC0D9A">
        <w:rPr>
          <w:rFonts w:hint="eastAsia"/>
        </w:rPr>
        <w:t>2</w:t>
      </w:r>
      <w:r w:rsidRPr="00131B9D">
        <w:t xml:space="preserve">- </w:t>
      </w:r>
      <w:r w:rsidR="002F5B6D" w:rsidRPr="00131B9D">
        <w:fldChar w:fldCharType="begin"/>
      </w:r>
      <w:r w:rsidRPr="00131B9D">
        <w:instrText xml:space="preserve"> SEQ A-3- \* ARABIC </w:instrText>
      </w:r>
      <w:r w:rsidR="002F5B6D" w:rsidRPr="00131B9D">
        <w:fldChar w:fldCharType="separate"/>
      </w:r>
      <w:r w:rsidR="001641D3">
        <w:rPr>
          <w:noProof/>
        </w:rPr>
        <w:t>1</w:t>
      </w:r>
      <w:r w:rsidR="002F5B6D" w:rsidRPr="00131B9D">
        <w:fldChar w:fldCharType="end"/>
      </w:r>
      <w:r w:rsidR="004C0E04" w:rsidRPr="00131B9D">
        <w:rPr>
          <w:b w:val="0"/>
        </w:rPr>
        <w:t xml:space="preserve">　</w:t>
      </w:r>
      <w:r w:rsidRPr="00131B9D">
        <w:t>各國物價管制措施彙整表</w:t>
      </w:r>
      <w:bookmarkEnd w:id="500"/>
    </w:p>
    <w:tbl>
      <w:tblPr>
        <w:tblW w:w="5085" w:type="pct"/>
        <w:tblLook w:val="04A0" w:firstRow="1" w:lastRow="0" w:firstColumn="1" w:lastColumn="0" w:noHBand="0" w:noVBand="1"/>
      </w:tblPr>
      <w:tblGrid>
        <w:gridCol w:w="612"/>
        <w:gridCol w:w="788"/>
        <w:gridCol w:w="2766"/>
        <w:gridCol w:w="1871"/>
        <w:gridCol w:w="6898"/>
        <w:gridCol w:w="2944"/>
      </w:tblGrid>
      <w:tr w:rsidR="00701467" w:rsidRPr="00131B9D" w:rsidTr="009318AA">
        <w:tc>
          <w:tcPr>
            <w:tcW w:w="193" w:type="pct"/>
            <w:tcBorders>
              <w:top w:val="single" w:sz="4" w:space="0" w:color="auto"/>
              <w:bottom w:val="single" w:sz="4" w:space="0" w:color="auto"/>
            </w:tcBorders>
            <w:vAlign w:val="center"/>
          </w:tcPr>
          <w:bookmarkEnd w:id="498"/>
          <w:p w:rsidR="00701467" w:rsidRPr="00131B9D" w:rsidRDefault="00701467" w:rsidP="009318AA">
            <w:pPr>
              <w:adjustRightInd w:val="0"/>
              <w:snapToGrid w:val="0"/>
              <w:spacing w:line="0" w:lineRule="atLeast"/>
              <w:jc w:val="center"/>
              <w:rPr>
                <w:b/>
              </w:rPr>
            </w:pPr>
            <w:r w:rsidRPr="00131B9D">
              <w:rPr>
                <w:b/>
              </w:rPr>
              <w:t>國家</w:t>
            </w:r>
          </w:p>
        </w:tc>
        <w:tc>
          <w:tcPr>
            <w:tcW w:w="248"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center"/>
              <w:rPr>
                <w:b/>
              </w:rPr>
            </w:pPr>
            <w:r w:rsidRPr="00131B9D">
              <w:rPr>
                <w:b/>
              </w:rPr>
              <w:t>年代</w:t>
            </w:r>
          </w:p>
        </w:tc>
        <w:tc>
          <w:tcPr>
            <w:tcW w:w="871"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center"/>
              <w:rPr>
                <w:b/>
              </w:rPr>
            </w:pPr>
            <w:r w:rsidRPr="00131B9D">
              <w:rPr>
                <w:b/>
              </w:rPr>
              <w:t>背景</w:t>
            </w:r>
          </w:p>
        </w:tc>
        <w:tc>
          <w:tcPr>
            <w:tcW w:w="589"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center"/>
              <w:rPr>
                <w:b/>
              </w:rPr>
            </w:pPr>
            <w:r w:rsidRPr="00131B9D">
              <w:rPr>
                <w:b/>
              </w:rPr>
              <w:t>措施</w:t>
            </w:r>
          </w:p>
        </w:tc>
        <w:tc>
          <w:tcPr>
            <w:tcW w:w="2172"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center"/>
              <w:rPr>
                <w:b/>
              </w:rPr>
            </w:pPr>
            <w:r w:rsidRPr="00131B9D">
              <w:rPr>
                <w:b/>
              </w:rPr>
              <w:t>管製品項及手段</w:t>
            </w:r>
          </w:p>
        </w:tc>
        <w:tc>
          <w:tcPr>
            <w:tcW w:w="927"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center"/>
              <w:rPr>
                <w:b/>
              </w:rPr>
            </w:pPr>
            <w:r w:rsidRPr="00131B9D">
              <w:rPr>
                <w:b/>
              </w:rPr>
              <w:t>影響</w:t>
            </w:r>
          </w:p>
        </w:tc>
      </w:tr>
      <w:tr w:rsidR="00701467" w:rsidRPr="00131B9D" w:rsidTr="009318AA">
        <w:tc>
          <w:tcPr>
            <w:tcW w:w="193" w:type="pct"/>
            <w:tcBorders>
              <w:top w:val="single" w:sz="4" w:space="0" w:color="auto"/>
            </w:tcBorders>
            <w:vAlign w:val="center"/>
          </w:tcPr>
          <w:p w:rsidR="00701467" w:rsidRPr="00131B9D" w:rsidRDefault="00701467" w:rsidP="009318AA">
            <w:pPr>
              <w:adjustRightInd w:val="0"/>
              <w:snapToGrid w:val="0"/>
              <w:spacing w:line="0" w:lineRule="atLeast"/>
              <w:rPr>
                <w:b/>
                <w:sz w:val="36"/>
                <w:szCs w:val="36"/>
              </w:rPr>
            </w:pPr>
            <w:r w:rsidRPr="00131B9D">
              <w:rPr>
                <w:b/>
                <w:sz w:val="36"/>
                <w:szCs w:val="36"/>
              </w:rPr>
              <w:t>韓</w:t>
            </w:r>
          </w:p>
          <w:p w:rsidR="00701467" w:rsidRPr="00131B9D" w:rsidRDefault="00701467" w:rsidP="009318AA">
            <w:pPr>
              <w:adjustRightInd w:val="0"/>
              <w:snapToGrid w:val="0"/>
              <w:spacing w:line="0" w:lineRule="atLeast"/>
              <w:jc w:val="center"/>
              <w:rPr>
                <w:b/>
                <w:sz w:val="36"/>
                <w:szCs w:val="36"/>
              </w:rPr>
            </w:pPr>
          </w:p>
          <w:p w:rsidR="00701467" w:rsidRPr="00131B9D" w:rsidRDefault="00701467" w:rsidP="009318AA">
            <w:pPr>
              <w:adjustRightInd w:val="0"/>
              <w:snapToGrid w:val="0"/>
              <w:spacing w:line="0" w:lineRule="atLeast"/>
              <w:jc w:val="center"/>
              <w:rPr>
                <w:b/>
                <w:sz w:val="36"/>
                <w:szCs w:val="36"/>
              </w:rPr>
            </w:pPr>
          </w:p>
          <w:p w:rsidR="00701467" w:rsidRPr="00131B9D" w:rsidRDefault="00701467" w:rsidP="009318AA">
            <w:pPr>
              <w:adjustRightInd w:val="0"/>
              <w:snapToGrid w:val="0"/>
              <w:spacing w:line="0" w:lineRule="atLeast"/>
              <w:jc w:val="center"/>
              <w:rPr>
                <w:b/>
                <w:sz w:val="36"/>
                <w:szCs w:val="36"/>
              </w:rPr>
            </w:pPr>
          </w:p>
          <w:p w:rsidR="00701467" w:rsidRPr="00131B9D" w:rsidRDefault="00701467" w:rsidP="009318AA">
            <w:pPr>
              <w:adjustRightInd w:val="0"/>
              <w:snapToGrid w:val="0"/>
              <w:spacing w:line="0" w:lineRule="atLeast"/>
              <w:jc w:val="center"/>
              <w:rPr>
                <w:b/>
                <w:sz w:val="36"/>
                <w:szCs w:val="36"/>
              </w:rPr>
            </w:pPr>
          </w:p>
          <w:p w:rsidR="00701467" w:rsidRPr="00131B9D" w:rsidRDefault="00701467" w:rsidP="009318AA">
            <w:pPr>
              <w:adjustRightInd w:val="0"/>
              <w:snapToGrid w:val="0"/>
              <w:spacing w:line="0" w:lineRule="atLeast"/>
              <w:jc w:val="center"/>
              <w:rPr>
                <w:b/>
                <w:sz w:val="36"/>
                <w:szCs w:val="36"/>
              </w:rPr>
            </w:pPr>
          </w:p>
          <w:p w:rsidR="00701467" w:rsidRPr="00131B9D" w:rsidRDefault="00701467" w:rsidP="009318AA">
            <w:pPr>
              <w:adjustRightInd w:val="0"/>
              <w:snapToGrid w:val="0"/>
              <w:spacing w:line="0" w:lineRule="atLeast"/>
              <w:rPr>
                <w:b/>
                <w:sz w:val="36"/>
                <w:szCs w:val="36"/>
              </w:rPr>
            </w:pPr>
          </w:p>
          <w:p w:rsidR="00701467" w:rsidRPr="00131B9D" w:rsidRDefault="00701467" w:rsidP="009318AA">
            <w:pPr>
              <w:adjustRightInd w:val="0"/>
              <w:snapToGrid w:val="0"/>
              <w:spacing w:line="0" w:lineRule="atLeast"/>
              <w:rPr>
                <w:b/>
                <w:sz w:val="36"/>
                <w:szCs w:val="36"/>
              </w:rPr>
            </w:pPr>
          </w:p>
          <w:p w:rsidR="00701467" w:rsidRPr="00131B9D" w:rsidRDefault="00701467" w:rsidP="009318AA">
            <w:pPr>
              <w:adjustRightInd w:val="0"/>
              <w:snapToGrid w:val="0"/>
              <w:spacing w:line="0" w:lineRule="atLeast"/>
              <w:rPr>
                <w:b/>
                <w:sz w:val="36"/>
                <w:szCs w:val="36"/>
              </w:rPr>
            </w:pPr>
          </w:p>
          <w:p w:rsidR="00701467" w:rsidRPr="00131B9D" w:rsidRDefault="00701467" w:rsidP="009318AA">
            <w:pPr>
              <w:adjustRightInd w:val="0"/>
              <w:snapToGrid w:val="0"/>
              <w:spacing w:line="0" w:lineRule="atLeast"/>
              <w:rPr>
                <w:b/>
                <w:sz w:val="36"/>
                <w:szCs w:val="36"/>
              </w:rPr>
            </w:pPr>
          </w:p>
          <w:p w:rsidR="00701467" w:rsidRPr="00131B9D" w:rsidRDefault="00701467" w:rsidP="009318AA">
            <w:pPr>
              <w:adjustRightInd w:val="0"/>
              <w:snapToGrid w:val="0"/>
              <w:spacing w:line="0" w:lineRule="atLeast"/>
            </w:pPr>
            <w:r w:rsidRPr="00131B9D">
              <w:rPr>
                <w:b/>
                <w:sz w:val="36"/>
                <w:szCs w:val="36"/>
              </w:rPr>
              <w:t>國</w:t>
            </w:r>
          </w:p>
        </w:tc>
        <w:tc>
          <w:tcPr>
            <w:tcW w:w="248"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center"/>
            </w:pPr>
            <w:r w:rsidRPr="00131B9D">
              <w:t>2007-</w:t>
            </w:r>
          </w:p>
          <w:p w:rsidR="00701467" w:rsidRPr="00131B9D" w:rsidRDefault="00701467" w:rsidP="009318AA">
            <w:pPr>
              <w:adjustRightInd w:val="0"/>
              <w:snapToGrid w:val="0"/>
              <w:spacing w:line="0" w:lineRule="atLeast"/>
              <w:jc w:val="center"/>
            </w:pPr>
            <w:r w:rsidRPr="00131B9D">
              <w:t>2008</w:t>
            </w:r>
          </w:p>
        </w:tc>
        <w:tc>
          <w:tcPr>
            <w:tcW w:w="871"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both"/>
            </w:pPr>
          </w:p>
          <w:p w:rsidR="00701467" w:rsidRPr="00131B9D" w:rsidRDefault="00701467" w:rsidP="009318AA">
            <w:pPr>
              <w:adjustRightInd w:val="0"/>
              <w:snapToGrid w:val="0"/>
              <w:spacing w:line="0" w:lineRule="atLeast"/>
              <w:jc w:val="both"/>
            </w:pPr>
            <w:r w:rsidRPr="00131B9D">
              <w:t>2007</w:t>
            </w:r>
            <w:r w:rsidRPr="00131B9D">
              <w:t>年，受國際油糧等原物料價格大幅上漲影響（飆升至每桶</w:t>
            </w:r>
            <w:r w:rsidRPr="00131B9D">
              <w:t>130</w:t>
            </w:r>
            <w:r w:rsidRPr="00131B9D">
              <w:t>美元），自</w:t>
            </w:r>
            <w:r w:rsidRPr="00131B9D">
              <w:t>2007</w:t>
            </w:r>
            <w:r w:rsidRPr="00131B9D">
              <w:t>年</w:t>
            </w:r>
            <w:r w:rsidRPr="00131B9D">
              <w:t>10</w:t>
            </w:r>
            <w:r w:rsidRPr="00131B9D">
              <w:t>月始</w:t>
            </w:r>
            <w:r w:rsidRPr="00131B9D">
              <w:t>CPI</w:t>
            </w:r>
            <w:r w:rsidRPr="00131B9D">
              <w:t>成長率超過</w:t>
            </w:r>
            <w:r w:rsidRPr="00131B9D">
              <w:t>3%</w:t>
            </w:r>
            <w:r w:rsidRPr="00131B9D">
              <w:t>，</w:t>
            </w:r>
            <w:r w:rsidRPr="00131B9D">
              <w:t>2008</w:t>
            </w:r>
            <w:r w:rsidRPr="00131B9D">
              <w:t>年第</w:t>
            </w:r>
            <w:r w:rsidRPr="00131B9D">
              <w:t>1</w:t>
            </w:r>
            <w:r w:rsidRPr="00131B9D">
              <w:t>季平均漲幅為</w:t>
            </w:r>
            <w:r w:rsidRPr="00131B9D">
              <w:t>3.83%</w:t>
            </w:r>
            <w:r w:rsidRPr="00131B9D">
              <w:t>，</w:t>
            </w:r>
            <w:r w:rsidRPr="00131B9D">
              <w:t>2008</w:t>
            </w:r>
            <w:r w:rsidRPr="00131B9D">
              <w:t>年七月</w:t>
            </w:r>
            <w:r w:rsidRPr="00131B9D">
              <w:t>CPI</w:t>
            </w:r>
            <w:r w:rsidRPr="00131B9D">
              <w:t>更一度飆升至</w:t>
            </w:r>
            <w:r w:rsidRPr="00131B9D">
              <w:t>5.9%</w:t>
            </w:r>
            <w:r w:rsidRPr="00131B9D">
              <w:t>。</w:t>
            </w:r>
          </w:p>
        </w:tc>
        <w:tc>
          <w:tcPr>
            <w:tcW w:w="589"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both"/>
            </w:pPr>
            <w:r w:rsidRPr="00131B9D">
              <w:t>2008</w:t>
            </w:r>
            <w:r w:rsidRPr="00131B9D">
              <w:t>年</w:t>
            </w:r>
            <w:r w:rsidRPr="00131B9D">
              <w:t>1</w:t>
            </w:r>
            <w:r w:rsidRPr="00131B9D">
              <w:t>月中旬，韓國財政經濟部為預防物價劇烈變動以及因應農曆新年可能面臨的物價衝擊，於</w:t>
            </w:r>
            <w:r w:rsidRPr="00131B9D">
              <w:t>2008</w:t>
            </w:r>
            <w:r w:rsidRPr="00131B9D">
              <w:t>年</w:t>
            </w:r>
            <w:r w:rsidRPr="00131B9D">
              <w:t>1</w:t>
            </w:r>
            <w:r w:rsidRPr="00131B9D">
              <w:t>月中旬宣佈《物價安定政策》與《新年物價及民生安定對策》，並對多項品項進行價格管制。</w:t>
            </w:r>
          </w:p>
        </w:tc>
        <w:tc>
          <w:tcPr>
            <w:tcW w:w="2172" w:type="pct"/>
            <w:tcBorders>
              <w:top w:val="single" w:sz="4" w:space="0" w:color="auto"/>
              <w:bottom w:val="single" w:sz="4" w:space="0" w:color="auto"/>
            </w:tcBorders>
            <w:vAlign w:val="center"/>
          </w:tcPr>
          <w:p w:rsidR="00701467" w:rsidRPr="00131B9D" w:rsidRDefault="00701467" w:rsidP="00AC057C">
            <w:pPr>
              <w:pStyle w:val="affe"/>
              <w:widowControl w:val="0"/>
              <w:numPr>
                <w:ilvl w:val="0"/>
                <w:numId w:val="7"/>
              </w:numPr>
              <w:adjustRightInd w:val="0"/>
              <w:snapToGrid w:val="0"/>
              <w:spacing w:line="0" w:lineRule="atLeast"/>
              <w:ind w:leftChars="0"/>
              <w:jc w:val="both"/>
              <w:rPr>
                <w:rFonts w:ascii="Times New Roman" w:eastAsiaTheme="minorEastAsia" w:hAnsi="Times New Roman" w:cs="Times New Roman"/>
                <w:b/>
              </w:rPr>
            </w:pPr>
            <w:r w:rsidRPr="00131B9D">
              <w:rPr>
                <w:rFonts w:ascii="Times New Roman" w:eastAsiaTheme="minorEastAsia" w:hAnsi="Times New Roman" w:cs="Times New Roman"/>
                <w:b/>
              </w:rPr>
              <w:t>物價安定政策</w:t>
            </w:r>
          </w:p>
          <w:p w:rsidR="00701467" w:rsidRPr="00131B9D" w:rsidRDefault="00701467"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限制公共費率（電費、高速公路通行費、自來水費等）漲幅上限。</w:t>
            </w:r>
          </w:p>
          <w:p w:rsidR="00701467" w:rsidRPr="00131B9D" w:rsidRDefault="00701467"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調降家用瓦斯費。</w:t>
            </w:r>
          </w:p>
          <w:p w:rsidR="00701467" w:rsidRPr="00131B9D" w:rsidRDefault="00701467"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輔導電信業者調降資費。</w:t>
            </w:r>
          </w:p>
          <w:p w:rsidR="00701467" w:rsidRPr="00131B9D" w:rsidRDefault="00701467"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實施公開加油站油品售價制度，適時間控價格動向。</w:t>
            </w:r>
          </w:p>
          <w:p w:rsidR="00701467" w:rsidRPr="00131B9D" w:rsidRDefault="00701467"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延長進口飼料優惠稅率適用年限。</w:t>
            </w:r>
          </w:p>
          <w:p w:rsidR="00701467" w:rsidRPr="00131B9D" w:rsidRDefault="00701467" w:rsidP="00AC057C">
            <w:pPr>
              <w:pStyle w:val="affe"/>
              <w:widowControl w:val="0"/>
              <w:numPr>
                <w:ilvl w:val="0"/>
                <w:numId w:val="7"/>
              </w:numPr>
              <w:adjustRightInd w:val="0"/>
              <w:snapToGrid w:val="0"/>
              <w:spacing w:line="0" w:lineRule="atLeast"/>
              <w:ind w:leftChars="0"/>
              <w:jc w:val="both"/>
              <w:rPr>
                <w:rFonts w:ascii="Times New Roman" w:eastAsiaTheme="minorEastAsia" w:hAnsi="Times New Roman" w:cs="Times New Roman"/>
                <w:b/>
              </w:rPr>
            </w:pPr>
            <w:r w:rsidRPr="00131B9D">
              <w:rPr>
                <w:rFonts w:ascii="Times New Roman" w:eastAsiaTheme="minorEastAsia" w:hAnsi="Times New Roman" w:cs="Times New Roman"/>
                <w:b/>
              </w:rPr>
              <w:t>新年物價及民生安定對策</w:t>
            </w:r>
          </w:p>
          <w:p w:rsidR="00701467" w:rsidRPr="00131B9D" w:rsidRDefault="00701467" w:rsidP="00AC057C">
            <w:pPr>
              <w:pStyle w:val="affe"/>
              <w:widowControl w:val="0"/>
              <w:numPr>
                <w:ilvl w:val="0"/>
                <w:numId w:val="4"/>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重點管理</w:t>
            </w:r>
            <w:r w:rsidRPr="00131B9D">
              <w:rPr>
                <w:rFonts w:ascii="Times New Roman" w:eastAsiaTheme="minorEastAsia" w:hAnsi="Times New Roman" w:cs="Times New Roman"/>
              </w:rPr>
              <w:t>17</w:t>
            </w:r>
            <w:r w:rsidRPr="00131B9D">
              <w:rPr>
                <w:rFonts w:ascii="Times New Roman" w:eastAsiaTheme="minorEastAsia" w:hAnsi="Times New Roman" w:cs="Times New Roman"/>
              </w:rPr>
              <w:t>種農水產品及</w:t>
            </w:r>
            <w:r w:rsidRPr="00131B9D">
              <w:rPr>
                <w:rFonts w:ascii="Times New Roman" w:eastAsiaTheme="minorEastAsia" w:hAnsi="Times New Roman" w:cs="Times New Roman"/>
              </w:rPr>
              <w:t>5</w:t>
            </w:r>
            <w:r w:rsidRPr="00131B9D">
              <w:rPr>
                <w:rFonts w:ascii="Times New Roman" w:eastAsiaTheme="minorEastAsia" w:hAnsi="Times New Roman" w:cs="Times New Roman"/>
              </w:rPr>
              <w:t>項個人服務業等共計</w:t>
            </w:r>
            <w:r w:rsidRPr="00131B9D">
              <w:rPr>
                <w:rFonts w:ascii="Times New Roman" w:eastAsiaTheme="minorEastAsia" w:hAnsi="Times New Roman" w:cs="Times New Roman"/>
              </w:rPr>
              <w:t>22</w:t>
            </w:r>
            <w:r w:rsidRPr="00131B9D">
              <w:rPr>
                <w:rFonts w:ascii="Times New Roman" w:eastAsiaTheme="minorEastAsia" w:hAnsi="Times New Roman" w:cs="Times New Roman"/>
              </w:rPr>
              <w:t>項重點年節商品之價格變動。</w:t>
            </w:r>
          </w:p>
          <w:p w:rsidR="00701467" w:rsidRPr="00131B9D" w:rsidRDefault="00701467" w:rsidP="00AC057C">
            <w:pPr>
              <w:pStyle w:val="affe"/>
              <w:widowControl w:val="0"/>
              <w:numPr>
                <w:ilvl w:val="0"/>
                <w:numId w:val="4"/>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增加蔬果供應量</w:t>
            </w:r>
            <w:r w:rsidRPr="00131B9D">
              <w:rPr>
                <w:rFonts w:ascii="Times New Roman" w:eastAsiaTheme="minorEastAsia" w:hAnsi="Times New Roman" w:cs="Times New Roman"/>
              </w:rPr>
              <w:t>2</w:t>
            </w:r>
            <w:r w:rsidRPr="00131B9D">
              <w:rPr>
                <w:rFonts w:ascii="Times New Roman" w:eastAsiaTheme="minorEastAsia" w:hAnsi="Times New Roman" w:cs="Times New Roman"/>
              </w:rPr>
              <w:t>倍。</w:t>
            </w:r>
          </w:p>
          <w:p w:rsidR="00701467" w:rsidRPr="00131B9D" w:rsidRDefault="00701467" w:rsidP="00AC057C">
            <w:pPr>
              <w:pStyle w:val="affe"/>
              <w:widowControl w:val="0"/>
              <w:numPr>
                <w:ilvl w:val="0"/>
                <w:numId w:val="4"/>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要求生產事業單位所屬賣場提供年節用品折扣及擴大直銷。</w:t>
            </w:r>
          </w:p>
          <w:p w:rsidR="00701467" w:rsidRPr="00131B9D" w:rsidRDefault="00701467" w:rsidP="00AC057C">
            <w:pPr>
              <w:pStyle w:val="affe"/>
              <w:widowControl w:val="0"/>
              <w:numPr>
                <w:ilvl w:val="0"/>
                <w:numId w:val="4"/>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放寬輸送年節貨物車輛之通行管制。</w:t>
            </w:r>
          </w:p>
          <w:p w:rsidR="00701467" w:rsidRPr="00131B9D" w:rsidRDefault="00701467" w:rsidP="00AC057C">
            <w:pPr>
              <w:pStyle w:val="affe"/>
              <w:widowControl w:val="0"/>
              <w:numPr>
                <w:ilvl w:val="0"/>
                <w:numId w:val="4"/>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監控並預防年節用品壟斷及勾結行為。</w:t>
            </w:r>
          </w:p>
          <w:p w:rsidR="00701467" w:rsidRPr="00131B9D" w:rsidRDefault="00701467" w:rsidP="00AC057C">
            <w:pPr>
              <w:pStyle w:val="affe"/>
              <w:widowControl w:val="0"/>
              <w:numPr>
                <w:ilvl w:val="0"/>
                <w:numId w:val="4"/>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各級地方政府成立物價對策會報。</w:t>
            </w:r>
          </w:p>
        </w:tc>
        <w:tc>
          <w:tcPr>
            <w:tcW w:w="927" w:type="pct"/>
            <w:tcBorders>
              <w:top w:val="single" w:sz="4" w:space="0" w:color="auto"/>
              <w:bottom w:val="single" w:sz="4" w:space="0" w:color="auto"/>
            </w:tcBorders>
            <w:vAlign w:val="center"/>
          </w:tcPr>
          <w:p w:rsidR="00701467" w:rsidRPr="00131B9D" w:rsidRDefault="00701467" w:rsidP="009318AA">
            <w:pPr>
              <w:adjustRightInd w:val="0"/>
              <w:snapToGrid w:val="0"/>
              <w:spacing w:line="0" w:lineRule="atLeast"/>
              <w:jc w:val="both"/>
              <w:rPr>
                <w:vertAlign w:val="superscript"/>
              </w:rPr>
            </w:pPr>
            <w:r w:rsidRPr="00131B9D">
              <w:t>陳金龍</w:t>
            </w:r>
            <w:r w:rsidRPr="00131B9D">
              <w:t>(2008)</w:t>
            </w:r>
            <w:r w:rsidRPr="00131B9D">
              <w:t>指出，韓國政府雖對</w:t>
            </w:r>
            <w:r w:rsidRPr="00131B9D">
              <w:t>52</w:t>
            </w:r>
            <w:r w:rsidRPr="00131B9D">
              <w:t>項民生必需品進行監督並對囤積惜售加以管制價格（又稱李明博物價），至</w:t>
            </w:r>
            <w:r w:rsidRPr="00131B9D">
              <w:t>3</w:t>
            </w:r>
            <w:r w:rsidRPr="00131B9D">
              <w:t>月時，仍有</w:t>
            </w:r>
            <w:r w:rsidRPr="00131B9D">
              <w:t>44</w:t>
            </w:r>
            <w:r w:rsidRPr="00131B9D">
              <w:t>項物價上漲，其中食品類等所構成的生活物價指數較去年同期上漲</w:t>
            </w:r>
            <w:r w:rsidRPr="00131B9D">
              <w:t>4.9%</w:t>
            </w:r>
            <w:r w:rsidRPr="00131B9D">
              <w:t>，整體</w:t>
            </w:r>
            <w:r w:rsidRPr="00131B9D">
              <w:t>52</w:t>
            </w:r>
            <w:r w:rsidRPr="00131B9D">
              <w:t>項民生必需品物價平均上漲</w:t>
            </w:r>
            <w:r w:rsidRPr="00131B9D">
              <w:t>5.8%</w:t>
            </w:r>
            <w:r w:rsidRPr="00131B9D">
              <w:t>。</w:t>
            </w:r>
            <w:r w:rsidRPr="00131B9D">
              <w:rPr>
                <w:vertAlign w:val="superscript"/>
              </w:rPr>
              <w:t>1</w:t>
            </w:r>
          </w:p>
          <w:p w:rsidR="00701467" w:rsidRPr="00131B9D" w:rsidRDefault="00701467" w:rsidP="009318AA">
            <w:pPr>
              <w:adjustRightInd w:val="0"/>
              <w:snapToGrid w:val="0"/>
              <w:spacing w:line="0" w:lineRule="atLeast"/>
              <w:jc w:val="both"/>
            </w:pPr>
          </w:p>
          <w:p w:rsidR="00701467" w:rsidRPr="00131B9D" w:rsidRDefault="00701467" w:rsidP="009318AA">
            <w:pPr>
              <w:adjustRightInd w:val="0"/>
              <w:snapToGrid w:val="0"/>
              <w:spacing w:line="0" w:lineRule="atLeast"/>
              <w:jc w:val="both"/>
            </w:pPr>
          </w:p>
        </w:tc>
      </w:tr>
    </w:tbl>
    <w:p w:rsidR="00AF70C3" w:rsidRPr="00131B9D" w:rsidRDefault="00AF70C3" w:rsidP="00AF70C3">
      <w:pPr>
        <w:spacing w:line="0" w:lineRule="atLeast"/>
        <w:jc w:val="both"/>
        <w:rPr>
          <w:sz w:val="20"/>
          <w:szCs w:val="20"/>
        </w:rPr>
      </w:pPr>
      <w:r w:rsidRPr="00131B9D">
        <w:rPr>
          <w:sz w:val="20"/>
          <w:szCs w:val="20"/>
        </w:rPr>
        <w:t>資料來源：</w:t>
      </w:r>
    </w:p>
    <w:p w:rsidR="00AF70C3" w:rsidRPr="00131B9D" w:rsidRDefault="00AF70C3" w:rsidP="00AF70C3">
      <w:pPr>
        <w:spacing w:line="0" w:lineRule="atLeast"/>
        <w:jc w:val="both"/>
        <w:rPr>
          <w:sz w:val="20"/>
          <w:szCs w:val="20"/>
        </w:rPr>
      </w:pPr>
      <w:r w:rsidRPr="00131B9D">
        <w:rPr>
          <w:rStyle w:val="afc"/>
          <w:sz w:val="20"/>
          <w:szCs w:val="20"/>
        </w:rPr>
        <w:t>1</w:t>
      </w:r>
      <w:r w:rsidRPr="00131B9D">
        <w:rPr>
          <w:sz w:val="20"/>
          <w:szCs w:val="20"/>
        </w:rPr>
        <w:t>.</w:t>
      </w:r>
      <w:r w:rsidRPr="00131B9D">
        <w:rPr>
          <w:sz w:val="20"/>
          <w:szCs w:val="20"/>
        </w:rPr>
        <w:t>陳金隆</w:t>
      </w:r>
      <w:r w:rsidRPr="00131B9D">
        <w:rPr>
          <w:sz w:val="20"/>
          <w:szCs w:val="20"/>
        </w:rPr>
        <w:t>(2008</w:t>
      </w:r>
      <w:r w:rsidRPr="00131B9D">
        <w:rPr>
          <w:sz w:val="20"/>
          <w:szCs w:val="20"/>
        </w:rPr>
        <w:t>）。李明博內閣總辭的經濟因素分析。財團法人國家政策研究基金會。</w:t>
      </w:r>
      <w:r w:rsidRPr="00131B9D">
        <w:rPr>
          <w:sz w:val="20"/>
          <w:szCs w:val="20"/>
        </w:rPr>
        <w:t>2008</w:t>
      </w:r>
      <w:r w:rsidRPr="00131B9D">
        <w:rPr>
          <w:sz w:val="20"/>
          <w:szCs w:val="20"/>
        </w:rPr>
        <w:t>年</w:t>
      </w:r>
      <w:r w:rsidRPr="00131B9D">
        <w:rPr>
          <w:sz w:val="20"/>
          <w:szCs w:val="20"/>
        </w:rPr>
        <w:t>6</w:t>
      </w:r>
      <w:r w:rsidRPr="00131B9D">
        <w:rPr>
          <w:sz w:val="20"/>
          <w:szCs w:val="20"/>
        </w:rPr>
        <w:t>月</w:t>
      </w:r>
      <w:r w:rsidRPr="00131B9D">
        <w:rPr>
          <w:sz w:val="20"/>
          <w:szCs w:val="20"/>
        </w:rPr>
        <w:t>20</w:t>
      </w:r>
      <w:r w:rsidRPr="00131B9D">
        <w:rPr>
          <w:sz w:val="20"/>
          <w:szCs w:val="20"/>
        </w:rPr>
        <w:t>日，取自</w:t>
      </w:r>
      <w:hyperlink r:id="rId146" w:history="1">
        <w:r w:rsidRPr="00131B9D">
          <w:rPr>
            <w:rStyle w:val="afe"/>
            <w:sz w:val="20"/>
            <w:szCs w:val="20"/>
          </w:rPr>
          <w:t>http://www.npf.org.tw/printfriendly/4365</w:t>
        </w:r>
      </w:hyperlink>
    </w:p>
    <w:p w:rsidR="00AF70C3" w:rsidRPr="00131B9D" w:rsidRDefault="00AF70C3" w:rsidP="00AF70C3">
      <w:pPr>
        <w:spacing w:line="0" w:lineRule="atLeast"/>
        <w:rPr>
          <w:sz w:val="20"/>
          <w:szCs w:val="20"/>
        </w:rPr>
      </w:pPr>
      <w:r w:rsidRPr="00131B9D">
        <w:rPr>
          <w:sz w:val="20"/>
          <w:szCs w:val="20"/>
        </w:rPr>
        <w:t>2.</w:t>
      </w:r>
      <w:r w:rsidRPr="00131B9D">
        <w:rPr>
          <w:sz w:val="20"/>
          <w:szCs w:val="20"/>
        </w:rPr>
        <w:t>駐韓國代表處經濟組</w:t>
      </w:r>
      <w:r w:rsidRPr="00131B9D">
        <w:rPr>
          <w:sz w:val="20"/>
          <w:szCs w:val="20"/>
        </w:rPr>
        <w:t>(2011)</w:t>
      </w:r>
      <w:r w:rsidRPr="00131B9D">
        <w:rPr>
          <w:sz w:val="20"/>
          <w:szCs w:val="20"/>
        </w:rPr>
        <w:t>。韓國政府管制鋼鐵等產業財價格。韓國經濟新聞。</w:t>
      </w:r>
      <w:r w:rsidRPr="00131B9D">
        <w:rPr>
          <w:sz w:val="20"/>
          <w:szCs w:val="20"/>
        </w:rPr>
        <w:t>2011</w:t>
      </w:r>
      <w:r w:rsidRPr="00131B9D">
        <w:rPr>
          <w:sz w:val="20"/>
          <w:szCs w:val="20"/>
        </w:rPr>
        <w:t>年</w:t>
      </w:r>
      <w:r w:rsidRPr="00131B9D">
        <w:rPr>
          <w:sz w:val="20"/>
          <w:szCs w:val="20"/>
        </w:rPr>
        <w:t>1</w:t>
      </w:r>
      <w:r w:rsidRPr="00131B9D">
        <w:rPr>
          <w:sz w:val="20"/>
          <w:szCs w:val="20"/>
        </w:rPr>
        <w:t>月</w:t>
      </w:r>
      <w:r w:rsidRPr="00131B9D">
        <w:rPr>
          <w:sz w:val="20"/>
          <w:szCs w:val="20"/>
        </w:rPr>
        <w:t>28</w:t>
      </w:r>
      <w:r w:rsidRPr="00131B9D">
        <w:rPr>
          <w:sz w:val="20"/>
          <w:szCs w:val="20"/>
        </w:rPr>
        <w:t>日，取自</w:t>
      </w:r>
      <w:r w:rsidRPr="00131B9D">
        <w:rPr>
          <w:sz w:val="20"/>
          <w:szCs w:val="20"/>
        </w:rPr>
        <w:t>http://twbusiness.nat.gov.tw/docFriendlyPrint.do?type=FOREIGN_PAGE&amp;hModelVar=/countryNews.do&amp;hModelQStr=id%3D98992191%26amp%3Bcountry%3DKR&amp;hPageTitle=%E5%8F%B0%E5%95%86%E7%B6%B2+-+%E9%9F%93%E5%9C%8B+-+%E7%94%A2%E7%B6%93%E6%B6%88%E6%81%AF+-+%E9%9F%93%E5%9C%8B%E6%94%BF%E5%BA%9C%E7%AE%A1%E5%88%B6%E9%8B%BC%E9%90%B5%E7%AD%89%E7%94%A2%E6%A5%AD%E8%B2%A1%E5%83%B9%E6%A0%BC</w:t>
      </w:r>
    </w:p>
    <w:p w:rsidR="00701467" w:rsidRPr="00131B9D" w:rsidRDefault="00701467" w:rsidP="00701467">
      <w:pPr>
        <w:widowControl/>
      </w:pPr>
    </w:p>
    <w:p w:rsidR="00AF70C3" w:rsidRPr="00131B9D" w:rsidRDefault="00AF70C3" w:rsidP="00701467">
      <w:pPr>
        <w:widowControl/>
      </w:pPr>
    </w:p>
    <w:p w:rsidR="00AF70C3" w:rsidRPr="00131B9D" w:rsidRDefault="00AF70C3" w:rsidP="00701467">
      <w:pPr>
        <w:widowControl/>
        <w:sectPr w:rsidR="00AF70C3" w:rsidRPr="00131B9D" w:rsidSect="009318AA">
          <w:pgSz w:w="16838" w:h="11906" w:orient="landscape"/>
          <w:pgMar w:top="720" w:right="720" w:bottom="720" w:left="720" w:header="851" w:footer="992" w:gutter="0"/>
          <w:cols w:space="425"/>
          <w:docGrid w:type="lines" w:linePitch="360"/>
        </w:sectPr>
      </w:pPr>
    </w:p>
    <w:p w:rsidR="00AF70C3" w:rsidRPr="00131B9D" w:rsidRDefault="00AF70C3" w:rsidP="00B87EBD">
      <w:pPr>
        <w:pStyle w:val="afff5"/>
        <w:jc w:val="center"/>
        <w:rPr>
          <w:rFonts w:eastAsia="標楷體"/>
          <w:b/>
          <w:sz w:val="28"/>
          <w:szCs w:val="28"/>
        </w:rPr>
      </w:pPr>
      <w:r w:rsidRPr="00131B9D">
        <w:rPr>
          <w:rFonts w:eastAsia="標楷體"/>
          <w:b/>
          <w:sz w:val="28"/>
          <w:szCs w:val="28"/>
        </w:rPr>
        <w:lastRenderedPageBreak/>
        <w:t>A-</w:t>
      </w:r>
      <w:r w:rsidR="00EC0D9A">
        <w:rPr>
          <w:rFonts w:eastAsia="標楷體" w:hint="eastAsia"/>
          <w:b/>
          <w:sz w:val="28"/>
          <w:szCs w:val="28"/>
        </w:rPr>
        <w:t>2</w:t>
      </w:r>
      <w:r w:rsidRPr="00131B9D">
        <w:rPr>
          <w:rFonts w:eastAsia="標楷體"/>
          <w:b/>
          <w:sz w:val="28"/>
          <w:szCs w:val="28"/>
        </w:rPr>
        <w:t>-</w:t>
      </w:r>
      <w:r w:rsidR="00191CE4" w:rsidRPr="00131B9D">
        <w:rPr>
          <w:rFonts w:eastAsia="標楷體"/>
          <w:b/>
          <w:sz w:val="28"/>
          <w:szCs w:val="28"/>
        </w:rPr>
        <w:t>1</w:t>
      </w:r>
      <w:r w:rsidR="004C0E04" w:rsidRPr="00131B9D">
        <w:rPr>
          <w:rFonts w:eastAsia="標楷體"/>
          <w:b/>
          <w:sz w:val="28"/>
          <w:szCs w:val="28"/>
        </w:rPr>
        <w:t xml:space="preserve">　</w:t>
      </w:r>
      <w:r w:rsidRPr="00131B9D">
        <w:rPr>
          <w:rFonts w:eastAsia="標楷體"/>
          <w:b/>
          <w:sz w:val="28"/>
          <w:szCs w:val="28"/>
        </w:rPr>
        <w:t>各國物價管制措施彙整表</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5085" w:type="pct"/>
        <w:tblLook w:val="04A0" w:firstRow="1" w:lastRow="0" w:firstColumn="1" w:lastColumn="0" w:noHBand="0" w:noVBand="1"/>
      </w:tblPr>
      <w:tblGrid>
        <w:gridCol w:w="612"/>
        <w:gridCol w:w="102"/>
        <w:gridCol w:w="686"/>
        <w:gridCol w:w="610"/>
        <w:gridCol w:w="2156"/>
        <w:gridCol w:w="143"/>
        <w:gridCol w:w="1728"/>
        <w:gridCol w:w="6898"/>
        <w:gridCol w:w="216"/>
        <w:gridCol w:w="2620"/>
        <w:gridCol w:w="108"/>
      </w:tblGrid>
      <w:tr w:rsidR="00AF70C3" w:rsidRPr="00131B9D" w:rsidTr="00AF70C3">
        <w:tc>
          <w:tcPr>
            <w:tcW w:w="193"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國家</w:t>
            </w:r>
          </w:p>
        </w:tc>
        <w:tc>
          <w:tcPr>
            <w:tcW w:w="248" w:type="pct"/>
            <w:gridSpan w:val="2"/>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年代</w:t>
            </w:r>
          </w:p>
        </w:tc>
        <w:tc>
          <w:tcPr>
            <w:tcW w:w="871" w:type="pct"/>
            <w:gridSpan w:val="2"/>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背景</w:t>
            </w:r>
          </w:p>
        </w:tc>
        <w:tc>
          <w:tcPr>
            <w:tcW w:w="589" w:type="pct"/>
            <w:gridSpan w:val="2"/>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措施</w:t>
            </w:r>
          </w:p>
        </w:tc>
        <w:tc>
          <w:tcPr>
            <w:tcW w:w="2172"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管製品項及手段</w:t>
            </w:r>
          </w:p>
        </w:tc>
        <w:tc>
          <w:tcPr>
            <w:tcW w:w="927" w:type="pct"/>
            <w:gridSpan w:val="3"/>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影響</w:t>
            </w:r>
          </w:p>
        </w:tc>
      </w:tr>
      <w:tr w:rsidR="00AF70C3" w:rsidRPr="00131B9D" w:rsidTr="00AF70C3">
        <w:tc>
          <w:tcPr>
            <w:tcW w:w="193" w:type="pct"/>
            <w:vAlign w:val="center"/>
          </w:tcPr>
          <w:p w:rsidR="00AF70C3" w:rsidRPr="00131B9D" w:rsidRDefault="00AF70C3" w:rsidP="00AF70C3">
            <w:pPr>
              <w:adjustRightInd w:val="0"/>
              <w:snapToGrid w:val="0"/>
              <w:spacing w:line="0" w:lineRule="atLeast"/>
              <w:rPr>
                <w:b/>
                <w:sz w:val="36"/>
                <w:szCs w:val="36"/>
              </w:rPr>
            </w:pPr>
            <w:r w:rsidRPr="00131B9D">
              <w:rPr>
                <w:b/>
                <w:sz w:val="36"/>
                <w:szCs w:val="36"/>
              </w:rPr>
              <w:t>韓</w:t>
            </w:r>
          </w:p>
          <w:p w:rsidR="00AF70C3" w:rsidRPr="00131B9D" w:rsidRDefault="00AF70C3" w:rsidP="00AF70C3">
            <w:pPr>
              <w:adjustRightInd w:val="0"/>
              <w:snapToGrid w:val="0"/>
              <w:spacing w:line="0" w:lineRule="atLeast"/>
              <w:jc w:val="center"/>
              <w:rPr>
                <w:b/>
                <w:sz w:val="36"/>
                <w:szCs w:val="36"/>
              </w:rPr>
            </w:pPr>
          </w:p>
          <w:p w:rsidR="00AF70C3" w:rsidRPr="00131B9D" w:rsidRDefault="00AF70C3" w:rsidP="00AF70C3">
            <w:pPr>
              <w:adjustRightInd w:val="0"/>
              <w:snapToGrid w:val="0"/>
              <w:spacing w:line="0" w:lineRule="atLeast"/>
              <w:jc w:val="center"/>
              <w:rPr>
                <w:b/>
                <w:sz w:val="36"/>
                <w:szCs w:val="36"/>
              </w:rPr>
            </w:pPr>
          </w:p>
          <w:p w:rsidR="00AF70C3" w:rsidRPr="00131B9D" w:rsidRDefault="00AF70C3" w:rsidP="00AF70C3">
            <w:pPr>
              <w:adjustRightInd w:val="0"/>
              <w:snapToGrid w:val="0"/>
              <w:spacing w:line="0" w:lineRule="atLeast"/>
              <w:jc w:val="center"/>
              <w:rPr>
                <w:b/>
                <w:sz w:val="36"/>
                <w:szCs w:val="36"/>
              </w:rPr>
            </w:pPr>
          </w:p>
          <w:p w:rsidR="00AF70C3" w:rsidRPr="00131B9D" w:rsidRDefault="00AF70C3" w:rsidP="00AF70C3">
            <w:pPr>
              <w:adjustRightInd w:val="0"/>
              <w:snapToGrid w:val="0"/>
              <w:spacing w:line="0" w:lineRule="atLeast"/>
              <w:jc w:val="center"/>
              <w:rPr>
                <w:b/>
                <w:sz w:val="36"/>
                <w:szCs w:val="36"/>
              </w:rPr>
            </w:pPr>
          </w:p>
          <w:p w:rsidR="00AF70C3" w:rsidRPr="00131B9D" w:rsidRDefault="00AF70C3" w:rsidP="00AF70C3">
            <w:pPr>
              <w:adjustRightInd w:val="0"/>
              <w:snapToGrid w:val="0"/>
              <w:spacing w:line="0" w:lineRule="atLeast"/>
              <w:jc w:val="center"/>
              <w:rPr>
                <w:b/>
                <w:sz w:val="36"/>
                <w:szCs w:val="36"/>
              </w:rPr>
            </w:pPr>
          </w:p>
          <w:p w:rsidR="00AF70C3" w:rsidRPr="00131B9D" w:rsidRDefault="00AF70C3" w:rsidP="00AF70C3">
            <w:pPr>
              <w:adjustRightInd w:val="0"/>
              <w:snapToGrid w:val="0"/>
              <w:spacing w:line="0" w:lineRule="atLeast"/>
              <w:rPr>
                <w:b/>
                <w:sz w:val="36"/>
                <w:szCs w:val="36"/>
              </w:rPr>
            </w:pPr>
          </w:p>
          <w:p w:rsidR="00AF70C3" w:rsidRPr="00131B9D" w:rsidRDefault="00AF70C3" w:rsidP="00AF70C3">
            <w:pPr>
              <w:adjustRightInd w:val="0"/>
              <w:snapToGrid w:val="0"/>
              <w:spacing w:line="0" w:lineRule="atLeast"/>
              <w:rPr>
                <w:b/>
                <w:sz w:val="36"/>
                <w:szCs w:val="36"/>
              </w:rPr>
            </w:pPr>
          </w:p>
          <w:p w:rsidR="00AF70C3" w:rsidRPr="00131B9D" w:rsidRDefault="00AF70C3" w:rsidP="00AF70C3">
            <w:pPr>
              <w:adjustRightInd w:val="0"/>
              <w:snapToGrid w:val="0"/>
              <w:spacing w:line="0" w:lineRule="atLeast"/>
              <w:rPr>
                <w:b/>
                <w:sz w:val="36"/>
                <w:szCs w:val="36"/>
              </w:rPr>
            </w:pPr>
          </w:p>
          <w:p w:rsidR="00AF70C3" w:rsidRPr="00131B9D" w:rsidRDefault="00AF70C3" w:rsidP="00AF70C3">
            <w:pPr>
              <w:adjustRightInd w:val="0"/>
              <w:snapToGrid w:val="0"/>
              <w:spacing w:line="0" w:lineRule="atLeast"/>
              <w:rPr>
                <w:b/>
                <w:sz w:val="36"/>
                <w:szCs w:val="36"/>
              </w:rPr>
            </w:pPr>
          </w:p>
          <w:p w:rsidR="00AF70C3" w:rsidRPr="00131B9D" w:rsidRDefault="00AF70C3" w:rsidP="00AF70C3">
            <w:pPr>
              <w:adjustRightInd w:val="0"/>
              <w:snapToGrid w:val="0"/>
              <w:spacing w:line="0" w:lineRule="atLeast"/>
              <w:jc w:val="center"/>
            </w:pPr>
            <w:r w:rsidRPr="00131B9D">
              <w:rPr>
                <w:b/>
                <w:sz w:val="36"/>
                <w:szCs w:val="36"/>
              </w:rPr>
              <w:t>國</w:t>
            </w:r>
          </w:p>
        </w:tc>
        <w:tc>
          <w:tcPr>
            <w:tcW w:w="248" w:type="pct"/>
            <w:gridSpan w:val="2"/>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pPr>
            <w:r w:rsidRPr="00131B9D">
              <w:t>2010-</w:t>
            </w:r>
          </w:p>
        </w:tc>
        <w:tc>
          <w:tcPr>
            <w:tcW w:w="871" w:type="pct"/>
            <w:gridSpan w:val="2"/>
            <w:tcBorders>
              <w:top w:val="single" w:sz="4" w:space="0" w:color="auto"/>
              <w:bottom w:val="single" w:sz="4" w:space="0" w:color="auto"/>
            </w:tcBorders>
            <w:vAlign w:val="center"/>
          </w:tcPr>
          <w:p w:rsidR="00AF70C3" w:rsidRPr="00131B9D" w:rsidRDefault="00AF70C3" w:rsidP="00AC057C">
            <w:pPr>
              <w:pStyle w:val="affe"/>
              <w:widowControl w:val="0"/>
              <w:numPr>
                <w:ilvl w:val="0"/>
                <w:numId w:val="8"/>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b/>
              </w:rPr>
              <w:t>全球經濟復甦</w:t>
            </w:r>
            <w:r w:rsidRPr="00131B9D">
              <w:rPr>
                <w:rFonts w:ascii="Times New Roman" w:eastAsiaTheme="minorEastAsia" w:hAnsi="Times New Roman" w:cs="Times New Roman"/>
              </w:rPr>
              <w:t>2010</w:t>
            </w:r>
            <w:r w:rsidRPr="00131B9D">
              <w:rPr>
                <w:rFonts w:ascii="Times New Roman" w:eastAsiaTheme="minorEastAsia" w:hAnsi="Times New Roman" w:cs="Times New Roman"/>
              </w:rPr>
              <w:t>年各國經濟復甦，大量資金流入市場，物價上升壓力開始浮現。</w:t>
            </w:r>
          </w:p>
          <w:p w:rsidR="00AF70C3" w:rsidRPr="00131B9D" w:rsidRDefault="00AF70C3" w:rsidP="00AC057C">
            <w:pPr>
              <w:pStyle w:val="affe"/>
              <w:widowControl w:val="0"/>
              <w:numPr>
                <w:ilvl w:val="0"/>
                <w:numId w:val="8"/>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2008</w:t>
            </w:r>
            <w:r w:rsidRPr="00131B9D">
              <w:rPr>
                <w:rFonts w:ascii="Times New Roman" w:eastAsiaTheme="minorEastAsia" w:hAnsi="Times New Roman" w:cs="Times New Roman"/>
              </w:rPr>
              <w:t>金融風暴與歐債危機促使熱錢流向亞洲金融市場，資金面寬鬆。</w:t>
            </w:r>
          </w:p>
          <w:p w:rsidR="00AF70C3" w:rsidRPr="00131B9D" w:rsidRDefault="00AF70C3" w:rsidP="00AC057C">
            <w:pPr>
              <w:pStyle w:val="affe"/>
              <w:widowControl w:val="0"/>
              <w:numPr>
                <w:ilvl w:val="0"/>
                <w:numId w:val="8"/>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國際原物料與原油價格走強。</w:t>
            </w:r>
          </w:p>
        </w:tc>
        <w:tc>
          <w:tcPr>
            <w:tcW w:w="589" w:type="pct"/>
            <w:gridSpan w:val="2"/>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both"/>
            </w:pPr>
            <w:r w:rsidRPr="00131B9D">
              <w:t>2011</w:t>
            </w:r>
            <w:r w:rsidRPr="00131B9D">
              <w:t>年</w:t>
            </w:r>
            <w:r w:rsidRPr="00131B9D">
              <w:t>1</w:t>
            </w:r>
            <w:r w:rsidRPr="00131B9D">
              <w:t>月</w:t>
            </w:r>
            <w:r w:rsidRPr="00131B9D">
              <w:t>13</w:t>
            </w:r>
            <w:r w:rsidRPr="00131B9D">
              <w:t>日韓國政府公佈強硬的穩定物價措施《穩定生活物價綜合對策》，嚴控造成物價不穩的因素。</w:t>
            </w:r>
          </w:p>
        </w:tc>
        <w:tc>
          <w:tcPr>
            <w:tcW w:w="2172" w:type="pct"/>
            <w:tcBorders>
              <w:top w:val="single" w:sz="4" w:space="0" w:color="auto"/>
              <w:bottom w:val="single" w:sz="4" w:space="0" w:color="auto"/>
            </w:tcBorders>
            <w:vAlign w:val="center"/>
          </w:tcPr>
          <w:p w:rsidR="00AF70C3" w:rsidRPr="00131B9D" w:rsidRDefault="00AF70C3" w:rsidP="00AC057C">
            <w:pPr>
              <w:pStyle w:val="affe"/>
              <w:widowControl w:val="0"/>
              <w:numPr>
                <w:ilvl w:val="0"/>
                <w:numId w:val="5"/>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b/>
              </w:rPr>
              <w:t>事業費率</w:t>
            </w:r>
            <w:r w:rsidRPr="00131B9D">
              <w:rPr>
                <w:rFonts w:ascii="Times New Roman" w:eastAsiaTheme="minorEastAsia" w:hAnsi="Times New Roman" w:cs="Times New Roman"/>
              </w:rPr>
              <w:t>:</w:t>
            </w:r>
            <w:r w:rsidRPr="00131B9D">
              <w:rPr>
                <w:rFonts w:ascii="Times New Roman" w:eastAsiaTheme="minorEastAsia" w:hAnsi="Times New Roman" w:cs="Times New Roman"/>
              </w:rPr>
              <w:t>，由中央管轄之項目（電費、煤氣費、郵費、公共交通費、大城市上下水道費、上網費等），原則上予以凍結。地方管轄之項目（公車、計程車、地鐵、自來水及汙水排放、文化設施門票、垃圾袋等）則提撥預算與以補助。</w:t>
            </w:r>
          </w:p>
          <w:p w:rsidR="00AF70C3" w:rsidRPr="00131B9D" w:rsidRDefault="00AF70C3" w:rsidP="00AC057C">
            <w:pPr>
              <w:pStyle w:val="affe"/>
              <w:widowControl w:val="0"/>
              <w:numPr>
                <w:ilvl w:val="0"/>
                <w:numId w:val="5"/>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b/>
              </w:rPr>
              <w:t>關稅</w:t>
            </w:r>
            <w:r w:rsidRPr="00131B9D">
              <w:rPr>
                <w:rFonts w:ascii="Times New Roman" w:eastAsiaTheme="minorEastAsia" w:hAnsi="Times New Roman" w:cs="Times New Roman"/>
              </w:rPr>
              <w:t>:</w:t>
            </w:r>
            <w:r w:rsidRPr="00131B9D">
              <w:rPr>
                <w:rFonts w:ascii="Times New Roman" w:eastAsiaTheme="minorEastAsia" w:hAnsi="Times New Roman" w:cs="Times New Roman"/>
              </w:rPr>
              <w:t>自</w:t>
            </w:r>
            <w:r w:rsidRPr="00131B9D">
              <w:rPr>
                <w:rFonts w:ascii="Times New Roman" w:eastAsiaTheme="minorEastAsia" w:hAnsi="Times New Roman" w:cs="Times New Roman"/>
              </w:rPr>
              <w:t>2011</w:t>
            </w:r>
            <w:r w:rsidRPr="00131B9D">
              <w:rPr>
                <w:rFonts w:ascii="Times New Roman" w:eastAsiaTheme="minorEastAsia" w:hAnsi="Times New Roman" w:cs="Times New Roman"/>
              </w:rPr>
              <w:t>年</w:t>
            </w:r>
            <w:r w:rsidRPr="00131B9D">
              <w:rPr>
                <w:rFonts w:ascii="Times New Roman" w:eastAsiaTheme="minorEastAsia" w:hAnsi="Times New Roman" w:cs="Times New Roman"/>
              </w:rPr>
              <w:t>1</w:t>
            </w:r>
            <w:r w:rsidRPr="00131B9D">
              <w:rPr>
                <w:rFonts w:ascii="Times New Roman" w:eastAsiaTheme="minorEastAsia" w:hAnsi="Times New Roman" w:cs="Times New Roman"/>
              </w:rPr>
              <w:t>月起調降糖、食用油玉米、小麥等民生必需品及國際穀物共計</w:t>
            </w:r>
            <w:r w:rsidRPr="00131B9D">
              <w:rPr>
                <w:rFonts w:ascii="Times New Roman" w:eastAsiaTheme="minorEastAsia" w:hAnsi="Times New Roman" w:cs="Times New Roman"/>
              </w:rPr>
              <w:t>67</w:t>
            </w:r>
            <w:r w:rsidRPr="00131B9D">
              <w:rPr>
                <w:rFonts w:ascii="Times New Roman" w:eastAsiaTheme="minorEastAsia" w:hAnsi="Times New Roman" w:cs="Times New Roman"/>
              </w:rPr>
              <w:t>項之進口關稅，對於奶粉、咖啡、麵粉等價格有波動或有上漲疑慮之產品，追加調降進口關稅。</w:t>
            </w:r>
          </w:p>
          <w:p w:rsidR="00AF70C3" w:rsidRPr="00131B9D" w:rsidRDefault="00AF70C3" w:rsidP="00AC057C">
            <w:pPr>
              <w:pStyle w:val="affe"/>
              <w:widowControl w:val="0"/>
              <w:numPr>
                <w:ilvl w:val="0"/>
                <w:numId w:val="5"/>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b/>
              </w:rPr>
              <w:t>凍結國立大學之學雜費</w:t>
            </w:r>
            <w:r w:rsidRPr="00131B9D">
              <w:rPr>
                <w:rFonts w:ascii="Times New Roman" w:eastAsiaTheme="minorEastAsia" w:hAnsi="Times New Roman" w:cs="Times New Roman"/>
              </w:rPr>
              <w:t>:</w:t>
            </w:r>
            <w:r w:rsidRPr="00131B9D">
              <w:rPr>
                <w:rFonts w:ascii="Times New Roman" w:eastAsiaTheme="minorEastAsia" w:hAnsi="Times New Roman" w:cs="Times New Roman"/>
              </w:rPr>
              <w:t>私立大學漲幅以</w:t>
            </w:r>
            <w:r w:rsidRPr="00131B9D">
              <w:rPr>
                <w:rFonts w:ascii="Times New Roman" w:eastAsiaTheme="minorEastAsia" w:hAnsi="Times New Roman" w:cs="Times New Roman"/>
              </w:rPr>
              <w:t>3%</w:t>
            </w:r>
            <w:r w:rsidRPr="00131B9D">
              <w:rPr>
                <w:rFonts w:ascii="Times New Roman" w:eastAsiaTheme="minorEastAsia" w:hAnsi="Times New Roman" w:cs="Times New Roman"/>
              </w:rPr>
              <w:t>為限。</w:t>
            </w:r>
          </w:p>
          <w:p w:rsidR="00AF70C3" w:rsidRPr="00131B9D" w:rsidRDefault="00AF70C3" w:rsidP="00AC057C">
            <w:pPr>
              <w:pStyle w:val="affe"/>
              <w:widowControl w:val="0"/>
              <w:numPr>
                <w:ilvl w:val="0"/>
                <w:numId w:val="5"/>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b/>
              </w:rPr>
              <w:t>監控重點產品之價格變化</w:t>
            </w:r>
            <w:r w:rsidRPr="00131B9D">
              <w:rPr>
                <w:rFonts w:ascii="Times New Roman" w:eastAsiaTheme="minorEastAsia" w:hAnsi="Times New Roman" w:cs="Times New Roman"/>
              </w:rPr>
              <w:t>:</w:t>
            </w:r>
            <w:r w:rsidRPr="00131B9D">
              <w:rPr>
                <w:rFonts w:ascii="Times New Roman" w:eastAsiaTheme="minorEastAsia" w:hAnsi="Times New Roman" w:cs="Times New Roman"/>
              </w:rPr>
              <w:t>維持經常性調查，並監視油價、易受國際價格波動影響之產品，以及民生必需品的價格變動情形。</w:t>
            </w:r>
          </w:p>
          <w:p w:rsidR="00AF70C3" w:rsidRPr="00131B9D" w:rsidRDefault="00AF70C3" w:rsidP="00AC057C">
            <w:pPr>
              <w:pStyle w:val="affe"/>
              <w:widowControl w:val="0"/>
              <w:numPr>
                <w:ilvl w:val="0"/>
                <w:numId w:val="5"/>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b/>
              </w:rPr>
              <w:t>擴大供給社會住宅</w:t>
            </w:r>
            <w:r w:rsidRPr="00131B9D">
              <w:rPr>
                <w:rFonts w:ascii="Times New Roman" w:eastAsiaTheme="minorEastAsia" w:hAnsi="Times New Roman" w:cs="Times New Roman"/>
              </w:rPr>
              <w:t>:</w:t>
            </w:r>
            <w:r w:rsidRPr="00131B9D">
              <w:rPr>
                <w:rFonts w:ascii="Times New Roman" w:eastAsiaTheme="minorEastAsia" w:hAnsi="Times New Roman" w:cs="Times New Roman"/>
              </w:rPr>
              <w:t>配合春天搬家旺季，由國營企業承建小型、租賃住宅。</w:t>
            </w:r>
          </w:p>
          <w:p w:rsidR="00AF70C3" w:rsidRPr="00131B9D" w:rsidRDefault="00AF70C3" w:rsidP="00AC057C">
            <w:pPr>
              <w:pStyle w:val="affe"/>
              <w:widowControl w:val="0"/>
              <w:numPr>
                <w:ilvl w:val="0"/>
                <w:numId w:val="5"/>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b/>
              </w:rPr>
              <w:t>管制產業財業者調幅（例如鋼鐵業）</w:t>
            </w:r>
            <w:r w:rsidRPr="00131B9D">
              <w:rPr>
                <w:rFonts w:ascii="Times New Roman" w:eastAsiaTheme="minorEastAsia" w:hAnsi="Times New Roman" w:cs="Times New Roman"/>
              </w:rPr>
              <w:t>:</w:t>
            </w:r>
            <w:r w:rsidRPr="00131B9D">
              <w:rPr>
                <w:rFonts w:ascii="Times New Roman" w:eastAsiaTheme="minorEastAsia" w:hAnsi="Times New Roman" w:cs="Times New Roman"/>
              </w:rPr>
              <w:t>避免相關產業財（汽車、造船及營建等）價格同步上漲。</w:t>
            </w:r>
          </w:p>
        </w:tc>
        <w:tc>
          <w:tcPr>
            <w:tcW w:w="927" w:type="pct"/>
            <w:gridSpan w:val="3"/>
            <w:tcBorders>
              <w:top w:val="single" w:sz="4" w:space="0" w:color="auto"/>
              <w:bottom w:val="single" w:sz="4" w:space="0" w:color="auto"/>
            </w:tcBorders>
            <w:vAlign w:val="center"/>
          </w:tcPr>
          <w:p w:rsidR="00AF70C3" w:rsidRPr="00131B9D" w:rsidRDefault="00AF70C3" w:rsidP="00AC057C">
            <w:pPr>
              <w:pStyle w:val="affe"/>
              <w:widowControl w:val="0"/>
              <w:numPr>
                <w:ilvl w:val="0"/>
                <w:numId w:val="9"/>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儘管鋼鐵價格受政策管制而凍結，但原材料（鐵礦石、煙煤及廢鐵等）價格仍飆漲，導致鋼鐵業者收益惡化及扭曲市場機制現象。</w:t>
            </w:r>
          </w:p>
          <w:p w:rsidR="00AF70C3" w:rsidRPr="00131B9D" w:rsidRDefault="00AF70C3" w:rsidP="00AC057C">
            <w:pPr>
              <w:pStyle w:val="affe"/>
              <w:widowControl w:val="0"/>
              <w:numPr>
                <w:ilvl w:val="0"/>
                <w:numId w:val="9"/>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據韓國經濟新聞報導，</w:t>
            </w:r>
            <w:r w:rsidRPr="00131B9D">
              <w:rPr>
                <w:rFonts w:ascii="Times New Roman" w:eastAsiaTheme="minorEastAsia" w:hAnsi="Times New Roman" w:cs="Times New Roman"/>
              </w:rPr>
              <w:t>90%</w:t>
            </w:r>
            <w:r w:rsidRPr="00131B9D">
              <w:rPr>
                <w:rFonts w:ascii="Times New Roman" w:eastAsiaTheme="minorEastAsia" w:hAnsi="Times New Roman" w:cs="Times New Roman"/>
              </w:rPr>
              <w:t>受訪企業表示物價管控措施對企業經營活動產生負擔。且認為原材料價格上漲因素繁多，不應任意實施物價管控。</w:t>
            </w:r>
            <w:r w:rsidRPr="00131B9D">
              <w:rPr>
                <w:rFonts w:ascii="Times New Roman" w:eastAsiaTheme="minorEastAsia" w:hAnsi="Times New Roman" w:cs="Times New Roman"/>
                <w:vertAlign w:val="superscript"/>
              </w:rPr>
              <w:t>2</w:t>
            </w:r>
          </w:p>
        </w:tc>
      </w:tr>
      <w:tr w:rsidR="00AF70C3" w:rsidRPr="00131B9D" w:rsidTr="00AF70C3">
        <w:trPr>
          <w:gridAfter w:val="1"/>
          <w:wAfter w:w="34" w:type="pct"/>
        </w:trPr>
        <w:tc>
          <w:tcPr>
            <w:tcW w:w="225" w:type="pct"/>
            <w:gridSpan w:val="2"/>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rPr>
                <w:b/>
                <w:sz w:val="36"/>
                <w:szCs w:val="36"/>
              </w:rPr>
            </w:pPr>
            <w:r w:rsidRPr="00131B9D">
              <w:rPr>
                <w:b/>
                <w:sz w:val="36"/>
                <w:szCs w:val="36"/>
              </w:rPr>
              <w:t>阿</w:t>
            </w:r>
          </w:p>
          <w:p w:rsidR="00AF70C3" w:rsidRPr="00131B9D" w:rsidRDefault="00AF70C3" w:rsidP="00AF70C3">
            <w:pPr>
              <w:adjustRightInd w:val="0"/>
              <w:snapToGrid w:val="0"/>
              <w:spacing w:line="0" w:lineRule="atLeast"/>
              <w:rPr>
                <w:b/>
                <w:sz w:val="36"/>
                <w:szCs w:val="36"/>
              </w:rPr>
            </w:pPr>
            <w:r w:rsidRPr="00131B9D">
              <w:rPr>
                <w:b/>
                <w:sz w:val="36"/>
                <w:szCs w:val="36"/>
              </w:rPr>
              <w:t>根</w:t>
            </w:r>
          </w:p>
          <w:p w:rsidR="00AF70C3" w:rsidRPr="00131B9D" w:rsidRDefault="00AF70C3" w:rsidP="00AF70C3">
            <w:pPr>
              <w:adjustRightInd w:val="0"/>
              <w:snapToGrid w:val="0"/>
              <w:spacing w:line="0" w:lineRule="atLeast"/>
            </w:pPr>
            <w:r w:rsidRPr="00131B9D">
              <w:rPr>
                <w:b/>
                <w:sz w:val="36"/>
                <w:szCs w:val="36"/>
              </w:rPr>
              <w:t>廷</w:t>
            </w:r>
          </w:p>
        </w:tc>
        <w:tc>
          <w:tcPr>
            <w:tcW w:w="408" w:type="pct"/>
            <w:gridSpan w:val="2"/>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pPr>
            <w:r w:rsidRPr="00131B9D">
              <w:t>2014.9-</w:t>
            </w:r>
          </w:p>
        </w:tc>
        <w:tc>
          <w:tcPr>
            <w:tcW w:w="724" w:type="pct"/>
            <w:gridSpan w:val="2"/>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both"/>
            </w:pPr>
            <w:r w:rsidRPr="00131B9D">
              <w:t>截至</w:t>
            </w:r>
            <w:r w:rsidRPr="00131B9D">
              <w:t>2014</w:t>
            </w:r>
            <w:r w:rsidRPr="00131B9D">
              <w:t>年</w:t>
            </w:r>
            <w:r w:rsidRPr="00131B9D">
              <w:t>8</w:t>
            </w:r>
            <w:r w:rsidRPr="00131B9D">
              <w:t>月底，官方統計累計通脹率高達</w:t>
            </w:r>
            <w:r w:rsidRPr="00131B9D">
              <w:t>18</w:t>
            </w:r>
            <w:r w:rsidRPr="00131B9D">
              <w:t>％，民間機構預計</w:t>
            </w:r>
            <w:r w:rsidRPr="00131B9D">
              <w:t>2014</w:t>
            </w:r>
            <w:r w:rsidRPr="00131B9D">
              <w:t>全年通脹率可能超過</w:t>
            </w:r>
            <w:r w:rsidRPr="00131B9D">
              <w:t>40</w:t>
            </w:r>
            <w:r w:rsidRPr="00131B9D">
              <w:t>％。</w:t>
            </w:r>
          </w:p>
        </w:tc>
        <w:tc>
          <w:tcPr>
            <w:tcW w:w="544"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both"/>
            </w:pPr>
            <w:r w:rsidRPr="00131B9D">
              <w:t>通過強化政府對物價幹預的《供應法》修正案。</w:t>
            </w:r>
          </w:p>
        </w:tc>
        <w:tc>
          <w:tcPr>
            <w:tcW w:w="2240" w:type="pct"/>
            <w:gridSpan w:val="2"/>
            <w:tcBorders>
              <w:top w:val="single" w:sz="4" w:space="0" w:color="auto"/>
              <w:bottom w:val="single" w:sz="4" w:space="0" w:color="auto"/>
            </w:tcBorders>
            <w:vAlign w:val="center"/>
          </w:tcPr>
          <w:p w:rsidR="00AF70C3" w:rsidRPr="00131B9D" w:rsidRDefault="00AF70C3" w:rsidP="00AC057C">
            <w:pPr>
              <w:pStyle w:val="affe"/>
              <w:widowControl w:val="0"/>
              <w:numPr>
                <w:ilvl w:val="0"/>
                <w:numId w:val="14"/>
              </w:numPr>
              <w:adjustRightInd w:val="0"/>
              <w:snapToGrid w:val="0"/>
              <w:spacing w:line="0" w:lineRule="atLeast"/>
              <w:ind w:leftChars="0"/>
              <w:jc w:val="both"/>
              <w:rPr>
                <w:rFonts w:ascii="Times New Roman" w:eastAsiaTheme="minorEastAsia" w:hAnsi="Times New Roman" w:cs="Times New Roman"/>
                <w:b/>
              </w:rPr>
            </w:pPr>
            <w:r w:rsidRPr="00131B9D">
              <w:rPr>
                <w:rFonts w:ascii="Times New Roman" w:eastAsiaTheme="minorEastAsia" w:hAnsi="Times New Roman" w:cs="Times New Roman"/>
                <w:b/>
              </w:rPr>
              <w:t>2014</w:t>
            </w:r>
            <w:r w:rsidRPr="00131B9D">
              <w:rPr>
                <w:rFonts w:ascii="Times New Roman" w:eastAsiaTheme="minorEastAsia" w:hAnsi="Times New Roman" w:cs="Times New Roman"/>
                <w:b/>
              </w:rPr>
              <w:t>年初對</w:t>
            </w:r>
            <w:r w:rsidRPr="00131B9D">
              <w:rPr>
                <w:rFonts w:ascii="Times New Roman" w:eastAsiaTheme="minorEastAsia" w:hAnsi="Times New Roman" w:cs="Times New Roman"/>
                <w:b/>
              </w:rPr>
              <w:t>193</w:t>
            </w:r>
            <w:r w:rsidRPr="00131B9D">
              <w:rPr>
                <w:rFonts w:ascii="Times New Roman" w:eastAsiaTheme="minorEastAsia" w:hAnsi="Times New Roman" w:cs="Times New Roman"/>
                <w:b/>
              </w:rPr>
              <w:t>種商品採取價格管制措施。</w:t>
            </w:r>
          </w:p>
          <w:p w:rsidR="00AF70C3" w:rsidRPr="00131B9D" w:rsidRDefault="00AF70C3" w:rsidP="00AC057C">
            <w:pPr>
              <w:pStyle w:val="affe"/>
              <w:widowControl w:val="0"/>
              <w:numPr>
                <w:ilvl w:val="0"/>
                <w:numId w:val="14"/>
              </w:numPr>
              <w:adjustRightInd w:val="0"/>
              <w:snapToGrid w:val="0"/>
              <w:spacing w:line="0" w:lineRule="atLeast"/>
              <w:ind w:leftChars="0"/>
              <w:jc w:val="both"/>
              <w:rPr>
                <w:rFonts w:ascii="Times New Roman" w:eastAsiaTheme="minorEastAsia" w:hAnsi="Times New Roman" w:cs="Times New Roman"/>
                <w:b/>
              </w:rPr>
            </w:pPr>
            <w:r w:rsidRPr="00131B9D">
              <w:rPr>
                <w:rFonts w:ascii="Times New Roman" w:eastAsiaTheme="minorEastAsia" w:hAnsi="Times New Roman" w:cs="Times New Roman"/>
                <w:b/>
              </w:rPr>
              <w:t>制定《供應法》</w:t>
            </w:r>
          </w:p>
          <w:p w:rsidR="00AF70C3" w:rsidRPr="00131B9D" w:rsidRDefault="00AF70C3"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賦予政府凍結物價或制定參考價格的權力，對企業定價、利潤率和產量進行強制干預。</w:t>
            </w:r>
          </w:p>
          <w:p w:rsidR="00AF70C3" w:rsidRPr="00131B9D" w:rsidRDefault="00AF70C3"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對囤貨惜售和利用市場壟斷地位哄抬物價的企業，進行包括罰款和勒令停業最長達</w:t>
            </w:r>
            <w:r w:rsidRPr="00131B9D">
              <w:rPr>
                <w:rFonts w:ascii="Times New Roman" w:eastAsiaTheme="minorEastAsia" w:hAnsi="Times New Roman" w:cs="Times New Roman"/>
              </w:rPr>
              <w:t>3</w:t>
            </w:r>
            <w:r w:rsidRPr="00131B9D">
              <w:rPr>
                <w:rFonts w:ascii="Times New Roman" w:eastAsiaTheme="minorEastAsia" w:hAnsi="Times New Roman" w:cs="Times New Roman"/>
              </w:rPr>
              <w:t>個月的處罰。</w:t>
            </w:r>
          </w:p>
          <w:p w:rsidR="00AF70C3" w:rsidRPr="00131B9D" w:rsidRDefault="00AF70C3"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政府可依據此法強制企業生產、銷售某類產品，</w:t>
            </w:r>
          </w:p>
          <w:p w:rsidR="00AF70C3" w:rsidRPr="00131B9D" w:rsidRDefault="00AF70C3"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限制和禁止重要民生物資的出口。</w:t>
            </w:r>
          </w:p>
          <w:p w:rsidR="00AF70C3" w:rsidRPr="00131B9D" w:rsidRDefault="00AF70C3"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通過修改稅收體制，對企業生產的成本結構進行干預等。</w:t>
            </w:r>
          </w:p>
        </w:tc>
        <w:tc>
          <w:tcPr>
            <w:tcW w:w="825" w:type="pct"/>
            <w:tcBorders>
              <w:top w:val="single" w:sz="4" w:space="0" w:color="auto"/>
              <w:bottom w:val="single" w:sz="4" w:space="0" w:color="auto"/>
            </w:tcBorders>
            <w:vAlign w:val="center"/>
          </w:tcPr>
          <w:p w:rsidR="00AF70C3" w:rsidRPr="00131B9D" w:rsidRDefault="00AF70C3" w:rsidP="00AF70C3">
            <w:pPr>
              <w:pStyle w:val="affe"/>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觀察中。</w:t>
            </w:r>
          </w:p>
        </w:tc>
      </w:tr>
    </w:tbl>
    <w:p w:rsidR="00701467" w:rsidRPr="00131B9D" w:rsidRDefault="00AF70C3" w:rsidP="00701467">
      <w:pPr>
        <w:widowControl/>
      </w:pPr>
      <w:r w:rsidRPr="00131B9D">
        <w:t xml:space="preserve"> </w:t>
      </w:r>
      <w:r w:rsidR="00701467" w:rsidRPr="00131B9D">
        <w:br w:type="page"/>
      </w:r>
    </w:p>
    <w:p w:rsidR="00AF70C3" w:rsidRPr="00131B9D" w:rsidRDefault="00AF70C3" w:rsidP="00B87EBD">
      <w:pPr>
        <w:pStyle w:val="afff5"/>
        <w:jc w:val="center"/>
        <w:rPr>
          <w:rFonts w:eastAsia="標楷體"/>
          <w:b/>
          <w:sz w:val="28"/>
          <w:szCs w:val="28"/>
        </w:rPr>
      </w:pPr>
      <w:r w:rsidRPr="00131B9D">
        <w:rPr>
          <w:rFonts w:eastAsia="標楷體"/>
          <w:b/>
          <w:sz w:val="28"/>
          <w:szCs w:val="28"/>
        </w:rPr>
        <w:lastRenderedPageBreak/>
        <w:t>A-</w:t>
      </w:r>
      <w:r w:rsidR="00EC0D9A">
        <w:rPr>
          <w:rFonts w:eastAsia="標楷體" w:hint="eastAsia"/>
          <w:b/>
          <w:sz w:val="28"/>
          <w:szCs w:val="28"/>
        </w:rPr>
        <w:t>2</w:t>
      </w:r>
      <w:r w:rsidRPr="00131B9D">
        <w:rPr>
          <w:rFonts w:eastAsia="標楷體"/>
          <w:b/>
          <w:sz w:val="28"/>
          <w:szCs w:val="28"/>
        </w:rPr>
        <w:t>-</w:t>
      </w:r>
      <w:r w:rsidR="00004EBD" w:rsidRPr="00131B9D">
        <w:rPr>
          <w:rFonts w:eastAsia="標楷體"/>
          <w:b/>
          <w:sz w:val="28"/>
          <w:szCs w:val="28"/>
        </w:rPr>
        <w:t>4</w:t>
      </w:r>
      <w:r w:rsidR="004C0E04" w:rsidRPr="00131B9D">
        <w:rPr>
          <w:rFonts w:eastAsia="標楷體"/>
          <w:b/>
          <w:sz w:val="28"/>
          <w:szCs w:val="28"/>
        </w:rPr>
        <w:t xml:space="preserve">　</w:t>
      </w:r>
      <w:r w:rsidRPr="00131B9D">
        <w:rPr>
          <w:rFonts w:eastAsia="標楷體"/>
          <w:b/>
          <w:sz w:val="28"/>
          <w:szCs w:val="28"/>
        </w:rPr>
        <w:t>各國物價管制措施彙整表</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5051" w:type="pct"/>
        <w:tblLook w:val="04A0" w:firstRow="1" w:lastRow="0" w:firstColumn="1" w:lastColumn="0" w:noHBand="0" w:noVBand="1"/>
      </w:tblPr>
      <w:tblGrid>
        <w:gridCol w:w="715"/>
        <w:gridCol w:w="1297"/>
        <w:gridCol w:w="2300"/>
        <w:gridCol w:w="1726"/>
        <w:gridCol w:w="7114"/>
        <w:gridCol w:w="2621"/>
      </w:tblGrid>
      <w:tr w:rsidR="00AF70C3" w:rsidRPr="00131B9D" w:rsidTr="00AF70C3">
        <w:tc>
          <w:tcPr>
            <w:tcW w:w="227"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國家</w:t>
            </w:r>
          </w:p>
        </w:tc>
        <w:tc>
          <w:tcPr>
            <w:tcW w:w="411" w:type="pct"/>
            <w:tcBorders>
              <w:top w:val="single" w:sz="4" w:space="0" w:color="auto"/>
              <w:left w:val="nil"/>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年代</w:t>
            </w:r>
          </w:p>
        </w:tc>
        <w:tc>
          <w:tcPr>
            <w:tcW w:w="729"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both"/>
              <w:rPr>
                <w:b/>
              </w:rPr>
            </w:pPr>
            <w:r w:rsidRPr="00131B9D">
              <w:rPr>
                <w:b/>
              </w:rPr>
              <w:t>背景</w:t>
            </w:r>
          </w:p>
        </w:tc>
        <w:tc>
          <w:tcPr>
            <w:tcW w:w="547"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both"/>
              <w:rPr>
                <w:b/>
              </w:rPr>
            </w:pPr>
            <w:r w:rsidRPr="00131B9D">
              <w:rPr>
                <w:b/>
              </w:rPr>
              <w:t>措施</w:t>
            </w:r>
          </w:p>
        </w:tc>
        <w:tc>
          <w:tcPr>
            <w:tcW w:w="2255"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center"/>
              <w:rPr>
                <w:b/>
              </w:rPr>
            </w:pPr>
            <w:r w:rsidRPr="00131B9D">
              <w:rPr>
                <w:b/>
              </w:rPr>
              <w:t>管製品項及手段</w:t>
            </w:r>
          </w:p>
        </w:tc>
        <w:tc>
          <w:tcPr>
            <w:tcW w:w="831"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jc w:val="both"/>
              <w:rPr>
                <w:b/>
              </w:rPr>
            </w:pPr>
            <w:r w:rsidRPr="00131B9D">
              <w:rPr>
                <w:b/>
              </w:rPr>
              <w:t>影響</w:t>
            </w:r>
          </w:p>
        </w:tc>
      </w:tr>
      <w:tr w:rsidR="00AF70C3" w:rsidRPr="00131B9D" w:rsidTr="00AF70C3">
        <w:tc>
          <w:tcPr>
            <w:tcW w:w="227" w:type="pct"/>
            <w:tcBorders>
              <w:top w:val="single" w:sz="4" w:space="0" w:color="auto"/>
              <w:bottom w:val="single" w:sz="4" w:space="0" w:color="auto"/>
            </w:tcBorders>
            <w:vAlign w:val="center"/>
          </w:tcPr>
          <w:p w:rsidR="00AF70C3" w:rsidRPr="00131B9D" w:rsidRDefault="00AF70C3" w:rsidP="00AF70C3">
            <w:pPr>
              <w:adjustRightInd w:val="0"/>
              <w:snapToGrid w:val="0"/>
              <w:spacing w:line="0" w:lineRule="atLeast"/>
              <w:rPr>
                <w:b/>
                <w:sz w:val="36"/>
                <w:szCs w:val="36"/>
              </w:rPr>
            </w:pPr>
            <w:r w:rsidRPr="00131B9D">
              <w:rPr>
                <w:b/>
                <w:sz w:val="36"/>
                <w:szCs w:val="36"/>
              </w:rPr>
              <w:t>中</w:t>
            </w:r>
          </w:p>
          <w:p w:rsidR="00AF70C3" w:rsidRPr="00131B9D" w:rsidRDefault="00AF70C3" w:rsidP="00AF70C3">
            <w:pPr>
              <w:adjustRightInd w:val="0"/>
              <w:snapToGrid w:val="0"/>
              <w:spacing w:line="0" w:lineRule="atLeast"/>
              <w:rPr>
                <w:b/>
                <w:sz w:val="36"/>
                <w:szCs w:val="36"/>
              </w:rPr>
            </w:pPr>
          </w:p>
          <w:p w:rsidR="00AF70C3" w:rsidRPr="00131B9D" w:rsidRDefault="00AF70C3" w:rsidP="00AF70C3">
            <w:pPr>
              <w:adjustRightInd w:val="0"/>
              <w:snapToGrid w:val="0"/>
              <w:spacing w:line="0" w:lineRule="atLeast"/>
              <w:rPr>
                <w:b/>
                <w:sz w:val="36"/>
                <w:szCs w:val="36"/>
              </w:rPr>
            </w:pPr>
          </w:p>
          <w:p w:rsidR="00AF70C3" w:rsidRPr="00131B9D" w:rsidRDefault="00AF70C3" w:rsidP="00AF70C3">
            <w:pPr>
              <w:adjustRightInd w:val="0"/>
              <w:snapToGrid w:val="0"/>
              <w:spacing w:line="0" w:lineRule="atLeast"/>
              <w:rPr>
                <w:b/>
                <w:sz w:val="36"/>
                <w:szCs w:val="36"/>
              </w:rPr>
            </w:pPr>
          </w:p>
          <w:p w:rsidR="00AF70C3" w:rsidRPr="00131B9D" w:rsidRDefault="00AF70C3" w:rsidP="00AF70C3">
            <w:pPr>
              <w:adjustRightInd w:val="0"/>
              <w:snapToGrid w:val="0"/>
              <w:spacing w:line="0" w:lineRule="atLeast"/>
            </w:pPr>
            <w:r w:rsidRPr="00131B9D">
              <w:rPr>
                <w:b/>
                <w:sz w:val="36"/>
                <w:szCs w:val="36"/>
              </w:rPr>
              <w:t>國</w:t>
            </w:r>
          </w:p>
        </w:tc>
        <w:tc>
          <w:tcPr>
            <w:tcW w:w="411" w:type="pct"/>
            <w:tcBorders>
              <w:top w:val="single" w:sz="4" w:space="0" w:color="auto"/>
              <w:left w:val="nil"/>
              <w:bottom w:val="single" w:sz="4" w:space="0" w:color="auto"/>
            </w:tcBorders>
            <w:vAlign w:val="center"/>
          </w:tcPr>
          <w:p w:rsidR="00AF70C3" w:rsidRPr="00131B9D" w:rsidRDefault="00AF70C3" w:rsidP="00AF70C3">
            <w:pPr>
              <w:adjustRightInd w:val="0"/>
              <w:snapToGrid w:val="0"/>
              <w:spacing w:line="0" w:lineRule="atLeast"/>
              <w:jc w:val="center"/>
            </w:pPr>
            <w:r w:rsidRPr="00131B9D">
              <w:t>2010-2011</w:t>
            </w:r>
          </w:p>
        </w:tc>
        <w:tc>
          <w:tcPr>
            <w:tcW w:w="729" w:type="pct"/>
            <w:tcBorders>
              <w:top w:val="single" w:sz="4" w:space="0" w:color="auto"/>
              <w:bottom w:val="single" w:sz="4" w:space="0" w:color="auto"/>
            </w:tcBorders>
            <w:vAlign w:val="center"/>
          </w:tcPr>
          <w:p w:rsidR="00AF70C3" w:rsidRPr="00131B9D" w:rsidRDefault="00AF70C3" w:rsidP="00AC057C">
            <w:pPr>
              <w:pStyle w:val="affe"/>
              <w:widowControl w:val="0"/>
              <w:numPr>
                <w:ilvl w:val="0"/>
                <w:numId w:val="10"/>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天候因素影響農作物生長。</w:t>
            </w:r>
          </w:p>
          <w:p w:rsidR="00AF70C3" w:rsidRPr="00131B9D" w:rsidRDefault="00AF70C3" w:rsidP="00AC057C">
            <w:pPr>
              <w:pStyle w:val="affe"/>
              <w:widowControl w:val="0"/>
              <w:numPr>
                <w:ilvl w:val="0"/>
                <w:numId w:val="10"/>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中國國內銀行貸款劇加。</w:t>
            </w:r>
          </w:p>
          <w:p w:rsidR="00AF70C3" w:rsidRPr="00131B9D" w:rsidRDefault="00AF70C3" w:rsidP="00AC057C">
            <w:pPr>
              <w:pStyle w:val="affe"/>
              <w:widowControl w:val="0"/>
              <w:numPr>
                <w:ilvl w:val="0"/>
                <w:numId w:val="10"/>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全球經濟復甦。</w:t>
            </w:r>
          </w:p>
          <w:p w:rsidR="00AF70C3" w:rsidRPr="00131B9D" w:rsidRDefault="00AF70C3" w:rsidP="00AC057C">
            <w:pPr>
              <w:pStyle w:val="affe"/>
              <w:widowControl w:val="0"/>
              <w:numPr>
                <w:ilvl w:val="0"/>
                <w:numId w:val="10"/>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2008</w:t>
            </w:r>
            <w:r w:rsidRPr="00131B9D">
              <w:rPr>
                <w:rFonts w:ascii="Times New Roman" w:eastAsiaTheme="minorEastAsia" w:hAnsi="Times New Roman" w:cs="Times New Roman"/>
              </w:rPr>
              <w:t>金融風暴與歐債危機促使熱錢流向亞洲金融市場，資金面寬鬆。</w:t>
            </w:r>
          </w:p>
          <w:p w:rsidR="00AF70C3" w:rsidRPr="00131B9D" w:rsidRDefault="00AF70C3" w:rsidP="00AC057C">
            <w:pPr>
              <w:pStyle w:val="affe"/>
              <w:widowControl w:val="0"/>
              <w:numPr>
                <w:ilvl w:val="0"/>
                <w:numId w:val="10"/>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國際原物料與原油價格走強。</w:t>
            </w:r>
          </w:p>
          <w:p w:rsidR="00AF70C3" w:rsidRPr="00131B9D" w:rsidRDefault="00AF70C3" w:rsidP="00AF70C3">
            <w:pPr>
              <w:adjustRightInd w:val="0"/>
              <w:snapToGrid w:val="0"/>
              <w:spacing w:line="0" w:lineRule="atLeast"/>
              <w:jc w:val="both"/>
              <w:rPr>
                <w:b/>
              </w:rPr>
            </w:pPr>
          </w:p>
          <w:p w:rsidR="00AF70C3" w:rsidRPr="00131B9D" w:rsidRDefault="00AF70C3" w:rsidP="00AF70C3">
            <w:pPr>
              <w:adjustRightInd w:val="0"/>
              <w:snapToGrid w:val="0"/>
              <w:spacing w:line="0" w:lineRule="atLeast"/>
              <w:jc w:val="both"/>
            </w:pPr>
            <w:r w:rsidRPr="00131B9D">
              <w:rPr>
                <w:b/>
              </w:rPr>
              <w:t>2010</w:t>
            </w:r>
            <w:r w:rsidRPr="00131B9D">
              <w:rPr>
                <w:b/>
              </w:rPr>
              <w:t>年</w:t>
            </w:r>
            <w:r w:rsidRPr="00131B9D">
              <w:rPr>
                <w:b/>
              </w:rPr>
              <w:t>11</w:t>
            </w:r>
            <w:r w:rsidRPr="00131B9D">
              <w:rPr>
                <w:b/>
              </w:rPr>
              <w:t>月通膨率達</w:t>
            </w:r>
            <w:r w:rsidRPr="00131B9D">
              <w:rPr>
                <w:b/>
              </w:rPr>
              <w:t>5.1%</w:t>
            </w:r>
            <w:r w:rsidRPr="00131B9D">
              <w:rPr>
                <w:b/>
              </w:rPr>
              <w:t>，創</w:t>
            </w:r>
            <w:r w:rsidRPr="00131B9D">
              <w:rPr>
                <w:b/>
              </w:rPr>
              <w:t>28</w:t>
            </w:r>
            <w:r w:rsidRPr="00131B9D">
              <w:rPr>
                <w:b/>
              </w:rPr>
              <w:t>個月以來新高。</w:t>
            </w:r>
          </w:p>
          <w:p w:rsidR="00AF70C3" w:rsidRPr="00131B9D" w:rsidRDefault="00AF70C3" w:rsidP="00AF70C3">
            <w:pPr>
              <w:pStyle w:val="affe"/>
              <w:adjustRightInd w:val="0"/>
              <w:snapToGrid w:val="0"/>
              <w:spacing w:line="0" w:lineRule="atLeast"/>
              <w:ind w:leftChars="-1" w:left="-2"/>
              <w:jc w:val="both"/>
              <w:rPr>
                <w:rFonts w:ascii="Times New Roman" w:eastAsiaTheme="minorEastAsia" w:hAnsi="Times New Roman" w:cs="Times New Roman"/>
                <w:b/>
              </w:rPr>
            </w:pPr>
          </w:p>
        </w:tc>
        <w:tc>
          <w:tcPr>
            <w:tcW w:w="547" w:type="pct"/>
            <w:tcBorders>
              <w:top w:val="single" w:sz="4" w:space="0" w:color="auto"/>
              <w:bottom w:val="single" w:sz="4" w:space="0" w:color="auto"/>
            </w:tcBorders>
            <w:vAlign w:val="center"/>
          </w:tcPr>
          <w:p w:rsidR="00AF70C3" w:rsidRPr="00131B9D" w:rsidRDefault="00AF70C3" w:rsidP="00AC057C">
            <w:pPr>
              <w:pStyle w:val="affe"/>
              <w:widowControl w:val="0"/>
              <w:numPr>
                <w:ilvl w:val="0"/>
                <w:numId w:val="11"/>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制定國</w:t>
            </w:r>
            <w:r w:rsidRPr="00131B9D">
              <w:rPr>
                <w:rFonts w:ascii="Times New Roman" w:eastAsiaTheme="minorEastAsia" w:hAnsi="Times New Roman" w:cs="Times New Roman"/>
              </w:rPr>
              <w:t>16</w:t>
            </w:r>
            <w:r w:rsidRPr="00131B9D">
              <w:rPr>
                <w:rFonts w:ascii="Times New Roman" w:eastAsiaTheme="minorEastAsia" w:hAnsi="Times New Roman" w:cs="Times New Roman"/>
              </w:rPr>
              <w:t>條『國務院關於穩定消費價格總水準保障群眾基本生活的通知』。</w:t>
            </w:r>
          </w:p>
          <w:p w:rsidR="00AF70C3" w:rsidRPr="00131B9D" w:rsidRDefault="00AF70C3" w:rsidP="00AC057C">
            <w:pPr>
              <w:pStyle w:val="affe"/>
              <w:widowControl w:val="0"/>
              <w:numPr>
                <w:ilvl w:val="0"/>
                <w:numId w:val="11"/>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連續</w:t>
            </w:r>
            <w:r w:rsidRPr="00131B9D">
              <w:rPr>
                <w:rFonts w:ascii="Times New Roman" w:eastAsiaTheme="minorEastAsia" w:hAnsi="Times New Roman" w:cs="Times New Roman"/>
              </w:rPr>
              <w:t>7</w:t>
            </w:r>
            <w:r w:rsidRPr="00131B9D">
              <w:rPr>
                <w:rFonts w:ascii="Times New Roman" w:eastAsiaTheme="minorEastAsia" w:hAnsi="Times New Roman" w:cs="Times New Roman"/>
              </w:rPr>
              <w:t>次上調貨幣存款準備金率。</w:t>
            </w:r>
          </w:p>
        </w:tc>
        <w:tc>
          <w:tcPr>
            <w:tcW w:w="2255" w:type="pct"/>
            <w:tcBorders>
              <w:top w:val="single" w:sz="4" w:space="0" w:color="auto"/>
              <w:bottom w:val="single" w:sz="4" w:space="0" w:color="auto"/>
            </w:tcBorders>
            <w:vAlign w:val="center"/>
          </w:tcPr>
          <w:p w:rsidR="00AF70C3" w:rsidRPr="00131B9D" w:rsidRDefault="00AF70C3" w:rsidP="00AC057C">
            <w:pPr>
              <w:pStyle w:val="affe"/>
              <w:widowControl w:val="0"/>
              <w:numPr>
                <w:ilvl w:val="0"/>
                <w:numId w:val="13"/>
              </w:numPr>
              <w:adjustRightInd w:val="0"/>
              <w:snapToGrid w:val="0"/>
              <w:spacing w:line="0" w:lineRule="atLeast"/>
              <w:ind w:leftChars="0"/>
              <w:jc w:val="both"/>
              <w:rPr>
                <w:rFonts w:ascii="Times New Roman" w:eastAsiaTheme="minorEastAsia" w:hAnsi="Times New Roman" w:cs="Times New Roman"/>
                <w:b/>
              </w:rPr>
            </w:pPr>
            <w:r w:rsidRPr="00131B9D">
              <w:rPr>
                <w:rFonts w:ascii="Times New Roman" w:eastAsiaTheme="minorEastAsia" w:hAnsi="Times New Roman" w:cs="Times New Roman"/>
                <w:b/>
              </w:rPr>
              <w:t>抑制民生物價之國</w:t>
            </w:r>
            <w:r w:rsidRPr="00131B9D">
              <w:rPr>
                <w:rFonts w:ascii="Times New Roman" w:eastAsiaTheme="minorEastAsia" w:hAnsi="Times New Roman" w:cs="Times New Roman"/>
                <w:b/>
              </w:rPr>
              <w:t>16</w:t>
            </w:r>
            <w:r w:rsidRPr="00131B9D">
              <w:rPr>
                <w:rFonts w:ascii="Times New Roman" w:eastAsiaTheme="minorEastAsia" w:hAnsi="Times New Roman" w:cs="Times New Roman"/>
                <w:b/>
              </w:rPr>
              <w:t>條</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降低農副產品流通成本</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保障化肥生產供應</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做好煤電油氣運協調工作</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發放價格臨時補貼</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建立社會救助和保障標準與物價上漲掛鉤的連動機制</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繼續落實規範收費的各項規定積極穩妥推進價格改革</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規範農產品經營和深加工秩序</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加強農產品期貨和電子交易市場監管</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健全價格監管法規</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加強價格監督檢查和反價格壟斷執法</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完善價格資訊發佈制度</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落實</w:t>
            </w:r>
            <w:r w:rsidRPr="00131B9D">
              <w:rPr>
                <w:rFonts w:ascii="Times New Roman" w:hAnsi="Times New Roman" w:cs="Times New Roman"/>
              </w:rPr>
              <w:t>"</w:t>
            </w:r>
            <w:r w:rsidRPr="00131B9D">
              <w:rPr>
                <w:rFonts w:ascii="Times New Roman" w:hAnsi="Times New Roman" w:cs="Times New Roman"/>
              </w:rPr>
              <w:t>米袋子</w:t>
            </w:r>
            <w:r w:rsidRPr="00131B9D">
              <w:rPr>
                <w:rFonts w:ascii="Times New Roman" w:hAnsi="Times New Roman" w:cs="Times New Roman"/>
              </w:rPr>
              <w:t>"</w:t>
            </w:r>
            <w:r w:rsidRPr="00131B9D">
              <w:rPr>
                <w:rFonts w:ascii="Times New Roman" w:hAnsi="Times New Roman" w:cs="Times New Roman"/>
              </w:rPr>
              <w:t>省長負責制和</w:t>
            </w:r>
            <w:r w:rsidRPr="00131B9D">
              <w:rPr>
                <w:rFonts w:ascii="Times New Roman" w:hAnsi="Times New Roman" w:cs="Times New Roman"/>
              </w:rPr>
              <w:t>"</w:t>
            </w:r>
            <w:r w:rsidRPr="00131B9D">
              <w:rPr>
                <w:rFonts w:ascii="Times New Roman" w:hAnsi="Times New Roman" w:cs="Times New Roman"/>
              </w:rPr>
              <w:t>菜籃子</w:t>
            </w:r>
            <w:r w:rsidRPr="00131B9D">
              <w:rPr>
                <w:rFonts w:ascii="Times New Roman" w:hAnsi="Times New Roman" w:cs="Times New Roman"/>
              </w:rPr>
              <w:t>"</w:t>
            </w:r>
            <w:r w:rsidRPr="00131B9D">
              <w:rPr>
                <w:rFonts w:ascii="Times New Roman" w:hAnsi="Times New Roman" w:cs="Times New Roman"/>
              </w:rPr>
              <w:t>市長負責制</w:t>
            </w:r>
            <w:r w:rsidRPr="00131B9D">
              <w:rPr>
                <w:rFonts w:ascii="Times New Roman" w:eastAsiaTheme="minorEastAsia" w:hAnsi="Times New Roman" w:cs="Times New Roman"/>
              </w:rPr>
              <w:t>。</w:t>
            </w:r>
          </w:p>
          <w:p w:rsidR="00AF70C3" w:rsidRPr="00131B9D" w:rsidRDefault="00AF70C3" w:rsidP="00AC057C">
            <w:pPr>
              <w:pStyle w:val="affe"/>
              <w:widowControl w:val="0"/>
              <w:numPr>
                <w:ilvl w:val="0"/>
                <w:numId w:val="12"/>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建立市場價格調控部際聯席會議制度</w:t>
            </w:r>
            <w:r w:rsidRPr="00131B9D">
              <w:rPr>
                <w:rFonts w:ascii="Times New Roman" w:eastAsiaTheme="minorEastAsia" w:hAnsi="Times New Roman" w:cs="Times New Roman"/>
              </w:rPr>
              <w:t>。</w:t>
            </w:r>
          </w:p>
          <w:p w:rsidR="00AF70C3" w:rsidRPr="00131B9D" w:rsidRDefault="00AF70C3" w:rsidP="00AF70C3">
            <w:pPr>
              <w:adjustRightInd w:val="0"/>
              <w:snapToGrid w:val="0"/>
              <w:spacing w:line="0" w:lineRule="atLeast"/>
              <w:jc w:val="both"/>
            </w:pPr>
            <w:r w:rsidRPr="00131B9D">
              <w:t>中國總理溫家寶甚至於國務院常務會議上表示，不排除透過直接限價、價格補貼以及嚴懲囤積貨等以抑制價格過快上漲。</w:t>
            </w:r>
          </w:p>
          <w:p w:rsidR="00AF70C3" w:rsidRPr="00131B9D" w:rsidRDefault="00AF70C3" w:rsidP="00AC057C">
            <w:pPr>
              <w:pStyle w:val="affe"/>
              <w:widowControl w:val="0"/>
              <w:numPr>
                <w:ilvl w:val="0"/>
                <w:numId w:val="13"/>
              </w:numPr>
              <w:adjustRightInd w:val="0"/>
              <w:snapToGrid w:val="0"/>
              <w:spacing w:line="0" w:lineRule="atLeast"/>
              <w:ind w:leftChars="0"/>
              <w:jc w:val="both"/>
              <w:rPr>
                <w:rFonts w:ascii="Times New Roman" w:eastAsiaTheme="minorEastAsia" w:hAnsi="Times New Roman" w:cs="Times New Roman"/>
                <w:b/>
              </w:rPr>
            </w:pPr>
            <w:r w:rsidRPr="00131B9D">
              <w:rPr>
                <w:rFonts w:ascii="Times New Roman" w:eastAsiaTheme="minorEastAsia" w:hAnsi="Times New Roman" w:cs="Times New Roman"/>
                <w:b/>
              </w:rPr>
              <w:t>抑制房價</w:t>
            </w:r>
          </w:p>
          <w:p w:rsidR="00AF70C3" w:rsidRPr="00131B9D" w:rsidRDefault="00AF70C3"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國</w:t>
            </w:r>
            <w:r w:rsidRPr="00131B9D">
              <w:rPr>
                <w:rFonts w:ascii="Times New Roman" w:eastAsiaTheme="minorEastAsia" w:hAnsi="Times New Roman" w:cs="Times New Roman"/>
              </w:rPr>
              <w:t>4</w:t>
            </w:r>
            <w:r w:rsidRPr="00131B9D">
              <w:rPr>
                <w:rFonts w:ascii="Times New Roman" w:eastAsiaTheme="minorEastAsia" w:hAnsi="Times New Roman" w:cs="Times New Roman"/>
              </w:rPr>
              <w:t>條：加大安居工程、鼓勵自住房、穩定房地產價格、維護房地產秩序。</w:t>
            </w:r>
          </w:p>
          <w:p w:rsidR="00AF70C3" w:rsidRPr="00131B9D" w:rsidRDefault="00AF70C3"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新國</w:t>
            </w:r>
            <w:r w:rsidRPr="00131B9D">
              <w:rPr>
                <w:rFonts w:ascii="Times New Roman" w:eastAsiaTheme="minorEastAsia" w:hAnsi="Times New Roman" w:cs="Times New Roman"/>
              </w:rPr>
              <w:t>10</w:t>
            </w:r>
            <w:r w:rsidRPr="00131B9D">
              <w:rPr>
                <w:rFonts w:ascii="Times New Roman" w:eastAsiaTheme="minorEastAsia" w:hAnsi="Times New Roman" w:cs="Times New Roman"/>
              </w:rPr>
              <w:t>條：增加</w:t>
            </w:r>
            <w:r w:rsidRPr="00131B9D">
              <w:rPr>
                <w:rFonts w:ascii="Times New Roman" w:eastAsiaTheme="minorEastAsia" w:hAnsi="Times New Roman" w:cs="Times New Roman"/>
              </w:rPr>
              <w:t>”</w:t>
            </w:r>
            <w:r w:rsidRPr="00131B9D">
              <w:rPr>
                <w:rFonts w:ascii="Times New Roman" w:eastAsiaTheme="minorEastAsia" w:hAnsi="Times New Roman" w:cs="Times New Roman"/>
              </w:rPr>
              <w:t>抑制不合理住房需求</w:t>
            </w:r>
            <w:r w:rsidRPr="00131B9D">
              <w:rPr>
                <w:rFonts w:ascii="Times New Roman" w:eastAsiaTheme="minorEastAsia" w:hAnsi="Times New Roman" w:cs="Times New Roman"/>
              </w:rPr>
              <w:t>”</w:t>
            </w:r>
            <w:r w:rsidRPr="00131B9D">
              <w:rPr>
                <w:rFonts w:ascii="Times New Roman" w:eastAsiaTheme="minorEastAsia" w:hAnsi="Times New Roman" w:cs="Times New Roman"/>
              </w:rPr>
              <w:t>大項，針對購買第二、三套住房者，實施較為嚴格的貸款條件。</w:t>
            </w:r>
          </w:p>
          <w:p w:rsidR="00AF70C3" w:rsidRPr="00131B9D" w:rsidRDefault="00AF70C3" w:rsidP="00AC057C">
            <w:pPr>
              <w:pStyle w:val="affe"/>
              <w:widowControl w:val="0"/>
              <w:numPr>
                <w:ilvl w:val="0"/>
                <w:numId w:val="6"/>
              </w:numPr>
              <w:adjustRightInd w:val="0"/>
              <w:snapToGrid w:val="0"/>
              <w:spacing w:line="0" w:lineRule="atLeast"/>
              <w:ind w:leftChars="0"/>
              <w:jc w:val="both"/>
              <w:rPr>
                <w:rFonts w:ascii="Times New Roman" w:eastAsiaTheme="minorEastAsia" w:hAnsi="Times New Roman" w:cs="Times New Roman"/>
                <w:b/>
              </w:rPr>
            </w:pPr>
            <w:r w:rsidRPr="00131B9D">
              <w:rPr>
                <w:rFonts w:ascii="Times New Roman" w:eastAsiaTheme="minorEastAsia" w:hAnsi="Times New Roman" w:cs="Times New Roman"/>
              </w:rPr>
              <w:t>5</w:t>
            </w:r>
            <w:r w:rsidRPr="00131B9D">
              <w:rPr>
                <w:rFonts w:ascii="Times New Roman" w:eastAsiaTheme="minorEastAsia" w:hAnsi="Times New Roman" w:cs="Times New Roman"/>
              </w:rPr>
              <w:t>國</w:t>
            </w:r>
            <w:r w:rsidRPr="00131B9D">
              <w:rPr>
                <w:rFonts w:ascii="Times New Roman" w:eastAsiaTheme="minorEastAsia" w:hAnsi="Times New Roman" w:cs="Times New Roman"/>
              </w:rPr>
              <w:t>8</w:t>
            </w:r>
            <w:r w:rsidRPr="00131B9D">
              <w:rPr>
                <w:rFonts w:ascii="Times New Roman" w:eastAsiaTheme="minorEastAsia" w:hAnsi="Times New Roman" w:cs="Times New Roman"/>
              </w:rPr>
              <w:t>條：提高「國</w:t>
            </w:r>
            <w:r w:rsidRPr="00131B9D">
              <w:rPr>
                <w:rFonts w:ascii="Times New Roman" w:eastAsiaTheme="minorEastAsia" w:hAnsi="Times New Roman" w:cs="Times New Roman"/>
              </w:rPr>
              <w:t>10</w:t>
            </w:r>
            <w:r w:rsidRPr="00131B9D">
              <w:rPr>
                <w:rFonts w:ascii="Times New Roman" w:eastAsiaTheme="minorEastAsia" w:hAnsi="Times New Roman" w:cs="Times New Roman"/>
              </w:rPr>
              <w:t>條」控管程度、實施全國性的限購政策，並直接以行政手段幹預民生物價。</w:t>
            </w:r>
          </w:p>
        </w:tc>
        <w:tc>
          <w:tcPr>
            <w:tcW w:w="831" w:type="pct"/>
            <w:tcBorders>
              <w:top w:val="single" w:sz="4" w:space="0" w:color="auto"/>
              <w:bottom w:val="single" w:sz="4" w:space="0" w:color="auto"/>
            </w:tcBorders>
            <w:vAlign w:val="center"/>
          </w:tcPr>
          <w:p w:rsidR="00AF70C3" w:rsidRPr="00131B9D" w:rsidRDefault="00AF70C3" w:rsidP="00AF70C3">
            <w:pPr>
              <w:pStyle w:val="affe"/>
              <w:adjustRightInd w:val="0"/>
              <w:snapToGrid w:val="0"/>
              <w:spacing w:line="0" w:lineRule="atLeast"/>
              <w:ind w:leftChars="0" w:left="960"/>
              <w:jc w:val="both"/>
              <w:rPr>
                <w:rFonts w:ascii="Times New Roman" w:eastAsiaTheme="minorEastAsia" w:hAnsi="Times New Roman" w:cs="Times New Roman"/>
              </w:rPr>
            </w:pPr>
            <w:r w:rsidRPr="00131B9D">
              <w:rPr>
                <w:rFonts w:ascii="Times New Roman" w:eastAsiaTheme="minorEastAsia" w:hAnsi="Times New Roman" w:cs="Times New Roman"/>
              </w:rPr>
              <w:t>直至</w:t>
            </w:r>
            <w:r w:rsidRPr="00131B9D">
              <w:rPr>
                <w:rFonts w:ascii="Times New Roman" w:eastAsiaTheme="minorEastAsia" w:hAnsi="Times New Roman" w:cs="Times New Roman"/>
              </w:rPr>
              <w:t>2012</w:t>
            </w:r>
            <w:r w:rsidRPr="00131B9D">
              <w:rPr>
                <w:rFonts w:ascii="Times New Roman" w:eastAsiaTheme="minorEastAsia" w:hAnsi="Times New Roman" w:cs="Times New Roman"/>
              </w:rPr>
              <w:t>年</w:t>
            </w:r>
            <w:r w:rsidRPr="00131B9D">
              <w:rPr>
                <w:rFonts w:ascii="Times New Roman" w:eastAsiaTheme="minorEastAsia" w:hAnsi="Times New Roman" w:cs="Times New Roman"/>
              </w:rPr>
              <w:t>7</w:t>
            </w:r>
            <w:r w:rsidRPr="00131B9D">
              <w:rPr>
                <w:rFonts w:ascii="Times New Roman" w:eastAsiaTheme="minorEastAsia" w:hAnsi="Times New Roman" w:cs="Times New Roman"/>
              </w:rPr>
              <w:t>月，中國大陸的物價使回到</w:t>
            </w:r>
            <w:r w:rsidRPr="00131B9D">
              <w:rPr>
                <w:rFonts w:ascii="Times New Roman" w:eastAsiaTheme="minorEastAsia" w:hAnsi="Times New Roman" w:cs="Times New Roman"/>
              </w:rPr>
              <w:t>2%</w:t>
            </w:r>
            <w:r w:rsidRPr="00131B9D">
              <w:rPr>
                <w:rFonts w:ascii="Times New Roman" w:eastAsiaTheme="minorEastAsia" w:hAnsi="Times New Roman" w:cs="Times New Roman"/>
              </w:rPr>
              <w:t>左右。</w:t>
            </w:r>
          </w:p>
        </w:tc>
      </w:tr>
    </w:tbl>
    <w:p w:rsidR="00AF70C3" w:rsidRPr="00131B9D" w:rsidRDefault="00AF70C3" w:rsidP="00701467">
      <w:pPr>
        <w:sectPr w:rsidR="00AF70C3" w:rsidRPr="00131B9D" w:rsidSect="009318AA">
          <w:pgSz w:w="16838" w:h="11906" w:orient="landscape"/>
          <w:pgMar w:top="720" w:right="720" w:bottom="720" w:left="720" w:header="851" w:footer="992" w:gutter="0"/>
          <w:cols w:space="425"/>
          <w:docGrid w:type="lines" w:linePitch="360"/>
        </w:sectPr>
      </w:pPr>
    </w:p>
    <w:p w:rsidR="00AF70C3" w:rsidRPr="00131B9D" w:rsidRDefault="00AF70C3" w:rsidP="003D2BBF">
      <w:pPr>
        <w:pStyle w:val="afff5"/>
        <w:spacing w:line="0" w:lineRule="atLeast"/>
        <w:jc w:val="center"/>
        <w:rPr>
          <w:rFonts w:eastAsia="標楷體"/>
          <w:b/>
          <w:sz w:val="28"/>
          <w:szCs w:val="28"/>
        </w:rPr>
      </w:pPr>
      <w:r w:rsidRPr="00131B9D">
        <w:rPr>
          <w:rFonts w:eastAsia="標楷體"/>
          <w:b/>
          <w:sz w:val="28"/>
          <w:szCs w:val="28"/>
        </w:rPr>
        <w:lastRenderedPageBreak/>
        <w:t>A-</w:t>
      </w:r>
      <w:r w:rsidR="00EC0D9A">
        <w:rPr>
          <w:rFonts w:eastAsia="標楷體" w:hint="eastAsia"/>
          <w:b/>
          <w:sz w:val="28"/>
          <w:szCs w:val="28"/>
        </w:rPr>
        <w:t>2</w:t>
      </w:r>
      <w:r w:rsidRPr="00131B9D">
        <w:rPr>
          <w:rFonts w:eastAsia="標楷體"/>
          <w:b/>
          <w:sz w:val="28"/>
          <w:szCs w:val="28"/>
        </w:rPr>
        <w:t>-</w:t>
      </w:r>
      <w:r w:rsidR="00004EBD" w:rsidRPr="00131B9D">
        <w:rPr>
          <w:rFonts w:eastAsia="標楷體"/>
          <w:b/>
          <w:sz w:val="28"/>
          <w:szCs w:val="28"/>
        </w:rPr>
        <w:t>4</w:t>
      </w:r>
      <w:r w:rsidR="004C0E04" w:rsidRPr="00131B9D">
        <w:rPr>
          <w:rFonts w:eastAsia="標楷體"/>
          <w:b/>
          <w:sz w:val="28"/>
          <w:szCs w:val="28"/>
        </w:rPr>
        <w:t xml:space="preserve">　</w:t>
      </w:r>
      <w:r w:rsidRPr="00131B9D">
        <w:rPr>
          <w:rFonts w:eastAsia="標楷體"/>
          <w:b/>
          <w:sz w:val="28"/>
          <w:szCs w:val="28"/>
        </w:rPr>
        <w:t>各國物價管制措施彙整表</w:t>
      </w:r>
      <w:r w:rsidRPr="00131B9D">
        <w:rPr>
          <w:rFonts w:eastAsia="標楷體"/>
          <w:b/>
          <w:sz w:val="28"/>
          <w:szCs w:val="28"/>
        </w:rPr>
        <w:t>(</w:t>
      </w:r>
      <w:r w:rsidRPr="00131B9D">
        <w:rPr>
          <w:rFonts w:eastAsia="標楷體"/>
          <w:b/>
          <w:sz w:val="28"/>
          <w:szCs w:val="28"/>
        </w:rPr>
        <w:t>續</w:t>
      </w:r>
      <w:r w:rsidRPr="00131B9D">
        <w:rPr>
          <w:rFonts w:eastAsia="標楷體"/>
          <w:b/>
          <w:sz w:val="28"/>
          <w:szCs w:val="28"/>
        </w:rPr>
        <w:t>)</w:t>
      </w:r>
    </w:p>
    <w:tbl>
      <w:tblPr>
        <w:tblW w:w="50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1016"/>
        <w:gridCol w:w="3203"/>
        <w:gridCol w:w="3057"/>
        <w:gridCol w:w="2379"/>
        <w:gridCol w:w="1164"/>
        <w:gridCol w:w="4247"/>
      </w:tblGrid>
      <w:tr w:rsidR="00701467" w:rsidRPr="00131B9D" w:rsidTr="00004EBD">
        <w:trPr>
          <w:jc w:val="center"/>
        </w:trPr>
        <w:tc>
          <w:tcPr>
            <w:tcW w:w="225" w:type="pct"/>
            <w:tcBorders>
              <w:top w:val="single" w:sz="4" w:space="0" w:color="auto"/>
              <w:left w:val="nil"/>
              <w:bottom w:val="single" w:sz="4" w:space="0" w:color="auto"/>
              <w:right w:val="nil"/>
            </w:tcBorders>
          </w:tcPr>
          <w:p w:rsidR="00701467" w:rsidRPr="00131B9D" w:rsidRDefault="00701467" w:rsidP="003D2BBF">
            <w:pPr>
              <w:adjustRightInd w:val="0"/>
              <w:snapToGrid w:val="0"/>
              <w:spacing w:line="0" w:lineRule="atLeast"/>
              <w:jc w:val="center"/>
              <w:rPr>
                <w:b/>
              </w:rPr>
            </w:pPr>
            <w:r w:rsidRPr="00131B9D">
              <w:rPr>
                <w:b/>
              </w:rPr>
              <w:t>國家</w:t>
            </w:r>
          </w:p>
        </w:tc>
        <w:tc>
          <w:tcPr>
            <w:tcW w:w="322" w:type="pct"/>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center"/>
              <w:rPr>
                <w:b/>
              </w:rPr>
            </w:pPr>
            <w:r w:rsidRPr="00131B9D">
              <w:rPr>
                <w:b/>
              </w:rPr>
              <w:t>年代</w:t>
            </w:r>
          </w:p>
        </w:tc>
        <w:tc>
          <w:tcPr>
            <w:tcW w:w="1015" w:type="pct"/>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both"/>
              <w:rPr>
                <w:b/>
              </w:rPr>
            </w:pPr>
            <w:r w:rsidRPr="00131B9D">
              <w:rPr>
                <w:b/>
              </w:rPr>
              <w:t>背景</w:t>
            </w:r>
          </w:p>
        </w:tc>
        <w:tc>
          <w:tcPr>
            <w:tcW w:w="969" w:type="pct"/>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both"/>
              <w:rPr>
                <w:b/>
              </w:rPr>
            </w:pPr>
            <w:r w:rsidRPr="00131B9D">
              <w:rPr>
                <w:b/>
              </w:rPr>
              <w:t>措施</w:t>
            </w:r>
          </w:p>
        </w:tc>
        <w:tc>
          <w:tcPr>
            <w:tcW w:w="1123" w:type="pct"/>
            <w:gridSpan w:val="2"/>
            <w:tcBorders>
              <w:top w:val="single" w:sz="4" w:space="0" w:color="auto"/>
              <w:left w:val="nil"/>
              <w:bottom w:val="single" w:sz="4" w:space="0" w:color="auto"/>
              <w:right w:val="nil"/>
            </w:tcBorders>
          </w:tcPr>
          <w:p w:rsidR="00701467" w:rsidRPr="00131B9D" w:rsidRDefault="00701467" w:rsidP="003D2BBF">
            <w:pPr>
              <w:adjustRightInd w:val="0"/>
              <w:snapToGrid w:val="0"/>
              <w:spacing w:line="0" w:lineRule="atLeast"/>
              <w:rPr>
                <w:b/>
              </w:rPr>
            </w:pPr>
            <w:r w:rsidRPr="00131B9D">
              <w:rPr>
                <w:b/>
              </w:rPr>
              <w:t>管製品項及手段</w:t>
            </w:r>
          </w:p>
        </w:tc>
        <w:tc>
          <w:tcPr>
            <w:tcW w:w="1346" w:type="pct"/>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both"/>
              <w:rPr>
                <w:b/>
              </w:rPr>
            </w:pPr>
            <w:r w:rsidRPr="00131B9D">
              <w:rPr>
                <w:b/>
              </w:rPr>
              <w:t>影響</w:t>
            </w:r>
          </w:p>
        </w:tc>
      </w:tr>
      <w:tr w:rsidR="00701467" w:rsidRPr="00131B9D" w:rsidTr="00004EBD">
        <w:trPr>
          <w:jc w:val="center"/>
        </w:trPr>
        <w:tc>
          <w:tcPr>
            <w:tcW w:w="225" w:type="pct"/>
            <w:tcBorders>
              <w:top w:val="single" w:sz="4" w:space="0" w:color="auto"/>
              <w:left w:val="nil"/>
              <w:bottom w:val="single" w:sz="4" w:space="0" w:color="auto"/>
              <w:right w:val="nil"/>
            </w:tcBorders>
          </w:tcPr>
          <w:p w:rsidR="00701467" w:rsidRPr="00131B9D" w:rsidRDefault="00701467" w:rsidP="003D2BBF">
            <w:pPr>
              <w:adjustRightInd w:val="0"/>
              <w:snapToGrid w:val="0"/>
              <w:spacing w:line="0" w:lineRule="atLeast"/>
              <w:rPr>
                <w:b/>
                <w:sz w:val="36"/>
                <w:szCs w:val="36"/>
              </w:rPr>
            </w:pPr>
            <w:r w:rsidRPr="00131B9D">
              <w:rPr>
                <w:b/>
                <w:sz w:val="36"/>
                <w:szCs w:val="36"/>
              </w:rPr>
              <w:t>英</w:t>
            </w:r>
          </w:p>
          <w:p w:rsidR="00701467" w:rsidRPr="00131B9D" w:rsidRDefault="00701467" w:rsidP="003D2BBF">
            <w:pPr>
              <w:adjustRightInd w:val="0"/>
              <w:snapToGrid w:val="0"/>
              <w:spacing w:line="0" w:lineRule="atLeast"/>
              <w:rPr>
                <w:b/>
                <w:sz w:val="36"/>
                <w:szCs w:val="36"/>
              </w:rPr>
            </w:pPr>
          </w:p>
          <w:p w:rsidR="00701467" w:rsidRPr="00131B9D" w:rsidRDefault="00701467" w:rsidP="003D2BBF">
            <w:pPr>
              <w:adjustRightInd w:val="0"/>
              <w:snapToGrid w:val="0"/>
              <w:spacing w:line="0" w:lineRule="atLeast"/>
            </w:pPr>
            <w:r w:rsidRPr="00131B9D">
              <w:rPr>
                <w:b/>
                <w:sz w:val="36"/>
                <w:szCs w:val="36"/>
              </w:rPr>
              <w:t>國</w:t>
            </w:r>
          </w:p>
        </w:tc>
        <w:tc>
          <w:tcPr>
            <w:tcW w:w="322" w:type="pct"/>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center"/>
            </w:pPr>
            <w:r w:rsidRPr="00131B9D">
              <w:t>1970-74</w:t>
            </w:r>
          </w:p>
        </w:tc>
        <w:tc>
          <w:tcPr>
            <w:tcW w:w="1015" w:type="pct"/>
            <w:tcBorders>
              <w:top w:val="single" w:sz="4" w:space="0" w:color="auto"/>
              <w:left w:val="nil"/>
              <w:bottom w:val="single" w:sz="4" w:space="0" w:color="auto"/>
              <w:right w:val="nil"/>
            </w:tcBorders>
            <w:vAlign w:val="center"/>
          </w:tcPr>
          <w:p w:rsidR="00701467" w:rsidRPr="00131B9D" w:rsidRDefault="00701467" w:rsidP="003D2BBF">
            <w:pPr>
              <w:pStyle w:val="affe"/>
              <w:widowControl w:val="0"/>
              <w:numPr>
                <w:ilvl w:val="0"/>
                <w:numId w:val="15"/>
              </w:numPr>
              <w:adjustRightInd w:val="0"/>
              <w:snapToGrid w:val="0"/>
              <w:spacing w:line="0" w:lineRule="atLeast"/>
              <w:ind w:leftChars="0" w:rightChars="-45" w:right="-108"/>
              <w:jc w:val="both"/>
              <w:rPr>
                <w:rFonts w:ascii="Times New Roman" w:eastAsiaTheme="minorEastAsia" w:hAnsi="Times New Roman" w:cs="Times New Roman"/>
              </w:rPr>
            </w:pPr>
            <w:r w:rsidRPr="00131B9D">
              <w:rPr>
                <w:rFonts w:ascii="Times New Roman" w:hAnsi="Times New Roman" w:cs="Times New Roman"/>
              </w:rPr>
              <w:t>1970</w:t>
            </w:r>
            <w:r w:rsidRPr="00131B9D">
              <w:rPr>
                <w:rFonts w:ascii="Times New Roman" w:hAnsi="Times New Roman" w:cs="Times New Roman"/>
              </w:rPr>
              <w:t>年代初期的石油危機導致英國面臨停滯性通膨。</w:t>
            </w:r>
          </w:p>
          <w:p w:rsidR="00701467" w:rsidRPr="00131B9D" w:rsidRDefault="00701467" w:rsidP="003D2BBF">
            <w:pPr>
              <w:pStyle w:val="affe"/>
              <w:widowControl w:val="0"/>
              <w:numPr>
                <w:ilvl w:val="0"/>
                <w:numId w:val="15"/>
              </w:numPr>
              <w:adjustRightInd w:val="0"/>
              <w:snapToGrid w:val="0"/>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布列敦森林體系</w:t>
            </w:r>
            <w:r w:rsidRPr="00131B9D">
              <w:rPr>
                <w:rFonts w:ascii="Times New Roman" w:hAnsi="Times New Roman" w:cs="Times New Roman"/>
              </w:rPr>
              <w:t>(Bretton Woods system)</w:t>
            </w:r>
            <w:r w:rsidRPr="00131B9D">
              <w:rPr>
                <w:rFonts w:ascii="Times New Roman" w:hAnsi="Times New Roman" w:cs="Times New Roman"/>
              </w:rPr>
              <w:t>瓦解使得美元、黃金匯率浮動。</w:t>
            </w:r>
          </w:p>
        </w:tc>
        <w:tc>
          <w:tcPr>
            <w:tcW w:w="969" w:type="pct"/>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both"/>
            </w:pPr>
            <w:r w:rsidRPr="00131B9D">
              <w:t>保守黨首相</w:t>
            </w:r>
            <w:r w:rsidRPr="00131B9D">
              <w:t>Edward Heath</w:t>
            </w:r>
            <w:r w:rsidRPr="00131B9D">
              <w:t>為抑制通貨膨脹，保守黨採取限制工資成長。</w:t>
            </w:r>
          </w:p>
        </w:tc>
        <w:tc>
          <w:tcPr>
            <w:tcW w:w="754" w:type="pct"/>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both"/>
            </w:pPr>
          </w:p>
        </w:tc>
        <w:tc>
          <w:tcPr>
            <w:tcW w:w="1715" w:type="pct"/>
            <w:gridSpan w:val="2"/>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both"/>
            </w:pPr>
            <w:r w:rsidRPr="00131B9D">
              <w:t>引發工會不滿。</w:t>
            </w:r>
            <w:r w:rsidRPr="00131B9D">
              <w:t>1974</w:t>
            </w:r>
            <w:r w:rsidRPr="00131B9D">
              <w:t>年，礦工發動大規模罷工，造成工黨上臺。</w:t>
            </w:r>
          </w:p>
        </w:tc>
      </w:tr>
      <w:tr w:rsidR="00701467" w:rsidRPr="00131B9D" w:rsidTr="00004EBD">
        <w:trPr>
          <w:jc w:val="center"/>
        </w:trPr>
        <w:tc>
          <w:tcPr>
            <w:tcW w:w="225" w:type="pct"/>
            <w:tcBorders>
              <w:top w:val="single" w:sz="4" w:space="0" w:color="auto"/>
              <w:left w:val="nil"/>
              <w:bottom w:val="single" w:sz="4" w:space="0" w:color="auto"/>
              <w:right w:val="nil"/>
            </w:tcBorders>
          </w:tcPr>
          <w:p w:rsidR="00701467" w:rsidRPr="00131B9D" w:rsidRDefault="00701467" w:rsidP="003D2BBF">
            <w:pPr>
              <w:adjustRightInd w:val="0"/>
              <w:snapToGrid w:val="0"/>
              <w:spacing w:line="0" w:lineRule="atLeast"/>
            </w:pPr>
            <w:r w:rsidRPr="00131B9D">
              <w:rPr>
                <w:b/>
                <w:sz w:val="36"/>
                <w:szCs w:val="36"/>
              </w:rPr>
              <w:t>美國</w:t>
            </w:r>
          </w:p>
        </w:tc>
        <w:tc>
          <w:tcPr>
            <w:tcW w:w="322" w:type="pct"/>
            <w:tcBorders>
              <w:top w:val="single" w:sz="4" w:space="0" w:color="auto"/>
              <w:left w:val="nil"/>
              <w:bottom w:val="single" w:sz="4" w:space="0" w:color="auto"/>
              <w:right w:val="nil"/>
            </w:tcBorders>
            <w:vAlign w:val="center"/>
          </w:tcPr>
          <w:p w:rsidR="00701467" w:rsidRPr="00131B9D" w:rsidRDefault="00701467" w:rsidP="003D2BBF">
            <w:pPr>
              <w:pStyle w:val="Web"/>
              <w:spacing w:before="0" w:beforeAutospacing="0" w:after="0" w:afterAutospacing="0" w:line="0" w:lineRule="atLeast"/>
              <w:jc w:val="center"/>
              <w:rPr>
                <w:rFonts w:ascii="Times New Roman" w:hAnsi="Times New Roman" w:cs="Times New Roman"/>
                <w:color w:val="000000"/>
                <w:sz w:val="23"/>
                <w:szCs w:val="23"/>
              </w:rPr>
            </w:pPr>
            <w:r w:rsidRPr="00131B9D">
              <w:rPr>
                <w:rFonts w:ascii="Times New Roman" w:hAnsi="Times New Roman" w:cs="Times New Roman"/>
                <w:color w:val="000000"/>
                <w:sz w:val="23"/>
                <w:szCs w:val="23"/>
              </w:rPr>
              <w:t>1971-74</w:t>
            </w:r>
          </w:p>
        </w:tc>
        <w:tc>
          <w:tcPr>
            <w:tcW w:w="1015" w:type="pct"/>
            <w:tcBorders>
              <w:top w:val="single" w:sz="4" w:space="0" w:color="auto"/>
              <w:left w:val="nil"/>
              <w:bottom w:val="single" w:sz="4" w:space="0" w:color="auto"/>
              <w:right w:val="nil"/>
            </w:tcBorders>
            <w:vAlign w:val="center"/>
          </w:tcPr>
          <w:p w:rsidR="00701467" w:rsidRPr="00131B9D" w:rsidRDefault="00701467" w:rsidP="003D2BBF">
            <w:pPr>
              <w:pStyle w:val="Web"/>
              <w:spacing w:before="0" w:beforeAutospacing="0" w:after="0" w:afterAutospacing="0" w:line="0" w:lineRule="atLeast"/>
              <w:jc w:val="both"/>
              <w:rPr>
                <w:rFonts w:ascii="Times New Roman" w:hAnsi="Times New Roman" w:cs="Times New Roman"/>
              </w:rPr>
            </w:pPr>
            <w:r w:rsidRPr="00131B9D">
              <w:rPr>
                <w:rFonts w:ascii="Times New Roman" w:hAnsi="Times New Roman" w:cs="Times New Roman"/>
                <w:color w:val="000000"/>
                <w:sz w:val="23"/>
                <w:szCs w:val="23"/>
              </w:rPr>
              <w:t>因中東戰爭和石油危機，</w:t>
            </w:r>
            <w:r w:rsidRPr="00131B9D">
              <w:rPr>
                <w:rFonts w:ascii="Times New Roman" w:hAnsi="Times New Roman" w:cs="Times New Roman"/>
                <w:color w:val="000000"/>
                <w:sz w:val="23"/>
                <w:szCs w:val="23"/>
              </w:rPr>
              <w:t>70</w:t>
            </w:r>
            <w:r w:rsidRPr="00131B9D">
              <w:rPr>
                <w:rFonts w:ascii="Times New Roman" w:hAnsi="Times New Roman" w:cs="Times New Roman"/>
                <w:color w:val="000000"/>
                <w:sz w:val="23"/>
                <w:szCs w:val="23"/>
              </w:rPr>
              <w:t>年代初國際市場原油出現嚴重短缺。</w:t>
            </w:r>
          </w:p>
          <w:p w:rsidR="00701467" w:rsidRPr="00131B9D" w:rsidRDefault="00701467" w:rsidP="003D2BBF">
            <w:pPr>
              <w:spacing w:line="0" w:lineRule="atLeast"/>
              <w:jc w:val="both"/>
            </w:pPr>
          </w:p>
        </w:tc>
        <w:tc>
          <w:tcPr>
            <w:tcW w:w="969" w:type="pct"/>
            <w:tcBorders>
              <w:top w:val="single" w:sz="4" w:space="0" w:color="auto"/>
              <w:left w:val="nil"/>
              <w:bottom w:val="single" w:sz="4" w:space="0" w:color="auto"/>
              <w:right w:val="nil"/>
            </w:tcBorders>
            <w:vAlign w:val="center"/>
          </w:tcPr>
          <w:p w:rsidR="00701467" w:rsidRPr="00131B9D" w:rsidRDefault="00701467" w:rsidP="003D2BBF">
            <w:pPr>
              <w:spacing w:line="0" w:lineRule="atLeast"/>
              <w:jc w:val="both"/>
            </w:pPr>
            <w:r w:rsidRPr="00131B9D">
              <w:t>3</w:t>
            </w:r>
            <w:r w:rsidRPr="00131B9D">
              <w:t>次工資與價格管制政策制。</w:t>
            </w:r>
          </w:p>
        </w:tc>
        <w:tc>
          <w:tcPr>
            <w:tcW w:w="754" w:type="pct"/>
            <w:tcBorders>
              <w:top w:val="single" w:sz="4" w:space="0" w:color="auto"/>
              <w:left w:val="nil"/>
              <w:bottom w:val="single" w:sz="4" w:space="0" w:color="auto"/>
              <w:right w:val="nil"/>
            </w:tcBorders>
          </w:tcPr>
          <w:p w:rsidR="00701467" w:rsidRPr="00131B9D" w:rsidRDefault="00701467" w:rsidP="003D2BBF">
            <w:pPr>
              <w:spacing w:line="0" w:lineRule="atLeast"/>
            </w:pPr>
            <w:r w:rsidRPr="00131B9D">
              <w:rPr>
                <w:color w:val="000000"/>
              </w:rPr>
              <w:t>根據《經濟穩定法》，尼克森總統於</w:t>
            </w:r>
            <w:r w:rsidRPr="00131B9D">
              <w:rPr>
                <w:color w:val="000000"/>
              </w:rPr>
              <w:t>1971</w:t>
            </w:r>
            <w:r w:rsidRPr="00131B9D">
              <w:rPr>
                <w:color w:val="000000"/>
              </w:rPr>
              <w:t>年凍結了石油及其製成品的價格，隨後又將管制措施分階段一直持續到</w:t>
            </w:r>
            <w:r w:rsidRPr="00131B9D">
              <w:rPr>
                <w:color w:val="000000"/>
              </w:rPr>
              <w:t>1975</w:t>
            </w:r>
            <w:r w:rsidRPr="00131B9D">
              <w:rPr>
                <w:color w:val="000000"/>
              </w:rPr>
              <w:t>年。</w:t>
            </w:r>
          </w:p>
        </w:tc>
        <w:tc>
          <w:tcPr>
            <w:tcW w:w="1715" w:type="pct"/>
            <w:gridSpan w:val="2"/>
            <w:tcBorders>
              <w:top w:val="single" w:sz="4" w:space="0" w:color="auto"/>
              <w:left w:val="nil"/>
              <w:bottom w:val="single" w:sz="4" w:space="0" w:color="auto"/>
              <w:right w:val="nil"/>
            </w:tcBorders>
            <w:vAlign w:val="center"/>
          </w:tcPr>
          <w:p w:rsidR="00701467" w:rsidRPr="00131B9D" w:rsidRDefault="00701467" w:rsidP="003D2BBF">
            <w:pPr>
              <w:pStyle w:val="affe"/>
              <w:widowControl w:val="0"/>
              <w:numPr>
                <w:ilvl w:val="0"/>
                <w:numId w:val="18"/>
              </w:numPr>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美國生活費委員會制定的低廉汽油價無法反映汽油短缺的真實情況，全美國的加油站都出現大排長龍的汽車與卡車；有些加油站甚至因無汽油可賣而關閉。</w:t>
            </w:r>
          </w:p>
          <w:p w:rsidR="00701467" w:rsidRPr="00131B9D" w:rsidRDefault="00701467" w:rsidP="003D2BBF">
            <w:pPr>
              <w:pStyle w:val="affe"/>
              <w:widowControl w:val="0"/>
              <w:numPr>
                <w:ilvl w:val="0"/>
                <w:numId w:val="18"/>
              </w:numPr>
              <w:spacing w:line="0" w:lineRule="atLeast"/>
              <w:ind w:leftChars="0"/>
              <w:jc w:val="both"/>
              <w:rPr>
                <w:rFonts w:ascii="Times New Roman" w:eastAsiaTheme="minorEastAsia" w:hAnsi="Times New Roman" w:cs="Times New Roman"/>
              </w:rPr>
            </w:pPr>
            <w:r w:rsidRPr="00131B9D">
              <w:rPr>
                <w:rFonts w:ascii="Times New Roman" w:eastAsiaTheme="minorEastAsia" w:hAnsi="Times New Roman" w:cs="Times New Roman"/>
              </w:rPr>
              <w:t>之後</w:t>
            </w:r>
            <w:r w:rsidRPr="00131B9D">
              <w:rPr>
                <w:rFonts w:ascii="Times New Roman" w:eastAsiaTheme="minorEastAsia" w:hAnsi="Times New Roman" w:cs="Times New Roman"/>
              </w:rPr>
              <w:t>30</w:t>
            </w:r>
            <w:r w:rsidRPr="00131B9D">
              <w:rPr>
                <w:rFonts w:ascii="Times New Roman" w:eastAsiaTheme="minorEastAsia" w:hAnsi="Times New Roman" w:cs="Times New Roman"/>
              </w:rPr>
              <w:t>年儘管又發生幾次石油危機，美國卻無再實行過石油價管。</w:t>
            </w:r>
          </w:p>
        </w:tc>
      </w:tr>
      <w:tr w:rsidR="00701467" w:rsidRPr="00131B9D" w:rsidTr="00004EBD">
        <w:trPr>
          <w:jc w:val="center"/>
        </w:trPr>
        <w:tc>
          <w:tcPr>
            <w:tcW w:w="225" w:type="pct"/>
            <w:tcBorders>
              <w:top w:val="single" w:sz="4" w:space="0" w:color="auto"/>
              <w:left w:val="nil"/>
              <w:bottom w:val="single" w:sz="4" w:space="0" w:color="auto"/>
              <w:right w:val="nil"/>
            </w:tcBorders>
          </w:tcPr>
          <w:p w:rsidR="00701467" w:rsidRPr="00131B9D" w:rsidRDefault="00701467" w:rsidP="003D2BBF">
            <w:pPr>
              <w:adjustRightInd w:val="0"/>
              <w:snapToGrid w:val="0"/>
              <w:spacing w:line="0" w:lineRule="atLeast"/>
              <w:rPr>
                <w:sz w:val="32"/>
                <w:szCs w:val="32"/>
              </w:rPr>
            </w:pPr>
            <w:r w:rsidRPr="00131B9D">
              <w:rPr>
                <w:b/>
                <w:sz w:val="28"/>
                <w:szCs w:val="32"/>
              </w:rPr>
              <w:t>委內瑞拉</w:t>
            </w:r>
          </w:p>
        </w:tc>
        <w:tc>
          <w:tcPr>
            <w:tcW w:w="322" w:type="pct"/>
            <w:tcBorders>
              <w:top w:val="single" w:sz="4" w:space="0" w:color="auto"/>
              <w:left w:val="nil"/>
              <w:bottom w:val="single" w:sz="4" w:space="0" w:color="auto"/>
              <w:right w:val="nil"/>
            </w:tcBorders>
            <w:vAlign w:val="center"/>
          </w:tcPr>
          <w:p w:rsidR="00701467" w:rsidRPr="00131B9D" w:rsidRDefault="00701467" w:rsidP="003D2BBF">
            <w:pPr>
              <w:spacing w:line="0" w:lineRule="atLeast"/>
              <w:jc w:val="center"/>
            </w:pPr>
            <w:r w:rsidRPr="00131B9D">
              <w:t>-</w:t>
            </w:r>
            <w:r w:rsidRPr="00131B9D">
              <w:t>迄今</w:t>
            </w:r>
          </w:p>
        </w:tc>
        <w:tc>
          <w:tcPr>
            <w:tcW w:w="1015" w:type="pct"/>
            <w:tcBorders>
              <w:top w:val="single" w:sz="4" w:space="0" w:color="auto"/>
              <w:left w:val="nil"/>
              <w:bottom w:val="single" w:sz="4" w:space="0" w:color="auto"/>
              <w:right w:val="nil"/>
            </w:tcBorders>
            <w:vAlign w:val="center"/>
          </w:tcPr>
          <w:p w:rsidR="00701467" w:rsidRPr="00131B9D" w:rsidRDefault="00701467" w:rsidP="003D2BBF">
            <w:pPr>
              <w:spacing w:line="0" w:lineRule="atLeast"/>
              <w:jc w:val="both"/>
            </w:pPr>
            <w:r w:rsidRPr="00131B9D">
              <w:t>委國經濟的諸多關鍵領域都由軍隊控制。</w:t>
            </w:r>
          </w:p>
        </w:tc>
        <w:tc>
          <w:tcPr>
            <w:tcW w:w="969" w:type="pct"/>
            <w:tcBorders>
              <w:top w:val="single" w:sz="4" w:space="0" w:color="auto"/>
              <w:left w:val="nil"/>
              <w:bottom w:val="single" w:sz="4" w:space="0" w:color="auto"/>
              <w:right w:val="nil"/>
            </w:tcBorders>
            <w:vAlign w:val="center"/>
          </w:tcPr>
          <w:p w:rsidR="00701467" w:rsidRPr="00131B9D" w:rsidRDefault="00701467" w:rsidP="003D2BBF">
            <w:pPr>
              <w:adjustRightInd w:val="0"/>
              <w:snapToGrid w:val="0"/>
              <w:spacing w:line="0" w:lineRule="atLeast"/>
              <w:jc w:val="both"/>
            </w:pPr>
            <w:r w:rsidRPr="00131B9D">
              <w:t>2014</w:t>
            </w:r>
            <w:r w:rsidRPr="00131B9D">
              <w:t>年底宣佈在全國部署數百名督察，執行物價管制。以人為手段將民生產品價格壓低。</w:t>
            </w:r>
          </w:p>
        </w:tc>
        <w:tc>
          <w:tcPr>
            <w:tcW w:w="754" w:type="pct"/>
            <w:tcBorders>
              <w:top w:val="single" w:sz="4" w:space="0" w:color="auto"/>
              <w:left w:val="nil"/>
              <w:bottom w:val="single" w:sz="4" w:space="0" w:color="auto"/>
              <w:right w:val="nil"/>
            </w:tcBorders>
          </w:tcPr>
          <w:p w:rsidR="00701467" w:rsidRPr="00131B9D" w:rsidRDefault="00701467" w:rsidP="003D2BBF">
            <w:pPr>
              <w:spacing w:line="0" w:lineRule="atLeast"/>
            </w:pPr>
            <w:r w:rsidRPr="00131B9D">
              <w:t>外匯管制和價格管制政策。從牛奶到牙刷，甚至芭比娃娃等價格無不管制。</w:t>
            </w:r>
          </w:p>
        </w:tc>
        <w:tc>
          <w:tcPr>
            <w:tcW w:w="1715" w:type="pct"/>
            <w:gridSpan w:val="2"/>
            <w:tcBorders>
              <w:top w:val="single" w:sz="4" w:space="0" w:color="auto"/>
              <w:left w:val="nil"/>
              <w:bottom w:val="single" w:sz="4" w:space="0" w:color="auto"/>
              <w:right w:val="nil"/>
            </w:tcBorders>
            <w:vAlign w:val="center"/>
          </w:tcPr>
          <w:p w:rsidR="00701467" w:rsidRPr="00131B9D" w:rsidRDefault="00701467" w:rsidP="003D2BBF">
            <w:pPr>
              <w:pStyle w:val="affe"/>
              <w:widowControl w:val="0"/>
              <w:numPr>
                <w:ilvl w:val="0"/>
                <w:numId w:val="16"/>
              </w:numPr>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即便標籤上的價格很低，但是超市裡根本沒有商品販賣，物價短缺。</w:t>
            </w:r>
          </w:p>
          <w:p w:rsidR="00701467" w:rsidRPr="00131B9D" w:rsidRDefault="00701467" w:rsidP="003D2BBF">
            <w:pPr>
              <w:pStyle w:val="affe"/>
              <w:widowControl w:val="0"/>
              <w:numPr>
                <w:ilvl w:val="0"/>
                <w:numId w:val="16"/>
              </w:numPr>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凌晨搶買衛生紙現象。</w:t>
            </w:r>
          </w:p>
          <w:p w:rsidR="00701467" w:rsidRPr="00131B9D" w:rsidRDefault="00701467" w:rsidP="003D2BBF">
            <w:pPr>
              <w:pStyle w:val="affe"/>
              <w:widowControl w:val="0"/>
              <w:numPr>
                <w:ilvl w:val="0"/>
                <w:numId w:val="16"/>
              </w:numPr>
              <w:spacing w:line="0" w:lineRule="atLeast"/>
              <w:ind w:leftChars="0"/>
              <w:jc w:val="both"/>
              <w:rPr>
                <w:rFonts w:ascii="Times New Roman" w:eastAsiaTheme="minorEastAsia" w:hAnsi="Times New Roman" w:cs="Times New Roman"/>
              </w:rPr>
            </w:pPr>
            <w:r w:rsidRPr="00131B9D">
              <w:rPr>
                <w:rFonts w:ascii="Times New Roman" w:hAnsi="Times New Roman" w:cs="Times New Roman"/>
              </w:rPr>
              <w:t>走私品猖獗。</w:t>
            </w:r>
          </w:p>
        </w:tc>
      </w:tr>
      <w:tr w:rsidR="00701467" w:rsidRPr="00131B9D" w:rsidTr="00004EBD">
        <w:trPr>
          <w:jc w:val="center"/>
        </w:trPr>
        <w:tc>
          <w:tcPr>
            <w:tcW w:w="225" w:type="pct"/>
            <w:vMerge w:val="restart"/>
            <w:tcBorders>
              <w:top w:val="single" w:sz="4" w:space="0" w:color="auto"/>
              <w:left w:val="nil"/>
              <w:right w:val="nil"/>
            </w:tcBorders>
          </w:tcPr>
          <w:p w:rsidR="00701467" w:rsidRPr="00131B9D" w:rsidRDefault="00701467" w:rsidP="003D2BBF">
            <w:pPr>
              <w:adjustRightInd w:val="0"/>
              <w:snapToGrid w:val="0"/>
              <w:spacing w:line="0" w:lineRule="atLeast"/>
              <w:rPr>
                <w:b/>
                <w:sz w:val="36"/>
                <w:szCs w:val="36"/>
              </w:rPr>
            </w:pPr>
            <w:r w:rsidRPr="00131B9D">
              <w:rPr>
                <w:b/>
                <w:sz w:val="36"/>
                <w:szCs w:val="36"/>
              </w:rPr>
              <w:t>蘇聯／俄羅斯</w:t>
            </w:r>
          </w:p>
        </w:tc>
        <w:tc>
          <w:tcPr>
            <w:tcW w:w="322" w:type="pct"/>
            <w:tcBorders>
              <w:top w:val="single" w:sz="4" w:space="0" w:color="auto"/>
              <w:left w:val="nil"/>
              <w:bottom w:val="single" w:sz="4" w:space="0" w:color="auto"/>
              <w:right w:val="nil"/>
            </w:tcBorders>
            <w:vAlign w:val="center"/>
          </w:tcPr>
          <w:p w:rsidR="00701467" w:rsidRPr="00131B9D" w:rsidRDefault="00701467" w:rsidP="003D2BBF">
            <w:pPr>
              <w:pStyle w:val="Web"/>
              <w:adjustRightInd w:val="0"/>
              <w:snapToGrid w:val="0"/>
              <w:spacing w:before="0" w:beforeAutospacing="0" w:after="0" w:afterAutospacing="0" w:line="0" w:lineRule="atLeast"/>
              <w:jc w:val="center"/>
              <w:rPr>
                <w:rFonts w:ascii="Times New Roman" w:hAnsi="Times New Roman" w:cs="Times New Roman"/>
                <w:color w:val="000000"/>
                <w:sz w:val="23"/>
                <w:szCs w:val="23"/>
              </w:rPr>
            </w:pPr>
            <w:r w:rsidRPr="00131B9D">
              <w:rPr>
                <w:rFonts w:ascii="Times New Roman" w:hAnsi="Times New Roman" w:cs="Times New Roman"/>
                <w:color w:val="000000"/>
                <w:sz w:val="23"/>
                <w:szCs w:val="23"/>
              </w:rPr>
              <w:t>蘇維埃時期</w:t>
            </w:r>
          </w:p>
        </w:tc>
        <w:tc>
          <w:tcPr>
            <w:tcW w:w="1015" w:type="pct"/>
            <w:tcBorders>
              <w:top w:val="single" w:sz="4" w:space="0" w:color="auto"/>
              <w:left w:val="nil"/>
              <w:bottom w:val="single" w:sz="4" w:space="0" w:color="auto"/>
              <w:right w:val="nil"/>
            </w:tcBorders>
            <w:vAlign w:val="center"/>
          </w:tcPr>
          <w:p w:rsidR="00701467" w:rsidRPr="00131B9D" w:rsidRDefault="00701467" w:rsidP="003D2BBF">
            <w:pPr>
              <w:pStyle w:val="Web"/>
              <w:spacing w:before="0" w:beforeAutospacing="0" w:after="0" w:afterAutospacing="0" w:line="0" w:lineRule="atLeast"/>
              <w:jc w:val="both"/>
              <w:rPr>
                <w:rFonts w:ascii="Times New Roman" w:hAnsi="Times New Roman" w:cs="Times New Roman"/>
                <w:color w:val="000000"/>
                <w:sz w:val="23"/>
                <w:szCs w:val="23"/>
              </w:rPr>
            </w:pPr>
          </w:p>
        </w:tc>
        <w:tc>
          <w:tcPr>
            <w:tcW w:w="969" w:type="pct"/>
            <w:tcBorders>
              <w:top w:val="single" w:sz="4" w:space="0" w:color="auto"/>
              <w:left w:val="nil"/>
              <w:bottom w:val="single" w:sz="4" w:space="0" w:color="auto"/>
              <w:right w:val="nil"/>
            </w:tcBorders>
            <w:vAlign w:val="center"/>
          </w:tcPr>
          <w:p w:rsidR="00701467" w:rsidRPr="00131B9D" w:rsidRDefault="00701467" w:rsidP="003D2BBF">
            <w:pPr>
              <w:spacing w:line="0" w:lineRule="atLeast"/>
              <w:jc w:val="both"/>
            </w:pPr>
          </w:p>
        </w:tc>
        <w:tc>
          <w:tcPr>
            <w:tcW w:w="754" w:type="pct"/>
            <w:tcBorders>
              <w:top w:val="single" w:sz="4" w:space="0" w:color="auto"/>
              <w:left w:val="nil"/>
              <w:bottom w:val="single" w:sz="4" w:space="0" w:color="auto"/>
              <w:right w:val="nil"/>
            </w:tcBorders>
          </w:tcPr>
          <w:p w:rsidR="00701467" w:rsidRPr="00131B9D" w:rsidRDefault="00701467" w:rsidP="003D2BBF">
            <w:pPr>
              <w:spacing w:line="0" w:lineRule="atLeast"/>
            </w:pPr>
          </w:p>
        </w:tc>
        <w:tc>
          <w:tcPr>
            <w:tcW w:w="1715" w:type="pct"/>
            <w:gridSpan w:val="2"/>
            <w:tcBorders>
              <w:top w:val="single" w:sz="4" w:space="0" w:color="auto"/>
              <w:left w:val="nil"/>
              <w:bottom w:val="single" w:sz="4" w:space="0" w:color="auto"/>
              <w:right w:val="nil"/>
            </w:tcBorders>
            <w:vAlign w:val="center"/>
          </w:tcPr>
          <w:p w:rsidR="00701467" w:rsidRPr="00131B9D" w:rsidRDefault="00701467" w:rsidP="003D2BBF">
            <w:pPr>
              <w:pStyle w:val="affe"/>
              <w:widowControl w:val="0"/>
              <w:numPr>
                <w:ilvl w:val="0"/>
                <w:numId w:val="17"/>
              </w:numPr>
              <w:spacing w:line="0" w:lineRule="atLeast"/>
              <w:ind w:leftChars="0"/>
              <w:jc w:val="both"/>
              <w:rPr>
                <w:rFonts w:ascii="Times New Roman" w:hAnsi="Times New Roman" w:cs="Times New Roman"/>
              </w:rPr>
            </w:pPr>
            <w:r w:rsidRPr="00131B9D">
              <w:rPr>
                <w:rFonts w:ascii="Times New Roman" w:hAnsi="Times New Roman" w:cs="Times New Roman"/>
              </w:rPr>
              <w:t>公司以改良品、新品名義提高售價，造成總產量減少而總產值增加的怪現象。</w:t>
            </w:r>
          </w:p>
          <w:p w:rsidR="00701467" w:rsidRPr="00131B9D" w:rsidRDefault="00701467" w:rsidP="003D2BBF">
            <w:pPr>
              <w:pStyle w:val="affe"/>
              <w:widowControl w:val="0"/>
              <w:numPr>
                <w:ilvl w:val="0"/>
                <w:numId w:val="17"/>
              </w:numPr>
              <w:spacing w:line="0" w:lineRule="atLeast"/>
              <w:ind w:leftChars="0"/>
              <w:jc w:val="both"/>
              <w:rPr>
                <w:rFonts w:ascii="Times New Roman" w:hAnsi="Times New Roman" w:cs="Times New Roman"/>
              </w:rPr>
            </w:pPr>
            <w:r w:rsidRPr="00131B9D">
              <w:rPr>
                <w:rFonts w:ascii="Times New Roman" w:hAnsi="Times New Roman" w:cs="Times New Roman"/>
              </w:rPr>
              <w:t>對食品等工業消費品、農產品、住房、交通運輸等財政補貼成為國家沉重負擔。</w:t>
            </w:r>
          </w:p>
          <w:p w:rsidR="00701467" w:rsidRPr="00131B9D" w:rsidRDefault="00701467" w:rsidP="003D2BBF">
            <w:pPr>
              <w:pStyle w:val="affe"/>
              <w:widowControl w:val="0"/>
              <w:numPr>
                <w:ilvl w:val="0"/>
                <w:numId w:val="17"/>
              </w:numPr>
              <w:spacing w:line="0" w:lineRule="atLeast"/>
              <w:ind w:leftChars="0" w:rightChars="-125" w:right="-300"/>
              <w:jc w:val="both"/>
              <w:rPr>
                <w:rFonts w:ascii="Times New Roman" w:hAnsi="Times New Roman" w:cs="Times New Roman"/>
              </w:rPr>
            </w:pPr>
            <w:r w:rsidRPr="00131B9D">
              <w:rPr>
                <w:rFonts w:ascii="Times New Roman" w:hAnsi="Times New Roman" w:cs="Times New Roman"/>
              </w:rPr>
              <w:t>因物價不反映市場資訊，價格無法發揮作用，造成物價短缺與走私等隱性成本增加。</w:t>
            </w:r>
          </w:p>
        </w:tc>
      </w:tr>
      <w:tr w:rsidR="00701467" w:rsidRPr="00131B9D" w:rsidTr="00004EBD">
        <w:trPr>
          <w:jc w:val="center"/>
        </w:trPr>
        <w:tc>
          <w:tcPr>
            <w:tcW w:w="225" w:type="pct"/>
            <w:vMerge/>
            <w:tcBorders>
              <w:left w:val="nil"/>
              <w:bottom w:val="single" w:sz="4" w:space="0" w:color="auto"/>
              <w:right w:val="nil"/>
            </w:tcBorders>
          </w:tcPr>
          <w:p w:rsidR="00701467" w:rsidRPr="00131B9D" w:rsidRDefault="00701467" w:rsidP="003D2BBF">
            <w:pPr>
              <w:adjustRightInd w:val="0"/>
              <w:snapToGrid w:val="0"/>
              <w:spacing w:line="0" w:lineRule="atLeast"/>
              <w:rPr>
                <w:color w:val="000000"/>
                <w:sz w:val="23"/>
                <w:szCs w:val="23"/>
              </w:rPr>
            </w:pPr>
          </w:p>
        </w:tc>
        <w:tc>
          <w:tcPr>
            <w:tcW w:w="322" w:type="pct"/>
            <w:tcBorders>
              <w:top w:val="single" w:sz="4" w:space="0" w:color="auto"/>
              <w:left w:val="nil"/>
              <w:bottom w:val="single" w:sz="4" w:space="0" w:color="auto"/>
              <w:right w:val="nil"/>
            </w:tcBorders>
            <w:vAlign w:val="center"/>
          </w:tcPr>
          <w:p w:rsidR="00701467" w:rsidRPr="00131B9D" w:rsidRDefault="00701467" w:rsidP="003D2BBF">
            <w:pPr>
              <w:pStyle w:val="Web"/>
              <w:spacing w:before="0" w:beforeAutospacing="0" w:after="0" w:afterAutospacing="0" w:line="0" w:lineRule="atLeast"/>
              <w:jc w:val="center"/>
              <w:rPr>
                <w:rFonts w:ascii="Times New Roman" w:hAnsi="Times New Roman" w:cs="Times New Roman"/>
                <w:color w:val="000000"/>
                <w:sz w:val="23"/>
                <w:szCs w:val="23"/>
              </w:rPr>
            </w:pPr>
            <w:r w:rsidRPr="00131B9D">
              <w:rPr>
                <w:rFonts w:ascii="Times New Roman" w:hAnsi="Times New Roman" w:cs="Times New Roman"/>
                <w:color w:val="000000"/>
                <w:sz w:val="23"/>
                <w:szCs w:val="23"/>
              </w:rPr>
              <w:t>2014-12</w:t>
            </w:r>
          </w:p>
        </w:tc>
        <w:tc>
          <w:tcPr>
            <w:tcW w:w="1015" w:type="pct"/>
            <w:tcBorders>
              <w:top w:val="single" w:sz="4" w:space="0" w:color="auto"/>
              <w:left w:val="nil"/>
              <w:bottom w:val="single" w:sz="4" w:space="0" w:color="auto"/>
              <w:right w:val="nil"/>
            </w:tcBorders>
            <w:vAlign w:val="center"/>
          </w:tcPr>
          <w:p w:rsidR="00701467" w:rsidRPr="00131B9D" w:rsidRDefault="00701467" w:rsidP="003D2BBF">
            <w:pPr>
              <w:pStyle w:val="Web"/>
              <w:spacing w:before="0" w:beforeAutospacing="0" w:after="0" w:afterAutospacing="0" w:line="0" w:lineRule="atLeast"/>
              <w:jc w:val="both"/>
              <w:rPr>
                <w:rFonts w:ascii="Times New Roman" w:hAnsi="Times New Roman" w:cs="Times New Roman"/>
                <w:color w:val="000000"/>
                <w:sz w:val="23"/>
                <w:szCs w:val="23"/>
              </w:rPr>
            </w:pPr>
            <w:r w:rsidRPr="00131B9D">
              <w:rPr>
                <w:rFonts w:ascii="Times New Roman" w:hAnsi="Times New Roman" w:cs="Times New Roman"/>
                <w:color w:val="000000"/>
                <w:sz w:val="23"/>
                <w:szCs w:val="23"/>
              </w:rPr>
              <w:t>油價暴跌，盧布狂跌，物價飆漲。</w:t>
            </w:r>
          </w:p>
        </w:tc>
        <w:tc>
          <w:tcPr>
            <w:tcW w:w="969" w:type="pct"/>
            <w:tcBorders>
              <w:top w:val="single" w:sz="4" w:space="0" w:color="auto"/>
              <w:left w:val="nil"/>
              <w:bottom w:val="single" w:sz="4" w:space="0" w:color="auto"/>
              <w:right w:val="nil"/>
            </w:tcBorders>
            <w:vAlign w:val="center"/>
          </w:tcPr>
          <w:p w:rsidR="00701467" w:rsidRPr="00131B9D" w:rsidRDefault="00701467" w:rsidP="003D2BBF">
            <w:pPr>
              <w:spacing w:line="0" w:lineRule="atLeast"/>
              <w:jc w:val="both"/>
            </w:pPr>
            <w:r w:rsidRPr="00131B9D">
              <w:t>俄羅斯將實施關稅管制，以限制穀類食品出</w:t>
            </w:r>
            <w:r w:rsidR="00004EBD" w:rsidRPr="00131B9D">
              <w:t>口</w:t>
            </w:r>
            <w:r w:rsidRPr="00131B9D">
              <w:t>。</w:t>
            </w:r>
          </w:p>
        </w:tc>
        <w:tc>
          <w:tcPr>
            <w:tcW w:w="754" w:type="pct"/>
            <w:tcBorders>
              <w:top w:val="single" w:sz="4" w:space="0" w:color="auto"/>
              <w:left w:val="nil"/>
              <w:bottom w:val="single" w:sz="4" w:space="0" w:color="auto"/>
              <w:right w:val="nil"/>
            </w:tcBorders>
          </w:tcPr>
          <w:p w:rsidR="00701467" w:rsidRPr="00131B9D" w:rsidRDefault="00701467" w:rsidP="003D2BBF">
            <w:pPr>
              <w:spacing w:line="0" w:lineRule="atLeast"/>
            </w:pPr>
          </w:p>
        </w:tc>
        <w:tc>
          <w:tcPr>
            <w:tcW w:w="1715" w:type="pct"/>
            <w:gridSpan w:val="2"/>
            <w:tcBorders>
              <w:top w:val="single" w:sz="4" w:space="0" w:color="auto"/>
              <w:left w:val="nil"/>
              <w:bottom w:val="single" w:sz="4" w:space="0" w:color="auto"/>
              <w:right w:val="nil"/>
            </w:tcBorders>
            <w:vAlign w:val="center"/>
          </w:tcPr>
          <w:p w:rsidR="00701467" w:rsidRPr="00131B9D" w:rsidRDefault="00701467" w:rsidP="003D2BBF">
            <w:pPr>
              <w:spacing w:line="0" w:lineRule="atLeast"/>
              <w:jc w:val="both"/>
            </w:pPr>
            <w:r w:rsidRPr="00131B9D">
              <w:t>觀察中，希望能夠減少盧布崩跌引發的國內物價飆升。</w:t>
            </w:r>
          </w:p>
        </w:tc>
      </w:tr>
    </w:tbl>
    <w:p w:rsidR="00701467" w:rsidRPr="00131B9D" w:rsidRDefault="00701467" w:rsidP="00701467">
      <w:pPr>
        <w:sectPr w:rsidR="00701467" w:rsidRPr="00131B9D" w:rsidSect="009318AA">
          <w:pgSz w:w="16838" w:h="11906" w:orient="landscape"/>
          <w:pgMar w:top="720" w:right="720" w:bottom="720" w:left="720" w:header="851" w:footer="992" w:gutter="0"/>
          <w:cols w:space="425"/>
          <w:docGrid w:type="lines" w:linePitch="360"/>
        </w:sectPr>
      </w:pPr>
    </w:p>
    <w:p w:rsidR="00701467" w:rsidRPr="00131B9D" w:rsidRDefault="00A33A0D" w:rsidP="00A33A0D">
      <w:pPr>
        <w:pStyle w:val="3"/>
        <w:rPr>
          <w:rFonts w:ascii="Times New Roman" w:hAnsi="Times New Roman"/>
          <w:bCs/>
        </w:rPr>
      </w:pPr>
      <w:r w:rsidRPr="00131B9D">
        <w:rPr>
          <w:rFonts w:ascii="Times New Roman" w:hAnsi="Times New Roman"/>
        </w:rPr>
        <w:lastRenderedPageBreak/>
        <w:t>（二）</w:t>
      </w:r>
      <w:r w:rsidR="00C52B93" w:rsidRPr="00131B9D">
        <w:rPr>
          <w:rFonts w:ascii="Times New Roman" w:hAnsi="Times New Roman"/>
        </w:rPr>
        <w:t>國內食品業者</w:t>
      </w:r>
      <w:r w:rsidR="00701467" w:rsidRPr="00131B9D">
        <w:rPr>
          <w:rFonts w:ascii="Times New Roman" w:hAnsi="Times New Roman"/>
        </w:rPr>
        <w:t>對於價格之建議</w:t>
      </w:r>
      <w:r w:rsidR="009B0779" w:rsidRPr="00131B9D">
        <w:rPr>
          <w:rFonts w:ascii="Times New Roman" w:hAnsi="Times New Roman"/>
        </w:rPr>
        <w:t>(</w:t>
      </w:r>
      <w:r w:rsidRPr="00131B9D">
        <w:rPr>
          <w:rFonts w:ascii="Times New Roman" w:hAnsi="Times New Roman"/>
        </w:rPr>
        <w:t>3/17</w:t>
      </w:r>
      <w:r w:rsidR="009B0779" w:rsidRPr="00131B9D">
        <w:rPr>
          <w:rFonts w:ascii="Times New Roman" w:hAnsi="Times New Roman"/>
        </w:rPr>
        <w:t>)</w:t>
      </w:r>
    </w:p>
    <w:p w:rsidR="00701467" w:rsidRPr="00131B9D" w:rsidRDefault="00701467" w:rsidP="00BF467C">
      <w:pPr>
        <w:spacing w:before="120" w:after="120" w:line="360" w:lineRule="auto"/>
        <w:ind w:firstLine="482"/>
        <w:jc w:val="both"/>
        <w:rPr>
          <w:rFonts w:eastAsia="標楷體"/>
          <w:b/>
          <w:spacing w:val="4"/>
          <w:sz w:val="26"/>
        </w:rPr>
      </w:pPr>
      <w:r w:rsidRPr="00131B9D">
        <w:rPr>
          <w:rFonts w:eastAsia="標楷體"/>
          <w:b/>
          <w:spacing w:val="4"/>
          <w:sz w:val="26"/>
        </w:rPr>
        <w:t>問一：依</w:t>
      </w:r>
      <w:r w:rsidR="00C52B93" w:rsidRPr="00131B9D">
        <w:rPr>
          <w:rFonts w:eastAsia="標楷體"/>
          <w:b/>
          <w:spacing w:val="4"/>
          <w:sz w:val="26"/>
        </w:rPr>
        <w:t>國內食品業者</w:t>
      </w:r>
      <w:r w:rsidRPr="00131B9D">
        <w:rPr>
          <w:rFonts w:eastAsia="標楷體"/>
          <w:b/>
          <w:spacing w:val="4"/>
          <w:sz w:val="26"/>
        </w:rPr>
        <w:t>說法，進口商難漲易跌是導致廠商對於通路採取「消極態度」之主因，此是否與國際行情悖離有待商榷；且只會發生於「跌幅不足」？</w:t>
      </w:r>
    </w:p>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答一：為了更詳細了解</w:t>
      </w:r>
      <w:r w:rsidR="0042645B" w:rsidRPr="00131B9D">
        <w:rPr>
          <w:rFonts w:eastAsia="標楷體"/>
          <w:spacing w:val="4"/>
          <w:sz w:val="26"/>
        </w:rPr>
        <w:t>國內食品業者</w:t>
      </w:r>
      <w:r w:rsidRPr="00131B9D">
        <w:rPr>
          <w:rFonts w:eastAsia="標楷體"/>
          <w:spacing w:val="4"/>
          <w:sz w:val="26"/>
        </w:rPr>
        <w:t>所言情況，同時也了解通路商</w:t>
      </w:r>
      <w:r w:rsidRPr="00131B9D">
        <w:rPr>
          <w:rFonts w:eastAsia="標楷體"/>
          <w:spacing w:val="4"/>
          <w:sz w:val="26"/>
        </w:rPr>
        <w:t>(</w:t>
      </w:r>
      <w:r w:rsidRPr="00131B9D">
        <w:rPr>
          <w:rFonts w:eastAsia="標楷體"/>
          <w:spacing w:val="4"/>
          <w:sz w:val="26"/>
        </w:rPr>
        <w:t>如賣場、超市</w:t>
      </w:r>
      <w:r w:rsidRPr="00131B9D">
        <w:rPr>
          <w:rFonts w:eastAsia="標楷體"/>
          <w:spacing w:val="4"/>
          <w:sz w:val="26"/>
        </w:rPr>
        <w:t>)</w:t>
      </w:r>
      <w:r w:rsidRPr="00131B9D">
        <w:rPr>
          <w:rFonts w:eastAsia="標楷體"/>
          <w:spacing w:val="4"/>
          <w:sz w:val="26"/>
        </w:rPr>
        <w:t>的運作方式，研究團隊對國內</w:t>
      </w:r>
      <w:r w:rsidRPr="00131B9D">
        <w:rPr>
          <w:rFonts w:eastAsia="標楷體"/>
          <w:spacing w:val="4"/>
          <w:sz w:val="26"/>
        </w:rPr>
        <w:t>3</w:t>
      </w:r>
      <w:r w:rsidRPr="00131B9D">
        <w:rPr>
          <w:rFonts w:eastAsia="標楷體"/>
          <w:spacing w:val="4"/>
          <w:sz w:val="26"/>
        </w:rPr>
        <w:t>家食品大廠進行電訪，重點節錄廠商意見如下</w:t>
      </w:r>
      <w:r w:rsidRPr="00131B9D">
        <w:rPr>
          <w:rFonts w:eastAsia="標楷體"/>
          <w:spacing w:val="4"/>
          <w:sz w:val="26"/>
        </w:rPr>
        <w:t>:</w:t>
      </w:r>
    </w:p>
    <w:tbl>
      <w:tblPr>
        <w:tblW w:w="10490" w:type="dxa"/>
        <w:jc w:val="center"/>
        <w:tblBorders>
          <w:top w:val="single" w:sz="4" w:space="0" w:color="auto"/>
        </w:tblBorders>
        <w:tblLook w:val="04A0" w:firstRow="1" w:lastRow="0" w:firstColumn="1" w:lastColumn="0" w:noHBand="0" w:noVBand="1"/>
      </w:tblPr>
      <w:tblGrid>
        <w:gridCol w:w="1135"/>
        <w:gridCol w:w="4677"/>
        <w:gridCol w:w="4678"/>
      </w:tblGrid>
      <w:tr w:rsidR="00701467" w:rsidRPr="00131B9D" w:rsidTr="009318AA">
        <w:trPr>
          <w:jc w:val="center"/>
        </w:trPr>
        <w:tc>
          <w:tcPr>
            <w:tcW w:w="1135" w:type="dxa"/>
            <w:tcBorders>
              <w:top w:val="single" w:sz="4" w:space="0" w:color="auto"/>
              <w:bottom w:val="single" w:sz="4" w:space="0" w:color="auto"/>
            </w:tcBorders>
            <w:shd w:val="clear" w:color="auto" w:fill="auto"/>
          </w:tcPr>
          <w:p w:rsidR="00701467" w:rsidRPr="00131B9D" w:rsidRDefault="00701467" w:rsidP="009318AA">
            <w:pPr>
              <w:pStyle w:val="affff0"/>
              <w:adjustRightInd w:val="0"/>
              <w:snapToGrid w:val="0"/>
              <w:spacing w:beforeLines="0" w:afterLines="0" w:line="0" w:lineRule="atLeast"/>
              <w:ind w:firstLineChars="0" w:firstLine="0"/>
              <w:jc w:val="center"/>
              <w:rPr>
                <w:b/>
                <w:sz w:val="24"/>
              </w:rPr>
            </w:pPr>
            <w:r w:rsidRPr="00131B9D">
              <w:rPr>
                <w:b/>
                <w:sz w:val="24"/>
              </w:rPr>
              <w:t>廠商</w:t>
            </w:r>
          </w:p>
        </w:tc>
        <w:tc>
          <w:tcPr>
            <w:tcW w:w="4677" w:type="dxa"/>
            <w:tcBorders>
              <w:top w:val="single" w:sz="4" w:space="0" w:color="auto"/>
              <w:bottom w:val="single" w:sz="4" w:space="0" w:color="auto"/>
            </w:tcBorders>
            <w:shd w:val="clear" w:color="auto" w:fill="auto"/>
          </w:tcPr>
          <w:p w:rsidR="00701467" w:rsidRPr="00131B9D" w:rsidRDefault="00701467" w:rsidP="009318AA">
            <w:pPr>
              <w:pStyle w:val="affff0"/>
              <w:adjustRightInd w:val="0"/>
              <w:snapToGrid w:val="0"/>
              <w:spacing w:beforeLines="0" w:afterLines="0" w:line="0" w:lineRule="atLeast"/>
              <w:ind w:firstLineChars="0" w:firstLine="0"/>
              <w:jc w:val="center"/>
              <w:rPr>
                <w:b/>
                <w:sz w:val="24"/>
              </w:rPr>
            </w:pPr>
            <w:r w:rsidRPr="00131B9D">
              <w:rPr>
                <w:b/>
                <w:sz w:val="24"/>
              </w:rPr>
              <w:t>陳述事實</w:t>
            </w:r>
          </w:p>
        </w:tc>
        <w:tc>
          <w:tcPr>
            <w:tcW w:w="4678" w:type="dxa"/>
            <w:tcBorders>
              <w:top w:val="single" w:sz="4" w:space="0" w:color="auto"/>
              <w:bottom w:val="single" w:sz="4" w:space="0" w:color="auto"/>
            </w:tcBorders>
            <w:shd w:val="clear" w:color="auto" w:fill="auto"/>
          </w:tcPr>
          <w:p w:rsidR="00701467" w:rsidRPr="00131B9D" w:rsidRDefault="00701467" w:rsidP="009318AA">
            <w:pPr>
              <w:pStyle w:val="affff0"/>
              <w:adjustRightInd w:val="0"/>
              <w:snapToGrid w:val="0"/>
              <w:spacing w:beforeLines="0" w:afterLines="0" w:line="0" w:lineRule="atLeast"/>
              <w:ind w:firstLineChars="0" w:firstLine="0"/>
              <w:jc w:val="center"/>
              <w:rPr>
                <w:b/>
                <w:sz w:val="24"/>
              </w:rPr>
            </w:pPr>
            <w:r w:rsidRPr="00131B9D">
              <w:rPr>
                <w:b/>
                <w:sz w:val="24"/>
              </w:rPr>
              <w:t>建議</w:t>
            </w:r>
          </w:p>
        </w:tc>
      </w:tr>
      <w:tr w:rsidR="00701467" w:rsidRPr="00131B9D" w:rsidTr="009318AA">
        <w:trPr>
          <w:jc w:val="center"/>
        </w:trPr>
        <w:tc>
          <w:tcPr>
            <w:tcW w:w="1135" w:type="dxa"/>
            <w:tcBorders>
              <w:top w:val="single" w:sz="4" w:space="0" w:color="auto"/>
              <w:bottom w:val="single" w:sz="4" w:space="0" w:color="auto"/>
            </w:tcBorders>
            <w:shd w:val="clear" w:color="auto" w:fill="auto"/>
          </w:tcPr>
          <w:p w:rsidR="00701467" w:rsidRPr="00131B9D" w:rsidRDefault="00C52B93" w:rsidP="00C52B93">
            <w:pPr>
              <w:pStyle w:val="affff0"/>
              <w:adjustRightInd w:val="0"/>
              <w:snapToGrid w:val="0"/>
              <w:spacing w:beforeLines="0" w:afterLines="0" w:line="0" w:lineRule="atLeast"/>
              <w:ind w:firstLineChars="0" w:firstLine="0"/>
              <w:jc w:val="center"/>
              <w:rPr>
                <w:sz w:val="24"/>
              </w:rPr>
            </w:pPr>
            <w:r w:rsidRPr="00131B9D">
              <w:rPr>
                <w:sz w:val="24"/>
              </w:rPr>
              <w:t>A</w:t>
            </w:r>
          </w:p>
        </w:tc>
        <w:tc>
          <w:tcPr>
            <w:tcW w:w="4677" w:type="dxa"/>
            <w:tcBorders>
              <w:top w:val="single" w:sz="4" w:space="0" w:color="auto"/>
              <w:bottom w:val="single" w:sz="4" w:space="0" w:color="auto"/>
            </w:tcBorders>
            <w:shd w:val="clear" w:color="auto" w:fill="auto"/>
          </w:tcPr>
          <w:p w:rsidR="00701467" w:rsidRPr="00131B9D" w:rsidRDefault="00701467" w:rsidP="00AC057C">
            <w:pPr>
              <w:pStyle w:val="affff0"/>
              <w:numPr>
                <w:ilvl w:val="0"/>
                <w:numId w:val="20"/>
              </w:numPr>
              <w:adjustRightInd w:val="0"/>
              <w:snapToGrid w:val="0"/>
              <w:spacing w:beforeLines="0" w:afterLines="0" w:line="0" w:lineRule="atLeast"/>
              <w:ind w:firstLineChars="0"/>
              <w:rPr>
                <w:sz w:val="24"/>
              </w:rPr>
            </w:pPr>
            <w:r w:rsidRPr="00131B9D">
              <w:rPr>
                <w:sz w:val="24"/>
              </w:rPr>
              <w:t>通路商賣場都以價格取勝，因此漲價的難度高。</w:t>
            </w:r>
          </w:p>
          <w:p w:rsidR="00701467" w:rsidRPr="00131B9D" w:rsidRDefault="00701467" w:rsidP="00AC057C">
            <w:pPr>
              <w:pStyle w:val="affff0"/>
              <w:numPr>
                <w:ilvl w:val="0"/>
                <w:numId w:val="20"/>
              </w:numPr>
              <w:adjustRightInd w:val="0"/>
              <w:snapToGrid w:val="0"/>
              <w:spacing w:beforeLines="0" w:afterLines="0" w:line="0" w:lineRule="atLeast"/>
              <w:ind w:firstLineChars="0"/>
              <w:rPr>
                <w:sz w:val="24"/>
              </w:rPr>
            </w:pPr>
            <w:r w:rsidRPr="00131B9D">
              <w:rPr>
                <w:sz w:val="24"/>
              </w:rPr>
              <w:t>某些通路商甚至會在價格上動手腳，例如調高牌價，再標示低於牌價的價格為促銷價。</w:t>
            </w:r>
          </w:p>
          <w:p w:rsidR="00701467" w:rsidRPr="00131B9D" w:rsidRDefault="00701467" w:rsidP="00AC057C">
            <w:pPr>
              <w:pStyle w:val="affff0"/>
              <w:numPr>
                <w:ilvl w:val="0"/>
                <w:numId w:val="20"/>
              </w:numPr>
              <w:adjustRightInd w:val="0"/>
              <w:snapToGrid w:val="0"/>
              <w:spacing w:beforeLines="0" w:afterLines="0" w:line="0" w:lineRule="atLeast"/>
              <w:ind w:firstLineChars="0"/>
              <w:rPr>
                <w:sz w:val="24"/>
              </w:rPr>
            </w:pPr>
            <w:r w:rsidRPr="00131B9D">
              <w:rPr>
                <w:sz w:val="24"/>
              </w:rPr>
              <w:t>原物料價格變化反應在牌價上都會有落後期間，由於通路商會設法讓廠商增加許多成本</w:t>
            </w:r>
            <w:r w:rsidRPr="00131B9D">
              <w:rPr>
                <w:sz w:val="24"/>
              </w:rPr>
              <w:t>(</w:t>
            </w:r>
            <w:r w:rsidRPr="00131B9D">
              <w:rPr>
                <w:sz w:val="24"/>
              </w:rPr>
              <w:t>要求促銷或贊助廣告</w:t>
            </w:r>
            <w:r w:rsidRPr="00131B9D">
              <w:rPr>
                <w:sz w:val="24"/>
              </w:rPr>
              <w:t>)</w:t>
            </w:r>
            <w:r w:rsidRPr="00131B9D">
              <w:rPr>
                <w:sz w:val="24"/>
              </w:rPr>
              <w:t>，確實不會及時調降價格，因為對廠商而言這些也反映在通路成本中。但同理，漲價也無法及時調整，公司須考量類似產品有無調漲、顧客反應與通路同意與否。</w:t>
            </w:r>
          </w:p>
        </w:tc>
        <w:tc>
          <w:tcPr>
            <w:tcW w:w="4678" w:type="dxa"/>
            <w:tcBorders>
              <w:top w:val="single" w:sz="4" w:space="0" w:color="auto"/>
              <w:bottom w:val="single" w:sz="4" w:space="0" w:color="auto"/>
            </w:tcBorders>
            <w:shd w:val="clear" w:color="auto" w:fill="auto"/>
          </w:tcPr>
          <w:p w:rsidR="00701467" w:rsidRPr="00131B9D" w:rsidRDefault="00701467" w:rsidP="00C52B93">
            <w:pPr>
              <w:pStyle w:val="affff0"/>
              <w:numPr>
                <w:ilvl w:val="0"/>
                <w:numId w:val="22"/>
              </w:numPr>
              <w:adjustRightInd w:val="0"/>
              <w:snapToGrid w:val="0"/>
              <w:spacing w:beforeLines="0" w:afterLines="0" w:line="0" w:lineRule="atLeast"/>
              <w:ind w:left="284" w:firstLineChars="0" w:hanging="284"/>
              <w:rPr>
                <w:sz w:val="24"/>
              </w:rPr>
            </w:pPr>
            <w:r w:rsidRPr="00131B9D">
              <w:rPr>
                <w:b/>
                <w:sz w:val="24"/>
              </w:rPr>
              <w:t>加強查價，訂定明確價格調整機制</w:t>
            </w:r>
            <w:r w:rsidRPr="00131B9D">
              <w:rPr>
                <w:b/>
                <w:sz w:val="24"/>
              </w:rPr>
              <w:t>:</w:t>
            </w:r>
            <w:r w:rsidR="00C52B93" w:rsidRPr="00131B9D">
              <w:rPr>
                <w:sz w:val="24"/>
              </w:rPr>
              <w:t>A</w:t>
            </w:r>
            <w:r w:rsidRPr="00131B9D">
              <w:rPr>
                <w:sz w:val="24"/>
              </w:rPr>
              <w:t>公司內部有制定價格公式，當成本上升或下降多少百分比時，才能進行價格的變化，廠商建議賣場應有一公開透明的價格變化機制。</w:t>
            </w:r>
          </w:p>
        </w:tc>
      </w:tr>
      <w:tr w:rsidR="00701467" w:rsidRPr="00131B9D" w:rsidTr="009318AA">
        <w:trPr>
          <w:jc w:val="center"/>
        </w:trPr>
        <w:tc>
          <w:tcPr>
            <w:tcW w:w="1135" w:type="dxa"/>
            <w:tcBorders>
              <w:top w:val="single" w:sz="4" w:space="0" w:color="auto"/>
              <w:bottom w:val="single" w:sz="4" w:space="0" w:color="auto"/>
            </w:tcBorders>
            <w:shd w:val="clear" w:color="auto" w:fill="auto"/>
          </w:tcPr>
          <w:p w:rsidR="00701467" w:rsidRPr="00131B9D" w:rsidRDefault="00C52B93" w:rsidP="00C52B93">
            <w:pPr>
              <w:pStyle w:val="affff0"/>
              <w:adjustRightInd w:val="0"/>
              <w:snapToGrid w:val="0"/>
              <w:spacing w:beforeLines="0" w:afterLines="0" w:line="0" w:lineRule="atLeast"/>
              <w:ind w:firstLineChars="0" w:firstLine="0"/>
              <w:jc w:val="center"/>
              <w:rPr>
                <w:sz w:val="24"/>
              </w:rPr>
            </w:pPr>
            <w:r w:rsidRPr="00131B9D">
              <w:rPr>
                <w:sz w:val="24"/>
              </w:rPr>
              <w:t>B</w:t>
            </w:r>
          </w:p>
        </w:tc>
        <w:tc>
          <w:tcPr>
            <w:tcW w:w="4677" w:type="dxa"/>
            <w:tcBorders>
              <w:top w:val="single" w:sz="4" w:space="0" w:color="auto"/>
              <w:bottom w:val="single" w:sz="4" w:space="0" w:color="auto"/>
            </w:tcBorders>
            <w:shd w:val="clear" w:color="auto" w:fill="auto"/>
          </w:tcPr>
          <w:p w:rsidR="00701467" w:rsidRPr="00131B9D" w:rsidRDefault="00701467" w:rsidP="00AC057C">
            <w:pPr>
              <w:pStyle w:val="affff0"/>
              <w:numPr>
                <w:ilvl w:val="0"/>
                <w:numId w:val="19"/>
              </w:numPr>
              <w:adjustRightInd w:val="0"/>
              <w:snapToGrid w:val="0"/>
              <w:spacing w:beforeLines="0" w:afterLines="0" w:line="0" w:lineRule="atLeast"/>
              <w:ind w:firstLineChars="0"/>
              <w:rPr>
                <w:sz w:val="24"/>
              </w:rPr>
            </w:pPr>
            <w:r w:rsidRPr="00131B9D">
              <w:rPr>
                <w:sz w:val="24"/>
              </w:rPr>
              <w:t>毒油事件後，廠商推出較高品質，且材料較好的醬油，但通路商</w:t>
            </w:r>
            <w:r w:rsidRPr="00131B9D">
              <w:rPr>
                <w:sz w:val="24"/>
              </w:rPr>
              <w:t>(</w:t>
            </w:r>
            <w:r w:rsidRPr="00131B9D">
              <w:rPr>
                <w:sz w:val="24"/>
              </w:rPr>
              <w:t>全聯</w:t>
            </w:r>
            <w:r w:rsidRPr="00131B9D">
              <w:rPr>
                <w:sz w:val="24"/>
              </w:rPr>
              <w:t>)</w:t>
            </w:r>
            <w:r w:rsidRPr="00131B9D">
              <w:rPr>
                <w:sz w:val="24"/>
              </w:rPr>
              <w:t>不允許漲價，要求除非廠商換包裝否則不可能調漲價格。但廠商怕換包裝會失去既有客戶。</w:t>
            </w:r>
          </w:p>
          <w:p w:rsidR="00701467" w:rsidRPr="00131B9D" w:rsidRDefault="00701467" w:rsidP="00AC057C">
            <w:pPr>
              <w:pStyle w:val="affff0"/>
              <w:numPr>
                <w:ilvl w:val="0"/>
                <w:numId w:val="19"/>
              </w:numPr>
              <w:adjustRightInd w:val="0"/>
              <w:snapToGrid w:val="0"/>
              <w:spacing w:beforeLines="0" w:afterLines="0" w:line="0" w:lineRule="atLeast"/>
              <w:ind w:firstLineChars="0"/>
              <w:rPr>
                <w:sz w:val="24"/>
              </w:rPr>
            </w:pPr>
            <w:r w:rsidRPr="00131B9D">
              <w:rPr>
                <w:sz w:val="24"/>
              </w:rPr>
              <w:t>通路商會要求廠商提供費用贊助其促銷檔期之廣告。</w:t>
            </w:r>
          </w:p>
          <w:p w:rsidR="00701467" w:rsidRPr="00131B9D" w:rsidRDefault="00701467" w:rsidP="00AC057C">
            <w:pPr>
              <w:pStyle w:val="affff0"/>
              <w:numPr>
                <w:ilvl w:val="0"/>
                <w:numId w:val="19"/>
              </w:numPr>
              <w:adjustRightInd w:val="0"/>
              <w:snapToGrid w:val="0"/>
              <w:spacing w:beforeLines="0" w:afterLines="0" w:line="0" w:lineRule="atLeast"/>
              <w:ind w:firstLineChars="0"/>
              <w:rPr>
                <w:sz w:val="24"/>
              </w:rPr>
            </w:pPr>
            <w:r w:rsidRPr="00131B9D">
              <w:rPr>
                <w:sz w:val="24"/>
              </w:rPr>
              <w:t>跌幅不足與漲幅不足的情況都會發生，賣場通路在價格制定上強勢且不透明。</w:t>
            </w:r>
          </w:p>
        </w:tc>
        <w:tc>
          <w:tcPr>
            <w:tcW w:w="4678" w:type="dxa"/>
            <w:tcBorders>
              <w:top w:val="single" w:sz="4" w:space="0" w:color="auto"/>
              <w:bottom w:val="single" w:sz="4" w:space="0" w:color="auto"/>
            </w:tcBorders>
            <w:shd w:val="clear" w:color="auto" w:fill="auto"/>
          </w:tcPr>
          <w:p w:rsidR="00701467" w:rsidRPr="00131B9D" w:rsidRDefault="00701467" w:rsidP="00BD6C96">
            <w:pPr>
              <w:pStyle w:val="affff0"/>
              <w:numPr>
                <w:ilvl w:val="0"/>
                <w:numId w:val="23"/>
              </w:numPr>
              <w:adjustRightInd w:val="0"/>
              <w:snapToGrid w:val="0"/>
              <w:spacing w:beforeLines="0" w:afterLines="0" w:line="0" w:lineRule="atLeast"/>
              <w:ind w:firstLineChars="0"/>
              <w:rPr>
                <w:b/>
                <w:sz w:val="24"/>
              </w:rPr>
            </w:pPr>
            <w:r w:rsidRPr="00131B9D">
              <w:rPr>
                <w:b/>
                <w:sz w:val="24"/>
              </w:rPr>
              <w:t>建議政府拍攝宣導短片</w:t>
            </w:r>
            <w:r w:rsidRPr="00131B9D">
              <w:rPr>
                <w:b/>
                <w:sz w:val="24"/>
              </w:rPr>
              <w:t>:</w:t>
            </w:r>
            <w:r w:rsidRPr="00131B9D">
              <w:rPr>
                <w:sz w:val="24"/>
              </w:rPr>
              <w:t>近期食安問題主因近年景氣低迷，民眾選擇商品以低價取勝，導致賣場以低價競爭。廠商無法反映成本，在選擇較低價原物料來源時誤選到劣質與惡性廠商。儘管政府要求廠商標示商品明細，但甚少民眾關注品質。</w:t>
            </w:r>
            <w:r w:rsidRPr="00131B9D">
              <w:rPr>
                <w:b/>
                <w:sz w:val="24"/>
                <w:u w:val="single"/>
              </w:rPr>
              <w:t>建議利用宣導短片讓民眾對漲價與跌價一樣重視，而不是只要求跌價反對漲價。</w:t>
            </w:r>
          </w:p>
        </w:tc>
      </w:tr>
      <w:tr w:rsidR="00701467" w:rsidRPr="00131B9D" w:rsidTr="009318AA">
        <w:trPr>
          <w:jc w:val="center"/>
        </w:trPr>
        <w:tc>
          <w:tcPr>
            <w:tcW w:w="1135" w:type="dxa"/>
            <w:tcBorders>
              <w:top w:val="single" w:sz="4" w:space="0" w:color="auto"/>
              <w:bottom w:val="single" w:sz="4" w:space="0" w:color="auto"/>
            </w:tcBorders>
            <w:shd w:val="clear" w:color="auto" w:fill="auto"/>
          </w:tcPr>
          <w:p w:rsidR="00701467" w:rsidRPr="00131B9D" w:rsidRDefault="00C52B93" w:rsidP="00C52B93">
            <w:pPr>
              <w:pStyle w:val="affff0"/>
              <w:adjustRightInd w:val="0"/>
              <w:snapToGrid w:val="0"/>
              <w:spacing w:beforeLines="0" w:afterLines="0" w:line="0" w:lineRule="atLeast"/>
              <w:ind w:firstLineChars="0" w:firstLine="0"/>
              <w:jc w:val="center"/>
              <w:rPr>
                <w:sz w:val="24"/>
              </w:rPr>
            </w:pPr>
            <w:r w:rsidRPr="00131B9D">
              <w:rPr>
                <w:sz w:val="24"/>
              </w:rPr>
              <w:t>C</w:t>
            </w:r>
          </w:p>
        </w:tc>
        <w:tc>
          <w:tcPr>
            <w:tcW w:w="4677" w:type="dxa"/>
            <w:tcBorders>
              <w:top w:val="single" w:sz="4" w:space="0" w:color="auto"/>
              <w:bottom w:val="single" w:sz="4" w:space="0" w:color="auto"/>
            </w:tcBorders>
            <w:shd w:val="clear" w:color="auto" w:fill="auto"/>
          </w:tcPr>
          <w:p w:rsidR="00701467" w:rsidRPr="00131B9D" w:rsidRDefault="00701467" w:rsidP="00AC057C">
            <w:pPr>
              <w:pStyle w:val="affff0"/>
              <w:numPr>
                <w:ilvl w:val="0"/>
                <w:numId w:val="21"/>
              </w:numPr>
              <w:adjustRightInd w:val="0"/>
              <w:snapToGrid w:val="0"/>
              <w:spacing w:beforeLines="0" w:afterLines="0" w:line="0" w:lineRule="atLeast"/>
              <w:ind w:firstLineChars="0"/>
              <w:rPr>
                <w:sz w:val="24"/>
              </w:rPr>
            </w:pPr>
            <w:r w:rsidRPr="00131B9D">
              <w:rPr>
                <w:sz w:val="24"/>
              </w:rPr>
              <w:t>廠商為保有通路可能會在某些品項</w:t>
            </w:r>
            <w:r w:rsidRPr="00131B9D">
              <w:rPr>
                <w:sz w:val="24"/>
              </w:rPr>
              <w:t>(</w:t>
            </w:r>
            <w:r w:rsidRPr="00131B9D">
              <w:rPr>
                <w:sz w:val="24"/>
              </w:rPr>
              <w:t>如醬油</w:t>
            </w:r>
            <w:r w:rsidRPr="00131B9D">
              <w:rPr>
                <w:sz w:val="24"/>
              </w:rPr>
              <w:t>)</w:t>
            </w:r>
            <w:r w:rsidRPr="00131B9D">
              <w:rPr>
                <w:sz w:val="24"/>
              </w:rPr>
              <w:t>配合通路商跌價賠本促銷，只為保有飲料泡麵等產品的通路權，而在這些品項賺回其應得之利潤。</w:t>
            </w:r>
          </w:p>
        </w:tc>
        <w:tc>
          <w:tcPr>
            <w:tcW w:w="4678" w:type="dxa"/>
            <w:tcBorders>
              <w:top w:val="single" w:sz="4" w:space="0" w:color="auto"/>
              <w:bottom w:val="single" w:sz="4" w:space="0" w:color="auto"/>
            </w:tcBorders>
            <w:shd w:val="clear" w:color="auto" w:fill="auto"/>
          </w:tcPr>
          <w:p w:rsidR="00701467" w:rsidRPr="00131B9D" w:rsidRDefault="00701467" w:rsidP="009318AA">
            <w:pPr>
              <w:pStyle w:val="affff0"/>
              <w:adjustRightInd w:val="0"/>
              <w:snapToGrid w:val="0"/>
              <w:spacing w:beforeLines="0" w:afterLines="0" w:line="0" w:lineRule="atLeast"/>
              <w:ind w:firstLineChars="0" w:firstLine="0"/>
              <w:jc w:val="center"/>
              <w:rPr>
                <w:sz w:val="24"/>
              </w:rPr>
            </w:pPr>
            <w:r w:rsidRPr="00131B9D">
              <w:rPr>
                <w:sz w:val="24"/>
              </w:rPr>
              <w:t>無</w:t>
            </w:r>
          </w:p>
        </w:tc>
      </w:tr>
    </w:tbl>
    <w:p w:rsidR="00004EBD" w:rsidRPr="00131B9D" w:rsidRDefault="00004EBD" w:rsidP="00004EBD"/>
    <w:p w:rsidR="00695F16" w:rsidRPr="00131B9D" w:rsidRDefault="00695F16" w:rsidP="00695F16"/>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綜上所述，漲價與跌價皆會發生不足的情況，關鍵點在於賣場掌握通路</w:t>
      </w:r>
      <w:r w:rsidRPr="00131B9D">
        <w:rPr>
          <w:rFonts w:eastAsia="標楷體"/>
          <w:spacing w:val="4"/>
          <w:sz w:val="26"/>
        </w:rPr>
        <w:lastRenderedPageBreak/>
        <w:t>的主導權，因此對於價格漲跌掌握大權，且沒有明確機制。至於是否與國際行情悖離則應視通路類型而定。例如，好市多分店與商品數量有限，該店經營策略以品質為優先考量而非以低價取勝，上述情況會比較輕微。</w:t>
      </w:r>
    </w:p>
    <w:p w:rsidR="00F31388" w:rsidRPr="00131B9D" w:rsidRDefault="00F31388" w:rsidP="00004EBD"/>
    <w:p w:rsidR="00701467" w:rsidRPr="00131B9D" w:rsidRDefault="00701467" w:rsidP="00BF467C">
      <w:pPr>
        <w:spacing w:before="120" w:after="120" w:line="360" w:lineRule="auto"/>
        <w:ind w:firstLine="482"/>
        <w:jc w:val="both"/>
        <w:rPr>
          <w:rFonts w:eastAsia="標楷體"/>
          <w:b/>
          <w:spacing w:val="4"/>
          <w:sz w:val="26"/>
        </w:rPr>
      </w:pPr>
      <w:r w:rsidRPr="00131B9D">
        <w:rPr>
          <w:rFonts w:eastAsia="標楷體"/>
          <w:b/>
          <w:spacing w:val="4"/>
          <w:sz w:val="26"/>
        </w:rPr>
        <w:t>問二：市場運作常態，政府能否介入？有需要就法令加以釐清，避免過度干預？</w:t>
      </w:r>
    </w:p>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答二：這個問題可以區分為兩個層面回答</w:t>
      </w:r>
      <w:r w:rsidRPr="00131B9D">
        <w:rPr>
          <w:rFonts w:eastAsia="標楷體"/>
          <w:spacing w:val="4"/>
          <w:sz w:val="26"/>
        </w:rPr>
        <w:t>:</w:t>
      </w:r>
    </w:p>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第一，政府是否應該介入廠商反映價格調漲</w:t>
      </w:r>
      <w:r w:rsidR="00F31388" w:rsidRPr="00131B9D">
        <w:rPr>
          <w:rFonts w:eastAsia="標楷體"/>
          <w:spacing w:val="4"/>
          <w:sz w:val="26"/>
        </w:rPr>
        <w:t>？</w:t>
      </w:r>
      <w:r w:rsidRPr="00131B9D">
        <w:rPr>
          <w:rFonts w:eastAsia="標楷體"/>
          <w:spacing w:val="4"/>
          <w:sz w:val="26"/>
        </w:rPr>
        <w:t>原則上不建議，惟若屬天災所造成之農產品價格變化，政府可適度介入。價格變化本來就是市場機制，下表彙整中國、韓國、阿根廷、英國、美國、委內瑞拉與俄羅斯曾進行之價格管制的手段與方法。從歷史上各國進行價格管制的經驗可知，最終結果不是管制無效就是造成某些產品無法於市場上購得，產品價格不降反升。更甚者以廉價劣質產品替代原產品。臺灣近年許多食安問題就是因為市場與顧客不接受漲價，廠商在無法反映原物料上漲的情況下而使用到劣質有毒產品。此外，國內許多民生物資品都有很高的商品替代性</w:t>
      </w:r>
      <w:r w:rsidRPr="00131B9D">
        <w:rPr>
          <w:rFonts w:eastAsia="標楷體"/>
          <w:spacing w:val="4"/>
          <w:sz w:val="26"/>
        </w:rPr>
        <w:t>(</w:t>
      </w:r>
      <w:r w:rsidRPr="00131B9D">
        <w:rPr>
          <w:rFonts w:eastAsia="標楷體"/>
          <w:spacing w:val="4"/>
          <w:sz w:val="26"/>
        </w:rPr>
        <w:t>如奶粉或沙拉油</w:t>
      </w:r>
      <w:r w:rsidRPr="00131B9D">
        <w:rPr>
          <w:rFonts w:eastAsia="標楷體"/>
          <w:spacing w:val="4"/>
          <w:sz w:val="26"/>
        </w:rPr>
        <w:t>)</w:t>
      </w:r>
      <w:r w:rsidRPr="00131B9D">
        <w:rPr>
          <w:rFonts w:eastAsia="標楷體"/>
          <w:spacing w:val="4"/>
          <w:sz w:val="26"/>
        </w:rPr>
        <w:t>，在品質上也有相當差異。價格的區隔某種程度也是市場與顧客的區隔。</w:t>
      </w:r>
    </w:p>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不過，對於因天災所造成之農產品價格變化，則建議政府可「適度」介入。例如，以豬肉為例，天災或疾病造成某期間豬肉供不應求，價格會上漲，呈現「肉貴傷民」的情況，這時政府可適度介入請台糖釋放部分肉品。有時短期供需失衡而造成的價格上漲，使豬農認為有利可圖會增加養殖數量，使得許多投機者進入此行業。但因為從幼豬到可上市，需要一段時間。但因價格信號遲緩，最後待到生豬上市時因供應大增導致價格大跌，又變成「肉賤傷農」。此種農產品價格周期性的波動，亦即「蛛網理論」。在上述情況下，研究團隊建議政府適時介入與干預是可行的。</w:t>
      </w:r>
    </w:p>
    <w:p w:rsidR="00701467" w:rsidRPr="00131B9D" w:rsidRDefault="00701467" w:rsidP="00004EBD"/>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第二，政府是否應該介入通路商與廠商間的不對等關係</w:t>
      </w:r>
      <w:r w:rsidR="00F31388" w:rsidRPr="00131B9D">
        <w:rPr>
          <w:rFonts w:eastAsia="標楷體"/>
          <w:spacing w:val="4"/>
          <w:sz w:val="26"/>
        </w:rPr>
        <w:t>？</w:t>
      </w:r>
      <w:r w:rsidRPr="00131B9D">
        <w:rPr>
          <w:rFonts w:eastAsia="標楷體"/>
          <w:spacing w:val="4"/>
          <w:sz w:val="26"/>
        </w:rPr>
        <w:t>可以介入，但不宜直接採用法律方式強勢介入。制定法律須有明確法源，且目前這種狀況是因為通路商掌握通路所導致的不對等關係。即使強硬制定法律，廠商為了</w:t>
      </w:r>
      <w:r w:rsidRPr="00131B9D">
        <w:rPr>
          <w:rFonts w:eastAsia="標楷體"/>
          <w:spacing w:val="4"/>
          <w:sz w:val="26"/>
        </w:rPr>
        <w:lastRenderedPageBreak/>
        <w:t>通路能仍可能與通路商妥協。研究團隊比較建議以下列方式進行</w:t>
      </w:r>
      <w:r w:rsidRPr="00131B9D">
        <w:rPr>
          <w:rFonts w:eastAsia="標楷體"/>
          <w:spacing w:val="4"/>
          <w:sz w:val="26"/>
        </w:rPr>
        <w:t>:</w:t>
      </w:r>
    </w:p>
    <w:p w:rsidR="00701467" w:rsidRPr="00131B9D" w:rsidRDefault="00701467" w:rsidP="00BD6C96">
      <w:pPr>
        <w:pStyle w:val="affe"/>
        <w:numPr>
          <w:ilvl w:val="0"/>
          <w:numId w:val="25"/>
        </w:numPr>
        <w:spacing w:before="120" w:after="120" w:line="360" w:lineRule="auto"/>
        <w:ind w:leftChars="0"/>
        <w:jc w:val="both"/>
        <w:rPr>
          <w:rFonts w:ascii="Times New Roman" w:eastAsia="標楷體" w:hAnsi="Times New Roman" w:cs="Times New Roman"/>
          <w:spacing w:val="4"/>
          <w:sz w:val="26"/>
        </w:rPr>
      </w:pPr>
      <w:r w:rsidRPr="00131B9D">
        <w:rPr>
          <w:rFonts w:ascii="Times New Roman" w:eastAsia="標楷體" w:hAnsi="Times New Roman" w:cs="Times New Roman"/>
          <w:spacing w:val="4"/>
          <w:sz w:val="26"/>
        </w:rPr>
        <w:t>藉由公協會力量，請通路商訂定明確價格變動機制。例如，大宗原物料上漲或下跌多少比例，雙方可進行價格變動之溝通。</w:t>
      </w:r>
    </w:p>
    <w:p w:rsidR="00701467" w:rsidRPr="00131B9D" w:rsidRDefault="00701467" w:rsidP="00BD6C96">
      <w:pPr>
        <w:pStyle w:val="affe"/>
        <w:numPr>
          <w:ilvl w:val="0"/>
          <w:numId w:val="25"/>
        </w:numPr>
        <w:spacing w:before="120" w:after="120" w:line="360" w:lineRule="auto"/>
        <w:ind w:leftChars="0"/>
        <w:jc w:val="both"/>
        <w:rPr>
          <w:rFonts w:ascii="Times New Roman" w:eastAsia="標楷體" w:hAnsi="Times New Roman" w:cs="Times New Roman"/>
          <w:spacing w:val="4"/>
          <w:sz w:val="26"/>
        </w:rPr>
      </w:pPr>
      <w:r w:rsidRPr="00131B9D">
        <w:rPr>
          <w:rFonts w:ascii="Times New Roman" w:eastAsia="標楷體" w:hAnsi="Times New Roman" w:cs="Times New Roman"/>
          <w:spacing w:val="4"/>
          <w:sz w:val="26"/>
        </w:rPr>
        <w:t>參考央行邀請外資喝咖啡的方式，在必要或輿論沸騰時機邀請通路商「聊天溝通」。邀請商品多樣之大廠商與通路商聚會，智庫</w:t>
      </w:r>
      <w:r w:rsidRPr="00131B9D">
        <w:rPr>
          <w:rFonts w:ascii="Times New Roman" w:eastAsia="標楷體" w:hAnsi="Times New Roman" w:cs="Times New Roman"/>
          <w:spacing w:val="4"/>
          <w:sz w:val="26"/>
        </w:rPr>
        <w:t>(</w:t>
      </w:r>
      <w:r w:rsidRPr="00131B9D">
        <w:rPr>
          <w:rFonts w:ascii="Times New Roman" w:eastAsia="標楷體" w:hAnsi="Times New Roman" w:cs="Times New Roman"/>
          <w:spacing w:val="4"/>
          <w:sz w:val="26"/>
        </w:rPr>
        <w:t>如中經院</w:t>
      </w:r>
      <w:r w:rsidRPr="00131B9D">
        <w:rPr>
          <w:rFonts w:ascii="Times New Roman" w:eastAsia="標楷體" w:hAnsi="Times New Roman" w:cs="Times New Roman"/>
          <w:spacing w:val="4"/>
          <w:sz w:val="26"/>
        </w:rPr>
        <w:t>)</w:t>
      </w:r>
      <w:r w:rsidRPr="00131B9D">
        <w:rPr>
          <w:rFonts w:ascii="Times New Roman" w:eastAsia="標楷體" w:hAnsi="Times New Roman" w:cs="Times New Roman"/>
          <w:spacing w:val="4"/>
          <w:sz w:val="26"/>
        </w:rPr>
        <w:t>亦可派員出席，協助政府扮演橋樑溝通之角色。</w:t>
      </w:r>
    </w:p>
    <w:p w:rsidR="00F31388" w:rsidRPr="00131B9D" w:rsidRDefault="00F31388" w:rsidP="00004EBD"/>
    <w:p w:rsidR="00701467" w:rsidRPr="00131B9D" w:rsidRDefault="00701467" w:rsidP="00BF467C">
      <w:pPr>
        <w:spacing w:before="120" w:after="120" w:line="360" w:lineRule="auto"/>
        <w:ind w:firstLine="482"/>
        <w:jc w:val="both"/>
        <w:rPr>
          <w:rFonts w:eastAsia="標楷體"/>
          <w:b/>
          <w:spacing w:val="4"/>
          <w:sz w:val="26"/>
        </w:rPr>
      </w:pPr>
      <w:r w:rsidRPr="00131B9D">
        <w:rPr>
          <w:rFonts w:eastAsia="標楷體"/>
          <w:b/>
          <w:spacing w:val="4"/>
          <w:sz w:val="26"/>
        </w:rPr>
        <w:t>問三：國際市場價格的透明度應為本案關鍵，為何外界總是領先官方，取得國外降價訊息，或是發生張冠李戴</w:t>
      </w:r>
      <w:r w:rsidRPr="00131B9D">
        <w:rPr>
          <w:rFonts w:eastAsia="標楷體"/>
          <w:b/>
          <w:spacing w:val="4"/>
          <w:sz w:val="26"/>
        </w:rPr>
        <w:t>(</w:t>
      </w:r>
      <w:r w:rsidRPr="00131B9D">
        <w:rPr>
          <w:rFonts w:eastAsia="標楷體"/>
          <w:b/>
          <w:spacing w:val="4"/>
          <w:sz w:val="26"/>
        </w:rPr>
        <w:t>如烘培奶粉與食用奶粉</w:t>
      </w:r>
      <w:r w:rsidRPr="00131B9D">
        <w:rPr>
          <w:rFonts w:eastAsia="標楷體"/>
          <w:b/>
          <w:spacing w:val="4"/>
          <w:sz w:val="26"/>
        </w:rPr>
        <w:t>)</w:t>
      </w:r>
      <w:r w:rsidRPr="00131B9D">
        <w:rPr>
          <w:rFonts w:eastAsia="標楷體"/>
          <w:b/>
          <w:spacing w:val="4"/>
          <w:sz w:val="26"/>
        </w:rPr>
        <w:t>，每每造成解釋困難。</w:t>
      </w:r>
    </w:p>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答三：對於外界會高度關心的品項，確實有相當多更細的分類，例如奶粉的價格趨勢，一般國際上所持續追蹤者為</w:t>
      </w:r>
      <w:r w:rsidRPr="00131B9D">
        <w:rPr>
          <w:rFonts w:eastAsia="標楷體"/>
          <w:spacing w:val="4"/>
          <w:sz w:val="26"/>
        </w:rPr>
        <w:t>Global dairy trade</w:t>
      </w:r>
      <w:r w:rsidRPr="00131B9D">
        <w:rPr>
          <w:rFonts w:eastAsia="標楷體"/>
          <w:spacing w:val="4"/>
          <w:sz w:val="26"/>
        </w:rPr>
        <w:t>每個月公布兩次的全脂奶粉統計數據，但奶粉這個品項所追蹤的全脂奶粉，和過去一段時間國內討論的沸沸揚揚的嬰兒奶粉</w:t>
      </w:r>
      <w:r w:rsidRPr="00131B9D">
        <w:rPr>
          <w:rFonts w:eastAsia="標楷體"/>
          <w:spacing w:val="4"/>
          <w:sz w:val="26"/>
        </w:rPr>
        <w:t>(baby formula)</w:t>
      </w:r>
      <w:r w:rsidRPr="00131B9D">
        <w:rPr>
          <w:rFonts w:eastAsia="標楷體"/>
          <w:spacing w:val="4"/>
          <w:sz w:val="26"/>
        </w:rPr>
        <w:t>，其實在成份、品質要求及市場供需上是有相當大差異的。全脂奶粉成份單純，供應來源為全世界，不會有人強烈主張全脂奶粉只能從紐西蘭進口而不能從荷蘭進口，因而市場價格會隨著全球的供應增加而下跌，供應不足而上漲；然而嬰兒奶粉的成份複雜，供應來源為奶粉大廠，價格走勢就截然不同，由於父母渴望提供自己的寶貝最高品質的嬰兒奶粉，所以會去追求購買公認高品質的嬰兒奶粉品牌的產品，加上人口大國如中國大陸經濟起飛，對於外國嬰兒奶粉品牌的需求成長遠高過對中國大陸本土嬰兒奶粉品牌的需求成長，而其中的需求成長差距，更受到中國大陸毒奶粉及食安法規加嚴的影響，造成外國嬰兒奶粉品牌產品供不應求，從而排擠到臺灣嬰兒奶粉的供應，以及相關的價格走勢。由上列分析可知，全脂奶粉和嬰兒奶粉的價格及供需情況，是相當不同的。</w:t>
      </w:r>
    </w:p>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再以價格統計數據來說，以嬰兒奶粉此品項為例，由於沒有像全脂奶粉有一個全球參考價格追蹤資訊可提供，因此嬰兒奶粉價格的資訊，依據目前政府委託國內機構進行大宗原物料及民生物資價格調查的頻率及深度，在沒有額外、持續、密集的業界資訊相關新聞之追蹤分析情況下，難以掌握到如</w:t>
      </w:r>
      <w:r w:rsidRPr="00131B9D">
        <w:rPr>
          <w:rFonts w:eastAsia="標楷體"/>
          <w:spacing w:val="4"/>
          <w:sz w:val="26"/>
        </w:rPr>
        <w:lastRenderedPageBreak/>
        <w:t>嬰兒奶粉這類特殊品項的價格及供需上的變動</w:t>
      </w:r>
      <w:r w:rsidRPr="00131B9D">
        <w:rPr>
          <w:rFonts w:eastAsia="標楷體"/>
          <w:spacing w:val="4"/>
          <w:sz w:val="26"/>
        </w:rPr>
        <w:t>(</w:t>
      </w:r>
      <w:r w:rsidRPr="00131B9D">
        <w:rPr>
          <w:rFonts w:eastAsia="標楷體"/>
          <w:spacing w:val="4"/>
          <w:sz w:val="26"/>
        </w:rPr>
        <w:t>目前計畫調查奶粉品項並非嬰兒奶粉大廠，且多為成人奶粉品項，相對替代性高，民眾對該產品價格變化感受較不深</w:t>
      </w:r>
      <w:r w:rsidRPr="00131B9D">
        <w:rPr>
          <w:rFonts w:eastAsia="標楷體"/>
          <w:spacing w:val="4"/>
          <w:sz w:val="26"/>
        </w:rPr>
        <w:t>)</w:t>
      </w:r>
      <w:r w:rsidRPr="00131B9D">
        <w:rPr>
          <w:rFonts w:eastAsia="標楷體"/>
          <w:spacing w:val="4"/>
          <w:sz w:val="26"/>
        </w:rPr>
        <w:t>，因而造成解釋上的困難。</w:t>
      </w:r>
    </w:p>
    <w:p w:rsidR="00701467" w:rsidRPr="00131B9D" w:rsidRDefault="00701467" w:rsidP="00BF467C">
      <w:pPr>
        <w:spacing w:before="120" w:after="120" w:line="360" w:lineRule="auto"/>
        <w:ind w:firstLine="482"/>
        <w:jc w:val="both"/>
        <w:rPr>
          <w:rFonts w:eastAsia="標楷體"/>
          <w:spacing w:val="4"/>
          <w:sz w:val="26"/>
        </w:rPr>
      </w:pPr>
      <w:r w:rsidRPr="00131B9D">
        <w:rPr>
          <w:rFonts w:eastAsia="標楷體"/>
          <w:spacing w:val="4"/>
          <w:sz w:val="26"/>
        </w:rPr>
        <w:t>因此，對於必需進行額外、持續、密集的業界資訊相關新聞之追蹤分析，或甚至要對業界資訊持續定期調查才有可能掌握相關價格變動趨勢的品項，有必要針對已釐清確認沒有國際相關價格統計數據之特定品項，另行規劃進行特定品項的較深入追蹤分析，才能有效避免張冠李戴、解釋困難及難以舒解民怨的問題持續出現。</w:t>
      </w:r>
    </w:p>
    <w:p w:rsidR="008E5763" w:rsidRPr="00131B9D" w:rsidRDefault="008E5763" w:rsidP="00546A57">
      <w:pPr>
        <w:sectPr w:rsidR="008E5763" w:rsidRPr="00131B9D" w:rsidSect="00097B8D">
          <w:footerReference w:type="default" r:id="rId147"/>
          <w:pgSz w:w="11906" w:h="16838"/>
          <w:pgMar w:top="851" w:right="1644" w:bottom="851" w:left="1440" w:header="851" w:footer="992" w:gutter="0"/>
          <w:cols w:space="425"/>
          <w:docGrid w:linePitch="360"/>
        </w:sectPr>
      </w:pPr>
    </w:p>
    <w:p w:rsidR="00A33A0D" w:rsidRPr="00131B9D" w:rsidRDefault="00A33A0D" w:rsidP="00A33A0D">
      <w:pPr>
        <w:pStyle w:val="3"/>
        <w:rPr>
          <w:rFonts w:ascii="Times New Roman" w:hAnsi="Times New Roman"/>
        </w:rPr>
      </w:pPr>
      <w:r w:rsidRPr="00131B9D">
        <w:rPr>
          <w:rFonts w:ascii="Times New Roman" w:hAnsi="Times New Roman"/>
        </w:rPr>
        <w:lastRenderedPageBreak/>
        <w:t>（三）媒體採訪議題研析</w:t>
      </w:r>
      <w:r w:rsidRPr="00131B9D">
        <w:rPr>
          <w:rFonts w:ascii="Times New Roman" w:hAnsi="Times New Roman"/>
        </w:rPr>
        <w:t>(11/9)</w:t>
      </w:r>
    </w:p>
    <w:p w:rsidR="00A33A0D" w:rsidRPr="00131B9D" w:rsidRDefault="00A33A0D" w:rsidP="00A33A0D"/>
    <w:p w:rsidR="00A33A0D" w:rsidRPr="00131B9D" w:rsidRDefault="00A33A0D" w:rsidP="00A33A0D">
      <w:pPr>
        <w:widowControl/>
        <w:numPr>
          <w:ilvl w:val="0"/>
          <w:numId w:val="35"/>
        </w:numPr>
        <w:rPr>
          <w:b/>
          <w:color w:val="000000"/>
          <w:kern w:val="0"/>
          <w:sz w:val="27"/>
          <w:szCs w:val="27"/>
        </w:rPr>
      </w:pPr>
      <w:r w:rsidRPr="00131B9D">
        <w:rPr>
          <w:b/>
          <w:color w:val="000000"/>
          <w:kern w:val="0"/>
        </w:rPr>
        <w:t>民眾仍常抱怨物價持續上揚，尤其對食品價格的波動，民眾反應特別顯著，政府在穩定物價過程，尤其對於食品物價的掌控，是否確實感覺到較難以施力？為什麼？以往政府邀業者「喝咖啡」、往往只能道德勸說，效果有限？</w:t>
      </w:r>
    </w:p>
    <w:p w:rsidR="00A33A0D" w:rsidRPr="00131B9D" w:rsidRDefault="00A33A0D" w:rsidP="00A33A0D">
      <w:pPr>
        <w:widowControl/>
        <w:ind w:leftChars="200" w:left="480" w:firstLine="465"/>
        <w:jc w:val="both"/>
        <w:rPr>
          <w:color w:val="000000"/>
          <w:kern w:val="0"/>
        </w:rPr>
      </w:pPr>
    </w:p>
    <w:p w:rsidR="00A33A0D" w:rsidRPr="00131B9D" w:rsidRDefault="00A33A0D" w:rsidP="00A33A0D">
      <w:pPr>
        <w:widowControl/>
        <w:ind w:leftChars="200" w:left="480" w:firstLine="465"/>
        <w:jc w:val="both"/>
        <w:rPr>
          <w:color w:val="000000"/>
          <w:kern w:val="0"/>
        </w:rPr>
      </w:pPr>
      <w:r w:rsidRPr="00131B9D">
        <w:rPr>
          <w:color w:val="000000"/>
          <w:kern w:val="0"/>
        </w:rPr>
        <w:t>近期物價上漲主要有以下幾點因素</w:t>
      </w:r>
      <w:r w:rsidRPr="00131B9D">
        <w:rPr>
          <w:color w:val="000000"/>
          <w:kern w:val="0"/>
        </w:rPr>
        <w:t>:</w:t>
      </w:r>
    </w:p>
    <w:p w:rsidR="00A33A0D" w:rsidRPr="00131B9D" w:rsidRDefault="00A33A0D" w:rsidP="00A33A0D">
      <w:pPr>
        <w:widowControl/>
        <w:numPr>
          <w:ilvl w:val="0"/>
          <w:numId w:val="41"/>
        </w:numPr>
        <w:jc w:val="both"/>
        <w:rPr>
          <w:color w:val="000000"/>
          <w:kern w:val="0"/>
        </w:rPr>
      </w:pPr>
      <w:r w:rsidRPr="00131B9D">
        <w:rPr>
          <w:b/>
          <w:color w:val="000000"/>
          <w:kern w:val="0"/>
        </w:rPr>
        <w:t>疫情因素</w:t>
      </w:r>
      <w:r w:rsidRPr="00131B9D">
        <w:rPr>
          <w:b/>
          <w:color w:val="000000"/>
          <w:kern w:val="0"/>
        </w:rPr>
        <w:t>:</w:t>
      </w:r>
      <w:r w:rsidRPr="00131B9D">
        <w:rPr>
          <w:color w:val="000000"/>
          <w:kern w:val="0"/>
        </w:rPr>
        <w:t>例如</w:t>
      </w:r>
      <w:r w:rsidRPr="00131B9D">
        <w:rPr>
          <w:color w:val="000000"/>
          <w:kern w:val="0"/>
        </w:rPr>
        <w:t>2014</w:t>
      </w:r>
      <w:r w:rsidRPr="00131B9D">
        <w:rPr>
          <w:color w:val="000000"/>
          <w:kern w:val="0"/>
        </w:rPr>
        <w:t>年底到</w:t>
      </w:r>
      <w:r w:rsidRPr="00131B9D">
        <w:rPr>
          <w:color w:val="000000"/>
          <w:kern w:val="0"/>
        </w:rPr>
        <w:t>2015</w:t>
      </w:r>
      <w:r w:rsidRPr="00131B9D">
        <w:rPr>
          <w:color w:val="000000"/>
          <w:kern w:val="0"/>
        </w:rPr>
        <w:t>年上半年全台爆發嚴重禽流感疫情，禽肉與蛋價飆漲，連帶促使豬肉價格上揚，政府物價小組協調台糖釋出肉品。</w:t>
      </w:r>
    </w:p>
    <w:p w:rsidR="00A33A0D" w:rsidRPr="00131B9D" w:rsidRDefault="00A33A0D" w:rsidP="00A33A0D">
      <w:pPr>
        <w:widowControl/>
        <w:numPr>
          <w:ilvl w:val="0"/>
          <w:numId w:val="41"/>
        </w:numPr>
        <w:jc w:val="both"/>
        <w:rPr>
          <w:color w:val="000000"/>
          <w:kern w:val="0"/>
        </w:rPr>
      </w:pPr>
      <w:r w:rsidRPr="00131B9D">
        <w:rPr>
          <w:b/>
          <w:color w:val="000000"/>
          <w:kern w:val="0"/>
        </w:rPr>
        <w:t>天災因素</w:t>
      </w:r>
      <w:r w:rsidRPr="00131B9D">
        <w:rPr>
          <w:b/>
          <w:color w:val="000000"/>
          <w:kern w:val="0"/>
        </w:rPr>
        <w:t>:</w:t>
      </w:r>
      <w:r w:rsidRPr="00131B9D">
        <w:rPr>
          <w:color w:val="000000"/>
          <w:kern w:val="0"/>
        </w:rPr>
        <w:t>2015</w:t>
      </w:r>
      <w:r w:rsidRPr="00131B9D">
        <w:rPr>
          <w:color w:val="000000"/>
          <w:kern w:val="0"/>
        </w:rPr>
        <w:t>年夏秋兩季多個颱風襲台導致蔬果與菜價的驟升。政府除積極了解有無囤貨外，亦請相關部會與農委會協調。</w:t>
      </w:r>
    </w:p>
    <w:p w:rsidR="00A33A0D" w:rsidRPr="00131B9D" w:rsidRDefault="00A33A0D" w:rsidP="00A33A0D">
      <w:pPr>
        <w:widowControl/>
        <w:numPr>
          <w:ilvl w:val="0"/>
          <w:numId w:val="41"/>
        </w:numPr>
        <w:jc w:val="both"/>
        <w:rPr>
          <w:b/>
          <w:color w:val="000000"/>
          <w:kern w:val="0"/>
        </w:rPr>
      </w:pPr>
      <w:r w:rsidRPr="00131B9D">
        <w:rPr>
          <w:b/>
          <w:color w:val="000000"/>
          <w:kern w:val="0"/>
        </w:rPr>
        <w:t>食安問題</w:t>
      </w:r>
      <w:r w:rsidRPr="00131B9D">
        <w:rPr>
          <w:b/>
          <w:color w:val="000000"/>
          <w:kern w:val="0"/>
        </w:rPr>
        <w:t>:</w:t>
      </w:r>
      <w:r w:rsidRPr="00131B9D">
        <w:rPr>
          <w:color w:val="000000"/>
          <w:kern w:val="0"/>
        </w:rPr>
        <w:t>台灣過去一年來發生許多重大的食安問題，許多大型績優廠商都受到波及。因此近來多數業者在原物料選購上也更為謹慎，在調整產品配方、選用進口高級食材的同時，使得原料成本增加，這些都會反應到價格上。</w:t>
      </w:r>
    </w:p>
    <w:p w:rsidR="00A33A0D" w:rsidRPr="00131B9D" w:rsidRDefault="00A33A0D" w:rsidP="00A33A0D">
      <w:pPr>
        <w:widowControl/>
        <w:numPr>
          <w:ilvl w:val="0"/>
          <w:numId w:val="41"/>
        </w:numPr>
        <w:jc w:val="both"/>
        <w:rPr>
          <w:color w:val="000000"/>
          <w:kern w:val="0"/>
        </w:rPr>
      </w:pPr>
      <w:r w:rsidRPr="00131B9D">
        <w:rPr>
          <w:b/>
          <w:color w:val="000000"/>
          <w:kern w:val="0"/>
        </w:rPr>
        <w:t>節慶需求</w:t>
      </w:r>
      <w:r w:rsidRPr="00131B9D">
        <w:rPr>
          <w:b/>
          <w:color w:val="000000"/>
          <w:kern w:val="0"/>
        </w:rPr>
        <w:t>:</w:t>
      </w:r>
      <w:r w:rsidRPr="00131B9D">
        <w:rPr>
          <w:color w:val="000000"/>
          <w:kern w:val="0"/>
        </w:rPr>
        <w:t>例如中秋前鴨蛋價格飆升，導致部分品牌月餅調漲價格。</w:t>
      </w:r>
    </w:p>
    <w:p w:rsidR="00A33A0D" w:rsidRPr="00131B9D" w:rsidRDefault="00A33A0D" w:rsidP="00A33A0D">
      <w:pPr>
        <w:widowControl/>
        <w:ind w:leftChars="218" w:left="523" w:firstLineChars="236" w:firstLine="566"/>
        <w:jc w:val="both"/>
        <w:rPr>
          <w:kern w:val="0"/>
        </w:rPr>
      </w:pPr>
      <w:r w:rsidRPr="00131B9D">
        <w:rPr>
          <w:kern w:val="0"/>
        </w:rPr>
        <w:t>根據主計處資料顯示，近期食物類漲幅最高，其中又以占</w:t>
      </w:r>
      <w:r w:rsidRPr="00131B9D">
        <w:rPr>
          <w:kern w:val="0"/>
        </w:rPr>
        <w:t>CPI</w:t>
      </w:r>
      <w:r w:rsidRPr="00131B9D">
        <w:rPr>
          <w:kern w:val="0"/>
        </w:rPr>
        <w:t>權數近</w:t>
      </w:r>
      <w:r w:rsidRPr="00131B9D">
        <w:rPr>
          <w:kern w:val="0"/>
        </w:rPr>
        <w:t>10%</w:t>
      </w:r>
      <w:r w:rsidRPr="00131B9D">
        <w:rPr>
          <w:kern w:val="0"/>
        </w:rPr>
        <w:t>的外食費漲幅最大，而食物類支出占中低所得家庭支出比重相當高</w:t>
      </w:r>
      <w:r w:rsidRPr="00131B9D">
        <w:rPr>
          <w:kern w:val="0"/>
        </w:rPr>
        <w:t>(</w:t>
      </w:r>
      <w:r w:rsidRPr="00131B9D">
        <w:rPr>
          <w:kern w:val="0"/>
        </w:rPr>
        <w:t>占低所得家庭支出</w:t>
      </w:r>
      <w:r w:rsidRPr="00131B9D">
        <w:rPr>
          <w:kern w:val="0"/>
        </w:rPr>
        <w:t>29.96%</w:t>
      </w:r>
      <w:r w:rsidRPr="00131B9D">
        <w:rPr>
          <w:kern w:val="0"/>
        </w:rPr>
        <w:t>、占中所得家庭支出</w:t>
      </w:r>
      <w:r w:rsidRPr="00131B9D">
        <w:rPr>
          <w:kern w:val="0"/>
        </w:rPr>
        <w:t>26.11%)</w:t>
      </w:r>
      <w:r w:rsidRPr="00131B9D">
        <w:rPr>
          <w:kern w:val="0"/>
        </w:rPr>
        <w:t>，因此政府也深刻體認民眾對於物價上漲感受度仍相當強烈</w:t>
      </w:r>
      <w:r w:rsidRPr="00131B9D">
        <w:rPr>
          <w:kern w:val="0"/>
        </w:rPr>
        <w:t>(</w:t>
      </w:r>
      <w:r w:rsidRPr="00131B9D">
        <w:rPr>
          <w:kern w:val="0"/>
        </w:rPr>
        <w:t>圖</w:t>
      </w:r>
      <w:r w:rsidRPr="00131B9D">
        <w:rPr>
          <w:kern w:val="0"/>
        </w:rPr>
        <w:t>1)</w:t>
      </w:r>
      <w:r w:rsidRPr="00131B9D">
        <w:rPr>
          <w:kern w:val="0"/>
        </w:rPr>
        <w:t>。但若不是所有廠商聯合漲價，而只是特定品牌的調漲，這部分我們較難有介入空間。不過政府也會努力促成價格透明機制，讓消費者仍有更多選擇。</w:t>
      </w:r>
    </w:p>
    <w:p w:rsidR="00A33A0D" w:rsidRPr="00131B9D" w:rsidRDefault="00A33A0D" w:rsidP="00A33A0D">
      <w:pPr>
        <w:widowControl/>
        <w:ind w:left="284" w:firstLineChars="236" w:firstLine="566"/>
        <w:jc w:val="both"/>
        <w:rPr>
          <w:color w:val="000000"/>
          <w:kern w:val="0"/>
        </w:rPr>
      </w:pPr>
    </w:p>
    <w:p w:rsidR="00A33A0D" w:rsidRPr="00131B9D" w:rsidRDefault="00A33A0D" w:rsidP="00A33A0D">
      <w:pPr>
        <w:widowControl/>
        <w:numPr>
          <w:ilvl w:val="0"/>
          <w:numId w:val="35"/>
        </w:numPr>
        <w:rPr>
          <w:b/>
          <w:color w:val="000000"/>
          <w:kern w:val="0"/>
        </w:rPr>
      </w:pPr>
      <w:r w:rsidRPr="00131B9D">
        <w:rPr>
          <w:b/>
          <w:color w:val="000000"/>
          <w:kern w:val="0"/>
        </w:rPr>
        <w:t>近年在各種產品之中，食品價格的漲幅特別明顯，您認為原因為何？東西變貴，是因為內容物變好、還是作法改變？從原料、製作方式、品管、銷售通路等各環節，怎麼分析漲價因素？</w:t>
      </w:r>
    </w:p>
    <w:p w:rsidR="00A33A0D" w:rsidRPr="00131B9D" w:rsidRDefault="00A33A0D" w:rsidP="00A33A0D">
      <w:pPr>
        <w:widowControl/>
        <w:ind w:left="495"/>
        <w:rPr>
          <w:b/>
          <w:color w:val="000000"/>
          <w:kern w:val="0"/>
        </w:rPr>
      </w:pPr>
    </w:p>
    <w:p w:rsidR="00A33A0D" w:rsidRPr="00131B9D" w:rsidRDefault="00A33A0D" w:rsidP="00A33A0D">
      <w:pPr>
        <w:widowControl/>
        <w:ind w:leftChars="200" w:left="480"/>
        <w:jc w:val="both"/>
        <w:rPr>
          <w:color w:val="000000"/>
          <w:kern w:val="0"/>
        </w:rPr>
      </w:pPr>
      <w:r w:rsidRPr="00131B9D">
        <w:rPr>
          <w:b/>
          <w:color w:val="000000"/>
          <w:kern w:val="0"/>
        </w:rPr>
        <w:tab/>
      </w:r>
      <w:r w:rsidRPr="00131B9D">
        <w:rPr>
          <w:b/>
          <w:color w:val="000000"/>
          <w:kern w:val="0"/>
        </w:rPr>
        <w:t>不同食品類別因其原物料組成而有不同的訂價策略與因素，並不能一概而論。</w:t>
      </w:r>
      <w:r w:rsidRPr="00131B9D">
        <w:rPr>
          <w:color w:val="000000"/>
          <w:kern w:val="0"/>
        </w:rPr>
        <w:t>近期在食安議題受到更多關注情況下，我們也看到部分廠商在內容物上提升品質及強化品管，雖然因此價格略微提高，但這種改變仍是對於消費大眾有利，不應純粹從物價角度來看這樣的調整。此外，部分產業調整價格是因市場競爭態勢尚未成型，而這在未來可以透過推動市場更為開放透明，來改善此現象。最後，近期雖然大宗原物料價格走跌，但台幣也大幅貶值使得進口成本上升，對部分食品原料進口成本造成一定程度的影響。因此，不同食品類別因其原物料組成而有不同的訂價策略與因素，並不能一概而論。</w:t>
      </w:r>
    </w:p>
    <w:p w:rsidR="00A33A0D" w:rsidRPr="00131B9D" w:rsidRDefault="00A33A0D" w:rsidP="00A33A0D">
      <w:pPr>
        <w:widowControl/>
        <w:ind w:left="495" w:firstLine="465"/>
        <w:jc w:val="both"/>
        <w:rPr>
          <w:color w:val="000000"/>
          <w:kern w:val="0"/>
        </w:rPr>
      </w:pPr>
    </w:p>
    <w:p w:rsidR="00A33A0D" w:rsidRPr="00131B9D" w:rsidRDefault="00A33A0D" w:rsidP="00A33A0D">
      <w:pPr>
        <w:widowControl/>
        <w:numPr>
          <w:ilvl w:val="0"/>
          <w:numId w:val="35"/>
        </w:numPr>
        <w:rPr>
          <w:b/>
          <w:color w:val="000000"/>
          <w:kern w:val="0"/>
          <w:sz w:val="27"/>
          <w:szCs w:val="27"/>
        </w:rPr>
      </w:pPr>
      <w:r w:rsidRPr="00131B9D">
        <w:rPr>
          <w:b/>
          <w:color w:val="000000"/>
          <w:kern w:val="0"/>
        </w:rPr>
        <w:lastRenderedPageBreak/>
        <w:t>對食品店家而言，油電水瓦斯、房租也是成本，因此食物漲價的源頭，不一定只來自食材漲價。而且食品一漲價，往往很難調降，綜合各種內外因素，吃東西在台灣將變得愈來愈貴，此現象已然不可逆？</w:t>
      </w:r>
    </w:p>
    <w:p w:rsidR="00A33A0D" w:rsidRPr="00131B9D" w:rsidRDefault="00A33A0D" w:rsidP="00A33A0D">
      <w:pPr>
        <w:widowControl/>
        <w:ind w:left="495"/>
        <w:rPr>
          <w:b/>
          <w:color w:val="000000"/>
          <w:kern w:val="0"/>
          <w:sz w:val="27"/>
          <w:szCs w:val="27"/>
        </w:rPr>
      </w:pPr>
    </w:p>
    <w:p w:rsidR="00A33A0D" w:rsidRPr="00131B9D" w:rsidRDefault="00A33A0D" w:rsidP="00A33A0D">
      <w:pPr>
        <w:widowControl/>
        <w:ind w:leftChars="200" w:left="480"/>
        <w:rPr>
          <w:color w:val="000000"/>
          <w:kern w:val="0"/>
        </w:rPr>
      </w:pPr>
      <w:r w:rsidRPr="00131B9D">
        <w:rPr>
          <w:b/>
          <w:color w:val="000000"/>
          <w:kern w:val="0"/>
        </w:rPr>
        <w:tab/>
      </w:r>
      <w:r w:rsidRPr="00131B9D">
        <w:rPr>
          <w:b/>
          <w:color w:val="000000"/>
          <w:kern w:val="0"/>
        </w:rPr>
        <w:t>食品價格調整並非不可逆。</w:t>
      </w:r>
      <w:r w:rsidRPr="00131B9D">
        <w:rPr>
          <w:color w:val="000000"/>
          <w:kern w:val="0"/>
        </w:rPr>
        <w:t>確實大宗原物料及能源、房租等價格上漲引導物價上漲。但近一年來我們也陸續看到黃小玉及能源等價格走跌，國內房價也開始走軟，對於這些原料與能源價格較敏感的產品，其實是會反應的，所以食物漲價不可逆並非必然，其實是有改變的可能性。</w:t>
      </w:r>
      <w:r w:rsidRPr="00131B9D">
        <w:rPr>
          <w:b/>
          <w:color w:val="000000"/>
          <w:kern w:val="0"/>
        </w:rPr>
        <w:t>此外，市場國際化與商品多樣化能使得價格下降。</w:t>
      </w:r>
      <w:r w:rsidRPr="00131B9D">
        <w:rPr>
          <w:color w:val="000000"/>
          <w:kern w:val="0"/>
        </w:rPr>
        <w:t>如果我國市場更為國際化，食品價格其實是會相當多元的，有很親民的，當然也會有很昂貴的，將視客群而定。例如小時候我們的蘋果是很貴的，但現在蘋果真得有很多選擇，有的很貴，但有的很便宜。奇異果也因為台紐協定的簽訂價格更為親民。我們也應了解，雖然名目物價一般而言會持續上漲，但購買力上升仍能抵銷物價漲幅。當薪資穩健成長時，實質購買力並未下降。</w:t>
      </w:r>
    </w:p>
    <w:p w:rsidR="00A33A0D" w:rsidRPr="00131B9D" w:rsidRDefault="00A33A0D" w:rsidP="00A33A0D">
      <w:pPr>
        <w:widowControl/>
        <w:ind w:leftChars="206" w:left="494"/>
        <w:jc w:val="both"/>
        <w:rPr>
          <w:b/>
          <w:color w:val="000000"/>
          <w:kern w:val="0"/>
        </w:rPr>
      </w:pPr>
      <w:r w:rsidRPr="00131B9D">
        <w:rPr>
          <w:b/>
          <w:color w:val="000000"/>
          <w:kern w:val="0"/>
        </w:rPr>
        <w:tab/>
      </w:r>
      <w:r w:rsidRPr="00131B9D">
        <w:rPr>
          <w:b/>
          <w:color w:val="000000"/>
          <w:kern w:val="0"/>
        </w:rPr>
        <w:t>近期，國際景氣消費力道遲緩、企業毛利降低導致薪水漲幅不夠，但經濟部近年也正鼓勵企業進行創新與蛻變，協助企業提升競爭力並從而調高薪資，若薪資成長幅度夠，對於物價上漲的壓力就相對變小。</w:t>
      </w:r>
    </w:p>
    <w:p w:rsidR="00A33A0D" w:rsidRPr="00131B9D" w:rsidRDefault="00A33A0D" w:rsidP="00A33A0D">
      <w:pPr>
        <w:widowControl/>
        <w:ind w:left="975"/>
        <w:jc w:val="both"/>
        <w:rPr>
          <w:b/>
          <w:color w:val="000000"/>
          <w:kern w:val="0"/>
        </w:rPr>
      </w:pPr>
    </w:p>
    <w:p w:rsidR="00A33A0D" w:rsidRPr="00131B9D" w:rsidRDefault="00A33A0D" w:rsidP="00A33A0D">
      <w:pPr>
        <w:widowControl/>
        <w:numPr>
          <w:ilvl w:val="0"/>
          <w:numId w:val="35"/>
        </w:numPr>
        <w:rPr>
          <w:b/>
          <w:color w:val="000000"/>
          <w:kern w:val="0"/>
          <w:sz w:val="27"/>
          <w:szCs w:val="27"/>
        </w:rPr>
      </w:pPr>
      <w:r w:rsidRPr="00131B9D">
        <w:rPr>
          <w:b/>
          <w:color w:val="000000"/>
          <w:kern w:val="0"/>
        </w:rPr>
        <w:t>國際糧價上漲儼然是趨勢，曾有研究指出</w:t>
      </w:r>
      <w:r w:rsidRPr="00131B9D">
        <w:rPr>
          <w:b/>
          <w:color w:val="000000"/>
          <w:kern w:val="0"/>
        </w:rPr>
        <w:t>2030</w:t>
      </w:r>
      <w:r w:rsidRPr="00131B9D">
        <w:rPr>
          <w:b/>
          <w:color w:val="000000"/>
          <w:kern w:val="0"/>
        </w:rPr>
        <w:t>年食品價格會漲一倍。政府對此趨勢的觀點與因應之道？</w:t>
      </w:r>
    </w:p>
    <w:p w:rsidR="00A33A0D" w:rsidRPr="00131B9D" w:rsidRDefault="00A33A0D" w:rsidP="00A33A0D">
      <w:pPr>
        <w:widowControl/>
        <w:ind w:leftChars="200" w:left="480"/>
        <w:jc w:val="both"/>
        <w:rPr>
          <w:b/>
          <w:color w:val="000000"/>
          <w:kern w:val="0"/>
        </w:rPr>
      </w:pPr>
    </w:p>
    <w:p w:rsidR="00A33A0D" w:rsidRPr="00131B9D" w:rsidRDefault="00A33A0D" w:rsidP="00A33A0D">
      <w:pPr>
        <w:widowControl/>
        <w:ind w:leftChars="200" w:left="480" w:firstLine="480"/>
        <w:jc w:val="both"/>
        <w:rPr>
          <w:color w:val="000000"/>
          <w:kern w:val="0"/>
        </w:rPr>
      </w:pPr>
      <w:r w:rsidRPr="00131B9D">
        <w:rPr>
          <w:color w:val="000000"/>
          <w:kern w:val="0"/>
        </w:rPr>
        <w:t>根據世界銀行</w:t>
      </w:r>
      <w:r w:rsidRPr="00131B9D">
        <w:rPr>
          <w:color w:val="000000"/>
          <w:kern w:val="0"/>
        </w:rPr>
        <w:t>2015</w:t>
      </w:r>
      <w:r w:rsidRPr="00131B9D">
        <w:rPr>
          <w:color w:val="000000"/>
          <w:kern w:val="0"/>
        </w:rPr>
        <w:t>年</w:t>
      </w:r>
      <w:r w:rsidRPr="00131B9D">
        <w:rPr>
          <w:color w:val="000000"/>
          <w:kern w:val="0"/>
        </w:rPr>
        <w:t>8</w:t>
      </w:r>
      <w:r w:rsidRPr="00131B9D">
        <w:rPr>
          <w:color w:val="000000"/>
          <w:kern w:val="0"/>
        </w:rPr>
        <w:t>月最新預測數據資料顯示，食品價格指數由</w:t>
      </w:r>
      <w:r w:rsidRPr="00131B9D">
        <w:rPr>
          <w:color w:val="000000"/>
          <w:kern w:val="0"/>
        </w:rPr>
        <w:t>2015</w:t>
      </w:r>
      <w:r w:rsidRPr="00131B9D">
        <w:rPr>
          <w:color w:val="000000"/>
          <w:kern w:val="0"/>
        </w:rPr>
        <w:t>年將持續上升至</w:t>
      </w:r>
      <w:r w:rsidRPr="00131B9D">
        <w:rPr>
          <w:color w:val="000000"/>
          <w:kern w:val="0"/>
        </w:rPr>
        <w:t>2025</w:t>
      </w:r>
      <w:r w:rsidRPr="00131B9D">
        <w:rPr>
          <w:color w:val="000000"/>
          <w:kern w:val="0"/>
        </w:rPr>
        <w:t>年，漲幅為</w:t>
      </w:r>
      <w:r w:rsidRPr="00131B9D">
        <w:rPr>
          <w:color w:val="000000"/>
          <w:kern w:val="0"/>
        </w:rPr>
        <w:t>13.4%</w:t>
      </w:r>
      <w:r w:rsidRPr="00131B9D">
        <w:rPr>
          <w:color w:val="000000"/>
          <w:kern w:val="0"/>
        </w:rPr>
        <w:t>（如圖</w:t>
      </w:r>
      <w:r w:rsidRPr="00131B9D">
        <w:rPr>
          <w:color w:val="000000"/>
          <w:kern w:val="0"/>
        </w:rPr>
        <w:t>2</w:t>
      </w:r>
      <w:r w:rsidRPr="00131B9D">
        <w:rPr>
          <w:color w:val="000000"/>
          <w:kern w:val="0"/>
        </w:rPr>
        <w:t>），故在無重大事件發生下，至</w:t>
      </w:r>
      <w:r w:rsidRPr="00131B9D">
        <w:rPr>
          <w:color w:val="000000"/>
          <w:kern w:val="0"/>
        </w:rPr>
        <w:t>2030</w:t>
      </w:r>
      <w:r w:rsidRPr="00131B9D">
        <w:rPr>
          <w:color w:val="000000"/>
          <w:kern w:val="0"/>
        </w:rPr>
        <w:t>年食品價格漲幅達一倍的可能性不高。但聖嬰現象正波及糧食價格，氣候異常也可能威脅巴西等農產大國的收成，進而造成糧食供給壓力，根據聯合國糧農組織（</w:t>
      </w:r>
      <w:r w:rsidRPr="00131B9D">
        <w:rPr>
          <w:color w:val="000000"/>
          <w:kern w:val="0"/>
        </w:rPr>
        <w:t>FAO</w:t>
      </w:r>
      <w:r w:rsidRPr="00131B9D">
        <w:rPr>
          <w:color w:val="000000"/>
          <w:kern w:val="0"/>
        </w:rPr>
        <w:t>）</w:t>
      </w:r>
      <w:r w:rsidRPr="00131B9D">
        <w:rPr>
          <w:color w:val="000000"/>
          <w:kern w:val="0"/>
        </w:rPr>
        <w:t>11</w:t>
      </w:r>
      <w:r w:rsidRPr="00131B9D">
        <w:rPr>
          <w:color w:val="000000"/>
          <w:kern w:val="0"/>
        </w:rPr>
        <w:t>月</w:t>
      </w:r>
      <w:r w:rsidRPr="00131B9D">
        <w:rPr>
          <w:color w:val="000000"/>
          <w:kern w:val="0"/>
        </w:rPr>
        <w:t>5</w:t>
      </w:r>
      <w:r w:rsidRPr="00131B9D">
        <w:rPr>
          <w:color w:val="000000"/>
          <w:kern w:val="0"/>
        </w:rPr>
        <w:t>日公布的全球糧食價格指數，</w:t>
      </w:r>
      <w:r w:rsidRPr="00131B9D">
        <w:rPr>
          <w:color w:val="000000"/>
          <w:kern w:val="0"/>
        </w:rPr>
        <w:t>10</w:t>
      </w:r>
      <w:r w:rsidRPr="00131B9D">
        <w:rPr>
          <w:color w:val="000000"/>
          <w:kern w:val="0"/>
        </w:rPr>
        <w:t>月較前一月份上升</w:t>
      </w:r>
      <w:r w:rsidRPr="00131B9D">
        <w:rPr>
          <w:color w:val="000000"/>
          <w:kern w:val="0"/>
        </w:rPr>
        <w:t>3.9%</w:t>
      </w:r>
      <w:r w:rsidRPr="00131B9D">
        <w:rPr>
          <w:color w:val="000000"/>
          <w:kern w:val="0"/>
        </w:rPr>
        <w:t>，在所有糧食中，以糖價的漲幅最大，乳製品次之，再來為植物油的價格。食品價格上漲除了造成業者的經營壓力外，也對於民眾日常的生活開支造成影響，對於食品價格上漲的因應之道，可行作法如下：</w:t>
      </w:r>
    </w:p>
    <w:p w:rsidR="00A33A0D" w:rsidRPr="00131B9D" w:rsidRDefault="00A33A0D" w:rsidP="00A33A0D">
      <w:pPr>
        <w:widowControl/>
        <w:numPr>
          <w:ilvl w:val="0"/>
          <w:numId w:val="42"/>
        </w:numPr>
        <w:snapToGrid w:val="0"/>
        <w:spacing w:beforeLines="50" w:before="180" w:afterLines="50" w:after="180" w:line="0" w:lineRule="atLeast"/>
        <w:ind w:left="1457" w:hanging="482"/>
        <w:rPr>
          <w:color w:val="000000"/>
          <w:kern w:val="0"/>
        </w:rPr>
      </w:pPr>
      <w:r w:rsidRPr="00131B9D">
        <w:rPr>
          <w:color w:val="000000"/>
          <w:kern w:val="0"/>
        </w:rPr>
        <w:t>持續監控物價波動情形，包括檢視國際大宗物資價格變動、國內賣場有無人為操縱、哄抬物價情事，並鼓勵全民共同審視，一旦發現不法與價格異常現象，立即查察追蹤。</w:t>
      </w:r>
    </w:p>
    <w:p w:rsidR="00A33A0D" w:rsidRPr="00131B9D" w:rsidRDefault="00A33A0D" w:rsidP="00A33A0D">
      <w:pPr>
        <w:widowControl/>
        <w:numPr>
          <w:ilvl w:val="0"/>
          <w:numId w:val="42"/>
        </w:numPr>
        <w:snapToGrid w:val="0"/>
        <w:spacing w:beforeLines="50" w:before="180" w:afterLines="50" w:after="180" w:line="0" w:lineRule="atLeast"/>
        <w:ind w:left="1457" w:hanging="482"/>
        <w:rPr>
          <w:color w:val="000000"/>
          <w:kern w:val="0"/>
        </w:rPr>
      </w:pPr>
      <w:r w:rsidRPr="00131B9D">
        <w:rPr>
          <w:color w:val="000000"/>
          <w:kern w:val="0"/>
        </w:rPr>
        <w:t>持續開放產業自由化競爭，並釋出政府於低價蒐購商品之庫存、擴大開放商品自國外進口、提高囤積哄抬行為之懲罰罰款、適度調降關稅、貨物稅等稅率。</w:t>
      </w:r>
    </w:p>
    <w:p w:rsidR="00A33A0D" w:rsidRPr="00131B9D" w:rsidRDefault="00A33A0D" w:rsidP="00A33A0D">
      <w:pPr>
        <w:widowControl/>
        <w:numPr>
          <w:ilvl w:val="0"/>
          <w:numId w:val="42"/>
        </w:numPr>
        <w:snapToGrid w:val="0"/>
        <w:spacing w:beforeLines="50" w:before="180" w:afterLines="50" w:after="180" w:line="0" w:lineRule="atLeast"/>
        <w:ind w:left="1457" w:hanging="482"/>
        <w:rPr>
          <w:color w:val="000000"/>
          <w:kern w:val="0"/>
        </w:rPr>
      </w:pPr>
      <w:r w:rsidRPr="00131B9D">
        <w:rPr>
          <w:color w:val="000000"/>
          <w:kern w:val="0"/>
        </w:rPr>
        <w:t>有效掌握農業生產基礎資料和產銷即時資訊，透過產銷情況瞭解市場是否存在供需缺口，另外也可使資源獲得妥善分配。</w:t>
      </w:r>
    </w:p>
    <w:p w:rsidR="00A33A0D" w:rsidRPr="00131B9D" w:rsidRDefault="00A33A0D" w:rsidP="00A33A0D">
      <w:pPr>
        <w:widowControl/>
        <w:numPr>
          <w:ilvl w:val="0"/>
          <w:numId w:val="42"/>
        </w:numPr>
        <w:snapToGrid w:val="0"/>
        <w:spacing w:beforeLines="50" w:before="180" w:afterLines="50" w:after="180" w:line="0" w:lineRule="atLeast"/>
        <w:ind w:left="1457" w:hanging="482"/>
        <w:rPr>
          <w:color w:val="000000"/>
          <w:kern w:val="0"/>
        </w:rPr>
      </w:pPr>
      <w:r w:rsidRPr="00131B9D">
        <w:rPr>
          <w:color w:val="000000"/>
          <w:kern w:val="0"/>
        </w:rPr>
        <w:lastRenderedPageBreak/>
        <w:t>視經濟情勢，搭配食品券或其他補貼措施，協助弱勢群體取得基本生活所需之資源。</w:t>
      </w:r>
    </w:p>
    <w:p w:rsidR="00A33A0D" w:rsidRPr="00131B9D" w:rsidRDefault="00A33A0D" w:rsidP="00A33A0D">
      <w:pPr>
        <w:widowControl/>
        <w:tabs>
          <w:tab w:val="left" w:pos="2310"/>
        </w:tabs>
        <w:ind w:left="495"/>
        <w:rPr>
          <w:color w:val="000000"/>
          <w:kern w:val="0"/>
          <w:sz w:val="27"/>
          <w:szCs w:val="27"/>
        </w:rPr>
      </w:pPr>
    </w:p>
    <w:p w:rsidR="00A33A0D" w:rsidRPr="00131B9D" w:rsidRDefault="00A33A0D" w:rsidP="00A33A0D">
      <w:pPr>
        <w:widowControl/>
        <w:numPr>
          <w:ilvl w:val="0"/>
          <w:numId w:val="35"/>
        </w:numPr>
        <w:rPr>
          <w:b/>
          <w:color w:val="000000"/>
          <w:kern w:val="0"/>
          <w:sz w:val="27"/>
          <w:szCs w:val="27"/>
        </w:rPr>
      </w:pPr>
      <w:r w:rsidRPr="00131B9D">
        <w:rPr>
          <w:b/>
          <w:color w:val="000000"/>
          <w:kern w:val="0"/>
        </w:rPr>
        <w:t>調高售價並非萬惡，但如何確保合理的調整價格？民眾如何有能力分辨？對於食品價格的透明度，國內從生產方、加工製造、通路業者等各階段，是否做得不足？</w:t>
      </w:r>
    </w:p>
    <w:p w:rsidR="00A33A0D" w:rsidRPr="00131B9D" w:rsidRDefault="00A33A0D" w:rsidP="00A33A0D">
      <w:pPr>
        <w:widowControl/>
        <w:ind w:left="495"/>
        <w:rPr>
          <w:b/>
          <w:color w:val="000000"/>
          <w:kern w:val="0"/>
          <w:sz w:val="27"/>
          <w:szCs w:val="27"/>
        </w:rPr>
      </w:pPr>
    </w:p>
    <w:p w:rsidR="00A33A0D" w:rsidRPr="00131B9D" w:rsidRDefault="00A33A0D" w:rsidP="00A33A0D">
      <w:pPr>
        <w:widowControl/>
        <w:ind w:leftChars="200" w:left="480"/>
        <w:jc w:val="both"/>
        <w:rPr>
          <w:color w:val="000000"/>
          <w:kern w:val="0"/>
        </w:rPr>
      </w:pPr>
      <w:r w:rsidRPr="00131B9D">
        <w:rPr>
          <w:color w:val="000000"/>
          <w:kern w:val="0"/>
        </w:rPr>
        <w:tab/>
      </w:r>
      <w:r w:rsidRPr="00131B9D">
        <w:rPr>
          <w:color w:val="000000"/>
          <w:kern w:val="0"/>
        </w:rPr>
        <w:t>經濟部目前監控範圍涵蓋全台</w:t>
      </w:r>
      <w:r w:rsidRPr="00131B9D">
        <w:rPr>
          <w:color w:val="000000"/>
          <w:kern w:val="0"/>
        </w:rPr>
        <w:t>32</w:t>
      </w:r>
      <w:r w:rsidRPr="00131B9D">
        <w:rPr>
          <w:color w:val="000000"/>
          <w:kern w:val="0"/>
        </w:rPr>
        <w:t>家便利店、超市與量販店，查價品項更多達</w:t>
      </w:r>
      <w:r w:rsidRPr="00131B9D">
        <w:rPr>
          <w:color w:val="000000"/>
          <w:kern w:val="0"/>
        </w:rPr>
        <w:t>138</w:t>
      </w:r>
      <w:r w:rsidRPr="00131B9D">
        <w:rPr>
          <w:color w:val="000000"/>
          <w:kern w:val="0"/>
        </w:rPr>
        <w:t>項民生商品，此外也可提供北、中、南及東部等區域性價格資訊。</w:t>
      </w:r>
      <w:r w:rsidRPr="00131B9D">
        <w:rPr>
          <w:b/>
          <w:color w:val="000000"/>
          <w:kern w:val="0"/>
        </w:rPr>
        <w:t>為了提升資訊透明度，經濟部目前正在評估將查價結果與相關資訊公開包括提供民眾「國內民生物資價格」與「國際農工原料價格」等資訊。食安問題爆發後，多數廠商進行配方的調整，政府也將鼓勵業者針對漲價原因進行說明，</w:t>
      </w:r>
      <w:r w:rsidRPr="00131B9D">
        <w:rPr>
          <w:color w:val="000000"/>
          <w:kern w:val="0"/>
        </w:rPr>
        <w:t>包括配方調整、反應成本等原因，讓民眾了解調漲是否合理。當然，如果民眾認為不合理也可以拒絕購買。</w:t>
      </w:r>
    </w:p>
    <w:p w:rsidR="00A33A0D" w:rsidRPr="00131B9D" w:rsidRDefault="00A33A0D" w:rsidP="00A33A0D">
      <w:pPr>
        <w:rPr>
          <w:szCs w:val="22"/>
        </w:rPr>
      </w:pPr>
    </w:p>
    <w:p w:rsidR="00A33A0D" w:rsidRPr="00131B9D" w:rsidRDefault="00A33A0D" w:rsidP="00A33A0D">
      <w:pPr>
        <w:widowControl/>
        <w:numPr>
          <w:ilvl w:val="0"/>
          <w:numId w:val="35"/>
        </w:numPr>
        <w:rPr>
          <w:b/>
          <w:color w:val="000000"/>
          <w:kern w:val="0"/>
          <w:sz w:val="27"/>
          <w:szCs w:val="27"/>
        </w:rPr>
      </w:pPr>
      <w:r w:rsidRPr="00131B9D">
        <w:rPr>
          <w:b/>
          <w:color w:val="000000"/>
          <w:kern w:val="0"/>
        </w:rPr>
        <w:t>定價其實是自由市場機制，政府如何在穩定物價和干預業者之間，找到平衡點？對於想享有合理價格的環境，哪些是政府可以做？哪些是要靠業者？消費者又能扮演什麼角色？</w:t>
      </w:r>
    </w:p>
    <w:p w:rsidR="00A33A0D" w:rsidRPr="00131B9D" w:rsidRDefault="00A33A0D" w:rsidP="00A33A0D">
      <w:pPr>
        <w:widowControl/>
        <w:ind w:left="975"/>
        <w:jc w:val="both"/>
        <w:rPr>
          <w:color w:val="000000"/>
          <w:kern w:val="0"/>
        </w:rPr>
      </w:pPr>
    </w:p>
    <w:p w:rsidR="00A33A0D" w:rsidRPr="00131B9D" w:rsidRDefault="00A33A0D" w:rsidP="00A33A0D">
      <w:pPr>
        <w:widowControl/>
        <w:numPr>
          <w:ilvl w:val="0"/>
          <w:numId w:val="36"/>
        </w:numPr>
        <w:jc w:val="both"/>
        <w:rPr>
          <w:color w:val="000000"/>
          <w:kern w:val="0"/>
        </w:rPr>
      </w:pPr>
      <w:r w:rsidRPr="00131B9D">
        <w:rPr>
          <w:b/>
          <w:color w:val="000000"/>
          <w:kern w:val="0"/>
        </w:rPr>
        <w:t>定價確實是自由市場機制，但如單一品項所有品牌價格全面上漲，亦即聯合漲價，或天災所造成之農產品價格變化，政府就有需要介入並積極了解。</w:t>
      </w:r>
      <w:r w:rsidRPr="00131B9D">
        <w:rPr>
          <w:color w:val="000000"/>
          <w:kern w:val="0"/>
        </w:rPr>
        <w:t>觀察過去商品價格走勢，</w:t>
      </w:r>
      <w:r w:rsidR="00B22890" w:rsidRPr="00131B9D">
        <w:rPr>
          <w:color w:val="000000"/>
          <w:kern w:val="0"/>
        </w:rPr>
        <w:t>部分</w:t>
      </w:r>
      <w:r w:rsidRPr="00131B9D">
        <w:rPr>
          <w:color w:val="000000"/>
          <w:kern w:val="0"/>
        </w:rPr>
        <w:t>品項價格調漲原因主要為更換原物料來源，此類特定品牌配方調整多為商業機密，原則上政府不便介入。若屬天災所造成之農產品價格變化，或是各通路品項全面性價格調整，則政府才會介入並積極了解。或是天災或疾病造成某期間豬肉供不應求，價格會上漲，呈現「肉貴傷民」的情況，政府就應協調相關單位釋出部分肉品。</w:t>
      </w:r>
    </w:p>
    <w:p w:rsidR="00A33A0D" w:rsidRPr="00131B9D" w:rsidRDefault="00A33A0D" w:rsidP="00A33A0D">
      <w:pPr>
        <w:widowControl/>
        <w:numPr>
          <w:ilvl w:val="0"/>
          <w:numId w:val="36"/>
        </w:numPr>
        <w:jc w:val="both"/>
        <w:rPr>
          <w:color w:val="000000"/>
          <w:kern w:val="0"/>
        </w:rPr>
      </w:pPr>
      <w:r w:rsidRPr="00131B9D">
        <w:rPr>
          <w:b/>
          <w:color w:val="000000"/>
          <w:kern w:val="0"/>
        </w:rPr>
        <w:t>歷史經驗顯示全面價格控管往往得到負面結果。</w:t>
      </w:r>
      <w:r w:rsidRPr="00131B9D">
        <w:rPr>
          <w:color w:val="000000"/>
          <w:kern w:val="0"/>
        </w:rPr>
        <w:t>觀察過去各國價格管制經驗，中國、韓國、阿根廷、英國、美國、委內瑞拉與俄羅斯都曾進行價格管制，但結果不是管制無效就是造成某些產品無法於市場上購得，產品價格不降反升</w:t>
      </w:r>
      <w:r w:rsidRPr="00131B9D">
        <w:rPr>
          <w:color w:val="000000"/>
          <w:kern w:val="0"/>
        </w:rPr>
        <w:t>(</w:t>
      </w:r>
      <w:r w:rsidRPr="00131B9D">
        <w:rPr>
          <w:color w:val="000000"/>
          <w:kern w:val="0"/>
        </w:rPr>
        <w:t>詳表</w:t>
      </w:r>
      <w:r w:rsidRPr="00131B9D">
        <w:rPr>
          <w:color w:val="000000"/>
          <w:kern w:val="0"/>
        </w:rPr>
        <w:t>3)</w:t>
      </w:r>
      <w:r w:rsidRPr="00131B9D">
        <w:rPr>
          <w:color w:val="000000"/>
          <w:kern w:val="0"/>
        </w:rPr>
        <w:t>。</w:t>
      </w:r>
    </w:p>
    <w:p w:rsidR="00A33A0D" w:rsidRPr="00131B9D" w:rsidRDefault="00A33A0D" w:rsidP="00A33A0D">
      <w:pPr>
        <w:widowControl/>
        <w:numPr>
          <w:ilvl w:val="0"/>
          <w:numId w:val="36"/>
        </w:numPr>
        <w:jc w:val="both"/>
        <w:rPr>
          <w:color w:val="000000"/>
          <w:kern w:val="0"/>
        </w:rPr>
      </w:pPr>
      <w:r w:rsidRPr="00131B9D">
        <w:rPr>
          <w:b/>
          <w:color w:val="000000"/>
          <w:kern w:val="0"/>
        </w:rPr>
        <w:t>政府可以做為提供價格透明度的推手以及消費者與業者間溝通的橋樑。</w:t>
      </w:r>
      <w:r w:rsidRPr="00131B9D">
        <w:rPr>
          <w:color w:val="000000"/>
          <w:kern w:val="0"/>
        </w:rPr>
        <w:t>包括公開查價結果，提高價格資訊透明度。協調通路商與製造商的關係，並扮演好業者與消費者間的溝通橋梁。</w:t>
      </w:r>
      <w:r w:rsidRPr="00131B9D">
        <w:rPr>
          <w:color w:val="000000"/>
          <w:kern w:val="0"/>
        </w:rPr>
        <w:t>(</w:t>
      </w:r>
      <w:r w:rsidRPr="00131B9D">
        <w:rPr>
          <w:color w:val="000000"/>
          <w:kern w:val="0"/>
        </w:rPr>
        <w:t>詳表</w:t>
      </w:r>
      <w:r w:rsidRPr="00131B9D">
        <w:rPr>
          <w:color w:val="000000"/>
          <w:kern w:val="0"/>
        </w:rPr>
        <w:t>4)</w:t>
      </w:r>
    </w:p>
    <w:p w:rsidR="00A33A0D" w:rsidRPr="00131B9D" w:rsidRDefault="00A33A0D" w:rsidP="00A33A0D">
      <w:pPr>
        <w:widowControl/>
        <w:ind w:left="495" w:firstLine="465"/>
        <w:rPr>
          <w:color w:val="000000"/>
          <w:kern w:val="0"/>
        </w:rPr>
      </w:pPr>
    </w:p>
    <w:p w:rsidR="00A33A0D" w:rsidRPr="00131B9D" w:rsidRDefault="00A33A0D" w:rsidP="00A33A0D">
      <w:pPr>
        <w:widowControl/>
        <w:ind w:left="975"/>
        <w:rPr>
          <w:color w:val="000000"/>
          <w:kern w:val="0"/>
        </w:rPr>
      </w:pPr>
    </w:p>
    <w:p w:rsidR="00A33A0D" w:rsidRPr="00131B9D" w:rsidRDefault="00A33A0D" w:rsidP="00A33A0D">
      <w:pPr>
        <w:widowControl/>
        <w:ind w:left="975"/>
        <w:rPr>
          <w:color w:val="000000"/>
          <w:kern w:val="0"/>
        </w:rPr>
        <w:sectPr w:rsidR="00A33A0D" w:rsidRPr="00131B9D" w:rsidSect="00EB1789">
          <w:footerReference w:type="default" r:id="rId148"/>
          <w:pgSz w:w="11906" w:h="16838"/>
          <w:pgMar w:top="1440" w:right="1800" w:bottom="1440" w:left="1800" w:header="851" w:footer="992" w:gutter="0"/>
          <w:cols w:space="425"/>
          <w:docGrid w:type="lines" w:linePitch="360"/>
        </w:sectPr>
      </w:pPr>
    </w:p>
    <w:p w:rsidR="00A33A0D" w:rsidRPr="00131B9D" w:rsidRDefault="00A33A0D" w:rsidP="00A33A0D">
      <w:r w:rsidRPr="00131B9D">
        <w:lastRenderedPageBreak/>
        <w:t>《附表》</w:t>
      </w:r>
    </w:p>
    <w:p w:rsidR="00A33A0D" w:rsidRPr="00131B9D" w:rsidRDefault="00A33A0D" w:rsidP="00A33A0D">
      <w:pPr>
        <w:widowControl/>
        <w:ind w:left="493"/>
        <w:jc w:val="center"/>
        <w:rPr>
          <w:b/>
          <w:color w:val="000000"/>
          <w:kern w:val="0"/>
        </w:rPr>
      </w:pPr>
      <w:r w:rsidRPr="00131B9D">
        <w:rPr>
          <w:b/>
          <w:color w:val="000000"/>
          <w:kern w:val="0"/>
        </w:rPr>
        <w:t>表</w:t>
      </w:r>
      <w:r w:rsidRPr="00131B9D">
        <w:rPr>
          <w:b/>
          <w:color w:val="000000"/>
          <w:kern w:val="0"/>
        </w:rPr>
        <w:t xml:space="preserve">1 </w:t>
      </w:r>
      <w:r w:rsidRPr="00131B9D">
        <w:rPr>
          <w:b/>
          <w:color w:val="000000"/>
          <w:kern w:val="0"/>
        </w:rPr>
        <w:t>歷年消費者物價指數與成長率</w:t>
      </w:r>
      <w:r w:rsidRPr="00131B9D">
        <w:rPr>
          <w:b/>
          <w:color w:val="000000"/>
          <w:kern w:val="0"/>
        </w:rPr>
        <w:t>(2000-2015)</w:t>
      </w:r>
    </w:p>
    <w:p w:rsidR="00A33A0D" w:rsidRPr="00131B9D" w:rsidRDefault="00A33A0D" w:rsidP="00A33A0D">
      <w:pPr>
        <w:widowControl/>
        <w:ind w:left="495" w:rightChars="330" w:right="792"/>
        <w:jc w:val="right"/>
        <w:rPr>
          <w:color w:val="000000"/>
          <w:kern w:val="0"/>
        </w:rPr>
      </w:pPr>
      <w:r w:rsidRPr="00131B9D">
        <w:rPr>
          <w:color w:val="000000"/>
          <w:kern w:val="0"/>
          <w:sz w:val="20"/>
          <w:szCs w:val="20"/>
        </w:rPr>
        <w:t>基期：民國</w:t>
      </w:r>
      <w:r w:rsidRPr="00131B9D">
        <w:rPr>
          <w:color w:val="000000"/>
          <w:kern w:val="0"/>
          <w:sz w:val="20"/>
          <w:szCs w:val="20"/>
        </w:rPr>
        <w:t>100</w:t>
      </w:r>
      <w:r w:rsidRPr="00131B9D">
        <w:rPr>
          <w:color w:val="000000"/>
          <w:kern w:val="0"/>
          <w:sz w:val="20"/>
          <w:szCs w:val="20"/>
        </w:rPr>
        <w:t>年</w:t>
      </w:r>
      <w:r w:rsidRPr="00131B9D">
        <w:rPr>
          <w:color w:val="000000"/>
          <w:kern w:val="0"/>
          <w:sz w:val="20"/>
          <w:szCs w:val="20"/>
        </w:rPr>
        <w:t xml:space="preserve"> =100</w:t>
      </w:r>
    </w:p>
    <w:tbl>
      <w:tblPr>
        <w:tblW w:w="0" w:type="auto"/>
        <w:jc w:val="center"/>
        <w:tblBorders>
          <w:top w:val="single" w:sz="4" w:space="0" w:color="auto"/>
        </w:tblBorders>
        <w:tblLayout w:type="fixed"/>
        <w:tblCellMar>
          <w:left w:w="28" w:type="dxa"/>
          <w:right w:w="28" w:type="dxa"/>
        </w:tblCellMar>
        <w:tblLook w:val="04A0" w:firstRow="1" w:lastRow="0" w:firstColumn="1" w:lastColumn="0" w:noHBand="0" w:noVBand="1"/>
      </w:tblPr>
      <w:tblGrid>
        <w:gridCol w:w="1394"/>
        <w:gridCol w:w="1408"/>
        <w:gridCol w:w="1408"/>
        <w:gridCol w:w="1408"/>
        <w:gridCol w:w="1409"/>
      </w:tblGrid>
      <w:tr w:rsidR="00A33A0D" w:rsidRPr="00131B9D" w:rsidTr="00A33A0D">
        <w:trPr>
          <w:trHeight w:val="20"/>
          <w:jc w:val="center"/>
        </w:trPr>
        <w:tc>
          <w:tcPr>
            <w:tcW w:w="1394" w:type="dxa"/>
            <w:tcBorders>
              <w:top w:val="single" w:sz="4" w:space="0" w:color="auto"/>
              <w:bottom w:val="single" w:sz="4" w:space="0" w:color="auto"/>
            </w:tcBorders>
            <w:shd w:val="clear" w:color="auto" w:fill="auto"/>
            <w:noWrap/>
            <w:vAlign w:val="center"/>
            <w:hideMark/>
          </w:tcPr>
          <w:p w:rsidR="00A33A0D" w:rsidRPr="00131B9D" w:rsidRDefault="00A33A0D" w:rsidP="00A33A0D">
            <w:pPr>
              <w:widowControl/>
              <w:spacing w:line="0" w:lineRule="atLeast"/>
              <w:rPr>
                <w:kern w:val="0"/>
                <w:sz w:val="20"/>
                <w:szCs w:val="20"/>
              </w:rPr>
            </w:pPr>
          </w:p>
        </w:tc>
        <w:tc>
          <w:tcPr>
            <w:tcW w:w="1408" w:type="dxa"/>
            <w:tcBorders>
              <w:top w:val="single" w:sz="4" w:space="0" w:color="auto"/>
              <w:bottom w:val="single" w:sz="4" w:space="0" w:color="auto"/>
            </w:tcBorders>
            <w:shd w:val="clear" w:color="auto" w:fill="auto"/>
            <w:noWrap/>
            <w:vAlign w:val="center"/>
            <w:hideMark/>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CPI</w:t>
            </w:r>
          </w:p>
        </w:tc>
        <w:tc>
          <w:tcPr>
            <w:tcW w:w="1408" w:type="dxa"/>
            <w:tcBorders>
              <w:top w:val="single" w:sz="4" w:space="0" w:color="auto"/>
              <w:bottom w:val="single" w:sz="4" w:space="0" w:color="auto"/>
            </w:tcBorders>
            <w:shd w:val="clear" w:color="auto" w:fill="auto"/>
            <w:noWrap/>
            <w:vAlign w:val="center"/>
            <w:hideMark/>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CPI</w:t>
            </w:r>
          </w:p>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成長率</w:t>
            </w:r>
            <w:r w:rsidRPr="00131B9D">
              <w:rPr>
                <w:color w:val="000000"/>
                <w:kern w:val="0"/>
                <w:sz w:val="20"/>
                <w:szCs w:val="20"/>
              </w:rPr>
              <w:t>(%)</w:t>
            </w:r>
          </w:p>
        </w:tc>
        <w:tc>
          <w:tcPr>
            <w:tcW w:w="1408" w:type="dxa"/>
            <w:tcBorders>
              <w:top w:val="single" w:sz="4" w:space="0" w:color="auto"/>
              <w:bottom w:val="single" w:sz="4" w:space="0" w:color="auto"/>
            </w:tcBorders>
            <w:shd w:val="clear" w:color="auto" w:fill="auto"/>
            <w:noWrap/>
            <w:vAlign w:val="center"/>
            <w:hideMark/>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核心</w:t>
            </w:r>
            <w:r w:rsidRPr="00131B9D">
              <w:rPr>
                <w:color w:val="000000"/>
                <w:kern w:val="0"/>
                <w:sz w:val="20"/>
                <w:szCs w:val="20"/>
              </w:rPr>
              <w:t>CPI</w:t>
            </w:r>
          </w:p>
        </w:tc>
        <w:tc>
          <w:tcPr>
            <w:tcW w:w="1409" w:type="dxa"/>
            <w:tcBorders>
              <w:top w:val="single" w:sz="4" w:space="0" w:color="auto"/>
              <w:bottom w:val="single" w:sz="4" w:space="0" w:color="auto"/>
            </w:tcBorders>
            <w:shd w:val="clear" w:color="auto" w:fill="auto"/>
            <w:noWrap/>
            <w:vAlign w:val="center"/>
            <w:hideMark/>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核心</w:t>
            </w:r>
            <w:r w:rsidRPr="00131B9D">
              <w:rPr>
                <w:color w:val="000000"/>
                <w:kern w:val="0"/>
                <w:sz w:val="20"/>
                <w:szCs w:val="20"/>
              </w:rPr>
              <w:t>CPI</w:t>
            </w:r>
          </w:p>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成長率</w:t>
            </w:r>
            <w:r w:rsidRPr="00131B9D">
              <w:rPr>
                <w:color w:val="000000"/>
                <w:kern w:val="0"/>
                <w:sz w:val="20"/>
                <w:szCs w:val="20"/>
              </w:rPr>
              <w:t>(%)</w:t>
            </w:r>
          </w:p>
        </w:tc>
      </w:tr>
      <w:tr w:rsidR="00A33A0D" w:rsidRPr="00131B9D" w:rsidTr="00A33A0D">
        <w:trPr>
          <w:trHeight w:val="20"/>
          <w:jc w:val="center"/>
        </w:trPr>
        <w:tc>
          <w:tcPr>
            <w:tcW w:w="1394" w:type="dxa"/>
            <w:tcBorders>
              <w:top w:val="single" w:sz="4" w:space="0" w:color="auto"/>
            </w:tcBorders>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2000</w:t>
            </w:r>
          </w:p>
        </w:tc>
        <w:tc>
          <w:tcPr>
            <w:tcW w:w="1408" w:type="dxa"/>
            <w:tcBorders>
              <w:top w:val="single" w:sz="4" w:space="0" w:color="auto"/>
            </w:tcBorders>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89.82</w:t>
            </w:r>
          </w:p>
        </w:tc>
        <w:tc>
          <w:tcPr>
            <w:tcW w:w="1408" w:type="dxa"/>
            <w:tcBorders>
              <w:top w:val="single" w:sz="4" w:space="0" w:color="auto"/>
            </w:tcBorders>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1.25</w:t>
            </w:r>
          </w:p>
        </w:tc>
        <w:tc>
          <w:tcPr>
            <w:tcW w:w="1408" w:type="dxa"/>
            <w:tcBorders>
              <w:top w:val="single" w:sz="4" w:space="0" w:color="auto"/>
            </w:tcBorders>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91.85</w:t>
            </w:r>
          </w:p>
        </w:tc>
        <w:tc>
          <w:tcPr>
            <w:tcW w:w="1409" w:type="dxa"/>
            <w:tcBorders>
              <w:top w:val="single" w:sz="4" w:space="0" w:color="auto"/>
            </w:tcBorders>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0.69</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2001</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89.82</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0.00</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91.79</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-0.07</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2002</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89.64</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-0.20</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92.39</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0.65</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2003</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89.39</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-0.28</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91.89</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-0.54</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2004</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90.83</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1.61</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92.59</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0.76</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2005</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92.92</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2.30</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93.27</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0.73</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2006</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93.48</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0.60</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93.76</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0.53</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2007</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95.16</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1.80</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95.13</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1.46</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2008</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98.51</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3.52</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98.23</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3.26</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2009</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97.66</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-0.86</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98.19</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-0.04</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2010</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98.60</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0.96</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98.76</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0.58</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2011</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100.00</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1.42</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100.00</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1.26</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2012</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101.93</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1.93</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101.00</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1.00</w:t>
            </w:r>
          </w:p>
        </w:tc>
      </w:tr>
      <w:tr w:rsidR="00A33A0D" w:rsidRPr="00131B9D" w:rsidTr="00A33A0D">
        <w:trPr>
          <w:trHeight w:val="20"/>
          <w:jc w:val="center"/>
        </w:trPr>
        <w:tc>
          <w:tcPr>
            <w:tcW w:w="1394" w:type="dxa"/>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2013</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102.74</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0.79</w:t>
            </w:r>
          </w:p>
        </w:tc>
        <w:tc>
          <w:tcPr>
            <w:tcW w:w="1408"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101.67</w:t>
            </w:r>
          </w:p>
        </w:tc>
        <w:tc>
          <w:tcPr>
            <w:tcW w:w="1409" w:type="dxa"/>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0.66</w:t>
            </w:r>
          </w:p>
        </w:tc>
      </w:tr>
      <w:tr w:rsidR="00A33A0D" w:rsidRPr="00131B9D" w:rsidTr="00A33A0D">
        <w:trPr>
          <w:trHeight w:val="20"/>
          <w:jc w:val="center"/>
        </w:trPr>
        <w:tc>
          <w:tcPr>
            <w:tcW w:w="1394" w:type="dxa"/>
            <w:tcBorders>
              <w:bottom w:val="nil"/>
            </w:tcBorders>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2014</w:t>
            </w:r>
          </w:p>
        </w:tc>
        <w:tc>
          <w:tcPr>
            <w:tcW w:w="1408" w:type="dxa"/>
            <w:tcBorders>
              <w:bottom w:val="nil"/>
            </w:tcBorders>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103.97</w:t>
            </w:r>
          </w:p>
        </w:tc>
        <w:tc>
          <w:tcPr>
            <w:tcW w:w="1408" w:type="dxa"/>
            <w:tcBorders>
              <w:bottom w:val="nil"/>
            </w:tcBorders>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1.20</w:t>
            </w:r>
          </w:p>
        </w:tc>
        <w:tc>
          <w:tcPr>
            <w:tcW w:w="1408" w:type="dxa"/>
            <w:tcBorders>
              <w:bottom w:val="nil"/>
            </w:tcBorders>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102.95</w:t>
            </w:r>
          </w:p>
        </w:tc>
        <w:tc>
          <w:tcPr>
            <w:tcW w:w="1409" w:type="dxa"/>
            <w:tcBorders>
              <w:bottom w:val="nil"/>
            </w:tcBorders>
            <w:shd w:val="clear" w:color="auto" w:fill="auto"/>
            <w:noWrap/>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1.26</w:t>
            </w:r>
          </w:p>
        </w:tc>
      </w:tr>
      <w:tr w:rsidR="00A33A0D" w:rsidRPr="00131B9D" w:rsidTr="00A33A0D">
        <w:trPr>
          <w:trHeight w:val="20"/>
          <w:jc w:val="center"/>
        </w:trPr>
        <w:tc>
          <w:tcPr>
            <w:tcW w:w="1394" w:type="dxa"/>
            <w:tcBorders>
              <w:top w:val="nil"/>
              <w:bottom w:val="nil"/>
            </w:tcBorders>
            <w:shd w:val="clear" w:color="auto" w:fill="auto"/>
            <w:noWrap/>
            <w:vAlign w:val="center"/>
            <w:hideMark/>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2015(1-10</w:t>
            </w:r>
            <w:r w:rsidRPr="00131B9D">
              <w:rPr>
                <w:color w:val="000000"/>
                <w:kern w:val="0"/>
                <w:sz w:val="20"/>
                <w:szCs w:val="20"/>
              </w:rPr>
              <w:t>月</w:t>
            </w:r>
            <w:r w:rsidRPr="00131B9D">
              <w:rPr>
                <w:color w:val="000000"/>
                <w:kern w:val="0"/>
                <w:sz w:val="20"/>
                <w:szCs w:val="20"/>
              </w:rPr>
              <w:t>)</w:t>
            </w:r>
          </w:p>
        </w:tc>
        <w:tc>
          <w:tcPr>
            <w:tcW w:w="1408" w:type="dxa"/>
            <w:tcBorders>
              <w:top w:val="nil"/>
              <w:bottom w:val="nil"/>
            </w:tcBorders>
            <w:shd w:val="clear" w:color="auto" w:fill="auto"/>
            <w:noWrap/>
            <w:vAlign w:val="center"/>
            <w:hideMark/>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103.56</w:t>
            </w:r>
          </w:p>
        </w:tc>
        <w:tc>
          <w:tcPr>
            <w:tcW w:w="1408" w:type="dxa"/>
            <w:tcBorders>
              <w:top w:val="nil"/>
              <w:bottom w:val="nil"/>
            </w:tcBorders>
            <w:shd w:val="clear" w:color="auto" w:fill="auto"/>
            <w:noWrap/>
            <w:vAlign w:val="center"/>
            <w:hideMark/>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-0.44</w:t>
            </w:r>
          </w:p>
        </w:tc>
        <w:tc>
          <w:tcPr>
            <w:tcW w:w="1408" w:type="dxa"/>
            <w:tcBorders>
              <w:top w:val="nil"/>
              <w:bottom w:val="nil"/>
            </w:tcBorders>
            <w:shd w:val="clear" w:color="auto" w:fill="auto"/>
            <w:noWrap/>
            <w:vAlign w:val="center"/>
            <w:hideMark/>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103.71</w:t>
            </w:r>
          </w:p>
        </w:tc>
        <w:tc>
          <w:tcPr>
            <w:tcW w:w="1409" w:type="dxa"/>
            <w:tcBorders>
              <w:top w:val="nil"/>
              <w:bottom w:val="nil"/>
            </w:tcBorders>
            <w:shd w:val="clear" w:color="auto" w:fill="auto"/>
            <w:noWrap/>
            <w:vAlign w:val="center"/>
            <w:hideMark/>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0.79</w:t>
            </w:r>
          </w:p>
        </w:tc>
      </w:tr>
      <w:tr w:rsidR="00A33A0D" w:rsidRPr="00131B9D" w:rsidTr="00A33A0D">
        <w:trPr>
          <w:trHeight w:val="20"/>
          <w:jc w:val="center"/>
        </w:trPr>
        <w:tc>
          <w:tcPr>
            <w:tcW w:w="1394" w:type="dxa"/>
            <w:tcBorders>
              <w:top w:val="nil"/>
              <w:bottom w:val="single" w:sz="4" w:space="0" w:color="auto"/>
            </w:tcBorders>
            <w:shd w:val="clear" w:color="auto" w:fill="auto"/>
            <w:noWrap/>
            <w:vAlign w:val="center"/>
          </w:tcPr>
          <w:p w:rsidR="00A33A0D" w:rsidRPr="00131B9D" w:rsidRDefault="00A33A0D" w:rsidP="00A33A0D">
            <w:pPr>
              <w:widowControl/>
              <w:spacing w:line="0" w:lineRule="atLeast"/>
              <w:jc w:val="right"/>
              <w:rPr>
                <w:color w:val="000000"/>
                <w:kern w:val="0"/>
                <w:sz w:val="20"/>
                <w:szCs w:val="20"/>
              </w:rPr>
            </w:pPr>
            <w:r w:rsidRPr="00131B9D">
              <w:rPr>
                <w:color w:val="000000"/>
                <w:kern w:val="0"/>
                <w:sz w:val="20"/>
                <w:szCs w:val="20"/>
              </w:rPr>
              <w:t>2008-2015</w:t>
            </w:r>
            <w:r w:rsidRPr="00131B9D">
              <w:rPr>
                <w:color w:val="000000"/>
                <w:kern w:val="0"/>
                <w:sz w:val="20"/>
                <w:szCs w:val="20"/>
              </w:rPr>
              <w:t>平均</w:t>
            </w:r>
          </w:p>
        </w:tc>
        <w:tc>
          <w:tcPr>
            <w:tcW w:w="1408" w:type="dxa"/>
            <w:tcBorders>
              <w:top w:val="nil"/>
              <w:bottom w:val="single" w:sz="4" w:space="0" w:color="auto"/>
            </w:tcBorders>
            <w:shd w:val="clear" w:color="auto" w:fill="auto"/>
            <w:noWrap/>
            <w:vAlign w:val="center"/>
          </w:tcPr>
          <w:p w:rsidR="00A33A0D" w:rsidRPr="00131B9D" w:rsidRDefault="00A33A0D" w:rsidP="00A33A0D">
            <w:pPr>
              <w:widowControl/>
              <w:spacing w:line="0" w:lineRule="atLeast"/>
              <w:jc w:val="center"/>
              <w:rPr>
                <w:color w:val="000000"/>
                <w:kern w:val="0"/>
                <w:sz w:val="20"/>
                <w:szCs w:val="20"/>
              </w:rPr>
            </w:pPr>
            <w:r w:rsidRPr="00131B9D">
              <w:rPr>
                <w:color w:val="000000"/>
                <w:kern w:val="0"/>
                <w:sz w:val="20"/>
                <w:szCs w:val="20"/>
              </w:rPr>
              <w:t xml:space="preserve">100.87 </w:t>
            </w:r>
          </w:p>
        </w:tc>
        <w:tc>
          <w:tcPr>
            <w:tcW w:w="1408" w:type="dxa"/>
            <w:tcBorders>
              <w:top w:val="nil"/>
              <w:bottom w:val="single" w:sz="4" w:space="0" w:color="auto"/>
            </w:tcBorders>
            <w:shd w:val="clear" w:color="auto" w:fill="auto"/>
            <w:noWrap/>
            <w:vAlign w:val="center"/>
          </w:tcPr>
          <w:p w:rsidR="00A33A0D" w:rsidRPr="00131B9D" w:rsidRDefault="00A33A0D" w:rsidP="00A33A0D">
            <w:pPr>
              <w:spacing w:line="0" w:lineRule="atLeast"/>
              <w:jc w:val="center"/>
              <w:rPr>
                <w:color w:val="000000"/>
                <w:kern w:val="0"/>
                <w:sz w:val="20"/>
                <w:szCs w:val="20"/>
              </w:rPr>
            </w:pPr>
            <w:r w:rsidRPr="00131B9D">
              <w:rPr>
                <w:color w:val="000000"/>
                <w:kern w:val="0"/>
                <w:sz w:val="20"/>
                <w:szCs w:val="20"/>
              </w:rPr>
              <w:t xml:space="preserve">1.07 </w:t>
            </w:r>
          </w:p>
        </w:tc>
        <w:tc>
          <w:tcPr>
            <w:tcW w:w="1408" w:type="dxa"/>
            <w:tcBorders>
              <w:top w:val="nil"/>
              <w:bottom w:val="single" w:sz="4" w:space="0" w:color="auto"/>
            </w:tcBorders>
            <w:shd w:val="clear" w:color="auto" w:fill="auto"/>
            <w:noWrap/>
            <w:vAlign w:val="center"/>
          </w:tcPr>
          <w:p w:rsidR="00A33A0D" w:rsidRPr="00131B9D" w:rsidRDefault="00A33A0D" w:rsidP="00A33A0D">
            <w:pPr>
              <w:spacing w:line="0" w:lineRule="atLeast"/>
              <w:jc w:val="center"/>
              <w:rPr>
                <w:color w:val="000000"/>
                <w:kern w:val="0"/>
                <w:sz w:val="20"/>
                <w:szCs w:val="20"/>
              </w:rPr>
            </w:pPr>
            <w:r w:rsidRPr="00131B9D">
              <w:rPr>
                <w:color w:val="000000"/>
                <w:kern w:val="0"/>
                <w:sz w:val="20"/>
                <w:szCs w:val="20"/>
              </w:rPr>
              <w:t xml:space="preserve">100.56 </w:t>
            </w:r>
          </w:p>
        </w:tc>
        <w:tc>
          <w:tcPr>
            <w:tcW w:w="1409" w:type="dxa"/>
            <w:tcBorders>
              <w:top w:val="nil"/>
              <w:bottom w:val="single" w:sz="4" w:space="0" w:color="auto"/>
            </w:tcBorders>
            <w:shd w:val="clear" w:color="auto" w:fill="auto"/>
            <w:noWrap/>
            <w:vAlign w:val="center"/>
          </w:tcPr>
          <w:p w:rsidR="00A33A0D" w:rsidRPr="00131B9D" w:rsidRDefault="00A33A0D" w:rsidP="00A33A0D">
            <w:pPr>
              <w:spacing w:line="0" w:lineRule="atLeast"/>
              <w:jc w:val="center"/>
              <w:rPr>
                <w:color w:val="000000"/>
                <w:kern w:val="0"/>
                <w:sz w:val="20"/>
                <w:szCs w:val="20"/>
              </w:rPr>
            </w:pPr>
            <w:r w:rsidRPr="00131B9D">
              <w:rPr>
                <w:color w:val="000000"/>
                <w:kern w:val="0"/>
                <w:sz w:val="20"/>
                <w:szCs w:val="20"/>
              </w:rPr>
              <w:t xml:space="preserve">1.10 </w:t>
            </w:r>
          </w:p>
        </w:tc>
      </w:tr>
    </w:tbl>
    <w:p w:rsidR="00A33A0D" w:rsidRPr="00131B9D" w:rsidRDefault="00A33A0D" w:rsidP="00A33A0D">
      <w:pPr>
        <w:widowControl/>
        <w:spacing w:line="0" w:lineRule="atLeast"/>
        <w:ind w:left="493" w:firstLineChars="108" w:firstLine="216"/>
        <w:rPr>
          <w:color w:val="000000"/>
          <w:kern w:val="0"/>
          <w:sz w:val="20"/>
          <w:szCs w:val="20"/>
        </w:rPr>
      </w:pPr>
      <w:r w:rsidRPr="00131B9D">
        <w:rPr>
          <w:color w:val="000000"/>
          <w:kern w:val="0"/>
          <w:sz w:val="20"/>
          <w:szCs w:val="20"/>
        </w:rPr>
        <w:t>資料來源：行政院主計總處，統計至</w:t>
      </w:r>
      <w:r w:rsidRPr="00131B9D">
        <w:rPr>
          <w:color w:val="000000"/>
          <w:kern w:val="0"/>
          <w:sz w:val="20"/>
          <w:szCs w:val="20"/>
        </w:rPr>
        <w:t>2015</w:t>
      </w:r>
      <w:r w:rsidRPr="00131B9D">
        <w:rPr>
          <w:color w:val="000000"/>
          <w:kern w:val="0"/>
          <w:sz w:val="20"/>
          <w:szCs w:val="20"/>
        </w:rPr>
        <w:t>年</w:t>
      </w:r>
      <w:r w:rsidRPr="00131B9D">
        <w:rPr>
          <w:color w:val="000000"/>
          <w:kern w:val="0"/>
          <w:sz w:val="20"/>
          <w:szCs w:val="20"/>
        </w:rPr>
        <w:t>11</w:t>
      </w:r>
      <w:r w:rsidRPr="00131B9D">
        <w:rPr>
          <w:color w:val="000000"/>
          <w:kern w:val="0"/>
          <w:sz w:val="20"/>
          <w:szCs w:val="20"/>
        </w:rPr>
        <w:t>月</w:t>
      </w:r>
      <w:r w:rsidRPr="00131B9D">
        <w:rPr>
          <w:color w:val="000000"/>
          <w:kern w:val="0"/>
          <w:sz w:val="20"/>
          <w:szCs w:val="20"/>
        </w:rPr>
        <w:t>5</w:t>
      </w:r>
      <w:r w:rsidRPr="00131B9D">
        <w:rPr>
          <w:color w:val="000000"/>
          <w:kern w:val="0"/>
          <w:sz w:val="20"/>
          <w:szCs w:val="20"/>
        </w:rPr>
        <w:t>日。</w:t>
      </w:r>
    </w:p>
    <w:p w:rsidR="00A33A0D" w:rsidRPr="00131B9D" w:rsidRDefault="00A33A0D" w:rsidP="00A33A0D">
      <w:pPr>
        <w:widowControl/>
        <w:spacing w:line="0" w:lineRule="atLeast"/>
        <w:ind w:left="493" w:firstLineChars="108" w:firstLine="216"/>
        <w:rPr>
          <w:color w:val="000000"/>
          <w:kern w:val="0"/>
          <w:sz w:val="20"/>
          <w:szCs w:val="20"/>
        </w:rPr>
      </w:pPr>
      <w:r w:rsidRPr="00131B9D">
        <w:rPr>
          <w:color w:val="000000"/>
          <w:kern w:val="0"/>
          <w:sz w:val="20"/>
          <w:szCs w:val="20"/>
        </w:rPr>
        <w:t>備註：核心</w:t>
      </w:r>
      <w:r w:rsidRPr="00131B9D">
        <w:rPr>
          <w:color w:val="000000"/>
          <w:kern w:val="0"/>
          <w:sz w:val="20"/>
          <w:szCs w:val="20"/>
        </w:rPr>
        <w:t>CPI</w:t>
      </w:r>
      <w:r w:rsidRPr="00131B9D">
        <w:rPr>
          <w:color w:val="000000"/>
          <w:kern w:val="0"/>
          <w:sz w:val="20"/>
          <w:szCs w:val="20"/>
        </w:rPr>
        <w:t>為扣除蔬菜與能源影響之消費者物價指數，</w:t>
      </w:r>
      <w:r w:rsidRPr="00131B9D">
        <w:rPr>
          <w:color w:val="000000"/>
          <w:kern w:val="0"/>
          <w:sz w:val="20"/>
          <w:szCs w:val="20"/>
        </w:rPr>
        <w:t>2015</w:t>
      </w:r>
      <w:r w:rsidRPr="00131B9D">
        <w:rPr>
          <w:color w:val="000000"/>
          <w:kern w:val="0"/>
          <w:sz w:val="20"/>
          <w:szCs w:val="20"/>
        </w:rPr>
        <w:t>年為</w:t>
      </w:r>
      <w:r w:rsidRPr="00131B9D">
        <w:rPr>
          <w:color w:val="000000"/>
          <w:kern w:val="0"/>
          <w:sz w:val="20"/>
          <w:szCs w:val="20"/>
        </w:rPr>
        <w:t>1</w:t>
      </w:r>
      <w:r w:rsidRPr="00131B9D">
        <w:rPr>
          <w:color w:val="000000"/>
          <w:kern w:val="0"/>
          <w:sz w:val="20"/>
          <w:szCs w:val="20"/>
        </w:rPr>
        <w:t>至</w:t>
      </w:r>
      <w:r w:rsidRPr="00131B9D">
        <w:rPr>
          <w:color w:val="000000"/>
          <w:kern w:val="0"/>
          <w:sz w:val="20"/>
          <w:szCs w:val="20"/>
        </w:rPr>
        <w:t>10</w:t>
      </w:r>
      <w:r w:rsidRPr="00131B9D">
        <w:rPr>
          <w:color w:val="000000"/>
          <w:kern w:val="0"/>
          <w:sz w:val="20"/>
          <w:szCs w:val="20"/>
        </w:rPr>
        <w:t>月累計。</w:t>
      </w:r>
    </w:p>
    <w:p w:rsidR="00A33A0D" w:rsidRPr="00131B9D" w:rsidRDefault="00A33A0D" w:rsidP="00A33A0D">
      <w:pPr>
        <w:rPr>
          <w:szCs w:val="22"/>
        </w:rPr>
      </w:pPr>
    </w:p>
    <w:p w:rsidR="00A33A0D" w:rsidRPr="00131B9D" w:rsidRDefault="00A33A0D" w:rsidP="00A33A0D">
      <w:pPr>
        <w:widowControl/>
        <w:ind w:left="493"/>
        <w:jc w:val="center"/>
        <w:rPr>
          <w:b/>
          <w:color w:val="000000"/>
          <w:kern w:val="0"/>
        </w:rPr>
      </w:pPr>
      <w:r w:rsidRPr="00131B9D">
        <w:rPr>
          <w:b/>
          <w:color w:val="000000"/>
          <w:kern w:val="0"/>
        </w:rPr>
        <w:t>表</w:t>
      </w:r>
      <w:r w:rsidRPr="00131B9D">
        <w:rPr>
          <w:b/>
          <w:color w:val="000000"/>
          <w:kern w:val="0"/>
        </w:rPr>
        <w:t>2</w:t>
      </w:r>
      <w:r w:rsidRPr="00131B9D">
        <w:rPr>
          <w:b/>
          <w:color w:val="000000"/>
          <w:kern w:val="0"/>
        </w:rPr>
        <w:t>各國物價成長率</w:t>
      </w:r>
      <w:r w:rsidRPr="00131B9D">
        <w:rPr>
          <w:b/>
          <w:color w:val="000000"/>
          <w:kern w:val="0"/>
        </w:rPr>
        <w:t>(2000-2016)</w:t>
      </w:r>
    </w:p>
    <w:tbl>
      <w:tblPr>
        <w:tblW w:w="8567" w:type="dxa"/>
        <w:jc w:val="center"/>
        <w:tblBorders>
          <w:top w:val="single" w:sz="8" w:space="0" w:color="FFFFFF"/>
          <w:left w:val="single" w:sz="8" w:space="0" w:color="FFFFFF"/>
          <w:bottom w:val="single" w:sz="4" w:space="0" w:color="auto"/>
          <w:right w:val="single" w:sz="8" w:space="0" w:color="FFFFFF"/>
          <w:insideH w:val="single" w:sz="8" w:space="0" w:color="FFFFFF"/>
          <w:insideV w:val="single" w:sz="8" w:space="0" w:color="FFFFFF"/>
        </w:tblBorders>
        <w:tblCellMar>
          <w:left w:w="0" w:type="dxa"/>
          <w:right w:w="0" w:type="dxa"/>
        </w:tblCellMar>
        <w:tblLook w:val="0600" w:firstRow="0" w:lastRow="0" w:firstColumn="0" w:lastColumn="0" w:noHBand="1" w:noVBand="1"/>
      </w:tblPr>
      <w:tblGrid>
        <w:gridCol w:w="542"/>
        <w:gridCol w:w="668"/>
        <w:gridCol w:w="669"/>
        <w:gridCol w:w="669"/>
        <w:gridCol w:w="669"/>
        <w:gridCol w:w="668"/>
        <w:gridCol w:w="669"/>
        <w:gridCol w:w="669"/>
        <w:gridCol w:w="669"/>
        <w:gridCol w:w="668"/>
        <w:gridCol w:w="669"/>
        <w:gridCol w:w="669"/>
        <w:gridCol w:w="669"/>
      </w:tblGrid>
      <w:tr w:rsidR="00A33A0D" w:rsidRPr="00131B9D" w:rsidTr="00A33A0D">
        <w:trPr>
          <w:trHeight w:val="20"/>
          <w:jc w:val="center"/>
        </w:trPr>
        <w:tc>
          <w:tcPr>
            <w:tcW w:w="0" w:type="auto"/>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rPr>
                <w:color w:val="000000"/>
                <w:kern w:val="0"/>
                <w:sz w:val="20"/>
                <w:szCs w:val="20"/>
              </w:rPr>
            </w:pPr>
          </w:p>
        </w:tc>
        <w:tc>
          <w:tcPr>
            <w:tcW w:w="668"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全球</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bCs/>
                <w:color w:val="000000"/>
                <w:kern w:val="0"/>
                <w:sz w:val="20"/>
                <w:szCs w:val="20"/>
              </w:rPr>
            </w:pPr>
            <w:r w:rsidRPr="00131B9D">
              <w:rPr>
                <w:bCs/>
                <w:color w:val="000000"/>
                <w:kern w:val="0"/>
                <w:sz w:val="20"/>
                <w:szCs w:val="20"/>
              </w:rPr>
              <w:t>先進</w:t>
            </w:r>
          </w:p>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國家</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bCs/>
                <w:color w:val="000000"/>
                <w:kern w:val="0"/>
                <w:sz w:val="20"/>
                <w:szCs w:val="20"/>
              </w:rPr>
            </w:pPr>
            <w:r w:rsidRPr="00131B9D">
              <w:rPr>
                <w:bCs/>
                <w:color w:val="000000"/>
                <w:kern w:val="0"/>
                <w:sz w:val="20"/>
                <w:szCs w:val="20"/>
              </w:rPr>
              <w:t>新興</w:t>
            </w:r>
          </w:p>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市場</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美國</w:t>
            </w:r>
          </w:p>
        </w:tc>
        <w:tc>
          <w:tcPr>
            <w:tcW w:w="668"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歐元區</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日本</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bCs/>
                <w:color w:val="000000"/>
                <w:kern w:val="0"/>
                <w:sz w:val="20"/>
                <w:szCs w:val="20"/>
              </w:rPr>
            </w:pPr>
            <w:r w:rsidRPr="00131B9D">
              <w:rPr>
                <w:bCs/>
                <w:color w:val="000000"/>
                <w:kern w:val="0"/>
                <w:sz w:val="20"/>
                <w:szCs w:val="20"/>
              </w:rPr>
              <w:t>中國</w:t>
            </w:r>
          </w:p>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大陸</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印度</w:t>
            </w:r>
          </w:p>
        </w:tc>
        <w:tc>
          <w:tcPr>
            <w:tcW w:w="668"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臺灣</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南韓</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新加坡</w:t>
            </w:r>
          </w:p>
        </w:tc>
        <w:tc>
          <w:tcPr>
            <w:tcW w:w="669" w:type="dxa"/>
            <w:tcBorders>
              <w:top w:val="single" w:sz="4" w:space="0" w:color="auto"/>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spacing w:line="0" w:lineRule="atLeast"/>
              <w:jc w:val="center"/>
              <w:rPr>
                <w:color w:val="000000"/>
                <w:kern w:val="0"/>
                <w:sz w:val="20"/>
                <w:szCs w:val="20"/>
              </w:rPr>
            </w:pPr>
            <w:r w:rsidRPr="00131B9D">
              <w:rPr>
                <w:bCs/>
                <w:color w:val="000000"/>
                <w:kern w:val="0"/>
                <w:sz w:val="20"/>
                <w:szCs w:val="20"/>
              </w:rPr>
              <w:t>香港</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2000</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7.2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3.4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4.0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-3.7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2001</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6.6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2.8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2.6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3.7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-1.6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2002</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6.4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1.6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4.4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-3.1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2003</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2.3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3.8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-2.6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2004</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2.7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3.8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1.6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3.6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-0.4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2005</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3.4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4.2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0.9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2006</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3.2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6.1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0.6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2.0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2007</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2.9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6.4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2.0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2008</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8.8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3.8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3.2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8.3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6.5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4.3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2009</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0.1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-0.3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-1.4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10.9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0.6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0.6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2010</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5.6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1.6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1.5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-0.7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3.3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12.0 </w:t>
            </w:r>
          </w:p>
        </w:tc>
        <w:tc>
          <w:tcPr>
            <w:tcW w:w="668"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1.0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2.9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2.8 </w:t>
            </w:r>
          </w:p>
        </w:tc>
        <w:tc>
          <w:tcPr>
            <w:tcW w:w="669" w:type="dxa"/>
            <w:tcBorders>
              <w:top w:val="single" w:sz="4" w:space="0" w:color="auto"/>
            </w:tcBorders>
            <w:shd w:val="clear" w:color="auto" w:fill="auto"/>
            <w:tcMar>
              <w:top w:w="15" w:type="dxa"/>
              <w:left w:w="15" w:type="dxa"/>
              <w:bottom w:w="0" w:type="dxa"/>
              <w:right w:w="15" w:type="dxa"/>
            </w:tcMar>
            <w:vAlign w:val="center"/>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2.3 </w:t>
            </w:r>
          </w:p>
        </w:tc>
      </w:tr>
      <w:tr w:rsidR="00A33A0D" w:rsidRPr="00131B9D" w:rsidTr="00A33A0D">
        <w:trPr>
          <w:trHeight w:val="20"/>
          <w:jc w:val="center"/>
        </w:trPr>
        <w:tc>
          <w:tcPr>
            <w:tcW w:w="0" w:type="auto"/>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2011</w:t>
            </w:r>
          </w:p>
        </w:tc>
        <w:tc>
          <w:tcPr>
            <w:tcW w:w="668"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4.1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2.5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6.4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3.1 </w:t>
            </w:r>
          </w:p>
        </w:tc>
        <w:tc>
          <w:tcPr>
            <w:tcW w:w="668"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2.6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-0.3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5.4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9.6 </w:t>
            </w:r>
          </w:p>
        </w:tc>
        <w:tc>
          <w:tcPr>
            <w:tcW w:w="668"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1.4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4.0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5.4 </w:t>
            </w:r>
          </w:p>
        </w:tc>
        <w:tc>
          <w:tcPr>
            <w:tcW w:w="669" w:type="dxa"/>
            <w:tcBorders>
              <w:top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5.3 </w:t>
            </w:r>
          </w:p>
        </w:tc>
      </w:tr>
      <w:tr w:rsidR="00A33A0D" w:rsidRPr="00131B9D" w:rsidTr="00A33A0D">
        <w:trPr>
          <w:trHeight w:val="20"/>
          <w:jc w:val="center"/>
        </w:trPr>
        <w:tc>
          <w:tcPr>
            <w:tcW w:w="0" w:type="auto"/>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2012</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3.3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1.8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4.8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2.1 </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2.3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0.0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2.7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9.7 </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1.9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2.2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4.5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4.1 </w:t>
            </w:r>
          </w:p>
        </w:tc>
      </w:tr>
      <w:tr w:rsidR="00A33A0D" w:rsidRPr="00131B9D" w:rsidTr="00A33A0D">
        <w:trPr>
          <w:trHeight w:val="20"/>
          <w:jc w:val="center"/>
        </w:trPr>
        <w:tc>
          <w:tcPr>
            <w:tcW w:w="0" w:type="auto"/>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2013</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3.0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1.3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5.0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1.5 </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1.3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0.4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2.6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10.1 </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0.8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1.3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2.4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4.3 </w:t>
            </w:r>
          </w:p>
        </w:tc>
      </w:tr>
      <w:tr w:rsidR="00A33A0D" w:rsidRPr="00131B9D" w:rsidTr="00A33A0D">
        <w:trPr>
          <w:trHeight w:val="20"/>
          <w:jc w:val="center"/>
        </w:trPr>
        <w:tc>
          <w:tcPr>
            <w:tcW w:w="0" w:type="auto"/>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2014</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2.9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1.4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5.0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1.6 </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0.5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2.7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2.0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6.8 </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1.2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1.3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1.0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4.4 </w:t>
            </w:r>
          </w:p>
        </w:tc>
      </w:tr>
      <w:tr w:rsidR="00A33A0D" w:rsidRPr="00131B9D" w:rsidTr="00A33A0D">
        <w:trPr>
          <w:trHeight w:val="20"/>
          <w:jc w:val="center"/>
        </w:trPr>
        <w:tc>
          <w:tcPr>
            <w:tcW w:w="0" w:type="auto"/>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2015F</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2.4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0.2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5.5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0.0 </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0.1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0.8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1.7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4.9 </w:t>
            </w:r>
          </w:p>
        </w:tc>
        <w:tc>
          <w:tcPr>
            <w:tcW w:w="668"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-0.3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0.6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-0.3 </w:t>
            </w:r>
          </w:p>
        </w:tc>
        <w:tc>
          <w:tcPr>
            <w:tcW w:w="669" w:type="dxa"/>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2.7 </w:t>
            </w:r>
          </w:p>
        </w:tc>
      </w:tr>
      <w:tr w:rsidR="00A33A0D" w:rsidRPr="00131B9D" w:rsidTr="00A33A0D">
        <w:trPr>
          <w:trHeight w:val="45"/>
          <w:jc w:val="center"/>
        </w:trPr>
        <w:tc>
          <w:tcPr>
            <w:tcW w:w="0" w:type="auto"/>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2016F</w:t>
            </w:r>
          </w:p>
        </w:tc>
        <w:tc>
          <w:tcPr>
            <w:tcW w:w="668"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3.2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1.4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5.8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1.8 </w:t>
            </w:r>
          </w:p>
        </w:tc>
        <w:tc>
          <w:tcPr>
            <w:tcW w:w="668"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1.1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0.5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2.6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5.6 </w:t>
            </w:r>
          </w:p>
        </w:tc>
        <w:tc>
          <w:tcPr>
            <w:tcW w:w="668"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0.9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0.9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1.6 </w:t>
            </w:r>
          </w:p>
        </w:tc>
        <w:tc>
          <w:tcPr>
            <w:tcW w:w="669" w:type="dxa"/>
            <w:tcBorders>
              <w:bottom w:val="single" w:sz="4" w:space="0" w:color="auto"/>
            </w:tcBorders>
            <w:shd w:val="clear" w:color="auto" w:fill="auto"/>
            <w:tcMar>
              <w:top w:w="15" w:type="dxa"/>
              <w:left w:w="15" w:type="dxa"/>
              <w:bottom w:w="0" w:type="dxa"/>
              <w:right w:w="15" w:type="dxa"/>
            </w:tcMar>
            <w:vAlign w:val="center"/>
            <w:hideMark/>
          </w:tcPr>
          <w:p w:rsidR="00A33A0D" w:rsidRPr="00131B9D" w:rsidRDefault="00A33A0D" w:rsidP="00A33A0D">
            <w:pPr>
              <w:widowControl/>
              <w:spacing w:line="0" w:lineRule="atLeast"/>
              <w:jc w:val="center"/>
              <w:rPr>
                <w:kern w:val="0"/>
                <w:sz w:val="20"/>
                <w:szCs w:val="20"/>
              </w:rPr>
            </w:pPr>
            <w:r w:rsidRPr="00131B9D">
              <w:rPr>
                <w:kern w:val="0"/>
                <w:sz w:val="20"/>
                <w:szCs w:val="20"/>
              </w:rPr>
              <w:t xml:space="preserve">3.3 </w:t>
            </w:r>
          </w:p>
        </w:tc>
      </w:tr>
    </w:tbl>
    <w:p w:rsidR="00A33A0D" w:rsidRPr="00131B9D" w:rsidRDefault="00A33A0D" w:rsidP="00A33A0D">
      <w:pPr>
        <w:widowControl/>
        <w:spacing w:line="0" w:lineRule="atLeast"/>
        <w:rPr>
          <w:color w:val="000000"/>
          <w:kern w:val="0"/>
          <w:sz w:val="20"/>
          <w:szCs w:val="20"/>
        </w:rPr>
      </w:pPr>
      <w:r w:rsidRPr="00131B9D">
        <w:rPr>
          <w:color w:val="000000"/>
          <w:kern w:val="0"/>
          <w:sz w:val="20"/>
          <w:szCs w:val="20"/>
        </w:rPr>
        <w:t>資料來源：</w:t>
      </w:r>
      <w:r w:rsidRPr="00131B9D">
        <w:rPr>
          <w:color w:val="000000"/>
          <w:kern w:val="0"/>
          <w:sz w:val="20"/>
          <w:szCs w:val="20"/>
        </w:rPr>
        <w:t>Global Insight Inc., October 15, 2015</w:t>
      </w:r>
      <w:r w:rsidRPr="00131B9D">
        <w:rPr>
          <w:color w:val="000000"/>
          <w:kern w:val="0"/>
          <w:sz w:val="20"/>
          <w:szCs w:val="20"/>
        </w:rPr>
        <w:t>。</w:t>
      </w:r>
    </w:p>
    <w:p w:rsidR="00A33A0D" w:rsidRPr="00131B9D" w:rsidRDefault="00A33A0D" w:rsidP="00A33A0D">
      <w:pPr>
        <w:rPr>
          <w:szCs w:val="22"/>
        </w:rPr>
      </w:pPr>
    </w:p>
    <w:p w:rsidR="00A33A0D" w:rsidRPr="00131B9D" w:rsidRDefault="00A33A0D" w:rsidP="00A33A0D">
      <w:pPr>
        <w:rPr>
          <w:szCs w:val="22"/>
        </w:rPr>
      </w:pPr>
    </w:p>
    <w:p w:rsidR="00A33A0D" w:rsidRPr="00131B9D" w:rsidRDefault="00A33A0D" w:rsidP="00A33A0D">
      <w:pPr>
        <w:adjustRightInd w:val="0"/>
        <w:snapToGrid w:val="0"/>
        <w:spacing w:line="0" w:lineRule="atLeast"/>
        <w:jc w:val="center"/>
        <w:rPr>
          <w:b/>
          <w:szCs w:val="22"/>
        </w:rPr>
        <w:sectPr w:rsidR="00A33A0D" w:rsidRPr="00131B9D" w:rsidSect="00EB1789">
          <w:pgSz w:w="11906" w:h="16838"/>
          <w:pgMar w:top="1440" w:right="1800" w:bottom="1440" w:left="1800" w:header="851" w:footer="992" w:gutter="0"/>
          <w:cols w:space="425"/>
          <w:docGrid w:type="lines" w:linePitch="360"/>
        </w:sectPr>
      </w:pPr>
    </w:p>
    <w:p w:rsidR="00A33A0D" w:rsidRPr="00131B9D" w:rsidRDefault="00A33A0D" w:rsidP="00A33A0D">
      <w:pPr>
        <w:jc w:val="center"/>
        <w:rPr>
          <w:b/>
          <w:szCs w:val="22"/>
        </w:rPr>
      </w:pPr>
      <w:r w:rsidRPr="00131B9D">
        <w:rPr>
          <w:b/>
          <w:szCs w:val="22"/>
        </w:rPr>
        <w:lastRenderedPageBreak/>
        <w:t>表</w:t>
      </w:r>
      <w:r w:rsidRPr="00131B9D">
        <w:rPr>
          <w:b/>
          <w:szCs w:val="22"/>
        </w:rPr>
        <w:t>3</w:t>
      </w:r>
      <w:r w:rsidRPr="00131B9D">
        <w:rPr>
          <w:b/>
          <w:szCs w:val="22"/>
        </w:rPr>
        <w:t>各國價格管制彙整表</w:t>
      </w:r>
    </w:p>
    <w:tbl>
      <w:tblPr>
        <w:tblW w:w="5000" w:type="pct"/>
        <w:tblLook w:val="04A0" w:firstRow="1" w:lastRow="0" w:firstColumn="1" w:lastColumn="0" w:noHBand="0" w:noVBand="1"/>
      </w:tblPr>
      <w:tblGrid>
        <w:gridCol w:w="716"/>
        <w:gridCol w:w="1296"/>
        <w:gridCol w:w="2298"/>
        <w:gridCol w:w="1727"/>
        <w:gridCol w:w="6954"/>
        <w:gridCol w:w="584"/>
        <w:gridCol w:w="2039"/>
      </w:tblGrid>
      <w:tr w:rsidR="00A33A0D" w:rsidRPr="00131B9D" w:rsidTr="00A33A0D">
        <w:tc>
          <w:tcPr>
            <w:tcW w:w="22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國家</w:t>
            </w:r>
          </w:p>
        </w:tc>
        <w:tc>
          <w:tcPr>
            <w:tcW w:w="415"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年代</w:t>
            </w:r>
          </w:p>
        </w:tc>
        <w:tc>
          <w:tcPr>
            <w:tcW w:w="736"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背景</w:t>
            </w:r>
          </w:p>
        </w:tc>
        <w:tc>
          <w:tcPr>
            <w:tcW w:w="553"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措施</w:t>
            </w:r>
          </w:p>
        </w:tc>
        <w:tc>
          <w:tcPr>
            <w:tcW w:w="2227"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管製品項及手段</w:t>
            </w:r>
          </w:p>
        </w:tc>
        <w:tc>
          <w:tcPr>
            <w:tcW w:w="840" w:type="pct"/>
            <w:gridSpan w:val="2"/>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影響</w:t>
            </w:r>
          </w:p>
        </w:tc>
      </w:tr>
      <w:tr w:rsidR="00A33A0D" w:rsidRPr="00131B9D" w:rsidTr="00A33A0D">
        <w:tc>
          <w:tcPr>
            <w:tcW w:w="229" w:type="pct"/>
            <w:vMerge w:val="restart"/>
            <w:tcBorders>
              <w:top w:val="single" w:sz="4" w:space="0" w:color="auto"/>
            </w:tcBorders>
            <w:shd w:val="clear" w:color="auto" w:fill="auto"/>
            <w:vAlign w:val="center"/>
          </w:tcPr>
          <w:p w:rsidR="00A33A0D" w:rsidRPr="00131B9D" w:rsidRDefault="00A33A0D" w:rsidP="00A33A0D">
            <w:pPr>
              <w:adjustRightInd w:val="0"/>
              <w:snapToGrid w:val="0"/>
              <w:spacing w:line="0" w:lineRule="atLeast"/>
              <w:rPr>
                <w:b/>
                <w:sz w:val="20"/>
                <w:szCs w:val="20"/>
              </w:rPr>
            </w:pPr>
            <w:r w:rsidRPr="00131B9D">
              <w:rPr>
                <w:b/>
                <w:sz w:val="20"/>
                <w:szCs w:val="20"/>
              </w:rPr>
              <w:t>韓</w:t>
            </w:r>
          </w:p>
          <w:p w:rsidR="00A33A0D" w:rsidRPr="00131B9D" w:rsidRDefault="00A33A0D" w:rsidP="00A33A0D">
            <w:pPr>
              <w:adjustRightInd w:val="0"/>
              <w:snapToGrid w:val="0"/>
              <w:spacing w:line="0" w:lineRule="atLeast"/>
              <w:jc w:val="center"/>
              <w:rPr>
                <w:b/>
                <w:sz w:val="20"/>
                <w:szCs w:val="20"/>
              </w:rPr>
            </w:pPr>
          </w:p>
          <w:p w:rsidR="00A33A0D" w:rsidRPr="00131B9D" w:rsidRDefault="00A33A0D" w:rsidP="00A33A0D">
            <w:pPr>
              <w:adjustRightInd w:val="0"/>
              <w:snapToGrid w:val="0"/>
              <w:spacing w:line="0" w:lineRule="atLeast"/>
              <w:jc w:val="center"/>
              <w:rPr>
                <w:b/>
                <w:sz w:val="20"/>
                <w:szCs w:val="20"/>
              </w:rPr>
            </w:pPr>
          </w:p>
          <w:p w:rsidR="00A33A0D" w:rsidRPr="00131B9D" w:rsidRDefault="00A33A0D" w:rsidP="00A33A0D">
            <w:pPr>
              <w:adjustRightInd w:val="0"/>
              <w:snapToGrid w:val="0"/>
              <w:spacing w:line="0" w:lineRule="atLeast"/>
              <w:jc w:val="center"/>
              <w:rPr>
                <w:b/>
                <w:sz w:val="20"/>
                <w:szCs w:val="20"/>
              </w:rPr>
            </w:pPr>
          </w:p>
          <w:p w:rsidR="00A33A0D" w:rsidRPr="00131B9D" w:rsidRDefault="00A33A0D" w:rsidP="00A33A0D">
            <w:pPr>
              <w:adjustRightInd w:val="0"/>
              <w:snapToGrid w:val="0"/>
              <w:spacing w:line="0" w:lineRule="atLeast"/>
              <w:jc w:val="center"/>
              <w:rPr>
                <w:b/>
                <w:sz w:val="20"/>
                <w:szCs w:val="20"/>
              </w:rPr>
            </w:pPr>
          </w:p>
          <w:p w:rsidR="00A33A0D" w:rsidRPr="00131B9D" w:rsidRDefault="00A33A0D" w:rsidP="00A33A0D">
            <w:pPr>
              <w:adjustRightInd w:val="0"/>
              <w:snapToGrid w:val="0"/>
              <w:spacing w:line="0" w:lineRule="atLeast"/>
              <w:jc w:val="center"/>
              <w:rPr>
                <w:b/>
                <w:sz w:val="20"/>
                <w:szCs w:val="20"/>
              </w:rPr>
            </w:pP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sz w:val="20"/>
                <w:szCs w:val="20"/>
              </w:rPr>
            </w:pPr>
            <w:r w:rsidRPr="00131B9D">
              <w:rPr>
                <w:b/>
                <w:sz w:val="20"/>
                <w:szCs w:val="20"/>
              </w:rPr>
              <w:t>國</w:t>
            </w:r>
          </w:p>
        </w:tc>
        <w:tc>
          <w:tcPr>
            <w:tcW w:w="415"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sz w:val="20"/>
                <w:szCs w:val="20"/>
              </w:rPr>
            </w:pPr>
            <w:r w:rsidRPr="00131B9D">
              <w:rPr>
                <w:sz w:val="20"/>
                <w:szCs w:val="20"/>
              </w:rPr>
              <w:t>2007-2008</w:t>
            </w:r>
          </w:p>
        </w:tc>
        <w:tc>
          <w:tcPr>
            <w:tcW w:w="736"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p>
          <w:p w:rsidR="00A33A0D" w:rsidRPr="00131B9D" w:rsidRDefault="00A33A0D" w:rsidP="00A33A0D">
            <w:pPr>
              <w:adjustRightInd w:val="0"/>
              <w:snapToGrid w:val="0"/>
              <w:spacing w:line="0" w:lineRule="atLeast"/>
              <w:jc w:val="both"/>
              <w:rPr>
                <w:sz w:val="20"/>
                <w:szCs w:val="20"/>
              </w:rPr>
            </w:pPr>
            <w:r w:rsidRPr="00131B9D">
              <w:rPr>
                <w:sz w:val="20"/>
                <w:szCs w:val="20"/>
              </w:rPr>
              <w:t>2007</w:t>
            </w:r>
            <w:r w:rsidRPr="00131B9D">
              <w:rPr>
                <w:sz w:val="20"/>
                <w:szCs w:val="20"/>
              </w:rPr>
              <w:t>年，受國際油糧等原物料價格大幅上漲影響（飆升至每桶</w:t>
            </w:r>
            <w:r w:rsidRPr="00131B9D">
              <w:rPr>
                <w:sz w:val="20"/>
                <w:szCs w:val="20"/>
              </w:rPr>
              <w:t>130</w:t>
            </w:r>
            <w:r w:rsidRPr="00131B9D">
              <w:rPr>
                <w:sz w:val="20"/>
                <w:szCs w:val="20"/>
              </w:rPr>
              <w:t>美元），自</w:t>
            </w:r>
            <w:r w:rsidRPr="00131B9D">
              <w:rPr>
                <w:sz w:val="20"/>
                <w:szCs w:val="20"/>
              </w:rPr>
              <w:t>2007</w:t>
            </w:r>
            <w:r w:rsidRPr="00131B9D">
              <w:rPr>
                <w:sz w:val="20"/>
                <w:szCs w:val="20"/>
              </w:rPr>
              <w:t>年</w:t>
            </w:r>
            <w:r w:rsidRPr="00131B9D">
              <w:rPr>
                <w:sz w:val="20"/>
                <w:szCs w:val="20"/>
              </w:rPr>
              <w:t>10</w:t>
            </w:r>
            <w:r w:rsidRPr="00131B9D">
              <w:rPr>
                <w:sz w:val="20"/>
                <w:szCs w:val="20"/>
              </w:rPr>
              <w:t>月始</w:t>
            </w:r>
            <w:r w:rsidRPr="00131B9D">
              <w:rPr>
                <w:sz w:val="20"/>
                <w:szCs w:val="20"/>
              </w:rPr>
              <w:t>CPI</w:t>
            </w:r>
            <w:r w:rsidRPr="00131B9D">
              <w:rPr>
                <w:sz w:val="20"/>
                <w:szCs w:val="20"/>
              </w:rPr>
              <w:t>成長率超過</w:t>
            </w:r>
            <w:r w:rsidRPr="00131B9D">
              <w:rPr>
                <w:sz w:val="20"/>
                <w:szCs w:val="20"/>
              </w:rPr>
              <w:t>3%</w:t>
            </w:r>
            <w:r w:rsidRPr="00131B9D">
              <w:rPr>
                <w:sz w:val="20"/>
                <w:szCs w:val="20"/>
              </w:rPr>
              <w:t>，</w:t>
            </w:r>
            <w:r w:rsidRPr="00131B9D">
              <w:rPr>
                <w:sz w:val="20"/>
                <w:szCs w:val="20"/>
              </w:rPr>
              <w:t>2008</w:t>
            </w:r>
            <w:r w:rsidRPr="00131B9D">
              <w:rPr>
                <w:sz w:val="20"/>
                <w:szCs w:val="20"/>
              </w:rPr>
              <w:t>年第</w:t>
            </w:r>
            <w:r w:rsidRPr="00131B9D">
              <w:rPr>
                <w:sz w:val="20"/>
                <w:szCs w:val="20"/>
              </w:rPr>
              <w:t>1</w:t>
            </w:r>
            <w:r w:rsidRPr="00131B9D">
              <w:rPr>
                <w:sz w:val="20"/>
                <w:szCs w:val="20"/>
              </w:rPr>
              <w:t>季平均漲幅為</w:t>
            </w:r>
            <w:r w:rsidRPr="00131B9D">
              <w:rPr>
                <w:sz w:val="20"/>
                <w:szCs w:val="20"/>
              </w:rPr>
              <w:t>3.83%</w:t>
            </w:r>
            <w:r w:rsidRPr="00131B9D">
              <w:rPr>
                <w:sz w:val="20"/>
                <w:szCs w:val="20"/>
              </w:rPr>
              <w:t>，</w:t>
            </w:r>
            <w:r w:rsidRPr="00131B9D">
              <w:rPr>
                <w:sz w:val="20"/>
                <w:szCs w:val="20"/>
              </w:rPr>
              <w:t>2008</w:t>
            </w:r>
            <w:r w:rsidRPr="00131B9D">
              <w:rPr>
                <w:sz w:val="20"/>
                <w:szCs w:val="20"/>
              </w:rPr>
              <w:t>年七月</w:t>
            </w:r>
            <w:r w:rsidRPr="00131B9D">
              <w:rPr>
                <w:sz w:val="20"/>
                <w:szCs w:val="20"/>
              </w:rPr>
              <w:t>CPI</w:t>
            </w:r>
            <w:r w:rsidRPr="00131B9D">
              <w:rPr>
                <w:sz w:val="20"/>
                <w:szCs w:val="20"/>
              </w:rPr>
              <w:t>更一度飆升至</w:t>
            </w:r>
            <w:r w:rsidRPr="00131B9D">
              <w:rPr>
                <w:sz w:val="20"/>
                <w:szCs w:val="20"/>
              </w:rPr>
              <w:t>5.9%</w:t>
            </w:r>
            <w:r w:rsidRPr="00131B9D">
              <w:rPr>
                <w:sz w:val="20"/>
                <w:szCs w:val="20"/>
              </w:rPr>
              <w:t>。</w:t>
            </w:r>
          </w:p>
        </w:tc>
        <w:tc>
          <w:tcPr>
            <w:tcW w:w="553"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sz w:val="20"/>
                <w:szCs w:val="20"/>
              </w:rPr>
              <w:t>2008</w:t>
            </w:r>
            <w:r w:rsidRPr="00131B9D">
              <w:rPr>
                <w:sz w:val="20"/>
                <w:szCs w:val="20"/>
              </w:rPr>
              <w:t>年</w:t>
            </w:r>
            <w:r w:rsidRPr="00131B9D">
              <w:rPr>
                <w:sz w:val="20"/>
                <w:szCs w:val="20"/>
              </w:rPr>
              <w:t>1</w:t>
            </w:r>
            <w:r w:rsidRPr="00131B9D">
              <w:rPr>
                <w:sz w:val="20"/>
                <w:szCs w:val="20"/>
              </w:rPr>
              <w:t>月中旬，韓國財政經濟部為預防物價劇烈變動以及因應農曆新年可能面臨的物價衝擊，於</w:t>
            </w:r>
            <w:r w:rsidRPr="00131B9D">
              <w:rPr>
                <w:sz w:val="20"/>
                <w:szCs w:val="20"/>
              </w:rPr>
              <w:t>2008</w:t>
            </w:r>
            <w:r w:rsidRPr="00131B9D">
              <w:rPr>
                <w:sz w:val="20"/>
                <w:szCs w:val="20"/>
              </w:rPr>
              <w:t>年</w:t>
            </w:r>
            <w:r w:rsidRPr="00131B9D">
              <w:rPr>
                <w:sz w:val="20"/>
                <w:szCs w:val="20"/>
              </w:rPr>
              <w:t>1</w:t>
            </w:r>
            <w:r w:rsidRPr="00131B9D">
              <w:rPr>
                <w:sz w:val="20"/>
                <w:szCs w:val="20"/>
              </w:rPr>
              <w:t>月中旬宣佈《物價安定政策》與《新年物價及民生安定對策》，並對多項品項進行價格管制。</w:t>
            </w:r>
          </w:p>
        </w:tc>
        <w:tc>
          <w:tcPr>
            <w:tcW w:w="2227"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7"/>
              </w:numPr>
              <w:adjustRightInd w:val="0"/>
              <w:snapToGrid w:val="0"/>
              <w:spacing w:line="0" w:lineRule="atLeast"/>
              <w:jc w:val="both"/>
              <w:rPr>
                <w:b/>
                <w:sz w:val="20"/>
                <w:szCs w:val="20"/>
              </w:rPr>
            </w:pPr>
            <w:r w:rsidRPr="00131B9D">
              <w:rPr>
                <w:b/>
                <w:sz w:val="20"/>
                <w:szCs w:val="20"/>
              </w:rPr>
              <w:t>物價安定政策</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限制公共費率（電費、高速公路通行費、自來水費等）漲幅上限。</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調降家用瓦斯費。</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輔導電信業者調降資費。</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實施公開加油站油品售價制度，適時間控價格動向。</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延長進口飼料優惠稅率適用年限。</w:t>
            </w:r>
          </w:p>
          <w:p w:rsidR="00A33A0D" w:rsidRPr="00131B9D" w:rsidRDefault="00A33A0D" w:rsidP="00A33A0D">
            <w:pPr>
              <w:numPr>
                <w:ilvl w:val="0"/>
                <w:numId w:val="7"/>
              </w:numPr>
              <w:adjustRightInd w:val="0"/>
              <w:snapToGrid w:val="0"/>
              <w:spacing w:line="0" w:lineRule="atLeast"/>
              <w:jc w:val="both"/>
              <w:rPr>
                <w:b/>
                <w:sz w:val="20"/>
                <w:szCs w:val="20"/>
              </w:rPr>
            </w:pPr>
            <w:r w:rsidRPr="00131B9D">
              <w:rPr>
                <w:b/>
                <w:sz w:val="20"/>
                <w:szCs w:val="20"/>
              </w:rPr>
              <w:t>新年物價及民生安定對策</w:t>
            </w:r>
          </w:p>
          <w:p w:rsidR="00A33A0D" w:rsidRPr="00131B9D" w:rsidRDefault="00A33A0D" w:rsidP="00A33A0D">
            <w:pPr>
              <w:numPr>
                <w:ilvl w:val="0"/>
                <w:numId w:val="4"/>
              </w:numPr>
              <w:adjustRightInd w:val="0"/>
              <w:snapToGrid w:val="0"/>
              <w:spacing w:line="0" w:lineRule="atLeast"/>
              <w:jc w:val="both"/>
              <w:rPr>
                <w:sz w:val="20"/>
                <w:szCs w:val="20"/>
              </w:rPr>
            </w:pPr>
            <w:r w:rsidRPr="00131B9D">
              <w:rPr>
                <w:sz w:val="20"/>
                <w:szCs w:val="20"/>
              </w:rPr>
              <w:t>重點管理</w:t>
            </w:r>
            <w:r w:rsidRPr="00131B9D">
              <w:rPr>
                <w:sz w:val="20"/>
                <w:szCs w:val="20"/>
              </w:rPr>
              <w:t>17</w:t>
            </w:r>
            <w:r w:rsidRPr="00131B9D">
              <w:rPr>
                <w:sz w:val="20"/>
                <w:szCs w:val="20"/>
              </w:rPr>
              <w:t>種農水產品及</w:t>
            </w:r>
            <w:r w:rsidRPr="00131B9D">
              <w:rPr>
                <w:sz w:val="20"/>
                <w:szCs w:val="20"/>
              </w:rPr>
              <w:t>5</w:t>
            </w:r>
            <w:r w:rsidRPr="00131B9D">
              <w:rPr>
                <w:sz w:val="20"/>
                <w:szCs w:val="20"/>
              </w:rPr>
              <w:t>項個人服務業等共計</w:t>
            </w:r>
            <w:r w:rsidRPr="00131B9D">
              <w:rPr>
                <w:sz w:val="20"/>
                <w:szCs w:val="20"/>
              </w:rPr>
              <w:t>22</w:t>
            </w:r>
            <w:r w:rsidRPr="00131B9D">
              <w:rPr>
                <w:sz w:val="20"/>
                <w:szCs w:val="20"/>
              </w:rPr>
              <w:t>項重點年節商品之價格變動。</w:t>
            </w:r>
          </w:p>
          <w:p w:rsidR="00A33A0D" w:rsidRPr="00131B9D" w:rsidRDefault="00A33A0D" w:rsidP="00A33A0D">
            <w:pPr>
              <w:numPr>
                <w:ilvl w:val="0"/>
                <w:numId w:val="4"/>
              </w:numPr>
              <w:adjustRightInd w:val="0"/>
              <w:snapToGrid w:val="0"/>
              <w:spacing w:line="0" w:lineRule="atLeast"/>
              <w:jc w:val="both"/>
              <w:rPr>
                <w:sz w:val="20"/>
                <w:szCs w:val="20"/>
              </w:rPr>
            </w:pPr>
            <w:r w:rsidRPr="00131B9D">
              <w:rPr>
                <w:sz w:val="20"/>
                <w:szCs w:val="20"/>
              </w:rPr>
              <w:t>增加蔬果供應量</w:t>
            </w:r>
            <w:r w:rsidRPr="00131B9D">
              <w:rPr>
                <w:sz w:val="20"/>
                <w:szCs w:val="20"/>
              </w:rPr>
              <w:t>2</w:t>
            </w:r>
            <w:r w:rsidRPr="00131B9D">
              <w:rPr>
                <w:sz w:val="20"/>
                <w:szCs w:val="20"/>
              </w:rPr>
              <w:t>倍。</w:t>
            </w:r>
          </w:p>
          <w:p w:rsidR="00A33A0D" w:rsidRPr="00131B9D" w:rsidRDefault="00A33A0D" w:rsidP="00A33A0D">
            <w:pPr>
              <w:numPr>
                <w:ilvl w:val="0"/>
                <w:numId w:val="4"/>
              </w:numPr>
              <w:adjustRightInd w:val="0"/>
              <w:snapToGrid w:val="0"/>
              <w:spacing w:line="0" w:lineRule="atLeast"/>
              <w:jc w:val="both"/>
              <w:rPr>
                <w:sz w:val="20"/>
                <w:szCs w:val="20"/>
              </w:rPr>
            </w:pPr>
            <w:r w:rsidRPr="00131B9D">
              <w:rPr>
                <w:sz w:val="20"/>
                <w:szCs w:val="20"/>
              </w:rPr>
              <w:t>要求生產事業單位所屬賣場提供年節用品折扣及擴大直銷。</w:t>
            </w:r>
          </w:p>
          <w:p w:rsidR="00A33A0D" w:rsidRPr="00131B9D" w:rsidRDefault="00A33A0D" w:rsidP="00A33A0D">
            <w:pPr>
              <w:numPr>
                <w:ilvl w:val="0"/>
                <w:numId w:val="4"/>
              </w:numPr>
              <w:adjustRightInd w:val="0"/>
              <w:snapToGrid w:val="0"/>
              <w:spacing w:line="0" w:lineRule="atLeast"/>
              <w:jc w:val="both"/>
              <w:rPr>
                <w:sz w:val="20"/>
                <w:szCs w:val="20"/>
              </w:rPr>
            </w:pPr>
            <w:r w:rsidRPr="00131B9D">
              <w:rPr>
                <w:sz w:val="20"/>
                <w:szCs w:val="20"/>
              </w:rPr>
              <w:t>放寬輸送年節貨物車輛之通行管制。</w:t>
            </w:r>
          </w:p>
          <w:p w:rsidR="00A33A0D" w:rsidRPr="00131B9D" w:rsidRDefault="00A33A0D" w:rsidP="00A33A0D">
            <w:pPr>
              <w:numPr>
                <w:ilvl w:val="0"/>
                <w:numId w:val="4"/>
              </w:numPr>
              <w:adjustRightInd w:val="0"/>
              <w:snapToGrid w:val="0"/>
              <w:spacing w:line="0" w:lineRule="atLeast"/>
              <w:jc w:val="both"/>
              <w:rPr>
                <w:sz w:val="20"/>
                <w:szCs w:val="20"/>
              </w:rPr>
            </w:pPr>
            <w:r w:rsidRPr="00131B9D">
              <w:rPr>
                <w:sz w:val="20"/>
                <w:szCs w:val="20"/>
              </w:rPr>
              <w:t>監控並預防年節用品壟斷及勾結行為。</w:t>
            </w:r>
          </w:p>
          <w:p w:rsidR="00A33A0D" w:rsidRPr="00131B9D" w:rsidRDefault="00A33A0D" w:rsidP="00A33A0D">
            <w:pPr>
              <w:numPr>
                <w:ilvl w:val="0"/>
                <w:numId w:val="4"/>
              </w:numPr>
              <w:adjustRightInd w:val="0"/>
              <w:snapToGrid w:val="0"/>
              <w:spacing w:line="0" w:lineRule="atLeast"/>
              <w:jc w:val="both"/>
              <w:rPr>
                <w:sz w:val="20"/>
                <w:szCs w:val="20"/>
              </w:rPr>
            </w:pPr>
            <w:r w:rsidRPr="00131B9D">
              <w:rPr>
                <w:sz w:val="20"/>
                <w:szCs w:val="20"/>
              </w:rPr>
              <w:t>各級地方政府成立物價對策會報。</w:t>
            </w:r>
          </w:p>
        </w:tc>
        <w:tc>
          <w:tcPr>
            <w:tcW w:w="840" w:type="pct"/>
            <w:gridSpan w:val="2"/>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vertAlign w:val="superscript"/>
              </w:rPr>
            </w:pPr>
            <w:r w:rsidRPr="00131B9D">
              <w:rPr>
                <w:sz w:val="20"/>
                <w:szCs w:val="20"/>
              </w:rPr>
              <w:t>陳金龍</w:t>
            </w:r>
            <w:r w:rsidRPr="00131B9D">
              <w:rPr>
                <w:sz w:val="20"/>
                <w:szCs w:val="20"/>
              </w:rPr>
              <w:t>(2008)</w:t>
            </w:r>
            <w:r w:rsidRPr="00131B9D">
              <w:rPr>
                <w:sz w:val="20"/>
                <w:szCs w:val="20"/>
              </w:rPr>
              <w:t>指出，韓國政府雖對</w:t>
            </w:r>
            <w:r w:rsidRPr="00131B9D">
              <w:rPr>
                <w:sz w:val="20"/>
                <w:szCs w:val="20"/>
              </w:rPr>
              <w:t>52</w:t>
            </w:r>
            <w:r w:rsidRPr="00131B9D">
              <w:rPr>
                <w:sz w:val="20"/>
                <w:szCs w:val="20"/>
              </w:rPr>
              <w:t>項民生必需品進行監督並對囤積惜售加以管制價格（又稱李明博物價），至</w:t>
            </w:r>
            <w:r w:rsidRPr="00131B9D">
              <w:rPr>
                <w:sz w:val="20"/>
                <w:szCs w:val="20"/>
              </w:rPr>
              <w:t>3</w:t>
            </w:r>
            <w:r w:rsidRPr="00131B9D">
              <w:rPr>
                <w:sz w:val="20"/>
                <w:szCs w:val="20"/>
              </w:rPr>
              <w:t>月時，仍有</w:t>
            </w:r>
            <w:r w:rsidRPr="00131B9D">
              <w:rPr>
                <w:sz w:val="20"/>
                <w:szCs w:val="20"/>
              </w:rPr>
              <w:t>44</w:t>
            </w:r>
            <w:r w:rsidRPr="00131B9D">
              <w:rPr>
                <w:sz w:val="20"/>
                <w:szCs w:val="20"/>
              </w:rPr>
              <w:t>項物價上漲，其中食品類等所構成的生活物價指數較去年同期上漲</w:t>
            </w:r>
            <w:r w:rsidRPr="00131B9D">
              <w:rPr>
                <w:sz w:val="20"/>
                <w:szCs w:val="20"/>
              </w:rPr>
              <w:t>4.9%</w:t>
            </w:r>
            <w:r w:rsidRPr="00131B9D">
              <w:rPr>
                <w:sz w:val="20"/>
                <w:szCs w:val="20"/>
              </w:rPr>
              <w:t>，整體</w:t>
            </w:r>
            <w:r w:rsidRPr="00131B9D">
              <w:rPr>
                <w:sz w:val="20"/>
                <w:szCs w:val="20"/>
              </w:rPr>
              <w:t>52</w:t>
            </w:r>
            <w:r w:rsidRPr="00131B9D">
              <w:rPr>
                <w:sz w:val="20"/>
                <w:szCs w:val="20"/>
              </w:rPr>
              <w:t>項民生必需品物價平均上漲</w:t>
            </w:r>
            <w:r w:rsidRPr="00131B9D">
              <w:rPr>
                <w:sz w:val="20"/>
                <w:szCs w:val="20"/>
              </w:rPr>
              <w:t>5.8%</w:t>
            </w:r>
            <w:r w:rsidRPr="00131B9D">
              <w:rPr>
                <w:sz w:val="20"/>
                <w:szCs w:val="20"/>
              </w:rPr>
              <w:t>。</w:t>
            </w:r>
            <w:r w:rsidRPr="00131B9D">
              <w:rPr>
                <w:sz w:val="20"/>
                <w:szCs w:val="20"/>
                <w:vertAlign w:val="superscript"/>
              </w:rPr>
              <w:t>1</w:t>
            </w:r>
          </w:p>
          <w:p w:rsidR="00A33A0D" w:rsidRPr="00131B9D" w:rsidRDefault="00A33A0D" w:rsidP="00A33A0D">
            <w:pPr>
              <w:adjustRightInd w:val="0"/>
              <w:snapToGrid w:val="0"/>
              <w:spacing w:line="0" w:lineRule="atLeast"/>
              <w:jc w:val="both"/>
              <w:rPr>
                <w:sz w:val="20"/>
                <w:szCs w:val="20"/>
              </w:rPr>
            </w:pPr>
          </w:p>
          <w:p w:rsidR="00A33A0D" w:rsidRPr="00131B9D" w:rsidRDefault="00A33A0D" w:rsidP="00A33A0D">
            <w:pPr>
              <w:adjustRightInd w:val="0"/>
              <w:snapToGrid w:val="0"/>
              <w:spacing w:line="0" w:lineRule="atLeast"/>
              <w:jc w:val="both"/>
              <w:rPr>
                <w:sz w:val="20"/>
                <w:szCs w:val="20"/>
              </w:rPr>
            </w:pPr>
          </w:p>
        </w:tc>
      </w:tr>
      <w:tr w:rsidR="00A33A0D" w:rsidRPr="00131B9D" w:rsidTr="00A33A0D">
        <w:tc>
          <w:tcPr>
            <w:tcW w:w="229" w:type="pct"/>
            <w:vMerge/>
            <w:tcBorders>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sz w:val="20"/>
                <w:szCs w:val="20"/>
              </w:rPr>
            </w:pPr>
          </w:p>
        </w:tc>
        <w:tc>
          <w:tcPr>
            <w:tcW w:w="415"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sz w:val="20"/>
                <w:szCs w:val="20"/>
              </w:rPr>
            </w:pPr>
            <w:r w:rsidRPr="00131B9D">
              <w:rPr>
                <w:sz w:val="20"/>
                <w:szCs w:val="20"/>
              </w:rPr>
              <w:t>2010-</w:t>
            </w:r>
          </w:p>
        </w:tc>
        <w:tc>
          <w:tcPr>
            <w:tcW w:w="736"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8"/>
              </w:numPr>
              <w:adjustRightInd w:val="0"/>
              <w:snapToGrid w:val="0"/>
              <w:spacing w:line="0" w:lineRule="atLeast"/>
              <w:jc w:val="both"/>
              <w:rPr>
                <w:sz w:val="20"/>
                <w:szCs w:val="20"/>
              </w:rPr>
            </w:pPr>
            <w:r w:rsidRPr="00131B9D">
              <w:rPr>
                <w:b/>
                <w:sz w:val="20"/>
                <w:szCs w:val="20"/>
              </w:rPr>
              <w:t>全球經濟復甦</w:t>
            </w:r>
            <w:r w:rsidRPr="00131B9D">
              <w:rPr>
                <w:sz w:val="20"/>
                <w:szCs w:val="20"/>
              </w:rPr>
              <w:t>2010</w:t>
            </w:r>
            <w:r w:rsidRPr="00131B9D">
              <w:rPr>
                <w:sz w:val="20"/>
                <w:szCs w:val="20"/>
              </w:rPr>
              <w:t>年各國經濟復甦，大量資金流入市場，物價上升壓力開始浮現。</w:t>
            </w:r>
          </w:p>
          <w:p w:rsidR="00A33A0D" w:rsidRPr="00131B9D" w:rsidRDefault="00A33A0D" w:rsidP="00A33A0D">
            <w:pPr>
              <w:numPr>
                <w:ilvl w:val="0"/>
                <w:numId w:val="8"/>
              </w:numPr>
              <w:adjustRightInd w:val="0"/>
              <w:snapToGrid w:val="0"/>
              <w:spacing w:line="0" w:lineRule="atLeast"/>
              <w:jc w:val="both"/>
              <w:rPr>
                <w:sz w:val="20"/>
                <w:szCs w:val="20"/>
              </w:rPr>
            </w:pPr>
            <w:r w:rsidRPr="00131B9D">
              <w:rPr>
                <w:sz w:val="20"/>
                <w:szCs w:val="20"/>
              </w:rPr>
              <w:t>2008</w:t>
            </w:r>
            <w:r w:rsidRPr="00131B9D">
              <w:rPr>
                <w:sz w:val="20"/>
                <w:szCs w:val="20"/>
              </w:rPr>
              <w:t>金融風暴與歐債危機促使熱錢流向亞洲金融市場，資金面寬鬆。</w:t>
            </w:r>
          </w:p>
          <w:p w:rsidR="00A33A0D" w:rsidRPr="00131B9D" w:rsidRDefault="00A33A0D" w:rsidP="00A33A0D">
            <w:pPr>
              <w:numPr>
                <w:ilvl w:val="0"/>
                <w:numId w:val="8"/>
              </w:numPr>
              <w:adjustRightInd w:val="0"/>
              <w:snapToGrid w:val="0"/>
              <w:spacing w:line="0" w:lineRule="atLeast"/>
              <w:jc w:val="both"/>
              <w:rPr>
                <w:sz w:val="20"/>
                <w:szCs w:val="20"/>
              </w:rPr>
            </w:pPr>
            <w:r w:rsidRPr="00131B9D">
              <w:rPr>
                <w:sz w:val="20"/>
                <w:szCs w:val="20"/>
              </w:rPr>
              <w:t>國際原物料與原油價格走強。</w:t>
            </w:r>
          </w:p>
        </w:tc>
        <w:tc>
          <w:tcPr>
            <w:tcW w:w="553"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sz w:val="20"/>
                <w:szCs w:val="20"/>
              </w:rPr>
              <w:t>2011</w:t>
            </w:r>
            <w:r w:rsidRPr="00131B9D">
              <w:rPr>
                <w:sz w:val="20"/>
                <w:szCs w:val="20"/>
              </w:rPr>
              <w:t>年</w:t>
            </w:r>
            <w:r w:rsidRPr="00131B9D">
              <w:rPr>
                <w:sz w:val="20"/>
                <w:szCs w:val="20"/>
              </w:rPr>
              <w:t>1</w:t>
            </w:r>
            <w:r w:rsidRPr="00131B9D">
              <w:rPr>
                <w:sz w:val="20"/>
                <w:szCs w:val="20"/>
              </w:rPr>
              <w:t>月</w:t>
            </w:r>
            <w:r w:rsidRPr="00131B9D">
              <w:rPr>
                <w:sz w:val="20"/>
                <w:szCs w:val="20"/>
              </w:rPr>
              <w:t>13</w:t>
            </w:r>
            <w:r w:rsidRPr="00131B9D">
              <w:rPr>
                <w:sz w:val="20"/>
                <w:szCs w:val="20"/>
              </w:rPr>
              <w:t>日韓國政府公佈強硬的穩定物價措施《穩定生活物價綜合對策》，嚴控造成物價不穩的因素。</w:t>
            </w:r>
          </w:p>
        </w:tc>
        <w:tc>
          <w:tcPr>
            <w:tcW w:w="2227"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5"/>
              </w:numPr>
              <w:adjustRightInd w:val="0"/>
              <w:snapToGrid w:val="0"/>
              <w:spacing w:line="0" w:lineRule="atLeast"/>
              <w:jc w:val="both"/>
              <w:rPr>
                <w:sz w:val="20"/>
                <w:szCs w:val="20"/>
              </w:rPr>
            </w:pPr>
            <w:r w:rsidRPr="00131B9D">
              <w:rPr>
                <w:b/>
                <w:sz w:val="20"/>
                <w:szCs w:val="20"/>
              </w:rPr>
              <w:t>事業費率</w:t>
            </w:r>
            <w:r w:rsidRPr="00131B9D">
              <w:rPr>
                <w:sz w:val="20"/>
                <w:szCs w:val="20"/>
              </w:rPr>
              <w:t>:</w:t>
            </w:r>
            <w:r w:rsidRPr="00131B9D">
              <w:rPr>
                <w:sz w:val="20"/>
                <w:szCs w:val="20"/>
              </w:rPr>
              <w:t>，由中央管轄之項目（電費、煤氣費、郵費、公共交通費、大城市上下水道費、上網費等），原則上予以凍結。地方管轄之項目（公車、計程車、地鐵、自來水及汙水排放、文化設施門票、垃圾袋等）則提撥預算與以補助。</w:t>
            </w:r>
          </w:p>
          <w:p w:rsidR="00A33A0D" w:rsidRPr="00131B9D" w:rsidRDefault="00A33A0D" w:rsidP="00A33A0D">
            <w:pPr>
              <w:numPr>
                <w:ilvl w:val="0"/>
                <w:numId w:val="5"/>
              </w:numPr>
              <w:adjustRightInd w:val="0"/>
              <w:snapToGrid w:val="0"/>
              <w:spacing w:line="0" w:lineRule="atLeast"/>
              <w:jc w:val="both"/>
              <w:rPr>
                <w:sz w:val="20"/>
                <w:szCs w:val="20"/>
              </w:rPr>
            </w:pPr>
            <w:r w:rsidRPr="00131B9D">
              <w:rPr>
                <w:b/>
                <w:sz w:val="20"/>
                <w:szCs w:val="20"/>
              </w:rPr>
              <w:t>關稅</w:t>
            </w:r>
            <w:r w:rsidRPr="00131B9D">
              <w:rPr>
                <w:sz w:val="20"/>
                <w:szCs w:val="20"/>
              </w:rPr>
              <w:t>:</w:t>
            </w:r>
            <w:r w:rsidRPr="00131B9D">
              <w:rPr>
                <w:sz w:val="20"/>
                <w:szCs w:val="20"/>
              </w:rPr>
              <w:t>自</w:t>
            </w:r>
            <w:r w:rsidRPr="00131B9D">
              <w:rPr>
                <w:sz w:val="20"/>
                <w:szCs w:val="20"/>
              </w:rPr>
              <w:t>2011</w:t>
            </w:r>
            <w:r w:rsidRPr="00131B9D">
              <w:rPr>
                <w:sz w:val="20"/>
                <w:szCs w:val="20"/>
              </w:rPr>
              <w:t>年</w:t>
            </w:r>
            <w:r w:rsidRPr="00131B9D">
              <w:rPr>
                <w:sz w:val="20"/>
                <w:szCs w:val="20"/>
              </w:rPr>
              <w:t>1</w:t>
            </w:r>
            <w:r w:rsidRPr="00131B9D">
              <w:rPr>
                <w:sz w:val="20"/>
                <w:szCs w:val="20"/>
              </w:rPr>
              <w:t>月起調降糖、食用油玉米、小麥等民生必需品及國際穀物共計</w:t>
            </w:r>
            <w:r w:rsidRPr="00131B9D">
              <w:rPr>
                <w:sz w:val="20"/>
                <w:szCs w:val="20"/>
              </w:rPr>
              <w:t>67</w:t>
            </w:r>
            <w:r w:rsidRPr="00131B9D">
              <w:rPr>
                <w:sz w:val="20"/>
                <w:szCs w:val="20"/>
              </w:rPr>
              <w:t>項之進口關稅，對於奶粉、咖啡、麵粉等價格有波動或有上漲疑慮之產品，追加調降進口關稅。</w:t>
            </w:r>
          </w:p>
          <w:p w:rsidR="00A33A0D" w:rsidRPr="00131B9D" w:rsidRDefault="00A33A0D" w:rsidP="00A33A0D">
            <w:pPr>
              <w:numPr>
                <w:ilvl w:val="0"/>
                <w:numId w:val="5"/>
              </w:numPr>
              <w:adjustRightInd w:val="0"/>
              <w:snapToGrid w:val="0"/>
              <w:spacing w:line="0" w:lineRule="atLeast"/>
              <w:jc w:val="both"/>
              <w:rPr>
                <w:sz w:val="20"/>
                <w:szCs w:val="20"/>
              </w:rPr>
            </w:pPr>
            <w:r w:rsidRPr="00131B9D">
              <w:rPr>
                <w:b/>
                <w:sz w:val="20"/>
                <w:szCs w:val="20"/>
              </w:rPr>
              <w:t>凍結國立大學之學雜費</w:t>
            </w:r>
            <w:r w:rsidRPr="00131B9D">
              <w:rPr>
                <w:sz w:val="20"/>
                <w:szCs w:val="20"/>
              </w:rPr>
              <w:t>:</w:t>
            </w:r>
            <w:r w:rsidRPr="00131B9D">
              <w:rPr>
                <w:sz w:val="20"/>
                <w:szCs w:val="20"/>
              </w:rPr>
              <w:t>私立大學漲幅以</w:t>
            </w:r>
            <w:r w:rsidRPr="00131B9D">
              <w:rPr>
                <w:sz w:val="20"/>
                <w:szCs w:val="20"/>
              </w:rPr>
              <w:t>3%</w:t>
            </w:r>
            <w:r w:rsidRPr="00131B9D">
              <w:rPr>
                <w:sz w:val="20"/>
                <w:szCs w:val="20"/>
              </w:rPr>
              <w:t>為限。</w:t>
            </w:r>
          </w:p>
          <w:p w:rsidR="00A33A0D" w:rsidRPr="00131B9D" w:rsidRDefault="00A33A0D" w:rsidP="00A33A0D">
            <w:pPr>
              <w:numPr>
                <w:ilvl w:val="0"/>
                <w:numId w:val="5"/>
              </w:numPr>
              <w:adjustRightInd w:val="0"/>
              <w:snapToGrid w:val="0"/>
              <w:spacing w:line="0" w:lineRule="atLeast"/>
              <w:jc w:val="both"/>
              <w:rPr>
                <w:sz w:val="20"/>
                <w:szCs w:val="20"/>
              </w:rPr>
            </w:pPr>
            <w:r w:rsidRPr="00131B9D">
              <w:rPr>
                <w:b/>
                <w:sz w:val="20"/>
                <w:szCs w:val="20"/>
              </w:rPr>
              <w:t>監控重點產品之價格變化</w:t>
            </w:r>
            <w:r w:rsidRPr="00131B9D">
              <w:rPr>
                <w:sz w:val="20"/>
                <w:szCs w:val="20"/>
              </w:rPr>
              <w:t>:</w:t>
            </w:r>
            <w:r w:rsidRPr="00131B9D">
              <w:rPr>
                <w:sz w:val="20"/>
                <w:szCs w:val="20"/>
              </w:rPr>
              <w:t>維持經常性調查，並監視油價、易受國際價格波動影響之產品，以及民生必需品的價格變動情形。</w:t>
            </w:r>
          </w:p>
          <w:p w:rsidR="00A33A0D" w:rsidRPr="00131B9D" w:rsidRDefault="00A33A0D" w:rsidP="00A33A0D">
            <w:pPr>
              <w:numPr>
                <w:ilvl w:val="0"/>
                <w:numId w:val="5"/>
              </w:numPr>
              <w:adjustRightInd w:val="0"/>
              <w:snapToGrid w:val="0"/>
              <w:spacing w:line="0" w:lineRule="atLeast"/>
              <w:jc w:val="both"/>
              <w:rPr>
                <w:sz w:val="20"/>
                <w:szCs w:val="20"/>
              </w:rPr>
            </w:pPr>
            <w:r w:rsidRPr="00131B9D">
              <w:rPr>
                <w:b/>
                <w:sz w:val="20"/>
                <w:szCs w:val="20"/>
              </w:rPr>
              <w:t>擴大供給社會住宅</w:t>
            </w:r>
            <w:r w:rsidRPr="00131B9D">
              <w:rPr>
                <w:sz w:val="20"/>
                <w:szCs w:val="20"/>
              </w:rPr>
              <w:t>:</w:t>
            </w:r>
            <w:r w:rsidRPr="00131B9D">
              <w:rPr>
                <w:sz w:val="20"/>
                <w:szCs w:val="20"/>
              </w:rPr>
              <w:t>配合春天搬家旺季，由國營企業承建小型、租賃住宅。</w:t>
            </w:r>
          </w:p>
          <w:p w:rsidR="00A33A0D" w:rsidRPr="00131B9D" w:rsidRDefault="00A33A0D" w:rsidP="00A33A0D">
            <w:pPr>
              <w:numPr>
                <w:ilvl w:val="0"/>
                <w:numId w:val="5"/>
              </w:numPr>
              <w:adjustRightInd w:val="0"/>
              <w:snapToGrid w:val="0"/>
              <w:spacing w:line="0" w:lineRule="atLeast"/>
              <w:jc w:val="both"/>
              <w:rPr>
                <w:sz w:val="20"/>
                <w:szCs w:val="20"/>
              </w:rPr>
            </w:pPr>
            <w:r w:rsidRPr="00131B9D">
              <w:rPr>
                <w:b/>
                <w:sz w:val="20"/>
                <w:szCs w:val="20"/>
              </w:rPr>
              <w:t>管制產業財業者調幅（例如鋼鐵業）</w:t>
            </w:r>
            <w:r w:rsidRPr="00131B9D">
              <w:rPr>
                <w:sz w:val="20"/>
                <w:szCs w:val="20"/>
              </w:rPr>
              <w:t>:</w:t>
            </w:r>
            <w:r w:rsidRPr="00131B9D">
              <w:rPr>
                <w:sz w:val="20"/>
                <w:szCs w:val="20"/>
              </w:rPr>
              <w:t>避免相關產業財（汽車、造船及營建等）價格同步上漲。</w:t>
            </w:r>
          </w:p>
        </w:tc>
        <w:tc>
          <w:tcPr>
            <w:tcW w:w="840" w:type="pct"/>
            <w:gridSpan w:val="2"/>
            <w:tcBorders>
              <w:top w:val="single" w:sz="4" w:space="0" w:color="auto"/>
              <w:bottom w:val="single" w:sz="4" w:space="0" w:color="auto"/>
            </w:tcBorders>
            <w:shd w:val="clear" w:color="auto" w:fill="auto"/>
            <w:vAlign w:val="center"/>
          </w:tcPr>
          <w:p w:rsidR="00A33A0D" w:rsidRPr="00131B9D" w:rsidRDefault="00A33A0D" w:rsidP="00A33A0D">
            <w:pPr>
              <w:numPr>
                <w:ilvl w:val="0"/>
                <w:numId w:val="9"/>
              </w:numPr>
              <w:adjustRightInd w:val="0"/>
              <w:snapToGrid w:val="0"/>
              <w:spacing w:line="0" w:lineRule="atLeast"/>
              <w:jc w:val="both"/>
              <w:rPr>
                <w:sz w:val="20"/>
                <w:szCs w:val="20"/>
              </w:rPr>
            </w:pPr>
            <w:r w:rsidRPr="00131B9D">
              <w:rPr>
                <w:sz w:val="20"/>
                <w:szCs w:val="20"/>
              </w:rPr>
              <w:t>儘管鋼鐵價格受政策管制而凍結，但原材料（鐵礦石、煙煤及廢鐵等）價格仍飆漲，導致鋼鐵業者收益惡化及扭曲市場機制。</w:t>
            </w:r>
          </w:p>
          <w:p w:rsidR="00A33A0D" w:rsidRPr="00131B9D" w:rsidRDefault="00A33A0D" w:rsidP="00A33A0D">
            <w:pPr>
              <w:numPr>
                <w:ilvl w:val="0"/>
                <w:numId w:val="9"/>
              </w:numPr>
              <w:adjustRightInd w:val="0"/>
              <w:snapToGrid w:val="0"/>
              <w:spacing w:line="0" w:lineRule="atLeast"/>
              <w:jc w:val="both"/>
              <w:rPr>
                <w:sz w:val="20"/>
                <w:szCs w:val="20"/>
              </w:rPr>
            </w:pPr>
            <w:r w:rsidRPr="00131B9D">
              <w:rPr>
                <w:sz w:val="20"/>
                <w:szCs w:val="20"/>
              </w:rPr>
              <w:t>據韓國經濟新聞報導，</w:t>
            </w:r>
            <w:r w:rsidRPr="00131B9D">
              <w:rPr>
                <w:sz w:val="20"/>
                <w:szCs w:val="20"/>
              </w:rPr>
              <w:t>90%</w:t>
            </w:r>
            <w:r w:rsidRPr="00131B9D">
              <w:rPr>
                <w:sz w:val="20"/>
                <w:szCs w:val="20"/>
              </w:rPr>
              <w:t>受訪企業表示物價管控措施對企業經營活動產生負擔。且原材料價格上漲因素繁多，不應任意實施管控。</w:t>
            </w:r>
            <w:r w:rsidRPr="00131B9D">
              <w:rPr>
                <w:sz w:val="20"/>
                <w:szCs w:val="20"/>
                <w:vertAlign w:val="superscript"/>
              </w:rPr>
              <w:t>2</w:t>
            </w:r>
          </w:p>
        </w:tc>
      </w:tr>
      <w:tr w:rsidR="00A33A0D" w:rsidRPr="00131B9D" w:rsidTr="00A33A0D">
        <w:tc>
          <w:tcPr>
            <w:tcW w:w="22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rPr>
                <w:b/>
                <w:sz w:val="20"/>
                <w:szCs w:val="20"/>
              </w:rPr>
            </w:pPr>
            <w:r w:rsidRPr="00131B9D">
              <w:rPr>
                <w:b/>
                <w:sz w:val="20"/>
                <w:szCs w:val="20"/>
              </w:rPr>
              <w:t>中</w:t>
            </w: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sz w:val="20"/>
                <w:szCs w:val="20"/>
              </w:rPr>
            </w:pPr>
            <w:r w:rsidRPr="00131B9D">
              <w:rPr>
                <w:b/>
                <w:sz w:val="20"/>
                <w:szCs w:val="20"/>
              </w:rPr>
              <w:t>國</w:t>
            </w:r>
          </w:p>
        </w:tc>
        <w:tc>
          <w:tcPr>
            <w:tcW w:w="415" w:type="pct"/>
            <w:tcBorders>
              <w:top w:val="single" w:sz="4" w:space="0" w:color="auto"/>
              <w:left w:val="nil"/>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sz w:val="20"/>
                <w:szCs w:val="20"/>
              </w:rPr>
            </w:pPr>
            <w:r w:rsidRPr="00131B9D">
              <w:rPr>
                <w:sz w:val="20"/>
                <w:szCs w:val="20"/>
              </w:rPr>
              <w:t>2010-2011</w:t>
            </w:r>
          </w:p>
        </w:tc>
        <w:tc>
          <w:tcPr>
            <w:tcW w:w="736"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10"/>
              </w:numPr>
              <w:adjustRightInd w:val="0"/>
              <w:snapToGrid w:val="0"/>
              <w:spacing w:line="0" w:lineRule="atLeast"/>
              <w:jc w:val="both"/>
              <w:rPr>
                <w:sz w:val="20"/>
                <w:szCs w:val="20"/>
              </w:rPr>
            </w:pPr>
            <w:r w:rsidRPr="00131B9D">
              <w:rPr>
                <w:sz w:val="20"/>
                <w:szCs w:val="20"/>
              </w:rPr>
              <w:t>天候因素影響農作物生長。</w:t>
            </w:r>
          </w:p>
          <w:p w:rsidR="00A33A0D" w:rsidRPr="00131B9D" w:rsidRDefault="00A33A0D" w:rsidP="00A33A0D">
            <w:pPr>
              <w:numPr>
                <w:ilvl w:val="0"/>
                <w:numId w:val="10"/>
              </w:numPr>
              <w:adjustRightInd w:val="0"/>
              <w:snapToGrid w:val="0"/>
              <w:spacing w:line="0" w:lineRule="atLeast"/>
              <w:jc w:val="both"/>
              <w:rPr>
                <w:sz w:val="20"/>
                <w:szCs w:val="20"/>
              </w:rPr>
            </w:pPr>
            <w:r w:rsidRPr="00131B9D">
              <w:rPr>
                <w:sz w:val="20"/>
                <w:szCs w:val="20"/>
              </w:rPr>
              <w:t>中國國內銀行貸款劇加。</w:t>
            </w:r>
          </w:p>
          <w:p w:rsidR="00A33A0D" w:rsidRPr="00131B9D" w:rsidRDefault="00A33A0D" w:rsidP="00A33A0D">
            <w:pPr>
              <w:numPr>
                <w:ilvl w:val="0"/>
                <w:numId w:val="10"/>
              </w:numPr>
              <w:adjustRightInd w:val="0"/>
              <w:snapToGrid w:val="0"/>
              <w:spacing w:line="0" w:lineRule="atLeast"/>
              <w:jc w:val="both"/>
              <w:rPr>
                <w:b/>
                <w:sz w:val="20"/>
                <w:szCs w:val="20"/>
              </w:rPr>
            </w:pPr>
            <w:r w:rsidRPr="00131B9D">
              <w:rPr>
                <w:sz w:val="20"/>
                <w:szCs w:val="20"/>
              </w:rPr>
              <w:t>全球經濟復甦。</w:t>
            </w:r>
          </w:p>
        </w:tc>
        <w:tc>
          <w:tcPr>
            <w:tcW w:w="553"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11"/>
              </w:numPr>
              <w:adjustRightInd w:val="0"/>
              <w:snapToGrid w:val="0"/>
              <w:spacing w:line="0" w:lineRule="atLeast"/>
              <w:jc w:val="both"/>
              <w:rPr>
                <w:sz w:val="20"/>
                <w:szCs w:val="20"/>
              </w:rPr>
            </w:pPr>
            <w:r w:rsidRPr="00131B9D">
              <w:rPr>
                <w:sz w:val="20"/>
                <w:szCs w:val="20"/>
              </w:rPr>
              <w:t>制定國</w:t>
            </w:r>
            <w:r w:rsidRPr="00131B9D">
              <w:rPr>
                <w:sz w:val="20"/>
                <w:szCs w:val="20"/>
              </w:rPr>
              <w:t>16</w:t>
            </w:r>
            <w:r w:rsidRPr="00131B9D">
              <w:rPr>
                <w:sz w:val="20"/>
                <w:szCs w:val="20"/>
              </w:rPr>
              <w:t>條『國務院關於穩定消費價格總水準保障群眾基本生活的通知』。</w:t>
            </w:r>
          </w:p>
        </w:tc>
        <w:tc>
          <w:tcPr>
            <w:tcW w:w="2414" w:type="pct"/>
            <w:gridSpan w:val="2"/>
            <w:tcBorders>
              <w:top w:val="single" w:sz="4" w:space="0" w:color="auto"/>
              <w:bottom w:val="single" w:sz="4" w:space="0" w:color="auto"/>
            </w:tcBorders>
            <w:shd w:val="clear" w:color="auto" w:fill="auto"/>
            <w:vAlign w:val="center"/>
          </w:tcPr>
          <w:p w:rsidR="00A33A0D" w:rsidRPr="00131B9D" w:rsidRDefault="00A33A0D" w:rsidP="00A33A0D">
            <w:pPr>
              <w:numPr>
                <w:ilvl w:val="0"/>
                <w:numId w:val="13"/>
              </w:numPr>
              <w:adjustRightInd w:val="0"/>
              <w:snapToGrid w:val="0"/>
              <w:spacing w:line="0" w:lineRule="atLeast"/>
              <w:jc w:val="both"/>
              <w:rPr>
                <w:b/>
                <w:sz w:val="20"/>
                <w:szCs w:val="20"/>
              </w:rPr>
            </w:pPr>
            <w:r w:rsidRPr="00131B9D">
              <w:rPr>
                <w:b/>
                <w:sz w:val="20"/>
                <w:szCs w:val="20"/>
              </w:rPr>
              <w:t>抑制民生物價之國</w:t>
            </w:r>
            <w:r w:rsidRPr="00131B9D">
              <w:rPr>
                <w:b/>
                <w:sz w:val="20"/>
                <w:szCs w:val="20"/>
              </w:rPr>
              <w:t>16</w:t>
            </w:r>
            <w:r w:rsidRPr="00131B9D">
              <w:rPr>
                <w:b/>
                <w:sz w:val="20"/>
                <w:szCs w:val="20"/>
              </w:rPr>
              <w:t>條</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降低農副產品流通成本。保障化肥生產供應。</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做好煤電油氣運協調工作。</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發放價格臨時補貼。</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建立社會救助和保障標準與物價上漲掛鉤的連動機制。</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繼續落實規範收費的各項規定積極穩妥推進價格改革。</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規範農產品經營和深加工秩序。</w:t>
            </w:r>
          </w:p>
        </w:tc>
        <w:tc>
          <w:tcPr>
            <w:tcW w:w="653"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ind w:left="33"/>
              <w:rPr>
                <w:sz w:val="20"/>
                <w:szCs w:val="20"/>
              </w:rPr>
            </w:pPr>
            <w:r w:rsidRPr="00131B9D">
              <w:rPr>
                <w:sz w:val="20"/>
                <w:szCs w:val="20"/>
              </w:rPr>
              <w:t>直至</w:t>
            </w:r>
            <w:r w:rsidRPr="00131B9D">
              <w:rPr>
                <w:sz w:val="20"/>
                <w:szCs w:val="20"/>
              </w:rPr>
              <w:t>2012</w:t>
            </w:r>
            <w:r w:rsidRPr="00131B9D">
              <w:rPr>
                <w:sz w:val="20"/>
                <w:szCs w:val="20"/>
              </w:rPr>
              <w:t>年</w:t>
            </w:r>
            <w:r w:rsidRPr="00131B9D">
              <w:rPr>
                <w:sz w:val="20"/>
                <w:szCs w:val="20"/>
              </w:rPr>
              <w:t>7</w:t>
            </w:r>
            <w:r w:rsidRPr="00131B9D">
              <w:rPr>
                <w:sz w:val="20"/>
                <w:szCs w:val="20"/>
              </w:rPr>
              <w:t>月，中國大陸的物價使回到</w:t>
            </w:r>
            <w:r w:rsidRPr="00131B9D">
              <w:rPr>
                <w:sz w:val="20"/>
                <w:szCs w:val="20"/>
              </w:rPr>
              <w:t>2%</w:t>
            </w:r>
            <w:r w:rsidRPr="00131B9D">
              <w:rPr>
                <w:sz w:val="20"/>
                <w:szCs w:val="20"/>
              </w:rPr>
              <w:t>左右。</w:t>
            </w:r>
          </w:p>
        </w:tc>
      </w:tr>
    </w:tbl>
    <w:p w:rsidR="00A33A0D" w:rsidRPr="00131B9D" w:rsidRDefault="00A33A0D" w:rsidP="00A33A0D">
      <w:pPr>
        <w:jc w:val="center"/>
        <w:rPr>
          <w:szCs w:val="22"/>
        </w:rPr>
      </w:pPr>
      <w:r w:rsidRPr="00131B9D">
        <w:rPr>
          <w:b/>
          <w:szCs w:val="22"/>
        </w:rPr>
        <w:lastRenderedPageBreak/>
        <w:t>表</w:t>
      </w:r>
      <w:r w:rsidRPr="00131B9D">
        <w:rPr>
          <w:b/>
          <w:szCs w:val="22"/>
        </w:rPr>
        <w:t xml:space="preserve"> 3</w:t>
      </w:r>
      <w:r w:rsidRPr="00131B9D">
        <w:rPr>
          <w:b/>
          <w:szCs w:val="22"/>
        </w:rPr>
        <w:t>各國價格管制彙整表</w:t>
      </w:r>
      <w:r w:rsidRPr="00131B9D">
        <w:rPr>
          <w:b/>
          <w:szCs w:val="22"/>
        </w:rPr>
        <w:t>(</w:t>
      </w:r>
      <w:r w:rsidRPr="00131B9D">
        <w:rPr>
          <w:b/>
          <w:szCs w:val="22"/>
        </w:rPr>
        <w:t>續</w:t>
      </w:r>
      <w:r w:rsidRPr="00131B9D">
        <w:rPr>
          <w:b/>
          <w:szCs w:val="22"/>
        </w:rPr>
        <w:t>)</w:t>
      </w:r>
    </w:p>
    <w:tbl>
      <w:tblPr>
        <w:tblW w:w="5000" w:type="pct"/>
        <w:tblLook w:val="04A0" w:firstRow="1" w:lastRow="0" w:firstColumn="1" w:lastColumn="0" w:noHBand="0" w:noVBand="1"/>
      </w:tblPr>
      <w:tblGrid>
        <w:gridCol w:w="716"/>
        <w:gridCol w:w="1296"/>
        <w:gridCol w:w="2298"/>
        <w:gridCol w:w="1727"/>
        <w:gridCol w:w="6545"/>
        <w:gridCol w:w="409"/>
        <w:gridCol w:w="175"/>
        <w:gridCol w:w="2039"/>
        <w:gridCol w:w="409"/>
      </w:tblGrid>
      <w:tr w:rsidR="00A33A0D" w:rsidRPr="00131B9D" w:rsidTr="00A33A0D">
        <w:tc>
          <w:tcPr>
            <w:tcW w:w="22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國家</w:t>
            </w:r>
          </w:p>
        </w:tc>
        <w:tc>
          <w:tcPr>
            <w:tcW w:w="415"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年代</w:t>
            </w:r>
          </w:p>
        </w:tc>
        <w:tc>
          <w:tcPr>
            <w:tcW w:w="736"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背景</w:t>
            </w:r>
          </w:p>
        </w:tc>
        <w:tc>
          <w:tcPr>
            <w:tcW w:w="553"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措施</w:t>
            </w:r>
          </w:p>
        </w:tc>
        <w:tc>
          <w:tcPr>
            <w:tcW w:w="2227" w:type="pct"/>
            <w:gridSpan w:val="2"/>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管製品項及手段</w:t>
            </w:r>
          </w:p>
        </w:tc>
        <w:tc>
          <w:tcPr>
            <w:tcW w:w="840" w:type="pct"/>
            <w:gridSpan w:val="3"/>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影響</w:t>
            </w:r>
          </w:p>
        </w:tc>
      </w:tr>
      <w:tr w:rsidR="00A33A0D" w:rsidRPr="00131B9D" w:rsidTr="00A33A0D">
        <w:trPr>
          <w:gridAfter w:val="1"/>
          <w:wAfter w:w="131" w:type="pct"/>
        </w:trPr>
        <w:tc>
          <w:tcPr>
            <w:tcW w:w="22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rPr>
                <w:b/>
                <w:sz w:val="20"/>
                <w:szCs w:val="20"/>
              </w:rPr>
            </w:pPr>
            <w:r w:rsidRPr="00131B9D">
              <w:rPr>
                <w:b/>
                <w:sz w:val="20"/>
                <w:szCs w:val="20"/>
              </w:rPr>
              <w:t>中</w:t>
            </w: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b/>
                <w:sz w:val="20"/>
                <w:szCs w:val="20"/>
              </w:rPr>
            </w:pPr>
          </w:p>
          <w:p w:rsidR="00A33A0D" w:rsidRPr="00131B9D" w:rsidRDefault="00A33A0D" w:rsidP="00A33A0D">
            <w:pPr>
              <w:adjustRightInd w:val="0"/>
              <w:snapToGrid w:val="0"/>
              <w:spacing w:line="0" w:lineRule="atLeast"/>
              <w:rPr>
                <w:sz w:val="20"/>
                <w:szCs w:val="20"/>
              </w:rPr>
            </w:pPr>
            <w:r w:rsidRPr="00131B9D">
              <w:rPr>
                <w:b/>
                <w:sz w:val="20"/>
                <w:szCs w:val="20"/>
              </w:rPr>
              <w:t>國</w:t>
            </w:r>
          </w:p>
        </w:tc>
        <w:tc>
          <w:tcPr>
            <w:tcW w:w="415" w:type="pct"/>
            <w:tcBorders>
              <w:top w:val="single" w:sz="4" w:space="0" w:color="auto"/>
              <w:left w:val="nil"/>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sz w:val="20"/>
                <w:szCs w:val="20"/>
              </w:rPr>
            </w:pPr>
            <w:r w:rsidRPr="00131B9D">
              <w:rPr>
                <w:sz w:val="20"/>
                <w:szCs w:val="20"/>
              </w:rPr>
              <w:t>2010-2011</w:t>
            </w:r>
          </w:p>
        </w:tc>
        <w:tc>
          <w:tcPr>
            <w:tcW w:w="736"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10"/>
              </w:numPr>
              <w:adjustRightInd w:val="0"/>
              <w:snapToGrid w:val="0"/>
              <w:spacing w:line="0" w:lineRule="atLeast"/>
              <w:jc w:val="both"/>
              <w:rPr>
                <w:sz w:val="20"/>
                <w:szCs w:val="20"/>
              </w:rPr>
            </w:pPr>
            <w:r w:rsidRPr="00131B9D">
              <w:rPr>
                <w:sz w:val="20"/>
                <w:szCs w:val="20"/>
              </w:rPr>
              <w:t>全球經濟復甦。</w:t>
            </w:r>
          </w:p>
          <w:p w:rsidR="00A33A0D" w:rsidRPr="00131B9D" w:rsidRDefault="00A33A0D" w:rsidP="00A33A0D">
            <w:pPr>
              <w:numPr>
                <w:ilvl w:val="0"/>
                <w:numId w:val="10"/>
              </w:numPr>
              <w:adjustRightInd w:val="0"/>
              <w:snapToGrid w:val="0"/>
              <w:spacing w:line="0" w:lineRule="atLeast"/>
              <w:jc w:val="both"/>
              <w:rPr>
                <w:sz w:val="20"/>
                <w:szCs w:val="20"/>
              </w:rPr>
            </w:pPr>
            <w:r w:rsidRPr="00131B9D">
              <w:rPr>
                <w:sz w:val="20"/>
                <w:szCs w:val="20"/>
              </w:rPr>
              <w:t>2008</w:t>
            </w:r>
            <w:r w:rsidRPr="00131B9D">
              <w:rPr>
                <w:sz w:val="20"/>
                <w:szCs w:val="20"/>
              </w:rPr>
              <w:t>金融風暴與歐債危機促使熱錢流向亞洲金融市場，資金面寬鬆。</w:t>
            </w:r>
          </w:p>
          <w:p w:rsidR="00A33A0D" w:rsidRPr="00131B9D" w:rsidRDefault="00A33A0D" w:rsidP="00A33A0D">
            <w:pPr>
              <w:numPr>
                <w:ilvl w:val="0"/>
                <w:numId w:val="10"/>
              </w:numPr>
              <w:adjustRightInd w:val="0"/>
              <w:snapToGrid w:val="0"/>
              <w:spacing w:line="0" w:lineRule="atLeast"/>
              <w:jc w:val="both"/>
              <w:rPr>
                <w:sz w:val="20"/>
                <w:szCs w:val="20"/>
              </w:rPr>
            </w:pPr>
            <w:r w:rsidRPr="00131B9D">
              <w:rPr>
                <w:sz w:val="20"/>
                <w:szCs w:val="20"/>
              </w:rPr>
              <w:t>國際原物料與原油價格走強。</w:t>
            </w:r>
          </w:p>
          <w:p w:rsidR="00A33A0D" w:rsidRPr="00131B9D" w:rsidRDefault="00A33A0D" w:rsidP="00A33A0D">
            <w:pPr>
              <w:adjustRightInd w:val="0"/>
              <w:snapToGrid w:val="0"/>
              <w:spacing w:line="0" w:lineRule="atLeast"/>
              <w:jc w:val="both"/>
              <w:rPr>
                <w:b/>
                <w:sz w:val="20"/>
                <w:szCs w:val="20"/>
              </w:rPr>
            </w:pPr>
          </w:p>
          <w:p w:rsidR="00A33A0D" w:rsidRPr="00131B9D" w:rsidRDefault="00A33A0D" w:rsidP="00A33A0D">
            <w:pPr>
              <w:adjustRightInd w:val="0"/>
              <w:snapToGrid w:val="0"/>
              <w:spacing w:line="0" w:lineRule="atLeast"/>
              <w:jc w:val="both"/>
              <w:rPr>
                <w:sz w:val="20"/>
                <w:szCs w:val="20"/>
              </w:rPr>
            </w:pPr>
            <w:r w:rsidRPr="00131B9D">
              <w:rPr>
                <w:b/>
                <w:sz w:val="20"/>
                <w:szCs w:val="20"/>
              </w:rPr>
              <w:t>2010</w:t>
            </w:r>
            <w:r w:rsidRPr="00131B9D">
              <w:rPr>
                <w:b/>
                <w:sz w:val="20"/>
                <w:szCs w:val="20"/>
              </w:rPr>
              <w:t>年</w:t>
            </w:r>
            <w:r w:rsidRPr="00131B9D">
              <w:rPr>
                <w:b/>
                <w:sz w:val="20"/>
                <w:szCs w:val="20"/>
              </w:rPr>
              <w:t>11</w:t>
            </w:r>
            <w:r w:rsidRPr="00131B9D">
              <w:rPr>
                <w:b/>
                <w:sz w:val="20"/>
                <w:szCs w:val="20"/>
              </w:rPr>
              <w:t>月通膨率達</w:t>
            </w:r>
            <w:r w:rsidRPr="00131B9D">
              <w:rPr>
                <w:b/>
                <w:sz w:val="20"/>
                <w:szCs w:val="20"/>
              </w:rPr>
              <w:t>5.1%</w:t>
            </w:r>
            <w:r w:rsidRPr="00131B9D">
              <w:rPr>
                <w:b/>
                <w:sz w:val="20"/>
                <w:szCs w:val="20"/>
              </w:rPr>
              <w:t>，創</w:t>
            </w:r>
            <w:r w:rsidRPr="00131B9D">
              <w:rPr>
                <w:b/>
                <w:sz w:val="20"/>
                <w:szCs w:val="20"/>
              </w:rPr>
              <w:t>28</w:t>
            </w:r>
            <w:r w:rsidRPr="00131B9D">
              <w:rPr>
                <w:b/>
                <w:sz w:val="20"/>
                <w:szCs w:val="20"/>
              </w:rPr>
              <w:t>個月以來新高。</w:t>
            </w:r>
          </w:p>
          <w:p w:rsidR="00A33A0D" w:rsidRPr="00131B9D" w:rsidRDefault="00A33A0D" w:rsidP="00A33A0D">
            <w:pPr>
              <w:adjustRightInd w:val="0"/>
              <w:snapToGrid w:val="0"/>
              <w:spacing w:line="0" w:lineRule="atLeast"/>
              <w:ind w:leftChars="-1" w:left="-2"/>
              <w:jc w:val="both"/>
              <w:rPr>
                <w:b/>
                <w:sz w:val="20"/>
                <w:szCs w:val="20"/>
              </w:rPr>
            </w:pPr>
          </w:p>
        </w:tc>
        <w:tc>
          <w:tcPr>
            <w:tcW w:w="553"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11"/>
              </w:numPr>
              <w:adjustRightInd w:val="0"/>
              <w:snapToGrid w:val="0"/>
              <w:spacing w:line="0" w:lineRule="atLeast"/>
              <w:jc w:val="both"/>
              <w:rPr>
                <w:sz w:val="20"/>
                <w:szCs w:val="20"/>
              </w:rPr>
            </w:pPr>
            <w:r w:rsidRPr="00131B9D">
              <w:rPr>
                <w:sz w:val="20"/>
                <w:szCs w:val="20"/>
              </w:rPr>
              <w:t>連續</w:t>
            </w:r>
            <w:r w:rsidRPr="00131B9D">
              <w:rPr>
                <w:sz w:val="20"/>
                <w:szCs w:val="20"/>
              </w:rPr>
              <w:t>7</w:t>
            </w:r>
            <w:r w:rsidRPr="00131B9D">
              <w:rPr>
                <w:sz w:val="20"/>
                <w:szCs w:val="20"/>
              </w:rPr>
              <w:t>次上調貨幣存款準備金率。</w:t>
            </w:r>
          </w:p>
        </w:tc>
        <w:tc>
          <w:tcPr>
            <w:tcW w:w="2283" w:type="pct"/>
            <w:gridSpan w:val="3"/>
            <w:tcBorders>
              <w:top w:val="single" w:sz="4" w:space="0" w:color="auto"/>
              <w:bottom w:val="single" w:sz="4" w:space="0" w:color="auto"/>
            </w:tcBorders>
            <w:shd w:val="clear" w:color="auto" w:fill="auto"/>
            <w:vAlign w:val="center"/>
          </w:tcPr>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加強農產品期貨和電子交易市場監管。</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健全價格監管法規。完善價格資訊發佈制度。</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加強價格監督檢查和反價格壟斷執法。</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落實</w:t>
            </w:r>
            <w:r w:rsidRPr="00131B9D">
              <w:rPr>
                <w:sz w:val="20"/>
                <w:szCs w:val="20"/>
              </w:rPr>
              <w:t>"</w:t>
            </w:r>
            <w:r w:rsidRPr="00131B9D">
              <w:rPr>
                <w:sz w:val="20"/>
                <w:szCs w:val="20"/>
              </w:rPr>
              <w:t>米袋子</w:t>
            </w:r>
            <w:r w:rsidRPr="00131B9D">
              <w:rPr>
                <w:sz w:val="20"/>
                <w:szCs w:val="20"/>
              </w:rPr>
              <w:t>"</w:t>
            </w:r>
            <w:r w:rsidRPr="00131B9D">
              <w:rPr>
                <w:sz w:val="20"/>
                <w:szCs w:val="20"/>
              </w:rPr>
              <w:t>省長負責制和</w:t>
            </w:r>
            <w:r w:rsidRPr="00131B9D">
              <w:rPr>
                <w:sz w:val="20"/>
                <w:szCs w:val="20"/>
              </w:rPr>
              <w:t>"</w:t>
            </w:r>
            <w:r w:rsidRPr="00131B9D">
              <w:rPr>
                <w:sz w:val="20"/>
                <w:szCs w:val="20"/>
              </w:rPr>
              <w:t>菜籃子</w:t>
            </w:r>
            <w:r w:rsidRPr="00131B9D">
              <w:rPr>
                <w:sz w:val="20"/>
                <w:szCs w:val="20"/>
              </w:rPr>
              <w:t>"</w:t>
            </w:r>
            <w:r w:rsidRPr="00131B9D">
              <w:rPr>
                <w:sz w:val="20"/>
                <w:szCs w:val="20"/>
              </w:rPr>
              <w:t>市長負責制。</w:t>
            </w:r>
          </w:p>
          <w:p w:rsidR="00A33A0D" w:rsidRPr="00131B9D" w:rsidRDefault="00A33A0D" w:rsidP="00A33A0D">
            <w:pPr>
              <w:numPr>
                <w:ilvl w:val="0"/>
                <w:numId w:val="12"/>
              </w:numPr>
              <w:adjustRightInd w:val="0"/>
              <w:snapToGrid w:val="0"/>
              <w:spacing w:line="0" w:lineRule="atLeast"/>
              <w:jc w:val="both"/>
              <w:rPr>
                <w:sz w:val="20"/>
                <w:szCs w:val="20"/>
              </w:rPr>
            </w:pPr>
            <w:r w:rsidRPr="00131B9D">
              <w:rPr>
                <w:sz w:val="20"/>
                <w:szCs w:val="20"/>
              </w:rPr>
              <w:t>建立市場價格調控部際聯席會議制度。</w:t>
            </w:r>
          </w:p>
          <w:p w:rsidR="00A33A0D" w:rsidRPr="00131B9D" w:rsidRDefault="00A33A0D" w:rsidP="00A33A0D">
            <w:pPr>
              <w:adjustRightInd w:val="0"/>
              <w:snapToGrid w:val="0"/>
              <w:spacing w:line="0" w:lineRule="atLeast"/>
              <w:jc w:val="both"/>
              <w:rPr>
                <w:sz w:val="20"/>
                <w:szCs w:val="20"/>
              </w:rPr>
            </w:pPr>
            <w:r w:rsidRPr="00131B9D">
              <w:rPr>
                <w:sz w:val="20"/>
                <w:szCs w:val="20"/>
              </w:rPr>
              <w:t>中國總理溫家寶表示，不排除透過直接限價、價格補貼以及嚴懲囤積貨等以抑制價格過快上漲。</w:t>
            </w:r>
          </w:p>
          <w:p w:rsidR="00A33A0D" w:rsidRPr="00131B9D" w:rsidRDefault="00A33A0D" w:rsidP="00A33A0D">
            <w:pPr>
              <w:numPr>
                <w:ilvl w:val="0"/>
                <w:numId w:val="13"/>
              </w:numPr>
              <w:adjustRightInd w:val="0"/>
              <w:snapToGrid w:val="0"/>
              <w:spacing w:line="0" w:lineRule="atLeast"/>
              <w:jc w:val="both"/>
              <w:rPr>
                <w:b/>
                <w:sz w:val="20"/>
                <w:szCs w:val="20"/>
              </w:rPr>
            </w:pPr>
            <w:r w:rsidRPr="00131B9D">
              <w:rPr>
                <w:b/>
                <w:sz w:val="20"/>
                <w:szCs w:val="20"/>
              </w:rPr>
              <w:t>抑制房價</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國</w:t>
            </w:r>
            <w:r w:rsidRPr="00131B9D">
              <w:rPr>
                <w:sz w:val="20"/>
                <w:szCs w:val="20"/>
              </w:rPr>
              <w:t>4</w:t>
            </w:r>
            <w:r w:rsidRPr="00131B9D">
              <w:rPr>
                <w:sz w:val="20"/>
                <w:szCs w:val="20"/>
              </w:rPr>
              <w:t>條：加大安居工程、鼓勵自住房、穩定房地產價格、維護房地產秩序。</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新國</w:t>
            </w:r>
            <w:r w:rsidRPr="00131B9D">
              <w:rPr>
                <w:sz w:val="20"/>
                <w:szCs w:val="20"/>
              </w:rPr>
              <w:t>10</w:t>
            </w:r>
            <w:r w:rsidRPr="00131B9D">
              <w:rPr>
                <w:sz w:val="20"/>
                <w:szCs w:val="20"/>
              </w:rPr>
              <w:t>條：增加</w:t>
            </w:r>
            <w:r w:rsidRPr="00131B9D">
              <w:rPr>
                <w:sz w:val="20"/>
                <w:szCs w:val="20"/>
              </w:rPr>
              <w:t>”</w:t>
            </w:r>
            <w:r w:rsidRPr="00131B9D">
              <w:rPr>
                <w:sz w:val="20"/>
                <w:szCs w:val="20"/>
              </w:rPr>
              <w:t>抑制不合理住房需求</w:t>
            </w:r>
            <w:r w:rsidRPr="00131B9D">
              <w:rPr>
                <w:sz w:val="20"/>
                <w:szCs w:val="20"/>
              </w:rPr>
              <w:t>”</w:t>
            </w:r>
            <w:r w:rsidRPr="00131B9D">
              <w:rPr>
                <w:sz w:val="20"/>
                <w:szCs w:val="20"/>
              </w:rPr>
              <w:t>大項，針對購買第二、三套住房者，實施較為嚴格的貸款條件。</w:t>
            </w:r>
          </w:p>
          <w:p w:rsidR="00A33A0D" w:rsidRPr="00131B9D" w:rsidRDefault="00A33A0D" w:rsidP="00A33A0D">
            <w:pPr>
              <w:numPr>
                <w:ilvl w:val="0"/>
                <w:numId w:val="6"/>
              </w:numPr>
              <w:adjustRightInd w:val="0"/>
              <w:snapToGrid w:val="0"/>
              <w:spacing w:line="0" w:lineRule="atLeast"/>
              <w:jc w:val="both"/>
              <w:rPr>
                <w:b/>
                <w:sz w:val="20"/>
                <w:szCs w:val="20"/>
              </w:rPr>
            </w:pPr>
            <w:r w:rsidRPr="00131B9D">
              <w:rPr>
                <w:sz w:val="20"/>
                <w:szCs w:val="20"/>
              </w:rPr>
              <w:t>5</w:t>
            </w:r>
            <w:r w:rsidRPr="00131B9D">
              <w:rPr>
                <w:sz w:val="20"/>
                <w:szCs w:val="20"/>
              </w:rPr>
              <w:t>國</w:t>
            </w:r>
            <w:r w:rsidRPr="00131B9D">
              <w:rPr>
                <w:sz w:val="20"/>
                <w:szCs w:val="20"/>
              </w:rPr>
              <w:t>8</w:t>
            </w:r>
            <w:r w:rsidRPr="00131B9D">
              <w:rPr>
                <w:sz w:val="20"/>
                <w:szCs w:val="20"/>
              </w:rPr>
              <w:t>條：提高「國</w:t>
            </w:r>
            <w:r w:rsidRPr="00131B9D">
              <w:rPr>
                <w:sz w:val="20"/>
                <w:szCs w:val="20"/>
              </w:rPr>
              <w:t>10</w:t>
            </w:r>
            <w:r w:rsidRPr="00131B9D">
              <w:rPr>
                <w:sz w:val="20"/>
                <w:szCs w:val="20"/>
              </w:rPr>
              <w:t>條」控管程度、實施全國性的限購政策，並直接以行政手段干預民生物價。</w:t>
            </w:r>
          </w:p>
        </w:tc>
        <w:tc>
          <w:tcPr>
            <w:tcW w:w="653"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ind w:left="33"/>
              <w:rPr>
                <w:sz w:val="20"/>
                <w:szCs w:val="20"/>
              </w:rPr>
            </w:pPr>
            <w:r w:rsidRPr="00131B9D">
              <w:rPr>
                <w:sz w:val="20"/>
                <w:szCs w:val="20"/>
              </w:rPr>
              <w:t>直至</w:t>
            </w:r>
            <w:r w:rsidRPr="00131B9D">
              <w:rPr>
                <w:sz w:val="20"/>
                <w:szCs w:val="20"/>
              </w:rPr>
              <w:t>2012</w:t>
            </w:r>
            <w:r w:rsidRPr="00131B9D">
              <w:rPr>
                <w:sz w:val="20"/>
                <w:szCs w:val="20"/>
              </w:rPr>
              <w:t>年</w:t>
            </w:r>
            <w:r w:rsidRPr="00131B9D">
              <w:rPr>
                <w:sz w:val="20"/>
                <w:szCs w:val="20"/>
              </w:rPr>
              <w:t>7</w:t>
            </w:r>
            <w:r w:rsidRPr="00131B9D">
              <w:rPr>
                <w:sz w:val="20"/>
                <w:szCs w:val="20"/>
              </w:rPr>
              <w:t>月，中國大陸的物價使回到</w:t>
            </w:r>
            <w:r w:rsidRPr="00131B9D">
              <w:rPr>
                <w:sz w:val="20"/>
                <w:szCs w:val="20"/>
              </w:rPr>
              <w:t>2%</w:t>
            </w:r>
            <w:r w:rsidRPr="00131B9D">
              <w:rPr>
                <w:sz w:val="20"/>
                <w:szCs w:val="20"/>
              </w:rPr>
              <w:t>左右。</w:t>
            </w:r>
          </w:p>
        </w:tc>
      </w:tr>
      <w:tr w:rsidR="00A33A0D" w:rsidRPr="00131B9D" w:rsidTr="00A33A0D">
        <w:trPr>
          <w:gridAfter w:val="1"/>
          <w:wAfter w:w="131" w:type="pct"/>
        </w:trPr>
        <w:tc>
          <w:tcPr>
            <w:tcW w:w="22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rPr>
                <w:b/>
                <w:sz w:val="20"/>
                <w:szCs w:val="20"/>
              </w:rPr>
            </w:pPr>
            <w:r w:rsidRPr="00131B9D">
              <w:rPr>
                <w:b/>
                <w:sz w:val="20"/>
                <w:szCs w:val="20"/>
              </w:rPr>
              <w:t>阿</w:t>
            </w:r>
          </w:p>
          <w:p w:rsidR="00A33A0D" w:rsidRPr="00131B9D" w:rsidRDefault="00A33A0D" w:rsidP="00A33A0D">
            <w:pPr>
              <w:adjustRightInd w:val="0"/>
              <w:snapToGrid w:val="0"/>
              <w:spacing w:line="0" w:lineRule="atLeast"/>
              <w:rPr>
                <w:b/>
                <w:sz w:val="20"/>
                <w:szCs w:val="20"/>
              </w:rPr>
            </w:pPr>
            <w:r w:rsidRPr="00131B9D">
              <w:rPr>
                <w:b/>
                <w:sz w:val="20"/>
                <w:szCs w:val="20"/>
              </w:rPr>
              <w:t>根</w:t>
            </w:r>
          </w:p>
          <w:p w:rsidR="00A33A0D" w:rsidRPr="00131B9D" w:rsidRDefault="00A33A0D" w:rsidP="00A33A0D">
            <w:pPr>
              <w:adjustRightInd w:val="0"/>
              <w:snapToGrid w:val="0"/>
              <w:spacing w:line="0" w:lineRule="atLeast"/>
              <w:rPr>
                <w:sz w:val="20"/>
                <w:szCs w:val="20"/>
              </w:rPr>
            </w:pPr>
            <w:r w:rsidRPr="00131B9D">
              <w:rPr>
                <w:b/>
                <w:sz w:val="20"/>
                <w:szCs w:val="20"/>
              </w:rPr>
              <w:t>廷</w:t>
            </w:r>
          </w:p>
        </w:tc>
        <w:tc>
          <w:tcPr>
            <w:tcW w:w="415"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sz w:val="20"/>
                <w:szCs w:val="20"/>
              </w:rPr>
            </w:pPr>
            <w:r w:rsidRPr="00131B9D">
              <w:rPr>
                <w:sz w:val="20"/>
                <w:szCs w:val="20"/>
              </w:rPr>
              <w:t>2014.9-</w:t>
            </w:r>
          </w:p>
        </w:tc>
        <w:tc>
          <w:tcPr>
            <w:tcW w:w="736"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sz w:val="20"/>
                <w:szCs w:val="20"/>
              </w:rPr>
              <w:t>截至</w:t>
            </w:r>
            <w:r w:rsidRPr="00131B9D">
              <w:rPr>
                <w:sz w:val="20"/>
                <w:szCs w:val="20"/>
              </w:rPr>
              <w:t>2014</w:t>
            </w:r>
            <w:r w:rsidRPr="00131B9D">
              <w:rPr>
                <w:sz w:val="20"/>
                <w:szCs w:val="20"/>
              </w:rPr>
              <w:t>年</w:t>
            </w:r>
            <w:r w:rsidRPr="00131B9D">
              <w:rPr>
                <w:sz w:val="20"/>
                <w:szCs w:val="20"/>
              </w:rPr>
              <w:t>8</w:t>
            </w:r>
            <w:r w:rsidRPr="00131B9D">
              <w:rPr>
                <w:sz w:val="20"/>
                <w:szCs w:val="20"/>
              </w:rPr>
              <w:t>月底，官方統計累計通脹率高達</w:t>
            </w:r>
            <w:r w:rsidRPr="00131B9D">
              <w:rPr>
                <w:sz w:val="20"/>
                <w:szCs w:val="20"/>
              </w:rPr>
              <w:t>18</w:t>
            </w:r>
            <w:r w:rsidRPr="00131B9D">
              <w:rPr>
                <w:sz w:val="20"/>
                <w:szCs w:val="20"/>
              </w:rPr>
              <w:t>％，民間機構預計</w:t>
            </w:r>
            <w:r w:rsidRPr="00131B9D">
              <w:rPr>
                <w:sz w:val="20"/>
                <w:szCs w:val="20"/>
              </w:rPr>
              <w:t>2014</w:t>
            </w:r>
            <w:r w:rsidRPr="00131B9D">
              <w:rPr>
                <w:sz w:val="20"/>
                <w:szCs w:val="20"/>
              </w:rPr>
              <w:t>全年通脹率可能超過</w:t>
            </w:r>
            <w:r w:rsidRPr="00131B9D">
              <w:rPr>
                <w:sz w:val="20"/>
                <w:szCs w:val="20"/>
              </w:rPr>
              <w:t>40</w:t>
            </w:r>
            <w:r w:rsidRPr="00131B9D">
              <w:rPr>
                <w:sz w:val="20"/>
                <w:szCs w:val="20"/>
              </w:rPr>
              <w:t>％。</w:t>
            </w:r>
          </w:p>
        </w:tc>
        <w:tc>
          <w:tcPr>
            <w:tcW w:w="553"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sz w:val="20"/>
                <w:szCs w:val="20"/>
              </w:rPr>
              <w:t>通過強化政府對物價幹預的《供應法》修正案。</w:t>
            </w:r>
          </w:p>
        </w:tc>
        <w:tc>
          <w:tcPr>
            <w:tcW w:w="2096"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14"/>
              </w:numPr>
              <w:adjustRightInd w:val="0"/>
              <w:snapToGrid w:val="0"/>
              <w:spacing w:line="0" w:lineRule="atLeast"/>
              <w:jc w:val="both"/>
              <w:rPr>
                <w:b/>
                <w:sz w:val="20"/>
                <w:szCs w:val="20"/>
              </w:rPr>
            </w:pPr>
            <w:r w:rsidRPr="00131B9D">
              <w:rPr>
                <w:b/>
                <w:sz w:val="20"/>
                <w:szCs w:val="20"/>
              </w:rPr>
              <w:t>2014</w:t>
            </w:r>
            <w:r w:rsidRPr="00131B9D">
              <w:rPr>
                <w:b/>
                <w:sz w:val="20"/>
                <w:szCs w:val="20"/>
              </w:rPr>
              <w:t>年初對</w:t>
            </w:r>
            <w:r w:rsidRPr="00131B9D">
              <w:rPr>
                <w:b/>
                <w:sz w:val="20"/>
                <w:szCs w:val="20"/>
              </w:rPr>
              <w:t>193</w:t>
            </w:r>
            <w:r w:rsidRPr="00131B9D">
              <w:rPr>
                <w:b/>
                <w:sz w:val="20"/>
                <w:szCs w:val="20"/>
              </w:rPr>
              <w:t>種商品採取價格管制措施。</w:t>
            </w:r>
          </w:p>
          <w:p w:rsidR="00A33A0D" w:rsidRPr="00131B9D" w:rsidRDefault="00A33A0D" w:rsidP="00A33A0D">
            <w:pPr>
              <w:numPr>
                <w:ilvl w:val="0"/>
                <w:numId w:val="14"/>
              </w:numPr>
              <w:adjustRightInd w:val="0"/>
              <w:snapToGrid w:val="0"/>
              <w:spacing w:line="0" w:lineRule="atLeast"/>
              <w:jc w:val="both"/>
              <w:rPr>
                <w:b/>
                <w:sz w:val="20"/>
                <w:szCs w:val="20"/>
              </w:rPr>
            </w:pPr>
            <w:r w:rsidRPr="00131B9D">
              <w:rPr>
                <w:b/>
                <w:sz w:val="20"/>
                <w:szCs w:val="20"/>
              </w:rPr>
              <w:t>制定《供應法》</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賦予政府凍結物價或制定參考價格的權力，對企業定價、利潤率和產量進行強制干預。</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對囤貨惜售和利用市場壟斷地位哄抬物價的企業，進行包括罰款和勒令停業最長達</w:t>
            </w:r>
            <w:r w:rsidRPr="00131B9D">
              <w:rPr>
                <w:sz w:val="20"/>
                <w:szCs w:val="20"/>
              </w:rPr>
              <w:t>3</w:t>
            </w:r>
            <w:r w:rsidRPr="00131B9D">
              <w:rPr>
                <w:sz w:val="20"/>
                <w:szCs w:val="20"/>
              </w:rPr>
              <w:t>個月的處罰。</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政府可依據此法強制企業生產、銷售某類產品，</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限制和禁止重要民生物資的出口。</w:t>
            </w:r>
          </w:p>
          <w:p w:rsidR="00A33A0D" w:rsidRPr="00131B9D" w:rsidRDefault="00A33A0D" w:rsidP="00A33A0D">
            <w:pPr>
              <w:numPr>
                <w:ilvl w:val="0"/>
                <w:numId w:val="6"/>
              </w:numPr>
              <w:adjustRightInd w:val="0"/>
              <w:snapToGrid w:val="0"/>
              <w:spacing w:line="0" w:lineRule="atLeast"/>
              <w:jc w:val="both"/>
              <w:rPr>
                <w:sz w:val="20"/>
                <w:szCs w:val="20"/>
              </w:rPr>
            </w:pPr>
            <w:r w:rsidRPr="00131B9D">
              <w:rPr>
                <w:sz w:val="20"/>
                <w:szCs w:val="20"/>
              </w:rPr>
              <w:t>通過修改稅收體制，對企業生產的成本結構進行干預等。</w:t>
            </w:r>
          </w:p>
        </w:tc>
        <w:tc>
          <w:tcPr>
            <w:tcW w:w="840" w:type="pct"/>
            <w:gridSpan w:val="3"/>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ind w:left="480"/>
              <w:jc w:val="both"/>
              <w:rPr>
                <w:sz w:val="20"/>
                <w:szCs w:val="20"/>
              </w:rPr>
            </w:pPr>
            <w:r w:rsidRPr="00131B9D">
              <w:rPr>
                <w:sz w:val="20"/>
                <w:szCs w:val="20"/>
              </w:rPr>
              <w:t>觀察中。</w:t>
            </w:r>
          </w:p>
        </w:tc>
      </w:tr>
      <w:tr w:rsidR="00A33A0D" w:rsidRPr="00131B9D" w:rsidTr="00A33A0D">
        <w:tc>
          <w:tcPr>
            <w:tcW w:w="22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b/>
                <w:sz w:val="20"/>
                <w:szCs w:val="20"/>
              </w:rPr>
            </w:pPr>
            <w:r w:rsidRPr="00131B9D">
              <w:rPr>
                <w:b/>
                <w:sz w:val="20"/>
                <w:szCs w:val="20"/>
              </w:rPr>
              <w:t>英</w:t>
            </w:r>
          </w:p>
          <w:p w:rsidR="00A33A0D" w:rsidRPr="00131B9D" w:rsidRDefault="00A33A0D" w:rsidP="00A33A0D">
            <w:pPr>
              <w:adjustRightInd w:val="0"/>
              <w:snapToGrid w:val="0"/>
              <w:spacing w:line="0" w:lineRule="atLeast"/>
              <w:jc w:val="both"/>
              <w:rPr>
                <w:b/>
                <w:sz w:val="20"/>
                <w:szCs w:val="20"/>
              </w:rPr>
            </w:pPr>
          </w:p>
          <w:p w:rsidR="00A33A0D" w:rsidRPr="00131B9D" w:rsidRDefault="00A33A0D" w:rsidP="00A33A0D">
            <w:pPr>
              <w:adjustRightInd w:val="0"/>
              <w:snapToGrid w:val="0"/>
              <w:spacing w:line="0" w:lineRule="atLeast"/>
              <w:jc w:val="both"/>
              <w:rPr>
                <w:sz w:val="20"/>
                <w:szCs w:val="20"/>
              </w:rPr>
            </w:pPr>
            <w:r w:rsidRPr="00131B9D">
              <w:rPr>
                <w:b/>
                <w:sz w:val="20"/>
                <w:szCs w:val="20"/>
              </w:rPr>
              <w:t>國</w:t>
            </w:r>
          </w:p>
        </w:tc>
        <w:tc>
          <w:tcPr>
            <w:tcW w:w="415"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sz w:val="20"/>
                <w:szCs w:val="20"/>
              </w:rPr>
            </w:pPr>
            <w:r w:rsidRPr="00131B9D">
              <w:rPr>
                <w:sz w:val="20"/>
                <w:szCs w:val="20"/>
              </w:rPr>
              <w:t>1970-74</w:t>
            </w:r>
          </w:p>
        </w:tc>
        <w:tc>
          <w:tcPr>
            <w:tcW w:w="736"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15"/>
              </w:numPr>
              <w:adjustRightInd w:val="0"/>
              <w:snapToGrid w:val="0"/>
              <w:spacing w:line="0" w:lineRule="atLeast"/>
              <w:ind w:rightChars="-45" w:right="-108"/>
              <w:jc w:val="both"/>
              <w:rPr>
                <w:sz w:val="20"/>
                <w:szCs w:val="20"/>
              </w:rPr>
            </w:pPr>
            <w:r w:rsidRPr="00131B9D">
              <w:rPr>
                <w:sz w:val="20"/>
                <w:szCs w:val="20"/>
              </w:rPr>
              <w:t>1970</w:t>
            </w:r>
            <w:r w:rsidRPr="00131B9D">
              <w:rPr>
                <w:sz w:val="20"/>
                <w:szCs w:val="20"/>
              </w:rPr>
              <w:t>年代初期的石油危機導致英國面臨停滯性通膨。</w:t>
            </w:r>
          </w:p>
          <w:p w:rsidR="00A33A0D" w:rsidRPr="00131B9D" w:rsidRDefault="00A33A0D" w:rsidP="00A33A0D">
            <w:pPr>
              <w:numPr>
                <w:ilvl w:val="0"/>
                <w:numId w:val="15"/>
              </w:numPr>
              <w:adjustRightInd w:val="0"/>
              <w:snapToGrid w:val="0"/>
              <w:spacing w:line="0" w:lineRule="atLeast"/>
              <w:jc w:val="both"/>
              <w:rPr>
                <w:sz w:val="20"/>
                <w:szCs w:val="20"/>
              </w:rPr>
            </w:pPr>
            <w:r w:rsidRPr="00131B9D">
              <w:rPr>
                <w:sz w:val="20"/>
                <w:szCs w:val="20"/>
              </w:rPr>
              <w:t>布列敦森林體系</w:t>
            </w:r>
            <w:r w:rsidRPr="00131B9D">
              <w:rPr>
                <w:sz w:val="20"/>
                <w:szCs w:val="20"/>
              </w:rPr>
              <w:t>(Bretton Woods system)</w:t>
            </w:r>
            <w:r w:rsidRPr="00131B9D">
              <w:rPr>
                <w:sz w:val="20"/>
                <w:szCs w:val="20"/>
              </w:rPr>
              <w:t>瓦解使得美元、黃金匯率浮動。</w:t>
            </w:r>
          </w:p>
        </w:tc>
        <w:tc>
          <w:tcPr>
            <w:tcW w:w="553"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sz w:val="20"/>
                <w:szCs w:val="20"/>
              </w:rPr>
              <w:t>保守黨首相</w:t>
            </w:r>
            <w:r w:rsidRPr="00131B9D">
              <w:rPr>
                <w:sz w:val="20"/>
                <w:szCs w:val="20"/>
              </w:rPr>
              <w:t>Edward Heath</w:t>
            </w:r>
            <w:r w:rsidRPr="00131B9D">
              <w:rPr>
                <w:sz w:val="20"/>
                <w:szCs w:val="20"/>
              </w:rPr>
              <w:t>為抑制通貨膨脹，保守黨採取限制工資成長。</w:t>
            </w:r>
          </w:p>
        </w:tc>
        <w:tc>
          <w:tcPr>
            <w:tcW w:w="2227" w:type="pct"/>
            <w:gridSpan w:val="2"/>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p>
        </w:tc>
        <w:tc>
          <w:tcPr>
            <w:tcW w:w="840" w:type="pct"/>
            <w:gridSpan w:val="3"/>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sz w:val="20"/>
                <w:szCs w:val="20"/>
              </w:rPr>
              <w:t>引發工會不滿。</w:t>
            </w:r>
            <w:r w:rsidRPr="00131B9D">
              <w:rPr>
                <w:sz w:val="20"/>
                <w:szCs w:val="20"/>
              </w:rPr>
              <w:t>1974</w:t>
            </w:r>
            <w:r w:rsidRPr="00131B9D">
              <w:rPr>
                <w:sz w:val="20"/>
                <w:szCs w:val="20"/>
              </w:rPr>
              <w:t>年，礦工發動大規模罷工，造成工黨上臺。</w:t>
            </w:r>
          </w:p>
        </w:tc>
      </w:tr>
    </w:tbl>
    <w:p w:rsidR="00A33A0D" w:rsidRPr="00131B9D" w:rsidRDefault="00A33A0D" w:rsidP="00A33A0D">
      <w:pPr>
        <w:rPr>
          <w:szCs w:val="22"/>
        </w:rPr>
        <w:sectPr w:rsidR="00A33A0D" w:rsidRPr="00131B9D" w:rsidSect="00EB1789">
          <w:pgSz w:w="16838" w:h="11906" w:orient="landscape"/>
          <w:pgMar w:top="720" w:right="720" w:bottom="720" w:left="720" w:header="851" w:footer="992" w:gutter="0"/>
          <w:cols w:space="425"/>
          <w:docGrid w:type="linesAndChars" w:linePitch="360"/>
        </w:sectPr>
      </w:pPr>
    </w:p>
    <w:p w:rsidR="00A33A0D" w:rsidRPr="00131B9D" w:rsidRDefault="00A33A0D" w:rsidP="00A33A0D">
      <w:pPr>
        <w:jc w:val="center"/>
        <w:rPr>
          <w:szCs w:val="22"/>
        </w:rPr>
      </w:pPr>
      <w:r w:rsidRPr="00131B9D">
        <w:rPr>
          <w:b/>
          <w:szCs w:val="22"/>
        </w:rPr>
        <w:lastRenderedPageBreak/>
        <w:t>表</w:t>
      </w:r>
      <w:r w:rsidRPr="00131B9D">
        <w:rPr>
          <w:b/>
          <w:szCs w:val="22"/>
        </w:rPr>
        <w:t xml:space="preserve"> 3</w:t>
      </w:r>
      <w:r w:rsidRPr="00131B9D">
        <w:rPr>
          <w:b/>
          <w:szCs w:val="22"/>
        </w:rPr>
        <w:t>各國價格管制彙整表</w:t>
      </w:r>
      <w:r w:rsidRPr="00131B9D">
        <w:rPr>
          <w:b/>
          <w:szCs w:val="22"/>
        </w:rPr>
        <w:t>(</w:t>
      </w:r>
      <w:r w:rsidRPr="00131B9D">
        <w:rPr>
          <w:b/>
          <w:szCs w:val="22"/>
        </w:rPr>
        <w:t>續</w:t>
      </w:r>
      <w:r w:rsidRPr="00131B9D">
        <w:rPr>
          <w:b/>
          <w:szCs w:val="22"/>
        </w:rPr>
        <w:t>)</w:t>
      </w:r>
    </w:p>
    <w:tbl>
      <w:tblPr>
        <w:tblW w:w="4847" w:type="pct"/>
        <w:tblLook w:val="04A0" w:firstRow="1" w:lastRow="0" w:firstColumn="1" w:lastColumn="0" w:noHBand="0" w:noVBand="1"/>
      </w:tblPr>
      <w:tblGrid>
        <w:gridCol w:w="717"/>
        <w:gridCol w:w="1296"/>
        <w:gridCol w:w="2298"/>
        <w:gridCol w:w="1726"/>
        <w:gridCol w:w="5270"/>
        <w:gridCol w:w="3829"/>
      </w:tblGrid>
      <w:tr w:rsidR="00A33A0D" w:rsidRPr="00131B9D" w:rsidTr="00A33A0D">
        <w:tc>
          <w:tcPr>
            <w:tcW w:w="237"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國家</w:t>
            </w:r>
          </w:p>
        </w:tc>
        <w:tc>
          <w:tcPr>
            <w:tcW w:w="428"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年代</w:t>
            </w:r>
          </w:p>
        </w:tc>
        <w:tc>
          <w:tcPr>
            <w:tcW w:w="75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背景</w:t>
            </w:r>
          </w:p>
        </w:tc>
        <w:tc>
          <w:tcPr>
            <w:tcW w:w="570"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措施</w:t>
            </w:r>
          </w:p>
        </w:tc>
        <w:tc>
          <w:tcPr>
            <w:tcW w:w="1741"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管製品項及手段</w:t>
            </w:r>
          </w:p>
        </w:tc>
        <w:tc>
          <w:tcPr>
            <w:tcW w:w="1265"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b/>
                <w:sz w:val="20"/>
                <w:szCs w:val="20"/>
              </w:rPr>
            </w:pPr>
            <w:r w:rsidRPr="00131B9D">
              <w:rPr>
                <w:b/>
                <w:sz w:val="20"/>
                <w:szCs w:val="20"/>
              </w:rPr>
              <w:t>影響</w:t>
            </w:r>
          </w:p>
        </w:tc>
      </w:tr>
      <w:tr w:rsidR="00A33A0D" w:rsidRPr="00131B9D" w:rsidTr="00A33A0D">
        <w:tc>
          <w:tcPr>
            <w:tcW w:w="237" w:type="pct"/>
            <w:tcBorders>
              <w:top w:val="single" w:sz="4" w:space="0" w:color="auto"/>
              <w:bottom w:val="single" w:sz="4" w:space="0" w:color="auto"/>
            </w:tcBorders>
            <w:shd w:val="clear" w:color="auto" w:fill="auto"/>
          </w:tcPr>
          <w:p w:rsidR="00A33A0D" w:rsidRPr="00131B9D" w:rsidRDefault="00A33A0D" w:rsidP="00A33A0D">
            <w:pPr>
              <w:adjustRightInd w:val="0"/>
              <w:snapToGrid w:val="0"/>
              <w:spacing w:line="0" w:lineRule="atLeast"/>
              <w:rPr>
                <w:sz w:val="20"/>
                <w:szCs w:val="20"/>
              </w:rPr>
            </w:pPr>
            <w:r w:rsidRPr="00131B9D">
              <w:rPr>
                <w:b/>
                <w:sz w:val="20"/>
                <w:szCs w:val="20"/>
              </w:rPr>
              <w:t>美國</w:t>
            </w:r>
          </w:p>
        </w:tc>
        <w:tc>
          <w:tcPr>
            <w:tcW w:w="428" w:type="pct"/>
            <w:tcBorders>
              <w:top w:val="single" w:sz="4" w:space="0" w:color="auto"/>
              <w:bottom w:val="single" w:sz="4" w:space="0" w:color="auto"/>
            </w:tcBorders>
            <w:shd w:val="clear" w:color="auto" w:fill="auto"/>
            <w:vAlign w:val="center"/>
          </w:tcPr>
          <w:p w:rsidR="00A33A0D" w:rsidRPr="00131B9D" w:rsidRDefault="00A33A0D" w:rsidP="00A33A0D">
            <w:pPr>
              <w:widowControl/>
              <w:spacing w:before="180" w:after="180" w:line="0" w:lineRule="atLeast"/>
              <w:jc w:val="center"/>
              <w:rPr>
                <w:color w:val="000000"/>
                <w:kern w:val="0"/>
                <w:sz w:val="20"/>
                <w:szCs w:val="20"/>
              </w:rPr>
            </w:pPr>
            <w:r w:rsidRPr="00131B9D">
              <w:rPr>
                <w:color w:val="000000"/>
                <w:kern w:val="0"/>
                <w:sz w:val="20"/>
                <w:szCs w:val="20"/>
              </w:rPr>
              <w:t>1971-74</w:t>
            </w:r>
          </w:p>
        </w:tc>
        <w:tc>
          <w:tcPr>
            <w:tcW w:w="759" w:type="pct"/>
            <w:tcBorders>
              <w:top w:val="single" w:sz="4" w:space="0" w:color="auto"/>
              <w:bottom w:val="single" w:sz="4" w:space="0" w:color="auto"/>
            </w:tcBorders>
            <w:shd w:val="clear" w:color="auto" w:fill="auto"/>
            <w:vAlign w:val="center"/>
          </w:tcPr>
          <w:p w:rsidR="00A33A0D" w:rsidRPr="00131B9D" w:rsidRDefault="00A33A0D" w:rsidP="00A33A0D">
            <w:pPr>
              <w:widowControl/>
              <w:spacing w:before="180" w:after="180" w:line="0" w:lineRule="atLeast"/>
              <w:jc w:val="both"/>
              <w:rPr>
                <w:kern w:val="0"/>
                <w:sz w:val="20"/>
                <w:szCs w:val="20"/>
              </w:rPr>
            </w:pPr>
            <w:r w:rsidRPr="00131B9D">
              <w:rPr>
                <w:color w:val="000000"/>
                <w:kern w:val="0"/>
                <w:sz w:val="20"/>
                <w:szCs w:val="20"/>
              </w:rPr>
              <w:t>因中東戰爭和石油危機，</w:t>
            </w:r>
            <w:r w:rsidRPr="00131B9D">
              <w:rPr>
                <w:color w:val="000000"/>
                <w:kern w:val="0"/>
                <w:sz w:val="20"/>
                <w:szCs w:val="20"/>
              </w:rPr>
              <w:t>70</w:t>
            </w:r>
            <w:r w:rsidRPr="00131B9D">
              <w:rPr>
                <w:color w:val="000000"/>
                <w:kern w:val="0"/>
                <w:sz w:val="20"/>
                <w:szCs w:val="20"/>
              </w:rPr>
              <w:t>年代初國際市場原油出現嚴重短缺。</w:t>
            </w:r>
          </w:p>
        </w:tc>
        <w:tc>
          <w:tcPr>
            <w:tcW w:w="570" w:type="pct"/>
            <w:tcBorders>
              <w:top w:val="single" w:sz="4" w:space="0" w:color="auto"/>
              <w:bottom w:val="single" w:sz="4" w:space="0" w:color="auto"/>
            </w:tcBorders>
            <w:shd w:val="clear" w:color="auto" w:fill="auto"/>
            <w:vAlign w:val="center"/>
          </w:tcPr>
          <w:p w:rsidR="00A33A0D" w:rsidRPr="00131B9D" w:rsidRDefault="00A33A0D" w:rsidP="00A33A0D">
            <w:pPr>
              <w:spacing w:line="0" w:lineRule="atLeast"/>
              <w:jc w:val="both"/>
              <w:rPr>
                <w:sz w:val="20"/>
                <w:szCs w:val="20"/>
              </w:rPr>
            </w:pPr>
            <w:r w:rsidRPr="00131B9D">
              <w:rPr>
                <w:sz w:val="20"/>
                <w:szCs w:val="20"/>
              </w:rPr>
              <w:t>3</w:t>
            </w:r>
            <w:r w:rsidRPr="00131B9D">
              <w:rPr>
                <w:sz w:val="20"/>
                <w:szCs w:val="20"/>
              </w:rPr>
              <w:t>次工資與價格管制政策制。</w:t>
            </w:r>
          </w:p>
        </w:tc>
        <w:tc>
          <w:tcPr>
            <w:tcW w:w="1741" w:type="pct"/>
            <w:tcBorders>
              <w:top w:val="single" w:sz="4" w:space="0" w:color="auto"/>
              <w:bottom w:val="single" w:sz="4" w:space="0" w:color="auto"/>
            </w:tcBorders>
            <w:shd w:val="clear" w:color="auto" w:fill="auto"/>
            <w:vAlign w:val="center"/>
          </w:tcPr>
          <w:p w:rsidR="00A33A0D" w:rsidRPr="00131B9D" w:rsidRDefault="00A33A0D" w:rsidP="00A33A0D">
            <w:pPr>
              <w:spacing w:line="0" w:lineRule="atLeast"/>
              <w:jc w:val="both"/>
              <w:rPr>
                <w:sz w:val="20"/>
                <w:szCs w:val="20"/>
              </w:rPr>
            </w:pPr>
            <w:r w:rsidRPr="00131B9D">
              <w:rPr>
                <w:color w:val="000000"/>
                <w:sz w:val="20"/>
                <w:szCs w:val="20"/>
              </w:rPr>
              <w:t>根據《經濟穩定法》，尼克森總統於</w:t>
            </w:r>
            <w:r w:rsidRPr="00131B9D">
              <w:rPr>
                <w:color w:val="000000"/>
                <w:sz w:val="20"/>
                <w:szCs w:val="20"/>
              </w:rPr>
              <w:t>1971</w:t>
            </w:r>
            <w:r w:rsidRPr="00131B9D">
              <w:rPr>
                <w:color w:val="000000"/>
                <w:sz w:val="20"/>
                <w:szCs w:val="20"/>
              </w:rPr>
              <w:t>年凍結了石油及其製成品的價格，隨後又將管制措施分階段一直持續到</w:t>
            </w:r>
            <w:r w:rsidRPr="00131B9D">
              <w:rPr>
                <w:color w:val="000000"/>
                <w:sz w:val="20"/>
                <w:szCs w:val="20"/>
              </w:rPr>
              <w:t>1975</w:t>
            </w:r>
            <w:r w:rsidRPr="00131B9D">
              <w:rPr>
                <w:color w:val="000000"/>
                <w:sz w:val="20"/>
                <w:szCs w:val="20"/>
              </w:rPr>
              <w:t>年。</w:t>
            </w:r>
          </w:p>
        </w:tc>
        <w:tc>
          <w:tcPr>
            <w:tcW w:w="1265"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18"/>
              </w:numPr>
              <w:spacing w:line="0" w:lineRule="atLeast"/>
              <w:jc w:val="both"/>
              <w:rPr>
                <w:sz w:val="20"/>
                <w:szCs w:val="20"/>
              </w:rPr>
            </w:pPr>
            <w:r w:rsidRPr="00131B9D">
              <w:rPr>
                <w:sz w:val="20"/>
                <w:szCs w:val="20"/>
              </w:rPr>
              <w:t>美國生活費委員會制定的低廉汽油價無法反映汽油短缺的真實情況，全美國的加油站都出現大排長龍的汽車與卡車；有些加油站甚至因無汽油可賣而關閉。</w:t>
            </w:r>
          </w:p>
          <w:p w:rsidR="00A33A0D" w:rsidRPr="00131B9D" w:rsidRDefault="00A33A0D" w:rsidP="00A33A0D">
            <w:pPr>
              <w:numPr>
                <w:ilvl w:val="0"/>
                <w:numId w:val="18"/>
              </w:numPr>
              <w:spacing w:line="0" w:lineRule="atLeast"/>
              <w:jc w:val="both"/>
              <w:rPr>
                <w:sz w:val="20"/>
                <w:szCs w:val="20"/>
              </w:rPr>
            </w:pPr>
            <w:r w:rsidRPr="00131B9D">
              <w:rPr>
                <w:sz w:val="20"/>
                <w:szCs w:val="20"/>
              </w:rPr>
              <w:t>之後</w:t>
            </w:r>
            <w:r w:rsidRPr="00131B9D">
              <w:rPr>
                <w:sz w:val="20"/>
                <w:szCs w:val="20"/>
              </w:rPr>
              <w:t>30</w:t>
            </w:r>
            <w:r w:rsidRPr="00131B9D">
              <w:rPr>
                <w:sz w:val="20"/>
                <w:szCs w:val="20"/>
              </w:rPr>
              <w:t>年儘管又發生幾次石油危機，美國卻無再實行過石油價管。</w:t>
            </w:r>
          </w:p>
        </w:tc>
      </w:tr>
      <w:tr w:rsidR="00A33A0D" w:rsidRPr="00131B9D" w:rsidTr="00A33A0D">
        <w:tc>
          <w:tcPr>
            <w:tcW w:w="237" w:type="pct"/>
            <w:tcBorders>
              <w:top w:val="single" w:sz="4" w:space="0" w:color="auto"/>
              <w:bottom w:val="single" w:sz="4" w:space="0" w:color="auto"/>
            </w:tcBorders>
            <w:shd w:val="clear" w:color="auto" w:fill="auto"/>
          </w:tcPr>
          <w:p w:rsidR="00A33A0D" w:rsidRPr="00131B9D" w:rsidRDefault="00A33A0D" w:rsidP="00A33A0D">
            <w:pPr>
              <w:adjustRightInd w:val="0"/>
              <w:snapToGrid w:val="0"/>
              <w:spacing w:line="0" w:lineRule="atLeast"/>
              <w:rPr>
                <w:sz w:val="20"/>
                <w:szCs w:val="20"/>
              </w:rPr>
            </w:pPr>
            <w:r w:rsidRPr="00131B9D">
              <w:rPr>
                <w:b/>
                <w:sz w:val="20"/>
                <w:szCs w:val="20"/>
              </w:rPr>
              <w:t>委內瑞拉</w:t>
            </w:r>
          </w:p>
        </w:tc>
        <w:tc>
          <w:tcPr>
            <w:tcW w:w="428" w:type="pct"/>
            <w:tcBorders>
              <w:top w:val="single" w:sz="4" w:space="0" w:color="auto"/>
              <w:bottom w:val="single" w:sz="4" w:space="0" w:color="auto"/>
            </w:tcBorders>
            <w:shd w:val="clear" w:color="auto" w:fill="auto"/>
            <w:vAlign w:val="center"/>
          </w:tcPr>
          <w:p w:rsidR="00A33A0D" w:rsidRPr="00131B9D" w:rsidRDefault="00A33A0D" w:rsidP="00A33A0D">
            <w:pPr>
              <w:spacing w:line="0" w:lineRule="atLeast"/>
              <w:jc w:val="center"/>
              <w:rPr>
                <w:sz w:val="20"/>
                <w:szCs w:val="20"/>
              </w:rPr>
            </w:pPr>
            <w:r w:rsidRPr="00131B9D">
              <w:rPr>
                <w:sz w:val="20"/>
                <w:szCs w:val="20"/>
              </w:rPr>
              <w:t>-</w:t>
            </w:r>
            <w:r w:rsidRPr="00131B9D">
              <w:rPr>
                <w:sz w:val="20"/>
                <w:szCs w:val="20"/>
              </w:rPr>
              <w:t>迄今</w:t>
            </w:r>
          </w:p>
        </w:tc>
        <w:tc>
          <w:tcPr>
            <w:tcW w:w="759" w:type="pct"/>
            <w:tcBorders>
              <w:top w:val="single" w:sz="4" w:space="0" w:color="auto"/>
              <w:bottom w:val="single" w:sz="4" w:space="0" w:color="auto"/>
            </w:tcBorders>
            <w:shd w:val="clear" w:color="auto" w:fill="auto"/>
            <w:vAlign w:val="center"/>
          </w:tcPr>
          <w:p w:rsidR="00A33A0D" w:rsidRPr="00131B9D" w:rsidRDefault="00A33A0D" w:rsidP="00A33A0D">
            <w:pPr>
              <w:spacing w:line="0" w:lineRule="atLeast"/>
              <w:jc w:val="both"/>
              <w:rPr>
                <w:sz w:val="20"/>
                <w:szCs w:val="20"/>
              </w:rPr>
            </w:pPr>
            <w:r w:rsidRPr="00131B9D">
              <w:rPr>
                <w:sz w:val="20"/>
                <w:szCs w:val="20"/>
              </w:rPr>
              <w:t>委國經濟的諸多關鍵領域都由軍隊控制。</w:t>
            </w:r>
          </w:p>
        </w:tc>
        <w:tc>
          <w:tcPr>
            <w:tcW w:w="570"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sz w:val="20"/>
                <w:szCs w:val="20"/>
              </w:rPr>
              <w:t>2014</w:t>
            </w:r>
            <w:r w:rsidRPr="00131B9D">
              <w:rPr>
                <w:sz w:val="20"/>
                <w:szCs w:val="20"/>
              </w:rPr>
              <w:t>年底宣佈在全國部署數百名督察，執行物價管制。以人為手段將民生產品價格壓低。</w:t>
            </w:r>
          </w:p>
        </w:tc>
        <w:tc>
          <w:tcPr>
            <w:tcW w:w="1741" w:type="pct"/>
            <w:tcBorders>
              <w:top w:val="single" w:sz="4" w:space="0" w:color="auto"/>
              <w:bottom w:val="single" w:sz="4" w:space="0" w:color="auto"/>
            </w:tcBorders>
            <w:shd w:val="clear" w:color="auto" w:fill="auto"/>
            <w:vAlign w:val="center"/>
          </w:tcPr>
          <w:p w:rsidR="00A33A0D" w:rsidRPr="00131B9D" w:rsidRDefault="00A33A0D" w:rsidP="00A33A0D">
            <w:pPr>
              <w:spacing w:line="0" w:lineRule="atLeast"/>
              <w:jc w:val="both"/>
              <w:rPr>
                <w:sz w:val="20"/>
                <w:szCs w:val="20"/>
              </w:rPr>
            </w:pPr>
            <w:r w:rsidRPr="00131B9D">
              <w:rPr>
                <w:sz w:val="20"/>
                <w:szCs w:val="20"/>
              </w:rPr>
              <w:t>外匯管制和價格管制政策。從牛奶到牙刷，甚至芭比娃娃等價格無不管制。</w:t>
            </w:r>
          </w:p>
        </w:tc>
        <w:tc>
          <w:tcPr>
            <w:tcW w:w="1265"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16"/>
              </w:numPr>
              <w:spacing w:line="0" w:lineRule="atLeast"/>
              <w:jc w:val="both"/>
              <w:rPr>
                <w:sz w:val="20"/>
                <w:szCs w:val="20"/>
              </w:rPr>
            </w:pPr>
            <w:r w:rsidRPr="00131B9D">
              <w:rPr>
                <w:sz w:val="20"/>
                <w:szCs w:val="20"/>
              </w:rPr>
              <w:t>即便標籤上的價格很低，但是超市裡根本沒有商品販賣，物價短缺。</w:t>
            </w:r>
          </w:p>
          <w:p w:rsidR="00A33A0D" w:rsidRPr="00131B9D" w:rsidRDefault="00A33A0D" w:rsidP="00A33A0D">
            <w:pPr>
              <w:numPr>
                <w:ilvl w:val="0"/>
                <w:numId w:val="16"/>
              </w:numPr>
              <w:spacing w:line="0" w:lineRule="atLeast"/>
              <w:jc w:val="both"/>
              <w:rPr>
                <w:sz w:val="20"/>
                <w:szCs w:val="20"/>
              </w:rPr>
            </w:pPr>
            <w:r w:rsidRPr="00131B9D">
              <w:rPr>
                <w:sz w:val="20"/>
                <w:szCs w:val="20"/>
              </w:rPr>
              <w:t>凌晨搶買衛生紙現象。</w:t>
            </w:r>
          </w:p>
          <w:p w:rsidR="00A33A0D" w:rsidRPr="00131B9D" w:rsidRDefault="00A33A0D" w:rsidP="00A33A0D">
            <w:pPr>
              <w:numPr>
                <w:ilvl w:val="0"/>
                <w:numId w:val="16"/>
              </w:numPr>
              <w:spacing w:line="0" w:lineRule="atLeast"/>
              <w:jc w:val="both"/>
              <w:rPr>
                <w:sz w:val="20"/>
                <w:szCs w:val="20"/>
              </w:rPr>
            </w:pPr>
            <w:r w:rsidRPr="00131B9D">
              <w:rPr>
                <w:sz w:val="20"/>
                <w:szCs w:val="20"/>
              </w:rPr>
              <w:t>走私品猖獗。</w:t>
            </w:r>
          </w:p>
        </w:tc>
      </w:tr>
      <w:tr w:rsidR="00A33A0D" w:rsidRPr="00131B9D" w:rsidTr="00A33A0D">
        <w:tc>
          <w:tcPr>
            <w:tcW w:w="237" w:type="pct"/>
            <w:vMerge w:val="restart"/>
            <w:tcBorders>
              <w:top w:val="single" w:sz="4" w:space="0" w:color="auto"/>
            </w:tcBorders>
            <w:shd w:val="clear" w:color="auto" w:fill="auto"/>
            <w:vAlign w:val="center"/>
          </w:tcPr>
          <w:p w:rsidR="00A33A0D" w:rsidRPr="00131B9D" w:rsidRDefault="00A33A0D" w:rsidP="00A33A0D">
            <w:pPr>
              <w:adjustRightInd w:val="0"/>
              <w:snapToGrid w:val="0"/>
              <w:spacing w:line="0" w:lineRule="atLeast"/>
              <w:rPr>
                <w:b/>
                <w:sz w:val="20"/>
                <w:szCs w:val="20"/>
              </w:rPr>
            </w:pPr>
            <w:r w:rsidRPr="00131B9D">
              <w:rPr>
                <w:b/>
                <w:sz w:val="20"/>
                <w:szCs w:val="20"/>
              </w:rPr>
              <w:t>蘇聯／俄羅斯</w:t>
            </w:r>
          </w:p>
        </w:tc>
        <w:tc>
          <w:tcPr>
            <w:tcW w:w="428"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sz w:val="20"/>
                <w:szCs w:val="20"/>
              </w:rPr>
            </w:pPr>
            <w:r w:rsidRPr="00131B9D">
              <w:rPr>
                <w:color w:val="000000"/>
                <w:sz w:val="20"/>
                <w:szCs w:val="20"/>
              </w:rPr>
              <w:t>蘇維埃時期</w:t>
            </w:r>
          </w:p>
        </w:tc>
        <w:tc>
          <w:tcPr>
            <w:tcW w:w="75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p>
        </w:tc>
        <w:tc>
          <w:tcPr>
            <w:tcW w:w="570"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p>
        </w:tc>
        <w:tc>
          <w:tcPr>
            <w:tcW w:w="1741"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b/>
                <w:sz w:val="20"/>
                <w:szCs w:val="20"/>
              </w:rPr>
            </w:pPr>
          </w:p>
        </w:tc>
        <w:tc>
          <w:tcPr>
            <w:tcW w:w="1265" w:type="pct"/>
            <w:tcBorders>
              <w:top w:val="single" w:sz="4" w:space="0" w:color="auto"/>
              <w:bottom w:val="single" w:sz="4" w:space="0" w:color="auto"/>
            </w:tcBorders>
            <w:shd w:val="clear" w:color="auto" w:fill="auto"/>
            <w:vAlign w:val="center"/>
          </w:tcPr>
          <w:p w:rsidR="00A33A0D" w:rsidRPr="00131B9D" w:rsidRDefault="00A33A0D" w:rsidP="00A33A0D">
            <w:pPr>
              <w:numPr>
                <w:ilvl w:val="0"/>
                <w:numId w:val="40"/>
              </w:numPr>
              <w:spacing w:line="0" w:lineRule="atLeast"/>
              <w:jc w:val="both"/>
              <w:rPr>
                <w:sz w:val="20"/>
                <w:szCs w:val="20"/>
              </w:rPr>
            </w:pPr>
            <w:r w:rsidRPr="00131B9D">
              <w:rPr>
                <w:sz w:val="20"/>
                <w:szCs w:val="20"/>
              </w:rPr>
              <w:t>公司以改良品、新品名義提高售價，造成總產量減少而總產值增加的怪現象。</w:t>
            </w:r>
          </w:p>
          <w:p w:rsidR="00A33A0D" w:rsidRPr="00131B9D" w:rsidRDefault="00A33A0D" w:rsidP="00A33A0D">
            <w:pPr>
              <w:numPr>
                <w:ilvl w:val="0"/>
                <w:numId w:val="40"/>
              </w:numPr>
              <w:spacing w:line="0" w:lineRule="atLeast"/>
              <w:jc w:val="both"/>
              <w:rPr>
                <w:sz w:val="20"/>
                <w:szCs w:val="20"/>
              </w:rPr>
            </w:pPr>
            <w:r w:rsidRPr="00131B9D">
              <w:rPr>
                <w:sz w:val="20"/>
                <w:szCs w:val="20"/>
              </w:rPr>
              <w:t>對食品等工業消費品、農產品、住房、交通運輸等財政補貼成為國家沉重負擔。</w:t>
            </w:r>
          </w:p>
          <w:p w:rsidR="00A33A0D" w:rsidRPr="00131B9D" w:rsidRDefault="00A33A0D" w:rsidP="00A33A0D">
            <w:pPr>
              <w:numPr>
                <w:ilvl w:val="0"/>
                <w:numId w:val="40"/>
              </w:numPr>
              <w:spacing w:line="0" w:lineRule="atLeast"/>
              <w:jc w:val="both"/>
              <w:rPr>
                <w:sz w:val="20"/>
                <w:szCs w:val="20"/>
              </w:rPr>
            </w:pPr>
            <w:r w:rsidRPr="00131B9D">
              <w:rPr>
                <w:sz w:val="20"/>
                <w:szCs w:val="20"/>
              </w:rPr>
              <w:t>因物價不反映市場資訊，價格無法發揮作用，造成物價短缺與走私等隱性成本增加。</w:t>
            </w:r>
          </w:p>
        </w:tc>
      </w:tr>
      <w:tr w:rsidR="00A33A0D" w:rsidRPr="00131B9D" w:rsidTr="00A33A0D">
        <w:tc>
          <w:tcPr>
            <w:tcW w:w="237" w:type="pct"/>
            <w:vMerge/>
            <w:tcBorders>
              <w:bottom w:val="single" w:sz="4" w:space="0" w:color="auto"/>
            </w:tcBorders>
            <w:shd w:val="clear" w:color="auto" w:fill="auto"/>
            <w:vAlign w:val="center"/>
          </w:tcPr>
          <w:p w:rsidR="00A33A0D" w:rsidRPr="00131B9D" w:rsidRDefault="00A33A0D" w:rsidP="00A33A0D">
            <w:pPr>
              <w:adjustRightInd w:val="0"/>
              <w:snapToGrid w:val="0"/>
              <w:spacing w:line="0" w:lineRule="atLeast"/>
              <w:rPr>
                <w:b/>
                <w:sz w:val="20"/>
                <w:szCs w:val="20"/>
              </w:rPr>
            </w:pPr>
          </w:p>
        </w:tc>
        <w:tc>
          <w:tcPr>
            <w:tcW w:w="428"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center"/>
              <w:rPr>
                <w:color w:val="000000"/>
                <w:sz w:val="20"/>
                <w:szCs w:val="20"/>
              </w:rPr>
            </w:pPr>
            <w:r w:rsidRPr="00131B9D">
              <w:rPr>
                <w:color w:val="000000"/>
                <w:sz w:val="20"/>
                <w:szCs w:val="20"/>
              </w:rPr>
              <w:t>2014-12</w:t>
            </w:r>
          </w:p>
        </w:tc>
        <w:tc>
          <w:tcPr>
            <w:tcW w:w="759"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color w:val="000000"/>
                <w:sz w:val="20"/>
                <w:szCs w:val="20"/>
              </w:rPr>
              <w:t>油價暴跌，盧布狂跌，物價飆漲。</w:t>
            </w:r>
          </w:p>
        </w:tc>
        <w:tc>
          <w:tcPr>
            <w:tcW w:w="570"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sz w:val="20"/>
                <w:szCs w:val="20"/>
              </w:rPr>
            </w:pPr>
            <w:r w:rsidRPr="00131B9D">
              <w:rPr>
                <w:sz w:val="20"/>
                <w:szCs w:val="20"/>
              </w:rPr>
              <w:t>俄羅斯將實施關稅管制，以限制穀類食品出口。</w:t>
            </w:r>
          </w:p>
        </w:tc>
        <w:tc>
          <w:tcPr>
            <w:tcW w:w="1741" w:type="pct"/>
            <w:tcBorders>
              <w:top w:val="single" w:sz="4" w:space="0" w:color="auto"/>
              <w:bottom w:val="single" w:sz="4" w:space="0" w:color="auto"/>
            </w:tcBorders>
            <w:shd w:val="clear" w:color="auto" w:fill="auto"/>
            <w:vAlign w:val="center"/>
          </w:tcPr>
          <w:p w:rsidR="00A33A0D" w:rsidRPr="00131B9D" w:rsidRDefault="00A33A0D" w:rsidP="00A33A0D">
            <w:pPr>
              <w:adjustRightInd w:val="0"/>
              <w:snapToGrid w:val="0"/>
              <w:spacing w:line="0" w:lineRule="atLeast"/>
              <w:jc w:val="both"/>
              <w:rPr>
                <w:b/>
                <w:sz w:val="20"/>
                <w:szCs w:val="20"/>
              </w:rPr>
            </w:pPr>
          </w:p>
        </w:tc>
        <w:tc>
          <w:tcPr>
            <w:tcW w:w="1265" w:type="pct"/>
            <w:tcBorders>
              <w:top w:val="single" w:sz="4" w:space="0" w:color="auto"/>
              <w:bottom w:val="single" w:sz="4" w:space="0" w:color="auto"/>
            </w:tcBorders>
            <w:shd w:val="clear" w:color="auto" w:fill="auto"/>
            <w:vAlign w:val="center"/>
          </w:tcPr>
          <w:p w:rsidR="00A33A0D" w:rsidRPr="00131B9D" w:rsidRDefault="00A33A0D" w:rsidP="00A33A0D">
            <w:pPr>
              <w:spacing w:line="0" w:lineRule="atLeast"/>
              <w:ind w:left="480"/>
              <w:jc w:val="both"/>
              <w:rPr>
                <w:sz w:val="20"/>
                <w:szCs w:val="20"/>
              </w:rPr>
            </w:pPr>
            <w:r w:rsidRPr="00131B9D">
              <w:rPr>
                <w:sz w:val="20"/>
                <w:szCs w:val="20"/>
              </w:rPr>
              <w:t>觀察中，希望能夠減少盧布崩跌引發的國內物價飆升。</w:t>
            </w:r>
          </w:p>
        </w:tc>
      </w:tr>
    </w:tbl>
    <w:p w:rsidR="00A33A0D" w:rsidRPr="00131B9D" w:rsidRDefault="00A33A0D" w:rsidP="00A33A0D">
      <w:pPr>
        <w:rPr>
          <w:szCs w:val="22"/>
        </w:rPr>
      </w:pPr>
    </w:p>
    <w:p w:rsidR="00A33A0D" w:rsidRPr="00131B9D" w:rsidRDefault="00A33A0D" w:rsidP="00A33A0D">
      <w:pPr>
        <w:rPr>
          <w:szCs w:val="22"/>
        </w:rPr>
        <w:sectPr w:rsidR="00A33A0D" w:rsidRPr="00131B9D" w:rsidSect="00EB1789">
          <w:pgSz w:w="16838" w:h="11906" w:orient="landscape"/>
          <w:pgMar w:top="720" w:right="720" w:bottom="720" w:left="720" w:header="851" w:footer="992" w:gutter="0"/>
          <w:cols w:space="425"/>
          <w:docGrid w:type="linesAndChars" w:linePitch="360"/>
        </w:sectPr>
      </w:pPr>
    </w:p>
    <w:p w:rsidR="00A33A0D" w:rsidRPr="00131B9D" w:rsidRDefault="00A33A0D" w:rsidP="00A33A0D">
      <w:pPr>
        <w:jc w:val="center"/>
        <w:rPr>
          <w:b/>
          <w:color w:val="000000"/>
          <w:kern w:val="0"/>
          <w:sz w:val="28"/>
        </w:rPr>
      </w:pPr>
      <w:r w:rsidRPr="00131B9D">
        <w:rPr>
          <w:b/>
          <w:szCs w:val="22"/>
        </w:rPr>
        <w:lastRenderedPageBreak/>
        <w:t>表</w:t>
      </w:r>
      <w:r w:rsidRPr="00131B9D">
        <w:rPr>
          <w:b/>
          <w:szCs w:val="22"/>
        </w:rPr>
        <w:t xml:space="preserve">4 </w:t>
      </w:r>
      <w:r w:rsidRPr="00131B9D">
        <w:rPr>
          <w:b/>
          <w:szCs w:val="22"/>
        </w:rPr>
        <w:t>政府、業者與消費者於</w:t>
      </w:r>
      <w:r w:rsidRPr="00131B9D">
        <w:rPr>
          <w:b/>
          <w:color w:val="000000"/>
          <w:kern w:val="0"/>
        </w:rPr>
        <w:t>自由市場機制下之角色與職責</w:t>
      </w:r>
    </w:p>
    <w:tbl>
      <w:tblPr>
        <w:tblW w:w="7638" w:type="dxa"/>
        <w:jc w:val="center"/>
        <w:tblCellMar>
          <w:left w:w="0" w:type="dxa"/>
          <w:right w:w="0" w:type="dxa"/>
        </w:tblCellMar>
        <w:tblLook w:val="04A0" w:firstRow="1" w:lastRow="0" w:firstColumn="1" w:lastColumn="0" w:noHBand="0" w:noVBand="1"/>
      </w:tblPr>
      <w:tblGrid>
        <w:gridCol w:w="1685"/>
        <w:gridCol w:w="5953"/>
      </w:tblGrid>
      <w:tr w:rsidR="00A33A0D" w:rsidRPr="00131B9D" w:rsidTr="00A33A0D">
        <w:trPr>
          <w:jc w:val="center"/>
        </w:trPr>
        <w:tc>
          <w:tcPr>
            <w:tcW w:w="168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A33A0D" w:rsidRPr="00131B9D" w:rsidRDefault="00A33A0D" w:rsidP="00A33A0D">
            <w:pPr>
              <w:spacing w:line="0" w:lineRule="atLeast"/>
              <w:rPr>
                <w:sz w:val="20"/>
                <w:szCs w:val="20"/>
              </w:rPr>
            </w:pPr>
          </w:p>
        </w:tc>
        <w:tc>
          <w:tcPr>
            <w:tcW w:w="595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33A0D" w:rsidRPr="00131B9D" w:rsidRDefault="00A33A0D" w:rsidP="00A33A0D">
            <w:pPr>
              <w:spacing w:line="0" w:lineRule="atLeast"/>
              <w:jc w:val="center"/>
              <w:rPr>
                <w:sz w:val="20"/>
                <w:szCs w:val="20"/>
              </w:rPr>
            </w:pPr>
            <w:r w:rsidRPr="00131B9D">
              <w:rPr>
                <w:sz w:val="20"/>
                <w:szCs w:val="20"/>
              </w:rPr>
              <w:t>角色與職責</w:t>
            </w:r>
          </w:p>
        </w:tc>
      </w:tr>
      <w:tr w:rsidR="00A33A0D" w:rsidRPr="00131B9D" w:rsidTr="00A33A0D">
        <w:trPr>
          <w:jc w:val="center"/>
        </w:trPr>
        <w:tc>
          <w:tcPr>
            <w:tcW w:w="168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33A0D" w:rsidRPr="00131B9D" w:rsidRDefault="00A33A0D" w:rsidP="00A33A0D">
            <w:pPr>
              <w:spacing w:line="0" w:lineRule="atLeast"/>
              <w:jc w:val="center"/>
              <w:rPr>
                <w:sz w:val="20"/>
                <w:szCs w:val="20"/>
              </w:rPr>
            </w:pPr>
            <w:r w:rsidRPr="00131B9D">
              <w:rPr>
                <w:sz w:val="20"/>
                <w:szCs w:val="20"/>
              </w:rPr>
              <w:t>政府</w:t>
            </w:r>
          </w:p>
        </w:tc>
        <w:tc>
          <w:tcPr>
            <w:tcW w:w="5953" w:type="dxa"/>
            <w:tcBorders>
              <w:top w:val="nil"/>
              <w:left w:val="nil"/>
              <w:bottom w:val="single" w:sz="8" w:space="0" w:color="auto"/>
              <w:right w:val="single" w:sz="8" w:space="0" w:color="auto"/>
            </w:tcBorders>
            <w:tcMar>
              <w:top w:w="0" w:type="dxa"/>
              <w:left w:w="108" w:type="dxa"/>
              <w:bottom w:w="0" w:type="dxa"/>
              <w:right w:w="108" w:type="dxa"/>
            </w:tcMar>
            <w:hideMark/>
          </w:tcPr>
          <w:p w:rsidR="00A33A0D" w:rsidRPr="00131B9D" w:rsidRDefault="00A33A0D" w:rsidP="00A33A0D">
            <w:pPr>
              <w:widowControl/>
              <w:numPr>
                <w:ilvl w:val="0"/>
                <w:numId w:val="37"/>
              </w:numPr>
              <w:spacing w:line="0" w:lineRule="atLeast"/>
              <w:rPr>
                <w:sz w:val="20"/>
                <w:szCs w:val="20"/>
              </w:rPr>
            </w:pPr>
            <w:r w:rsidRPr="00131B9D">
              <w:rPr>
                <w:sz w:val="20"/>
                <w:szCs w:val="20"/>
              </w:rPr>
              <w:t>度量衡與交易法規的制定與執行</w:t>
            </w:r>
          </w:p>
          <w:p w:rsidR="00A33A0D" w:rsidRPr="00131B9D" w:rsidRDefault="00A33A0D" w:rsidP="00A33A0D">
            <w:pPr>
              <w:widowControl/>
              <w:numPr>
                <w:ilvl w:val="0"/>
                <w:numId w:val="37"/>
              </w:numPr>
              <w:spacing w:line="0" w:lineRule="atLeast"/>
              <w:rPr>
                <w:sz w:val="20"/>
                <w:szCs w:val="20"/>
              </w:rPr>
            </w:pPr>
            <w:r w:rsidRPr="00131B9D">
              <w:rPr>
                <w:sz w:val="20"/>
                <w:szCs w:val="20"/>
              </w:rPr>
              <w:t>建立市場資訊服務系統</w:t>
            </w:r>
          </w:p>
          <w:p w:rsidR="00A33A0D" w:rsidRPr="00131B9D" w:rsidRDefault="00A33A0D" w:rsidP="00A33A0D">
            <w:pPr>
              <w:widowControl/>
              <w:numPr>
                <w:ilvl w:val="0"/>
                <w:numId w:val="37"/>
              </w:numPr>
              <w:spacing w:line="0" w:lineRule="atLeast"/>
              <w:rPr>
                <w:sz w:val="20"/>
                <w:szCs w:val="20"/>
              </w:rPr>
            </w:pPr>
            <w:r w:rsidRPr="00131B9D">
              <w:rPr>
                <w:sz w:val="20"/>
                <w:szCs w:val="20"/>
              </w:rPr>
              <w:t>提供消費者保護服務</w:t>
            </w:r>
          </w:p>
          <w:p w:rsidR="00A33A0D" w:rsidRPr="00131B9D" w:rsidRDefault="00A33A0D" w:rsidP="00A33A0D">
            <w:pPr>
              <w:widowControl/>
              <w:numPr>
                <w:ilvl w:val="0"/>
                <w:numId w:val="37"/>
              </w:numPr>
              <w:spacing w:line="0" w:lineRule="atLeast"/>
              <w:rPr>
                <w:sz w:val="20"/>
                <w:szCs w:val="20"/>
              </w:rPr>
            </w:pPr>
            <w:r w:rsidRPr="00131B9D">
              <w:rPr>
                <w:sz w:val="20"/>
                <w:szCs w:val="20"/>
              </w:rPr>
              <w:t>維持價格穩定</w:t>
            </w:r>
          </w:p>
        </w:tc>
      </w:tr>
      <w:tr w:rsidR="00A33A0D" w:rsidRPr="00131B9D" w:rsidTr="00A33A0D">
        <w:trPr>
          <w:jc w:val="center"/>
        </w:trPr>
        <w:tc>
          <w:tcPr>
            <w:tcW w:w="168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33A0D" w:rsidRPr="00131B9D" w:rsidRDefault="00A33A0D" w:rsidP="00A33A0D">
            <w:pPr>
              <w:spacing w:line="0" w:lineRule="atLeast"/>
              <w:jc w:val="center"/>
              <w:rPr>
                <w:sz w:val="20"/>
                <w:szCs w:val="20"/>
              </w:rPr>
            </w:pPr>
            <w:r w:rsidRPr="00131B9D">
              <w:rPr>
                <w:sz w:val="20"/>
                <w:szCs w:val="20"/>
              </w:rPr>
              <w:t>業者</w:t>
            </w:r>
          </w:p>
        </w:tc>
        <w:tc>
          <w:tcPr>
            <w:tcW w:w="5953" w:type="dxa"/>
            <w:tcBorders>
              <w:top w:val="nil"/>
              <w:left w:val="nil"/>
              <w:bottom w:val="single" w:sz="8" w:space="0" w:color="auto"/>
              <w:right w:val="single" w:sz="8" w:space="0" w:color="auto"/>
            </w:tcBorders>
            <w:tcMar>
              <w:top w:w="0" w:type="dxa"/>
              <w:left w:w="108" w:type="dxa"/>
              <w:bottom w:w="0" w:type="dxa"/>
              <w:right w:w="108" w:type="dxa"/>
            </w:tcMar>
            <w:hideMark/>
          </w:tcPr>
          <w:p w:rsidR="00A33A0D" w:rsidRPr="00131B9D" w:rsidRDefault="00A33A0D" w:rsidP="00A33A0D">
            <w:pPr>
              <w:widowControl/>
              <w:numPr>
                <w:ilvl w:val="0"/>
                <w:numId w:val="38"/>
              </w:numPr>
              <w:spacing w:line="0" w:lineRule="atLeast"/>
              <w:rPr>
                <w:sz w:val="20"/>
                <w:szCs w:val="20"/>
              </w:rPr>
            </w:pPr>
            <w:r w:rsidRPr="00131B9D">
              <w:rPr>
                <w:sz w:val="20"/>
                <w:szCs w:val="20"/>
              </w:rPr>
              <w:t>發揮企業社會責任，考量全民福祉，合理反映價格，不囤貨居奇，不趁機哄抬價格</w:t>
            </w:r>
          </w:p>
          <w:p w:rsidR="00A33A0D" w:rsidRPr="00131B9D" w:rsidRDefault="00A33A0D" w:rsidP="00A33A0D">
            <w:pPr>
              <w:widowControl/>
              <w:numPr>
                <w:ilvl w:val="0"/>
                <w:numId w:val="38"/>
              </w:numPr>
              <w:spacing w:line="0" w:lineRule="atLeast"/>
              <w:rPr>
                <w:sz w:val="20"/>
                <w:szCs w:val="20"/>
              </w:rPr>
            </w:pPr>
            <w:r w:rsidRPr="00131B9D">
              <w:rPr>
                <w:sz w:val="20"/>
                <w:szCs w:val="20"/>
              </w:rPr>
              <w:t>配合政府原物料進口關稅機動調降，適時回饋消費者</w:t>
            </w:r>
          </w:p>
          <w:p w:rsidR="00A33A0D" w:rsidRPr="00131B9D" w:rsidRDefault="00A33A0D" w:rsidP="00A33A0D">
            <w:pPr>
              <w:widowControl/>
              <w:numPr>
                <w:ilvl w:val="0"/>
                <w:numId w:val="38"/>
              </w:numPr>
              <w:spacing w:line="0" w:lineRule="atLeast"/>
              <w:rPr>
                <w:sz w:val="20"/>
                <w:szCs w:val="20"/>
              </w:rPr>
            </w:pPr>
            <w:r w:rsidRPr="00131B9D">
              <w:rPr>
                <w:sz w:val="20"/>
                <w:szCs w:val="20"/>
              </w:rPr>
              <w:t>國外進口原物料價格如有調降，適時反映以回饋消費者</w:t>
            </w:r>
          </w:p>
          <w:p w:rsidR="00A33A0D" w:rsidRPr="00131B9D" w:rsidRDefault="00A33A0D" w:rsidP="00A33A0D">
            <w:pPr>
              <w:widowControl/>
              <w:numPr>
                <w:ilvl w:val="0"/>
                <w:numId w:val="38"/>
              </w:numPr>
              <w:spacing w:line="0" w:lineRule="atLeast"/>
              <w:rPr>
                <w:sz w:val="20"/>
                <w:szCs w:val="20"/>
              </w:rPr>
            </w:pPr>
            <w:r w:rsidRPr="00131B9D">
              <w:rPr>
                <w:sz w:val="20"/>
                <w:szCs w:val="20"/>
              </w:rPr>
              <w:t>公協會團體配合政府穩定物價之政策，轉知相關會員廠商配合辦理</w:t>
            </w:r>
          </w:p>
          <w:p w:rsidR="00A33A0D" w:rsidRPr="00131B9D" w:rsidRDefault="00A33A0D" w:rsidP="00A33A0D">
            <w:pPr>
              <w:widowControl/>
              <w:numPr>
                <w:ilvl w:val="0"/>
                <w:numId w:val="38"/>
              </w:numPr>
              <w:spacing w:line="0" w:lineRule="atLeast"/>
              <w:rPr>
                <w:sz w:val="20"/>
                <w:szCs w:val="20"/>
              </w:rPr>
            </w:pPr>
            <w:r w:rsidRPr="00131B9D">
              <w:rPr>
                <w:sz w:val="20"/>
                <w:szCs w:val="20"/>
              </w:rPr>
              <w:t>提供詳實的商品資訊，成分、來源與產地等</w:t>
            </w:r>
          </w:p>
          <w:p w:rsidR="00A33A0D" w:rsidRPr="00131B9D" w:rsidRDefault="00A33A0D" w:rsidP="00A33A0D">
            <w:pPr>
              <w:widowControl/>
              <w:numPr>
                <w:ilvl w:val="0"/>
                <w:numId w:val="38"/>
              </w:numPr>
              <w:spacing w:line="0" w:lineRule="atLeast"/>
              <w:rPr>
                <w:sz w:val="20"/>
                <w:szCs w:val="20"/>
              </w:rPr>
            </w:pPr>
            <w:r w:rsidRPr="00131B9D">
              <w:rPr>
                <w:sz w:val="20"/>
                <w:szCs w:val="20"/>
              </w:rPr>
              <w:t>提升商品附加價值，增加經濟利益</w:t>
            </w:r>
          </w:p>
        </w:tc>
      </w:tr>
      <w:tr w:rsidR="00A33A0D" w:rsidRPr="00131B9D" w:rsidTr="00A33A0D">
        <w:trPr>
          <w:jc w:val="center"/>
        </w:trPr>
        <w:tc>
          <w:tcPr>
            <w:tcW w:w="1685"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33A0D" w:rsidRPr="00131B9D" w:rsidRDefault="00A33A0D" w:rsidP="00A33A0D">
            <w:pPr>
              <w:spacing w:line="0" w:lineRule="atLeast"/>
              <w:jc w:val="center"/>
              <w:rPr>
                <w:sz w:val="20"/>
                <w:szCs w:val="20"/>
              </w:rPr>
            </w:pPr>
            <w:r w:rsidRPr="00131B9D">
              <w:rPr>
                <w:sz w:val="20"/>
                <w:szCs w:val="20"/>
              </w:rPr>
              <w:t>消費者</w:t>
            </w:r>
          </w:p>
        </w:tc>
        <w:tc>
          <w:tcPr>
            <w:tcW w:w="5953" w:type="dxa"/>
            <w:tcBorders>
              <w:top w:val="nil"/>
              <w:left w:val="nil"/>
              <w:bottom w:val="single" w:sz="8" w:space="0" w:color="auto"/>
              <w:right w:val="single" w:sz="8" w:space="0" w:color="auto"/>
            </w:tcBorders>
            <w:tcMar>
              <w:top w:w="0" w:type="dxa"/>
              <w:left w:w="108" w:type="dxa"/>
              <w:bottom w:w="0" w:type="dxa"/>
              <w:right w:w="108" w:type="dxa"/>
            </w:tcMar>
            <w:hideMark/>
          </w:tcPr>
          <w:p w:rsidR="00A33A0D" w:rsidRPr="00131B9D" w:rsidRDefault="00A33A0D" w:rsidP="00A33A0D">
            <w:pPr>
              <w:widowControl/>
              <w:numPr>
                <w:ilvl w:val="0"/>
                <w:numId w:val="39"/>
              </w:numPr>
              <w:spacing w:line="0" w:lineRule="atLeast"/>
              <w:rPr>
                <w:sz w:val="20"/>
                <w:szCs w:val="20"/>
              </w:rPr>
            </w:pPr>
            <w:r w:rsidRPr="00131B9D">
              <w:rPr>
                <w:sz w:val="20"/>
                <w:szCs w:val="20"/>
              </w:rPr>
              <w:t>可透過政府公開之相關價格資訊，了解物價波動，並監督政府執行效能</w:t>
            </w:r>
          </w:p>
          <w:p w:rsidR="00A33A0D" w:rsidRPr="00131B9D" w:rsidRDefault="00A33A0D" w:rsidP="00A33A0D">
            <w:pPr>
              <w:widowControl/>
              <w:numPr>
                <w:ilvl w:val="0"/>
                <w:numId w:val="39"/>
              </w:numPr>
              <w:spacing w:line="0" w:lineRule="atLeast"/>
              <w:rPr>
                <w:sz w:val="20"/>
                <w:szCs w:val="20"/>
              </w:rPr>
            </w:pPr>
            <w:r w:rsidRPr="00131B9D">
              <w:rPr>
                <w:sz w:val="20"/>
                <w:szCs w:val="20"/>
              </w:rPr>
              <w:t>民眾亦可主動監督民生商品價格，若有發現任何異常情形通報相關單位</w:t>
            </w:r>
          </w:p>
          <w:p w:rsidR="00A33A0D" w:rsidRPr="00131B9D" w:rsidRDefault="00A33A0D" w:rsidP="00A33A0D">
            <w:pPr>
              <w:widowControl/>
              <w:numPr>
                <w:ilvl w:val="0"/>
                <w:numId w:val="39"/>
              </w:numPr>
              <w:spacing w:line="0" w:lineRule="atLeast"/>
              <w:rPr>
                <w:sz w:val="20"/>
                <w:szCs w:val="20"/>
              </w:rPr>
            </w:pPr>
            <w:r w:rsidRPr="00131B9D">
              <w:rPr>
                <w:sz w:val="20"/>
                <w:szCs w:val="20"/>
              </w:rPr>
              <w:t>對產品之品質與價格，提高警覺與提出質疑</w:t>
            </w:r>
          </w:p>
        </w:tc>
      </w:tr>
    </w:tbl>
    <w:p w:rsidR="00A33A0D" w:rsidRPr="00131B9D" w:rsidRDefault="00A33A0D" w:rsidP="00A33A0D">
      <w:pPr>
        <w:widowControl/>
        <w:rPr>
          <w:b/>
          <w:color w:val="000000"/>
          <w:kern w:val="0"/>
          <w:sz w:val="28"/>
        </w:rPr>
        <w:sectPr w:rsidR="00A33A0D" w:rsidRPr="00131B9D" w:rsidSect="00EB1789">
          <w:pgSz w:w="11906" w:h="16838"/>
          <w:pgMar w:top="1440" w:right="1800" w:bottom="1440" w:left="1800" w:header="851" w:footer="992" w:gutter="0"/>
          <w:cols w:space="425"/>
          <w:docGrid w:type="linesAndChars" w:linePitch="360"/>
        </w:sectPr>
      </w:pPr>
    </w:p>
    <w:p w:rsidR="00A33A0D" w:rsidRPr="00131B9D" w:rsidRDefault="00A33A0D" w:rsidP="00A33A0D">
      <w:r w:rsidRPr="00131B9D">
        <w:lastRenderedPageBreak/>
        <w:t>《附圖》</w:t>
      </w:r>
    </w:p>
    <w:tbl>
      <w:tblPr>
        <w:tblStyle w:val="19"/>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8"/>
        <w:gridCol w:w="4224"/>
      </w:tblGrid>
      <w:tr w:rsidR="00A33A0D" w:rsidRPr="00131B9D" w:rsidTr="00A33A0D">
        <w:trPr>
          <w:jc w:val="center"/>
        </w:trPr>
        <w:tc>
          <w:tcPr>
            <w:tcW w:w="0" w:type="auto"/>
          </w:tcPr>
          <w:p w:rsidR="00A33A0D" w:rsidRPr="00131B9D" w:rsidRDefault="00A33A0D" w:rsidP="00A33A0D">
            <w:pPr>
              <w:spacing w:line="0" w:lineRule="atLeast"/>
              <w:rPr>
                <w:rFonts w:ascii="Times New Roman" w:hAnsi="Times New Roman"/>
                <w:szCs w:val="22"/>
              </w:rPr>
            </w:pPr>
            <w:r w:rsidRPr="00131B9D">
              <w:rPr>
                <w:noProof/>
                <w:szCs w:val="22"/>
              </w:rPr>
              <w:drawing>
                <wp:inline distT="0" distB="0" distL="0" distR="0" wp14:anchorId="7C4A7AB2" wp14:editId="5051F7BF">
                  <wp:extent cx="2643854" cy="1628775"/>
                  <wp:effectExtent l="0" t="0" r="0" b="0"/>
                  <wp:docPr id="18489" name="圖片 18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2660165" cy="1638824"/>
                          </a:xfrm>
                          <a:prstGeom prst="rect">
                            <a:avLst/>
                          </a:prstGeom>
                        </pic:spPr>
                      </pic:pic>
                    </a:graphicData>
                  </a:graphic>
                </wp:inline>
              </w:drawing>
            </w:r>
          </w:p>
        </w:tc>
        <w:tc>
          <w:tcPr>
            <w:tcW w:w="0" w:type="auto"/>
          </w:tcPr>
          <w:p w:rsidR="00A33A0D" w:rsidRPr="00131B9D" w:rsidRDefault="00A33A0D" w:rsidP="00A33A0D">
            <w:pPr>
              <w:spacing w:line="0" w:lineRule="atLeast"/>
              <w:rPr>
                <w:rFonts w:ascii="Times New Roman" w:hAnsi="Times New Roman"/>
                <w:szCs w:val="22"/>
              </w:rPr>
            </w:pPr>
            <w:r w:rsidRPr="00131B9D">
              <w:rPr>
                <w:noProof/>
                <w:szCs w:val="22"/>
              </w:rPr>
              <w:drawing>
                <wp:inline distT="0" distB="0" distL="0" distR="0" wp14:anchorId="739A489A" wp14:editId="00E04392">
                  <wp:extent cx="2595245" cy="1628775"/>
                  <wp:effectExtent l="0" t="0" r="0" b="0"/>
                  <wp:docPr id="18490" name="圖片 18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0"/>
                          <a:stretch>
                            <a:fillRect/>
                          </a:stretch>
                        </pic:blipFill>
                        <pic:spPr>
                          <a:xfrm>
                            <a:off x="0" y="0"/>
                            <a:ext cx="2608147" cy="1636872"/>
                          </a:xfrm>
                          <a:prstGeom prst="rect">
                            <a:avLst/>
                          </a:prstGeom>
                        </pic:spPr>
                      </pic:pic>
                    </a:graphicData>
                  </a:graphic>
                </wp:inline>
              </w:drawing>
            </w:r>
          </w:p>
        </w:tc>
      </w:tr>
      <w:tr w:rsidR="00A33A0D" w:rsidRPr="00131B9D" w:rsidTr="00A33A0D">
        <w:trPr>
          <w:jc w:val="center"/>
        </w:trPr>
        <w:tc>
          <w:tcPr>
            <w:tcW w:w="0" w:type="auto"/>
          </w:tcPr>
          <w:p w:rsidR="00A33A0D" w:rsidRPr="00131B9D" w:rsidRDefault="00A33A0D" w:rsidP="00A33A0D">
            <w:pPr>
              <w:spacing w:line="0" w:lineRule="atLeast"/>
              <w:jc w:val="center"/>
              <w:rPr>
                <w:rFonts w:ascii="Times New Roman" w:hAnsi="Times New Roman"/>
                <w:szCs w:val="22"/>
              </w:rPr>
            </w:pPr>
            <w:r w:rsidRPr="00131B9D">
              <w:rPr>
                <w:rFonts w:ascii="Times New Roman" w:hAnsi="Times New Roman"/>
                <w:szCs w:val="22"/>
              </w:rPr>
              <w:t>Panel A 10</w:t>
            </w:r>
            <w:r w:rsidRPr="00131B9D">
              <w:rPr>
                <w:rFonts w:ascii="Times New Roman" w:hAnsi="Times New Roman"/>
                <w:szCs w:val="22"/>
              </w:rPr>
              <w:t>月消費者物價指數年增率</w:t>
            </w:r>
          </w:p>
        </w:tc>
        <w:tc>
          <w:tcPr>
            <w:tcW w:w="0" w:type="auto"/>
          </w:tcPr>
          <w:p w:rsidR="00A33A0D" w:rsidRPr="00131B9D" w:rsidRDefault="00A33A0D" w:rsidP="00A33A0D">
            <w:pPr>
              <w:spacing w:line="0" w:lineRule="atLeast"/>
              <w:jc w:val="center"/>
              <w:rPr>
                <w:rFonts w:ascii="Times New Roman" w:hAnsi="Times New Roman"/>
                <w:szCs w:val="22"/>
              </w:rPr>
            </w:pPr>
            <w:r w:rsidRPr="00131B9D">
              <w:rPr>
                <w:rFonts w:ascii="Times New Roman" w:hAnsi="Times New Roman"/>
                <w:szCs w:val="22"/>
              </w:rPr>
              <w:t xml:space="preserve">Panel B </w:t>
            </w:r>
            <w:r w:rsidRPr="00131B9D">
              <w:rPr>
                <w:rFonts w:ascii="Times New Roman" w:hAnsi="Times New Roman"/>
                <w:szCs w:val="22"/>
              </w:rPr>
              <w:t>近</w:t>
            </w:r>
            <w:r w:rsidRPr="00131B9D">
              <w:rPr>
                <w:rFonts w:ascii="Times New Roman" w:hAnsi="Times New Roman"/>
                <w:szCs w:val="22"/>
              </w:rPr>
              <w:t>4</w:t>
            </w:r>
            <w:r w:rsidRPr="00131B9D">
              <w:rPr>
                <w:rFonts w:ascii="Times New Roman" w:hAnsi="Times New Roman"/>
                <w:szCs w:val="22"/>
              </w:rPr>
              <w:t>年外食費指數走勢</w:t>
            </w:r>
          </w:p>
        </w:tc>
      </w:tr>
    </w:tbl>
    <w:p w:rsidR="00A33A0D" w:rsidRPr="00131B9D" w:rsidRDefault="00A33A0D" w:rsidP="00A33A0D">
      <w:pPr>
        <w:spacing w:line="0" w:lineRule="atLeast"/>
        <w:ind w:firstLineChars="71" w:firstLine="142"/>
        <w:rPr>
          <w:sz w:val="20"/>
          <w:szCs w:val="20"/>
        </w:rPr>
      </w:pPr>
      <w:r w:rsidRPr="00131B9D">
        <w:rPr>
          <w:sz w:val="20"/>
          <w:szCs w:val="20"/>
        </w:rPr>
        <w:t>資料來源：行政院主計總處，</w:t>
      </w:r>
      <w:r w:rsidRPr="00131B9D">
        <w:rPr>
          <w:sz w:val="20"/>
          <w:szCs w:val="20"/>
        </w:rPr>
        <w:t>2015</w:t>
      </w:r>
      <w:r w:rsidRPr="00131B9D">
        <w:rPr>
          <w:sz w:val="20"/>
          <w:szCs w:val="20"/>
        </w:rPr>
        <w:t>年</w:t>
      </w:r>
      <w:r w:rsidRPr="00131B9D">
        <w:rPr>
          <w:sz w:val="20"/>
          <w:szCs w:val="20"/>
        </w:rPr>
        <w:t>10</w:t>
      </w:r>
      <w:r w:rsidRPr="00131B9D">
        <w:rPr>
          <w:sz w:val="20"/>
          <w:szCs w:val="20"/>
        </w:rPr>
        <w:t>月。</w:t>
      </w:r>
    </w:p>
    <w:p w:rsidR="00A33A0D" w:rsidRPr="00131B9D" w:rsidRDefault="00A33A0D" w:rsidP="00A33A0D">
      <w:pPr>
        <w:jc w:val="center"/>
        <w:rPr>
          <w:b/>
          <w:szCs w:val="22"/>
        </w:rPr>
      </w:pPr>
      <w:r w:rsidRPr="00131B9D">
        <w:rPr>
          <w:b/>
          <w:szCs w:val="22"/>
        </w:rPr>
        <w:t>圖</w:t>
      </w:r>
      <w:r w:rsidRPr="00131B9D">
        <w:rPr>
          <w:b/>
          <w:szCs w:val="22"/>
        </w:rPr>
        <w:t>1</w:t>
      </w:r>
      <w:r w:rsidRPr="00131B9D">
        <w:rPr>
          <w:b/>
          <w:szCs w:val="22"/>
        </w:rPr>
        <w:t>物價年增率與外食費指數走勢</w:t>
      </w:r>
    </w:p>
    <w:p w:rsidR="00A33A0D" w:rsidRPr="00131B9D" w:rsidRDefault="00A33A0D" w:rsidP="00A33A0D">
      <w:pPr>
        <w:rPr>
          <w:szCs w:val="22"/>
        </w:rPr>
      </w:pPr>
    </w:p>
    <w:p w:rsidR="00A33A0D" w:rsidRPr="00131B9D" w:rsidRDefault="00A33A0D" w:rsidP="00A33A0D">
      <w:pPr>
        <w:widowControl/>
        <w:adjustRightInd w:val="0"/>
        <w:snapToGrid w:val="0"/>
        <w:spacing w:line="0" w:lineRule="atLeast"/>
        <w:ind w:left="493"/>
        <w:jc w:val="center"/>
        <w:rPr>
          <w:color w:val="000000"/>
          <w:kern w:val="0"/>
          <w:sz w:val="27"/>
          <w:szCs w:val="27"/>
        </w:rPr>
      </w:pPr>
      <w:r w:rsidRPr="00131B9D">
        <w:rPr>
          <w:noProof/>
          <w:szCs w:val="22"/>
        </w:rPr>
        <w:drawing>
          <wp:inline distT="0" distB="0" distL="0" distR="0" wp14:anchorId="368CE2D3" wp14:editId="55E687A0">
            <wp:extent cx="4545965" cy="2801620"/>
            <wp:effectExtent l="0" t="0" r="0" b="0"/>
            <wp:docPr id="18491" name="圖表 1849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1"/>
              </a:graphicData>
            </a:graphic>
          </wp:inline>
        </w:drawing>
      </w:r>
    </w:p>
    <w:p w:rsidR="00A33A0D" w:rsidRPr="00131B9D" w:rsidRDefault="00A33A0D" w:rsidP="00A33A0D">
      <w:pPr>
        <w:spacing w:line="0" w:lineRule="atLeast"/>
        <w:ind w:firstLineChars="425" w:firstLine="850"/>
        <w:rPr>
          <w:sz w:val="20"/>
          <w:szCs w:val="20"/>
        </w:rPr>
      </w:pPr>
      <w:r w:rsidRPr="00131B9D">
        <w:rPr>
          <w:sz w:val="20"/>
          <w:szCs w:val="20"/>
        </w:rPr>
        <w:t>資料來源：世界銀行，</w:t>
      </w:r>
      <w:r w:rsidRPr="00131B9D">
        <w:rPr>
          <w:sz w:val="20"/>
          <w:szCs w:val="20"/>
        </w:rPr>
        <w:t>2015/08</w:t>
      </w:r>
      <w:r w:rsidRPr="00131B9D">
        <w:rPr>
          <w:sz w:val="20"/>
          <w:szCs w:val="20"/>
        </w:rPr>
        <w:t>，</w:t>
      </w:r>
      <w:r w:rsidRPr="00131B9D">
        <w:rPr>
          <w:sz w:val="20"/>
          <w:szCs w:val="20"/>
        </w:rPr>
        <w:t xml:space="preserve"> “World Bank Commodities Price Forcast”</w:t>
      </w:r>
    </w:p>
    <w:p w:rsidR="00A33A0D" w:rsidRPr="00131B9D" w:rsidRDefault="00A33A0D" w:rsidP="00A33A0D">
      <w:pPr>
        <w:jc w:val="center"/>
        <w:rPr>
          <w:b/>
          <w:szCs w:val="22"/>
        </w:rPr>
      </w:pPr>
      <w:r w:rsidRPr="00131B9D">
        <w:rPr>
          <w:b/>
          <w:szCs w:val="22"/>
        </w:rPr>
        <w:t>圖</w:t>
      </w:r>
      <w:r w:rsidRPr="00131B9D">
        <w:rPr>
          <w:b/>
          <w:szCs w:val="22"/>
        </w:rPr>
        <w:t>2</w:t>
      </w:r>
      <w:r w:rsidRPr="00131B9D">
        <w:rPr>
          <w:b/>
          <w:szCs w:val="22"/>
        </w:rPr>
        <w:t>食品價格指數走勢</w:t>
      </w:r>
    </w:p>
    <w:p w:rsidR="00A33A0D" w:rsidRPr="00131B9D" w:rsidRDefault="00A33A0D" w:rsidP="00A33A0D">
      <w:pPr>
        <w:rPr>
          <w:szCs w:val="22"/>
        </w:rPr>
      </w:pPr>
    </w:p>
    <w:p w:rsidR="00A33A0D" w:rsidRPr="00131B9D" w:rsidRDefault="00A33A0D" w:rsidP="00A33A0D">
      <w:pPr>
        <w:rPr>
          <w:szCs w:val="22"/>
        </w:rPr>
      </w:pPr>
    </w:p>
    <w:p w:rsidR="00A33A0D" w:rsidRPr="00131B9D" w:rsidRDefault="00A33A0D" w:rsidP="00A33A0D">
      <w:pPr>
        <w:rPr>
          <w:szCs w:val="22"/>
        </w:rPr>
        <w:sectPr w:rsidR="00A33A0D" w:rsidRPr="00131B9D" w:rsidSect="00EB1789">
          <w:pgSz w:w="11906" w:h="16838"/>
          <w:pgMar w:top="1440" w:right="1800" w:bottom="1440" w:left="1800" w:header="851" w:footer="992" w:gutter="0"/>
          <w:cols w:space="425"/>
          <w:docGrid w:type="linesAndChars" w:linePitch="360"/>
        </w:sectPr>
      </w:pPr>
    </w:p>
    <w:p w:rsidR="00A33A0D" w:rsidRPr="00131B9D" w:rsidRDefault="00A33A0D" w:rsidP="00FC6E71">
      <w:pPr>
        <w:pStyle w:val="2"/>
        <w:spacing w:before="72" w:after="72"/>
        <w:rPr>
          <w:rFonts w:ascii="Times New Roman" w:hAnsi="Times New Roman"/>
        </w:rPr>
      </w:pPr>
      <w:bookmarkStart w:id="501" w:name="_Toc439162981"/>
      <w:r w:rsidRPr="00131B9D">
        <w:rPr>
          <w:rFonts w:ascii="Times New Roman" w:hAnsi="Times New Roman"/>
        </w:rPr>
        <w:lastRenderedPageBreak/>
        <w:t>二</w:t>
      </w:r>
      <w:r w:rsidR="008E5763" w:rsidRPr="00131B9D">
        <w:rPr>
          <w:rFonts w:ascii="Times New Roman" w:hAnsi="Times New Roman"/>
        </w:rPr>
        <w:t>、</w:t>
      </w:r>
      <w:r w:rsidRPr="00131B9D">
        <w:rPr>
          <w:rFonts w:ascii="Times New Roman" w:hAnsi="Times New Roman"/>
        </w:rPr>
        <w:t>簡報形式</w:t>
      </w:r>
      <w:bookmarkEnd w:id="501"/>
    </w:p>
    <w:p w:rsidR="00FC6E71" w:rsidRPr="00131B9D" w:rsidRDefault="00A33A0D" w:rsidP="00A33A0D">
      <w:pPr>
        <w:pStyle w:val="3"/>
        <w:rPr>
          <w:rFonts w:ascii="Times New Roman" w:hAnsi="Times New Roman"/>
        </w:rPr>
      </w:pPr>
      <w:r w:rsidRPr="00131B9D">
        <w:rPr>
          <w:rFonts w:ascii="Times New Roman" w:hAnsi="Times New Roman"/>
        </w:rPr>
        <w:t>（一）</w:t>
      </w:r>
      <w:r w:rsidR="008E5763" w:rsidRPr="00131B9D">
        <w:rPr>
          <w:rFonts w:ascii="Times New Roman" w:hAnsi="Times New Roman"/>
        </w:rPr>
        <w:t>吐司</w:t>
      </w:r>
      <w:r w:rsidR="00FC6E71" w:rsidRPr="00131B9D">
        <w:rPr>
          <w:rFonts w:ascii="Times New Roman" w:hAnsi="Times New Roman"/>
        </w:rPr>
        <w:t>與速食麵價格調漲分析</w:t>
      </w:r>
      <w:r w:rsidR="00FC6E71" w:rsidRPr="00131B9D">
        <w:rPr>
          <w:rFonts w:ascii="Times New Roman" w:hAnsi="Times New Roman"/>
        </w:rPr>
        <w:t>(</w:t>
      </w:r>
      <w:r w:rsidRPr="00131B9D">
        <w:rPr>
          <w:rFonts w:ascii="Times New Roman" w:hAnsi="Times New Roman"/>
        </w:rPr>
        <w:t>8/5</w:t>
      </w:r>
      <w:r w:rsidR="00FC6E71" w:rsidRPr="00131B9D">
        <w:rPr>
          <w:rFonts w:ascii="Times New Roman" w:hAnsi="Times New Roman"/>
        </w:rPr>
        <w:t>)</w:t>
      </w:r>
    </w:p>
    <w:p w:rsidR="008E5763" w:rsidRPr="00131B9D" w:rsidRDefault="008E5763" w:rsidP="00FC6E71">
      <w:pPr>
        <w:jc w:val="center"/>
      </w:pPr>
      <w:r w:rsidRPr="00131B9D">
        <w:rPr>
          <w:noProof/>
        </w:rPr>
        <w:drawing>
          <wp:inline distT="0" distB="0" distL="0" distR="0" wp14:anchorId="49B2BFB2" wp14:editId="6970DDAA">
            <wp:extent cx="5581650" cy="4179086"/>
            <wp:effectExtent l="0" t="0" r="0" b="0"/>
            <wp:docPr id="18473" name="圖片 18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585011" cy="4181602"/>
                    </a:xfrm>
                    <a:prstGeom prst="rect">
                      <a:avLst/>
                    </a:prstGeom>
                    <a:noFill/>
                    <a:ln>
                      <a:noFill/>
                    </a:ln>
                  </pic:spPr>
                </pic:pic>
              </a:graphicData>
            </a:graphic>
          </wp:inline>
        </w:drawing>
      </w:r>
    </w:p>
    <w:p w:rsidR="00FC6E71" w:rsidRPr="00131B9D" w:rsidRDefault="008E5763" w:rsidP="00FC6E71">
      <w:pPr>
        <w:jc w:val="center"/>
        <w:sectPr w:rsidR="00FC6E71" w:rsidRPr="00131B9D" w:rsidSect="00FC6E71">
          <w:pgSz w:w="11906" w:h="16838"/>
          <w:pgMar w:top="720" w:right="720" w:bottom="720" w:left="720" w:header="851" w:footer="992" w:gutter="0"/>
          <w:cols w:space="425"/>
          <w:docGrid w:linePitch="360"/>
        </w:sectPr>
      </w:pPr>
      <w:r w:rsidRPr="00131B9D">
        <w:rPr>
          <w:noProof/>
        </w:rPr>
        <w:drawing>
          <wp:inline distT="0" distB="0" distL="0" distR="0" wp14:anchorId="29F49FF8" wp14:editId="28A9C570">
            <wp:extent cx="5769858" cy="4320000"/>
            <wp:effectExtent l="0" t="0" r="2540" b="4445"/>
            <wp:docPr id="18474" name="圖片 18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rPr>
          <w:noProof/>
        </w:rPr>
        <w:lastRenderedPageBreak/>
        <w:drawing>
          <wp:inline distT="0" distB="0" distL="0" distR="0" wp14:anchorId="14081316" wp14:editId="14D0EBB7">
            <wp:extent cx="5769858" cy="4320000"/>
            <wp:effectExtent l="0" t="0" r="2540" b="4445"/>
            <wp:docPr id="18475" name="圖片 18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rPr>
          <w:noProof/>
        </w:rPr>
        <w:drawing>
          <wp:inline distT="0" distB="0" distL="0" distR="0" wp14:anchorId="2DEF9237" wp14:editId="5AC90D70">
            <wp:extent cx="5769858" cy="4320000"/>
            <wp:effectExtent l="0" t="0" r="2540" b="4445"/>
            <wp:docPr id="18476" name="圖片 18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rPr>
          <w:noProof/>
        </w:rPr>
        <w:lastRenderedPageBreak/>
        <w:drawing>
          <wp:inline distT="0" distB="0" distL="0" distR="0" wp14:anchorId="6E156A23" wp14:editId="4695A27F">
            <wp:extent cx="5769858" cy="4320000"/>
            <wp:effectExtent l="0" t="0" r="2540" b="4445"/>
            <wp:docPr id="18477" name="圖片 18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rPr>
          <w:noProof/>
        </w:rPr>
        <w:drawing>
          <wp:inline distT="0" distB="0" distL="0" distR="0" wp14:anchorId="7587BD9F" wp14:editId="738274A5">
            <wp:extent cx="5769858" cy="4320000"/>
            <wp:effectExtent l="0" t="0" r="2540" b="4445"/>
            <wp:docPr id="18478" name="圖片 18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p>
    <w:p w:rsidR="00FC6E71" w:rsidRPr="00131B9D" w:rsidRDefault="00A33A0D" w:rsidP="00A33A0D">
      <w:pPr>
        <w:pStyle w:val="3"/>
        <w:rPr>
          <w:rFonts w:ascii="Times New Roman" w:hAnsi="Times New Roman"/>
        </w:rPr>
      </w:pPr>
      <w:r w:rsidRPr="00131B9D">
        <w:rPr>
          <w:rFonts w:ascii="Times New Roman" w:hAnsi="Times New Roman"/>
        </w:rPr>
        <w:lastRenderedPageBreak/>
        <w:t>（二）</w:t>
      </w:r>
      <w:r w:rsidR="00FC6E71" w:rsidRPr="00131B9D">
        <w:rPr>
          <w:rFonts w:ascii="Times New Roman" w:hAnsi="Times New Roman"/>
        </w:rPr>
        <w:t>中秋檔期商品原料物價分析</w:t>
      </w:r>
      <w:r w:rsidR="00FC6E71" w:rsidRPr="00131B9D">
        <w:rPr>
          <w:rFonts w:ascii="Times New Roman" w:hAnsi="Times New Roman"/>
        </w:rPr>
        <w:t>(</w:t>
      </w:r>
      <w:r w:rsidRPr="00131B9D">
        <w:rPr>
          <w:rFonts w:ascii="Times New Roman" w:hAnsi="Times New Roman"/>
        </w:rPr>
        <w:t>9/9</w:t>
      </w:r>
      <w:r w:rsidR="00FC6E71" w:rsidRPr="00131B9D">
        <w:rPr>
          <w:rFonts w:ascii="Times New Roman" w:hAnsi="Times New Roman"/>
        </w:rPr>
        <w:t>)</w:t>
      </w:r>
    </w:p>
    <w:p w:rsidR="0066416D" w:rsidRPr="00131B9D" w:rsidRDefault="00FC6E71" w:rsidP="00FC6E71">
      <w:pPr>
        <w:jc w:val="center"/>
      </w:pPr>
      <w:r w:rsidRPr="00131B9D">
        <w:rPr>
          <w:noProof/>
        </w:rPr>
        <w:drawing>
          <wp:inline distT="0" distB="0" distL="0" distR="0" wp14:anchorId="6EC1CFC1" wp14:editId="1C4C1C05">
            <wp:extent cx="5769858" cy="4320000"/>
            <wp:effectExtent l="0" t="0" r="2540" b="4445"/>
            <wp:docPr id="18479" name="圖片 18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t xml:space="preserve"> </w:t>
      </w:r>
      <w:r w:rsidRPr="00131B9D">
        <w:rPr>
          <w:noProof/>
        </w:rPr>
        <w:drawing>
          <wp:inline distT="0" distB="0" distL="0" distR="0" wp14:anchorId="2EDBBDDD" wp14:editId="3F0F9D27">
            <wp:extent cx="5769858" cy="4320000"/>
            <wp:effectExtent l="0" t="0" r="2540" b="4445"/>
            <wp:docPr id="18480" name="圖片 18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t xml:space="preserve"> </w:t>
      </w:r>
      <w:r w:rsidRPr="00131B9D">
        <w:rPr>
          <w:noProof/>
        </w:rPr>
        <w:lastRenderedPageBreak/>
        <w:drawing>
          <wp:inline distT="0" distB="0" distL="0" distR="0" wp14:anchorId="550CC126" wp14:editId="655AC2CB">
            <wp:extent cx="5769858" cy="4320000"/>
            <wp:effectExtent l="0" t="0" r="2540" b="4445"/>
            <wp:docPr id="18481" name="圖片 18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t xml:space="preserve"> </w:t>
      </w:r>
      <w:r w:rsidRPr="00131B9D">
        <w:rPr>
          <w:noProof/>
        </w:rPr>
        <w:drawing>
          <wp:inline distT="0" distB="0" distL="0" distR="0" wp14:anchorId="65EFC67A" wp14:editId="3A9E2344">
            <wp:extent cx="5769858" cy="4320000"/>
            <wp:effectExtent l="0" t="0" r="2540" b="4445"/>
            <wp:docPr id="18482" name="圖片 18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t xml:space="preserve"> </w:t>
      </w:r>
      <w:r w:rsidRPr="00131B9D">
        <w:rPr>
          <w:noProof/>
        </w:rPr>
        <w:lastRenderedPageBreak/>
        <w:drawing>
          <wp:inline distT="0" distB="0" distL="0" distR="0" wp14:anchorId="5FBBC596" wp14:editId="4197FC2F">
            <wp:extent cx="5769858" cy="4320000"/>
            <wp:effectExtent l="0" t="0" r="2540" b="4445"/>
            <wp:docPr id="18483" name="圖片 18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p>
    <w:p w:rsidR="009B0779" w:rsidRPr="00131B9D" w:rsidRDefault="009B0779" w:rsidP="00FC6E71">
      <w:pPr>
        <w:jc w:val="center"/>
        <w:sectPr w:rsidR="009B0779" w:rsidRPr="00131B9D" w:rsidSect="00FC6E71">
          <w:pgSz w:w="11906" w:h="16838"/>
          <w:pgMar w:top="720" w:right="720" w:bottom="720" w:left="720" w:header="851" w:footer="992" w:gutter="0"/>
          <w:cols w:space="425"/>
          <w:docGrid w:linePitch="360"/>
        </w:sectPr>
      </w:pPr>
    </w:p>
    <w:p w:rsidR="009B0779" w:rsidRPr="00131B9D" w:rsidRDefault="00A33A0D" w:rsidP="00A33A0D">
      <w:pPr>
        <w:pStyle w:val="3"/>
        <w:rPr>
          <w:rFonts w:ascii="Times New Roman" w:hAnsi="Times New Roman"/>
        </w:rPr>
      </w:pPr>
      <w:r w:rsidRPr="00131B9D">
        <w:rPr>
          <w:rFonts w:ascii="Times New Roman" w:hAnsi="Times New Roman"/>
        </w:rPr>
        <w:lastRenderedPageBreak/>
        <w:t>（三）</w:t>
      </w:r>
      <w:r w:rsidR="009B0779" w:rsidRPr="00131B9D">
        <w:rPr>
          <w:rFonts w:ascii="Times New Roman" w:hAnsi="Times New Roman"/>
        </w:rPr>
        <w:t>通縮議題研析</w:t>
      </w:r>
      <w:r w:rsidR="009B0779" w:rsidRPr="00131B9D">
        <w:rPr>
          <w:rFonts w:ascii="Times New Roman" w:hAnsi="Times New Roman"/>
        </w:rPr>
        <w:t>(</w:t>
      </w:r>
      <w:r w:rsidRPr="00131B9D">
        <w:rPr>
          <w:rFonts w:ascii="Times New Roman" w:hAnsi="Times New Roman"/>
        </w:rPr>
        <w:t>9/23</w:t>
      </w:r>
      <w:r w:rsidR="009B0779" w:rsidRPr="00131B9D">
        <w:rPr>
          <w:rFonts w:ascii="Times New Roman" w:hAnsi="Times New Roman"/>
        </w:rPr>
        <w:t>)</w:t>
      </w:r>
    </w:p>
    <w:p w:rsidR="00FC6E71" w:rsidRPr="00131B9D" w:rsidRDefault="009B0779" w:rsidP="00FC6E71">
      <w:pPr>
        <w:jc w:val="center"/>
      </w:pPr>
      <w:r w:rsidRPr="00131B9D">
        <w:rPr>
          <w:noProof/>
        </w:rPr>
        <w:drawing>
          <wp:inline distT="0" distB="0" distL="0" distR="0" wp14:anchorId="7EB2781A" wp14:editId="1FB68644">
            <wp:extent cx="5769858" cy="4320000"/>
            <wp:effectExtent l="0" t="0" r="2540" b="4445"/>
            <wp:docPr id="18484" name="圖片 18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p>
    <w:p w:rsidR="009B0779" w:rsidRPr="00131B9D" w:rsidRDefault="009B0779" w:rsidP="00FC6E71">
      <w:pPr>
        <w:jc w:val="center"/>
      </w:pPr>
      <w:r w:rsidRPr="00131B9D">
        <w:rPr>
          <w:noProof/>
        </w:rPr>
        <w:drawing>
          <wp:inline distT="0" distB="0" distL="0" distR="0" wp14:anchorId="3849AC41" wp14:editId="7D621360">
            <wp:extent cx="5769858" cy="4320000"/>
            <wp:effectExtent l="0" t="0" r="2540" b="4445"/>
            <wp:docPr id="18485" name="圖片 18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t xml:space="preserve"> </w:t>
      </w:r>
      <w:r w:rsidRPr="00131B9D">
        <w:rPr>
          <w:noProof/>
        </w:rPr>
        <w:lastRenderedPageBreak/>
        <w:drawing>
          <wp:inline distT="0" distB="0" distL="0" distR="0" wp14:anchorId="368E3AF1" wp14:editId="09780D24">
            <wp:extent cx="5769858" cy="4320000"/>
            <wp:effectExtent l="0" t="0" r="2540" b="4445"/>
            <wp:docPr id="18486" name="圖片 18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t xml:space="preserve"> </w:t>
      </w:r>
      <w:r w:rsidRPr="00131B9D">
        <w:rPr>
          <w:noProof/>
        </w:rPr>
        <w:drawing>
          <wp:inline distT="0" distB="0" distL="0" distR="0" wp14:anchorId="5D9CCC88" wp14:editId="635F6EEC">
            <wp:extent cx="5769858" cy="4320000"/>
            <wp:effectExtent l="0" t="0" r="2540" b="4445"/>
            <wp:docPr id="18487" name="圖片 18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r w:rsidRPr="00131B9D">
        <w:t xml:space="preserve"> </w:t>
      </w:r>
      <w:r w:rsidRPr="00131B9D">
        <w:rPr>
          <w:noProof/>
        </w:rPr>
        <w:lastRenderedPageBreak/>
        <w:drawing>
          <wp:inline distT="0" distB="0" distL="0" distR="0" wp14:anchorId="5F2F34B1" wp14:editId="310545CA">
            <wp:extent cx="5769858" cy="4320000"/>
            <wp:effectExtent l="0" t="0" r="2540" b="4445"/>
            <wp:docPr id="18488" name="圖片 18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769858" cy="4320000"/>
                    </a:xfrm>
                    <a:prstGeom prst="rect">
                      <a:avLst/>
                    </a:prstGeom>
                    <a:noFill/>
                    <a:ln>
                      <a:noFill/>
                    </a:ln>
                  </pic:spPr>
                </pic:pic>
              </a:graphicData>
            </a:graphic>
          </wp:inline>
        </w:drawing>
      </w:r>
    </w:p>
    <w:p w:rsidR="009B0779" w:rsidRPr="00131B9D" w:rsidRDefault="009B0779" w:rsidP="00546A57">
      <w:pPr>
        <w:sectPr w:rsidR="009B0779" w:rsidRPr="00131B9D" w:rsidSect="00FC6E71">
          <w:pgSz w:w="11906" w:h="16838"/>
          <w:pgMar w:top="720" w:right="720" w:bottom="720" w:left="720" w:header="851" w:footer="992" w:gutter="0"/>
          <w:cols w:space="425"/>
          <w:docGrid w:linePitch="360"/>
        </w:sectPr>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A33A0D" w:rsidRPr="00131B9D" w:rsidRDefault="00A33A0D" w:rsidP="00A33A0D">
      <w:pPr>
        <w:spacing w:line="0" w:lineRule="atLeast"/>
      </w:pPr>
    </w:p>
    <w:p w:rsidR="0066416D" w:rsidRPr="00131B9D" w:rsidRDefault="00402957" w:rsidP="00402957">
      <w:pPr>
        <w:pStyle w:val="1"/>
        <w:rPr>
          <w:rFonts w:hAnsi="Times New Roman"/>
        </w:rPr>
      </w:pPr>
      <w:bookmarkStart w:id="502" w:name="_Toc439162982"/>
      <w:r w:rsidRPr="00131B9D">
        <w:rPr>
          <w:rFonts w:hAnsi="Times New Roman"/>
        </w:rPr>
        <w:t>附件</w:t>
      </w:r>
      <w:r w:rsidR="00EC0D9A">
        <w:rPr>
          <w:rFonts w:hAnsi="Times New Roman" w:hint="eastAsia"/>
        </w:rPr>
        <w:t>三</w:t>
      </w:r>
      <w:r w:rsidRPr="00131B9D">
        <w:rPr>
          <w:rFonts w:hAnsi="Times New Roman"/>
        </w:rPr>
        <w:t>、</w:t>
      </w:r>
      <w:r w:rsidRPr="00131B9D">
        <w:rPr>
          <w:rFonts w:hAnsi="Times New Roman"/>
        </w:rPr>
        <w:t>2015</w:t>
      </w:r>
      <w:r w:rsidRPr="00131B9D">
        <w:rPr>
          <w:rFonts w:hAnsi="Times New Roman"/>
        </w:rPr>
        <w:t>年</w:t>
      </w:r>
      <w:r w:rsidRPr="00131B9D">
        <w:rPr>
          <w:rFonts w:hAnsi="Times New Roman"/>
        </w:rPr>
        <w:t>1-</w:t>
      </w:r>
      <w:r w:rsidR="00D80788" w:rsidRPr="00131B9D">
        <w:rPr>
          <w:rFonts w:hAnsi="Times New Roman"/>
        </w:rPr>
        <w:t>11</w:t>
      </w:r>
      <w:r w:rsidRPr="00131B9D">
        <w:rPr>
          <w:rFonts w:hAnsi="Times New Roman"/>
        </w:rPr>
        <w:t>月重要國際事件總述</w:t>
      </w:r>
      <w:bookmarkEnd w:id="502"/>
    </w:p>
    <w:p w:rsidR="00F960A6" w:rsidRPr="00131B9D" w:rsidRDefault="00F960A6" w:rsidP="00F960A6"/>
    <w:p w:rsidR="00F960A6" w:rsidRPr="00131B9D" w:rsidRDefault="00F960A6" w:rsidP="00F960A6">
      <w:pPr>
        <w:sectPr w:rsidR="00F960A6" w:rsidRPr="00131B9D" w:rsidSect="00F960A6">
          <w:footerReference w:type="default" r:id="rId168"/>
          <w:type w:val="oddPage"/>
          <w:pgSz w:w="11906" w:h="16838"/>
          <w:pgMar w:top="720" w:right="720" w:bottom="720" w:left="720" w:header="851" w:footer="992" w:gutter="0"/>
          <w:cols w:space="425"/>
          <w:docGrid w:linePitch="360"/>
        </w:sectPr>
      </w:pPr>
    </w:p>
    <w:p w:rsidR="00402957" w:rsidRPr="00131B9D" w:rsidRDefault="00402957" w:rsidP="00D80788">
      <w:pPr>
        <w:spacing w:beforeLines="20" w:before="48" w:afterLines="100" w:after="240" w:line="0" w:lineRule="atLeast"/>
        <w:jc w:val="center"/>
        <w:rPr>
          <w:rFonts w:eastAsia="標楷體"/>
          <w:b/>
          <w:sz w:val="28"/>
          <w:szCs w:val="28"/>
        </w:rPr>
      </w:pPr>
      <w:r w:rsidRPr="00131B9D">
        <w:rPr>
          <w:rFonts w:eastAsia="標楷體"/>
          <w:b/>
          <w:sz w:val="28"/>
          <w:szCs w:val="28"/>
        </w:rPr>
        <w:lastRenderedPageBreak/>
        <w:t>2015</w:t>
      </w:r>
      <w:r w:rsidRPr="00131B9D">
        <w:rPr>
          <w:rFonts w:eastAsia="標楷體"/>
          <w:b/>
          <w:sz w:val="28"/>
          <w:szCs w:val="28"/>
        </w:rPr>
        <w:t>年</w:t>
      </w:r>
      <w:r w:rsidRPr="00131B9D">
        <w:rPr>
          <w:rFonts w:eastAsia="標楷體"/>
          <w:b/>
          <w:sz w:val="28"/>
          <w:szCs w:val="28"/>
        </w:rPr>
        <w:t>1-</w:t>
      </w:r>
      <w:r w:rsidR="00D80788" w:rsidRPr="00131B9D">
        <w:rPr>
          <w:rFonts w:eastAsia="標楷體"/>
          <w:b/>
          <w:sz w:val="28"/>
          <w:szCs w:val="28"/>
        </w:rPr>
        <w:t>11</w:t>
      </w:r>
      <w:r w:rsidRPr="00131B9D">
        <w:rPr>
          <w:rFonts w:eastAsia="標楷體"/>
          <w:b/>
          <w:sz w:val="28"/>
          <w:szCs w:val="28"/>
        </w:rPr>
        <w:t>月重要國際事件彙整</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 w:type="dxa"/>
          <w:bottom w:w="6" w:type="dxa"/>
        </w:tblCellMar>
        <w:tblLook w:val="00A0" w:firstRow="1" w:lastRow="0" w:firstColumn="1" w:lastColumn="0" w:noHBand="0" w:noVBand="0"/>
      </w:tblPr>
      <w:tblGrid>
        <w:gridCol w:w="1668"/>
        <w:gridCol w:w="7825"/>
      </w:tblGrid>
      <w:tr w:rsidR="00D80788" w:rsidRPr="00131B9D" w:rsidTr="00D80788">
        <w:trPr>
          <w:trHeight w:val="20"/>
          <w:tblHeader/>
          <w:jc w:val="center"/>
        </w:trPr>
        <w:tc>
          <w:tcPr>
            <w:tcW w:w="1668" w:type="dxa"/>
            <w:tcBorders>
              <w:right w:val="single" w:sz="2" w:space="0" w:color="auto"/>
            </w:tcBorders>
            <w:shd w:val="clear" w:color="auto" w:fill="D9D9D9"/>
            <w:vAlign w:val="center"/>
          </w:tcPr>
          <w:p w:rsidR="00D80788" w:rsidRPr="00131B9D" w:rsidRDefault="00D80788" w:rsidP="00EE07A0">
            <w:pPr>
              <w:spacing w:line="0" w:lineRule="atLeast"/>
              <w:jc w:val="center"/>
              <w:rPr>
                <w:rFonts w:eastAsia="標楷體"/>
                <w:b/>
              </w:rPr>
            </w:pPr>
            <w:r w:rsidRPr="00131B9D">
              <w:rPr>
                <w:rFonts w:eastAsia="標楷體"/>
                <w:b/>
              </w:rPr>
              <w:t>日期</w:t>
            </w:r>
          </w:p>
        </w:tc>
        <w:tc>
          <w:tcPr>
            <w:tcW w:w="7825" w:type="dxa"/>
            <w:tcBorders>
              <w:left w:val="single" w:sz="2" w:space="0" w:color="auto"/>
            </w:tcBorders>
            <w:shd w:val="clear" w:color="auto" w:fill="D9D9D9"/>
            <w:vAlign w:val="center"/>
          </w:tcPr>
          <w:p w:rsidR="00D80788" w:rsidRPr="00131B9D" w:rsidRDefault="00D80788" w:rsidP="00EE07A0">
            <w:pPr>
              <w:spacing w:line="0" w:lineRule="atLeast"/>
              <w:jc w:val="center"/>
              <w:rPr>
                <w:rFonts w:eastAsia="標楷體"/>
                <w:b/>
              </w:rPr>
            </w:pPr>
            <w:r w:rsidRPr="00131B9D">
              <w:rPr>
                <w:rFonts w:eastAsia="標楷體"/>
                <w:b/>
              </w:rPr>
              <w:t>重大事件</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1</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巴西政府宣佈復徵燃油稅令乙醇燃料的競爭力提高，同時也將帶動乙醇的價格。</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世界銀行</w:t>
            </w:r>
            <w:r w:rsidRPr="00131B9D">
              <w:rPr>
                <w:rFonts w:eastAsia="標楷體"/>
              </w:rPr>
              <w:t>(World Bank)</w:t>
            </w:r>
            <w:r w:rsidRPr="00131B9D">
              <w:rPr>
                <w:rFonts w:eastAsia="標楷體"/>
              </w:rPr>
              <w:t>宣布調降全球經濟展望，認為美國景氣轉強，以及低油價帶來的刺激效果，尚不足以完全抵銷經濟陷入麻煩的歐元區與新興市場。</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衣索比亞是撒哈拉沙漠以南非洲地區最大的小麥產區。衣索比亞政府一直加大投資，改善農業生產力，農作物單產增幅。政府支持專案，旨在改善化肥施用品質和數量，改善服務設施。導致過去十年小麥單產增長一倍。</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2</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俄羅斯自</w:t>
            </w:r>
            <w:r w:rsidRPr="00131B9D">
              <w:rPr>
                <w:rFonts w:eastAsia="標楷體"/>
              </w:rPr>
              <w:t>2</w:t>
            </w:r>
            <w:r w:rsidRPr="00131B9D">
              <w:rPr>
                <w:rFonts w:eastAsia="標楷體"/>
              </w:rPr>
              <w:t>月</w:t>
            </w:r>
            <w:r w:rsidRPr="00131B9D">
              <w:rPr>
                <w:rFonts w:eastAsia="標楷體"/>
              </w:rPr>
              <w:t>1</w:t>
            </w:r>
            <w:r w:rsidRPr="00131B9D">
              <w:rPr>
                <w:rFonts w:eastAsia="標楷體"/>
              </w:rPr>
              <w:t>日起對小麥徵收出口關稅，以緩解盧布貶值對國內糧食市場造成的漲價壓力。</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南非玉米產區天氣乾旱由</w:t>
            </w:r>
            <w:r w:rsidRPr="00131B9D">
              <w:rPr>
                <w:rFonts w:eastAsia="標楷體"/>
              </w:rPr>
              <w:t>1</w:t>
            </w:r>
            <w:r w:rsidRPr="00131B9D">
              <w:rPr>
                <w:rFonts w:eastAsia="標楷體"/>
              </w:rPr>
              <w:t>月持續至</w:t>
            </w:r>
            <w:r w:rsidRPr="00131B9D">
              <w:rPr>
                <w:rFonts w:eastAsia="標楷體"/>
              </w:rPr>
              <w:t>2</w:t>
            </w:r>
            <w:r w:rsidRPr="00131B9D">
              <w:rPr>
                <w:rFonts w:eastAsia="標楷體"/>
              </w:rPr>
              <w:t>月。</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2</w:t>
            </w:r>
            <w:r w:rsidRPr="00131B9D">
              <w:rPr>
                <w:rFonts w:eastAsia="標楷體"/>
              </w:rPr>
              <w:t>月</w:t>
            </w:r>
            <w:r w:rsidRPr="00131B9D">
              <w:rPr>
                <w:rFonts w:eastAsia="標楷體"/>
              </w:rPr>
              <w:t>19</w:t>
            </w:r>
            <w:r w:rsidRPr="00131B9D">
              <w:rPr>
                <w:rFonts w:eastAsia="標楷體"/>
              </w:rPr>
              <w:t>日印度批准實施原糖出口補貼。</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因咖啡最大生產國巴西天氣情況改善，</w:t>
            </w:r>
            <w:r w:rsidRPr="00131B9D">
              <w:rPr>
                <w:rFonts w:eastAsia="標楷體"/>
              </w:rPr>
              <w:t>ICO</w:t>
            </w:r>
            <w:r w:rsidRPr="00131B9D">
              <w:rPr>
                <w:rFonts w:eastAsia="標楷體"/>
              </w:rPr>
              <w:t>咖啡價格指數持續下跌，而巴西咖啡的出口表現持續強勁。</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巴西卡車工人實行罷工，導致作物的運輸受阻，同時也影響巴西的出口。</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3</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中國大陸全國主要產區玉米收購量和收儲量再創新高。</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3</w:t>
            </w:r>
            <w:r w:rsidRPr="00131B9D">
              <w:rPr>
                <w:rFonts w:eastAsia="標楷體"/>
              </w:rPr>
              <w:t>月</w:t>
            </w:r>
            <w:r w:rsidRPr="00131B9D">
              <w:rPr>
                <w:rFonts w:eastAsia="標楷體"/>
              </w:rPr>
              <w:t>17</w:t>
            </w:r>
            <w:r w:rsidRPr="00131B9D">
              <w:rPr>
                <w:rFonts w:eastAsia="標楷體"/>
              </w:rPr>
              <w:t>日中國大陸按照中烏糧食貸款協議的條款從黑海國家烏克蘭進口玉米。</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歐洲央行（歐銀）從本月起執行量化寬鬆（</w:t>
            </w:r>
            <w:r w:rsidRPr="00131B9D">
              <w:rPr>
                <w:rFonts w:eastAsia="標楷體"/>
              </w:rPr>
              <w:t>Quantitative Easing; QE</w:t>
            </w:r>
            <w:r w:rsidRPr="00131B9D">
              <w:rPr>
                <w:rFonts w:eastAsia="標楷體"/>
              </w:rPr>
              <w:t>）政策。</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美國冬小麥產區天氣乾旱，威脅到小麥作物的生長。</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4</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印度麵粉加工商買入約</w:t>
            </w:r>
            <w:r w:rsidRPr="00131B9D">
              <w:rPr>
                <w:rFonts w:eastAsia="標楷體"/>
              </w:rPr>
              <w:t>8</w:t>
            </w:r>
            <w:r w:rsidRPr="00131B9D">
              <w:rPr>
                <w:rFonts w:eastAsia="標楷體"/>
              </w:rPr>
              <w:t>萬噸澳大利亞優質小麥，</w:t>
            </w:r>
            <w:r w:rsidRPr="00131B9D">
              <w:rPr>
                <w:rFonts w:eastAsia="標楷體"/>
              </w:rPr>
              <w:t>4</w:t>
            </w:r>
            <w:r w:rsidRPr="00131B9D">
              <w:rPr>
                <w:rFonts w:eastAsia="標楷體"/>
              </w:rPr>
              <w:t>月到</w:t>
            </w:r>
            <w:r w:rsidRPr="00131B9D">
              <w:rPr>
                <w:rFonts w:eastAsia="標楷體"/>
              </w:rPr>
              <w:t>5</w:t>
            </w:r>
            <w:r w:rsidRPr="00131B9D">
              <w:rPr>
                <w:rFonts w:eastAsia="標楷體"/>
              </w:rPr>
              <w:t>月船期，</w:t>
            </w:r>
            <w:r w:rsidRPr="00131B9D">
              <w:rPr>
                <w:rFonts w:eastAsia="標楷體"/>
              </w:rPr>
              <w:t>CIF</w:t>
            </w:r>
            <w:r w:rsidRPr="00131B9D">
              <w:rPr>
                <w:rFonts w:eastAsia="標楷體"/>
              </w:rPr>
              <w:t>價為每噸</w:t>
            </w:r>
            <w:r w:rsidRPr="00131B9D">
              <w:rPr>
                <w:rFonts w:eastAsia="標楷體"/>
              </w:rPr>
              <w:t>260</w:t>
            </w:r>
            <w:r w:rsidRPr="00131B9D">
              <w:rPr>
                <w:rFonts w:eastAsia="標楷體"/>
              </w:rPr>
              <w:t>美元到</w:t>
            </w:r>
            <w:r w:rsidRPr="00131B9D">
              <w:rPr>
                <w:rFonts w:eastAsia="標楷體"/>
              </w:rPr>
              <w:t>265</w:t>
            </w:r>
            <w:r w:rsidRPr="00131B9D">
              <w:rPr>
                <w:rFonts w:eastAsia="標楷體"/>
              </w:rPr>
              <w:t>美元，為五年來的最大一筆小麥進口合約。</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歐盟委員會</w:t>
            </w:r>
            <w:r w:rsidRPr="00131B9D">
              <w:rPr>
                <w:rFonts w:eastAsia="標楷體"/>
              </w:rPr>
              <w:t>24</w:t>
            </w:r>
            <w:r w:rsidRPr="00131B9D">
              <w:rPr>
                <w:rFonts w:eastAsia="標楷體"/>
              </w:rPr>
              <w:t>日宣佈，批准</w:t>
            </w:r>
            <w:r w:rsidRPr="00131B9D">
              <w:rPr>
                <w:rFonts w:eastAsia="標楷體"/>
              </w:rPr>
              <w:t>10</w:t>
            </w:r>
            <w:r w:rsidRPr="00131B9D">
              <w:rPr>
                <w:rFonts w:eastAsia="標楷體"/>
              </w:rPr>
              <w:t>種新的玉米、黃豆、油菜、棉花等轉基因食品或飼料在歐盟上市，有效期為</w:t>
            </w:r>
            <w:r w:rsidRPr="00131B9D">
              <w:rPr>
                <w:rFonts w:eastAsia="標楷體"/>
              </w:rPr>
              <w:t>10</w:t>
            </w:r>
            <w:r w:rsidRPr="00131B9D">
              <w:rPr>
                <w:rFonts w:eastAsia="標楷體"/>
              </w:rPr>
              <w:t>年。</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5</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美國爆發</w:t>
            </w:r>
            <w:r w:rsidRPr="00131B9D">
              <w:rPr>
                <w:rFonts w:eastAsia="標楷體"/>
              </w:rPr>
              <w:t>40</w:t>
            </w:r>
            <w:r w:rsidRPr="00131B9D">
              <w:rPr>
                <w:rFonts w:eastAsia="標楷體"/>
              </w:rPr>
              <w:t>年來最嚴重的</w:t>
            </w:r>
            <w:r w:rsidRPr="00131B9D">
              <w:rPr>
                <w:rFonts w:eastAsia="標楷體"/>
              </w:rPr>
              <w:t>H5N8</w:t>
            </w:r>
            <w:r w:rsidRPr="00131B9D">
              <w:rPr>
                <w:rFonts w:eastAsia="標楷體"/>
              </w:rPr>
              <w:t>、</w:t>
            </w:r>
            <w:r w:rsidRPr="00131B9D">
              <w:rPr>
                <w:rFonts w:eastAsia="標楷體"/>
              </w:rPr>
              <w:t>H5N2</w:t>
            </w:r>
            <w:r w:rsidRPr="00131B9D">
              <w:rPr>
                <w:rFonts w:eastAsia="標楷體"/>
              </w:rPr>
              <w:t>禽流感疫情。</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6</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黃豆、玉米全球最大產地美國豪雨不斷，可能導致作物災損。</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7</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伊朗在</w:t>
            </w:r>
            <w:r w:rsidRPr="00131B9D">
              <w:rPr>
                <w:rFonts w:eastAsia="標楷體"/>
              </w:rPr>
              <w:t>7</w:t>
            </w:r>
            <w:r w:rsidRPr="00131B9D">
              <w:rPr>
                <w:rFonts w:eastAsia="標楷體"/>
              </w:rPr>
              <w:t>月中旬與六國達成核武協議，未來解除制裁後原油出口恐大增。</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8</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歐洲玉米主產區高溫乾燥。</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巴西里耳兌美元匯率於</w:t>
            </w:r>
            <w:r w:rsidRPr="00131B9D">
              <w:rPr>
                <w:rFonts w:eastAsia="標楷體"/>
              </w:rPr>
              <w:t>8</w:t>
            </w:r>
            <w:r w:rsidRPr="00131B9D">
              <w:rPr>
                <w:rFonts w:eastAsia="標楷體"/>
              </w:rPr>
              <w:t>月</w:t>
            </w:r>
            <w:r w:rsidRPr="00131B9D">
              <w:rPr>
                <w:rFonts w:eastAsia="標楷體"/>
              </w:rPr>
              <w:t>31</w:t>
            </w:r>
            <w:r w:rsidRPr="00131B9D">
              <w:rPr>
                <w:rFonts w:eastAsia="標楷體"/>
              </w:rPr>
              <w:t>日跌至</w:t>
            </w:r>
            <w:r w:rsidRPr="00131B9D">
              <w:rPr>
                <w:rFonts w:eastAsia="標楷體"/>
              </w:rPr>
              <w:t>12</w:t>
            </w:r>
            <w:r w:rsidRPr="00131B9D">
              <w:rPr>
                <w:rFonts w:eastAsia="標楷體"/>
              </w:rPr>
              <w:t>年半來低點，拖累糖價。</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印尼</w:t>
            </w:r>
            <w:r w:rsidRPr="00131B9D">
              <w:rPr>
                <w:rFonts w:eastAsia="標楷體"/>
              </w:rPr>
              <w:t>8</w:t>
            </w:r>
            <w:r w:rsidRPr="00131B9D">
              <w:rPr>
                <w:rFonts w:eastAsia="標楷體"/>
              </w:rPr>
              <w:t>月</w:t>
            </w:r>
            <w:r w:rsidRPr="00131B9D">
              <w:rPr>
                <w:rFonts w:eastAsia="標楷體"/>
              </w:rPr>
              <w:t>1</w:t>
            </w:r>
            <w:r w:rsidRPr="00131B9D">
              <w:rPr>
                <w:rFonts w:eastAsia="標楷體"/>
              </w:rPr>
              <w:t>日起對錫出口實施更嚴格的規定，使印尼錫出口量降低。</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9</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小麥重要產地黑海地區以及澳洲乾旱天氣。</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印度糖產區發生乾旱、巴西糖產區過度降，使糖價走升。</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10</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礦商嘉能可（</w:t>
            </w:r>
            <w:r w:rsidRPr="00131B9D">
              <w:rPr>
                <w:rFonts w:eastAsia="標楷體"/>
              </w:rPr>
              <w:t>GLENCORE</w:t>
            </w:r>
            <w:r w:rsidRPr="00131B9D">
              <w:rPr>
                <w:rFonts w:eastAsia="標楷體"/>
              </w:rPr>
              <w:t>）承諾削減金屬產量。</w:t>
            </w:r>
          </w:p>
        </w:tc>
      </w:tr>
      <w:tr w:rsidR="00D80788" w:rsidRPr="00131B9D" w:rsidTr="00D80788">
        <w:trPr>
          <w:trHeight w:val="20"/>
          <w:tblHeader/>
          <w:jc w:val="center"/>
        </w:trPr>
        <w:tc>
          <w:tcPr>
            <w:tcW w:w="1668" w:type="dxa"/>
            <w:tcBorders>
              <w:right w:val="single" w:sz="2" w:space="0" w:color="auto"/>
            </w:tcBorders>
            <w:vAlign w:val="center"/>
          </w:tcPr>
          <w:p w:rsidR="00D80788" w:rsidRPr="00131B9D" w:rsidRDefault="00D80788" w:rsidP="00EE07A0">
            <w:pPr>
              <w:snapToGrid w:val="0"/>
              <w:spacing w:line="0" w:lineRule="atLeast"/>
              <w:jc w:val="center"/>
              <w:rPr>
                <w:rFonts w:eastAsia="標楷體"/>
              </w:rPr>
            </w:pPr>
            <w:r w:rsidRPr="00131B9D">
              <w:rPr>
                <w:rFonts w:eastAsia="標楷體"/>
              </w:rPr>
              <w:t>11</w:t>
            </w:r>
            <w:r w:rsidRPr="00131B9D">
              <w:rPr>
                <w:rFonts w:eastAsia="標楷體"/>
              </w:rPr>
              <w:t>月</w:t>
            </w:r>
          </w:p>
        </w:tc>
        <w:tc>
          <w:tcPr>
            <w:tcW w:w="7825" w:type="dxa"/>
            <w:tcBorders>
              <w:left w:val="single" w:sz="2" w:space="0" w:color="auto"/>
            </w:tcBorders>
            <w:vAlign w:val="center"/>
          </w:tcPr>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11</w:t>
            </w:r>
            <w:r w:rsidRPr="00131B9D">
              <w:rPr>
                <w:rFonts w:eastAsia="標楷體"/>
              </w:rPr>
              <w:t>月</w:t>
            </w:r>
            <w:r w:rsidRPr="00131B9D">
              <w:rPr>
                <w:rFonts w:eastAsia="標楷體"/>
              </w:rPr>
              <w:t>1</w:t>
            </w:r>
            <w:r w:rsidRPr="00131B9D">
              <w:rPr>
                <w:rFonts w:eastAsia="標楷體"/>
              </w:rPr>
              <w:t>日起，印尼實施更嚴格的</w:t>
            </w:r>
            <w:r w:rsidRPr="00131B9D">
              <w:rPr>
                <w:rFonts w:eastAsia="標楷體"/>
              </w:rPr>
              <w:t>“</w:t>
            </w:r>
            <w:r w:rsidRPr="00131B9D">
              <w:rPr>
                <w:rFonts w:eastAsia="標楷體"/>
              </w:rPr>
              <w:t>清潔清白</w:t>
            </w:r>
            <w:r w:rsidRPr="00131B9D">
              <w:rPr>
                <w:rFonts w:eastAsia="標楷體"/>
              </w:rPr>
              <w:t>”</w:t>
            </w:r>
            <w:r w:rsidRPr="00131B9D">
              <w:rPr>
                <w:rFonts w:eastAsia="標楷體"/>
              </w:rPr>
              <w:t>錫礦產法規。</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俄羅斯</w:t>
            </w:r>
            <w:r w:rsidRPr="00131B9D">
              <w:rPr>
                <w:rFonts w:eastAsia="標楷體"/>
              </w:rPr>
              <w:t>11</w:t>
            </w:r>
            <w:r w:rsidRPr="00131B9D">
              <w:rPr>
                <w:rFonts w:eastAsia="標楷體"/>
              </w:rPr>
              <w:t>月發布之報告顯示該國</w:t>
            </w:r>
            <w:r w:rsidRPr="00131B9D">
              <w:rPr>
                <w:rFonts w:eastAsia="標楷體"/>
              </w:rPr>
              <w:t>10</w:t>
            </w:r>
            <w:r w:rsidRPr="00131B9D">
              <w:rPr>
                <w:rFonts w:eastAsia="標楷體"/>
              </w:rPr>
              <w:t>月油產量創歷史新高。</w:t>
            </w:r>
          </w:p>
          <w:p w:rsidR="00D80788" w:rsidRPr="00131B9D" w:rsidRDefault="00D80788" w:rsidP="00EE07A0">
            <w:pPr>
              <w:numPr>
                <w:ilvl w:val="0"/>
                <w:numId w:val="26"/>
              </w:numPr>
              <w:snapToGrid w:val="0"/>
              <w:spacing w:line="0" w:lineRule="atLeast"/>
              <w:jc w:val="both"/>
              <w:rPr>
                <w:rFonts w:eastAsia="標楷體"/>
              </w:rPr>
            </w:pPr>
            <w:r w:rsidRPr="00131B9D">
              <w:rPr>
                <w:rFonts w:eastAsia="標楷體"/>
              </w:rPr>
              <w:t>巴西鑽油平台工人罷工、利比亞出口港封閉以及德州豪雨致使輸油管線停輸。</w:t>
            </w:r>
          </w:p>
        </w:tc>
      </w:tr>
    </w:tbl>
    <w:p w:rsidR="004D7FB5" w:rsidRPr="00131B9D" w:rsidRDefault="004D7FB5" w:rsidP="00402957">
      <w:pPr>
        <w:sectPr w:rsidR="004D7FB5" w:rsidRPr="00131B9D" w:rsidSect="00F960A6">
          <w:type w:val="oddPage"/>
          <w:pgSz w:w="11906" w:h="16838"/>
          <w:pgMar w:top="720" w:right="720" w:bottom="720" w:left="720" w:header="851" w:footer="992" w:gutter="0"/>
          <w:cols w:space="425"/>
          <w:docGrid w:linePitch="360"/>
        </w:sectPr>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4D7FB5" w:rsidRPr="00131B9D" w:rsidRDefault="00402957" w:rsidP="00402957">
      <w:pPr>
        <w:pStyle w:val="1"/>
        <w:rPr>
          <w:rFonts w:hAnsi="Times New Roman"/>
        </w:rPr>
      </w:pPr>
      <w:bookmarkStart w:id="503" w:name="_Toc394499173"/>
      <w:bookmarkStart w:id="504" w:name="_Toc366229808"/>
      <w:bookmarkStart w:id="505" w:name="_Toc365028545"/>
      <w:bookmarkStart w:id="506" w:name="_Toc439162983"/>
      <w:r w:rsidRPr="00131B9D">
        <w:rPr>
          <w:rFonts w:hAnsi="Times New Roman"/>
        </w:rPr>
        <w:t>附件</w:t>
      </w:r>
      <w:r w:rsidR="00EC0D9A">
        <w:rPr>
          <w:rFonts w:hAnsi="Times New Roman" w:hint="eastAsia"/>
        </w:rPr>
        <w:t>四</w:t>
      </w:r>
      <w:r w:rsidRPr="00131B9D">
        <w:rPr>
          <w:rFonts w:hAnsi="Times New Roman"/>
        </w:rPr>
        <w:t>、各項指數摘錄說明彙總</w:t>
      </w:r>
      <w:bookmarkEnd w:id="503"/>
      <w:bookmarkEnd w:id="504"/>
      <w:bookmarkEnd w:id="505"/>
      <w:bookmarkEnd w:id="506"/>
    </w:p>
    <w:p w:rsidR="00F960A6" w:rsidRPr="00131B9D" w:rsidRDefault="00F960A6" w:rsidP="00F960A6"/>
    <w:p w:rsidR="00F960A6" w:rsidRPr="00131B9D" w:rsidRDefault="00F960A6" w:rsidP="00F960A6">
      <w:pPr>
        <w:sectPr w:rsidR="00F960A6" w:rsidRPr="00131B9D" w:rsidSect="00F960A6">
          <w:type w:val="oddPage"/>
          <w:pgSz w:w="11906" w:h="16838"/>
          <w:pgMar w:top="720" w:right="720" w:bottom="720" w:left="720" w:header="851" w:footer="992" w:gutter="0"/>
          <w:cols w:space="425"/>
          <w:docGrid w:linePitch="360"/>
        </w:sectPr>
      </w:pPr>
    </w:p>
    <w:p w:rsidR="00402957" w:rsidRPr="00131B9D" w:rsidRDefault="00402957" w:rsidP="004D7FB5"/>
    <w:p w:rsidR="00F960A6" w:rsidRPr="00131B9D" w:rsidRDefault="00F960A6" w:rsidP="004D7FB5"/>
    <w:p w:rsidR="00402957" w:rsidRPr="00131B9D" w:rsidRDefault="00402957" w:rsidP="00F960A6">
      <w:pPr>
        <w:numPr>
          <w:ilvl w:val="0"/>
          <w:numId w:val="2"/>
        </w:numPr>
        <w:snapToGrid w:val="0"/>
        <w:spacing w:before="100" w:beforeAutospacing="1" w:after="100" w:afterAutospacing="1"/>
        <w:ind w:left="482" w:hanging="482"/>
        <w:rPr>
          <w:rFonts w:eastAsia="標楷體"/>
          <w:b/>
          <w:sz w:val="28"/>
          <w:szCs w:val="28"/>
        </w:rPr>
      </w:pPr>
      <w:r w:rsidRPr="00131B9D">
        <w:rPr>
          <w:rFonts w:eastAsia="標楷體"/>
          <w:b/>
          <w:sz w:val="28"/>
          <w:szCs w:val="28"/>
        </w:rPr>
        <w:t>Purchasing Managers' Index, PMI</w:t>
      </w:r>
      <w:r w:rsidRPr="00131B9D">
        <w:rPr>
          <w:rFonts w:eastAsia="標楷體"/>
          <w:b/>
          <w:sz w:val="28"/>
          <w:szCs w:val="28"/>
        </w:rPr>
        <w:t>，採購經理人指數：</w:t>
      </w:r>
    </w:p>
    <w:p w:rsidR="00402957" w:rsidRPr="00131B9D" w:rsidRDefault="00402957" w:rsidP="00402957">
      <w:pPr>
        <w:pStyle w:val="-0"/>
        <w:spacing w:before="120" w:after="120" w:line="480" w:lineRule="exact"/>
        <w:ind w:firstLine="560"/>
      </w:pPr>
      <w:r w:rsidRPr="00131B9D">
        <w:t>衡量製造業的體檢表，為領先指標中之重要據據，可衡量製造業在生產、新訂單、商品價格、存貨、雇員、訂單交貨、新出口訂單和進口等狀況。以</w:t>
      </w:r>
      <w:r w:rsidRPr="00131B9D">
        <w:t>50</w:t>
      </w:r>
      <w:r w:rsidRPr="00131B9D">
        <w:t>為枯榮分水嶺，高於</w:t>
      </w:r>
      <w:r w:rsidRPr="00131B9D">
        <w:t>50</w:t>
      </w:r>
      <w:r w:rsidRPr="00131B9D">
        <w:t>表製造業景氣擴張；低於</w:t>
      </w:r>
      <w:r w:rsidRPr="00131B9D">
        <w:t>50</w:t>
      </w:r>
      <w:r w:rsidRPr="00131B9D">
        <w:t>則表收縮。</w:t>
      </w:r>
    </w:p>
    <w:p w:rsidR="00402957" w:rsidRPr="00131B9D" w:rsidRDefault="00402957" w:rsidP="00402957">
      <w:pPr>
        <w:numPr>
          <w:ilvl w:val="0"/>
          <w:numId w:val="2"/>
        </w:numPr>
        <w:spacing w:before="100" w:beforeAutospacing="1" w:after="100" w:afterAutospacing="1"/>
        <w:ind w:left="482" w:hanging="482"/>
        <w:rPr>
          <w:rFonts w:eastAsia="標楷體"/>
          <w:b/>
          <w:sz w:val="28"/>
          <w:szCs w:val="28"/>
        </w:rPr>
      </w:pPr>
      <w:r w:rsidRPr="00131B9D">
        <w:rPr>
          <w:rFonts w:eastAsia="標楷體"/>
          <w:b/>
          <w:sz w:val="28"/>
          <w:szCs w:val="28"/>
        </w:rPr>
        <w:t>Reuters/Jefferies-CRB Index, CRB</w:t>
      </w:r>
      <w:r w:rsidRPr="00131B9D">
        <w:rPr>
          <w:rFonts w:eastAsia="標楷體"/>
          <w:b/>
          <w:sz w:val="28"/>
          <w:szCs w:val="28"/>
        </w:rPr>
        <w:t>，全球商品期貨價格指數：</w:t>
      </w:r>
    </w:p>
    <w:p w:rsidR="00402957" w:rsidRPr="00131B9D" w:rsidRDefault="00402957" w:rsidP="00402957">
      <w:pPr>
        <w:pStyle w:val="-0"/>
        <w:spacing w:before="120" w:after="120" w:line="480" w:lineRule="exact"/>
        <w:ind w:firstLine="560"/>
      </w:pPr>
      <w:r w:rsidRPr="00131B9D">
        <w:t>原由美國商品研究局所彙編的商品期貨價格指數，涵蓋能源、金屬、農產品、畜產品和軟性商品等期貨合約。</w:t>
      </w:r>
      <w:r w:rsidRPr="00131B9D">
        <w:t>2005</w:t>
      </w:r>
      <w:r w:rsidRPr="00131B9D">
        <w:t>年，改由路透集團與</w:t>
      </w:r>
      <w:r w:rsidRPr="00131B9D">
        <w:t>Jefferies Group</w:t>
      </w:r>
      <w:r w:rsidRPr="00131B9D">
        <w:t>進行合作，作第十次</w:t>
      </w:r>
      <w:r w:rsidRPr="00131B9D">
        <w:t>CRB</w:t>
      </w:r>
      <w:r w:rsidRPr="00131B9D">
        <w:t>指數調整，並更名為</w:t>
      </w:r>
      <w:r w:rsidRPr="00131B9D">
        <w:t>RJ/CRB</w:t>
      </w:r>
      <w:r w:rsidRPr="00131B9D">
        <w:t>指數。</w:t>
      </w:r>
    </w:p>
    <w:p w:rsidR="00402957" w:rsidRPr="00131B9D" w:rsidRDefault="00402957" w:rsidP="00402957">
      <w:pPr>
        <w:numPr>
          <w:ilvl w:val="0"/>
          <w:numId w:val="2"/>
        </w:numPr>
        <w:spacing w:before="100" w:beforeAutospacing="1" w:after="100" w:afterAutospacing="1"/>
        <w:ind w:left="482" w:hanging="482"/>
        <w:rPr>
          <w:rFonts w:eastAsia="標楷體"/>
          <w:b/>
          <w:sz w:val="28"/>
          <w:szCs w:val="28"/>
        </w:rPr>
      </w:pPr>
      <w:r w:rsidRPr="00131B9D">
        <w:rPr>
          <w:rFonts w:eastAsia="標楷體"/>
          <w:b/>
          <w:sz w:val="28"/>
          <w:szCs w:val="28"/>
        </w:rPr>
        <w:t>BDI</w:t>
      </w:r>
      <w:r w:rsidRPr="00131B9D">
        <w:rPr>
          <w:rFonts w:eastAsia="標楷體"/>
          <w:b/>
          <w:sz w:val="28"/>
          <w:szCs w:val="28"/>
        </w:rPr>
        <w:t>，</w:t>
      </w:r>
      <w:r w:rsidRPr="00131B9D">
        <w:rPr>
          <w:rFonts w:eastAsia="標楷體"/>
          <w:b/>
          <w:sz w:val="28"/>
          <w:szCs w:val="28"/>
        </w:rPr>
        <w:t>Baltic Dry Index</w:t>
      </w:r>
      <w:r w:rsidRPr="00131B9D">
        <w:rPr>
          <w:rFonts w:eastAsia="標楷體"/>
          <w:b/>
          <w:sz w:val="28"/>
          <w:szCs w:val="28"/>
        </w:rPr>
        <w:t>，波羅的海乾散裝航運指數：</w:t>
      </w:r>
    </w:p>
    <w:p w:rsidR="00402957" w:rsidRPr="00131B9D" w:rsidRDefault="00402957" w:rsidP="00402957">
      <w:pPr>
        <w:pStyle w:val="-0"/>
        <w:spacing w:before="120" w:after="120" w:line="480" w:lineRule="exact"/>
        <w:ind w:firstLine="560"/>
      </w:pPr>
      <w:r w:rsidRPr="00131B9D">
        <w:t>由數條主要航線的即期運費（</w:t>
      </w:r>
      <w:r w:rsidRPr="00131B9D">
        <w:t>Spot Rate</w:t>
      </w:r>
      <w:r w:rsidRPr="00131B9D">
        <w:t>）加權計算而成，為海岬型（</w:t>
      </w:r>
      <w:r w:rsidRPr="00131B9D">
        <w:t>Capesize</w:t>
      </w:r>
      <w:r w:rsidRPr="00131B9D">
        <w:t>）、巴拿馬型（</w:t>
      </w:r>
      <w:r w:rsidRPr="00131B9D">
        <w:t>Panamax</w:t>
      </w:r>
      <w:r w:rsidRPr="00131B9D">
        <w:t>）及輕便型（</w:t>
      </w:r>
      <w:r w:rsidRPr="00131B9D">
        <w:t>Handysize</w:t>
      </w:r>
      <w:r w:rsidRPr="00131B9D">
        <w:t>）各佔權重三分之一的綜合指數，而海舺型、巴拿馬型及輕便型散裝輪及散裝輪的運價指數分別由</w:t>
      </w:r>
      <w:r w:rsidRPr="00131B9D">
        <w:t>BCI</w:t>
      </w:r>
      <w:r w:rsidRPr="00131B9D">
        <w:t>（</w:t>
      </w:r>
      <w:r w:rsidRPr="00131B9D">
        <w:t>Baltic Capesize Index</w:t>
      </w:r>
      <w:r w:rsidRPr="00131B9D">
        <w:t>）、</w:t>
      </w:r>
      <w:r w:rsidRPr="00131B9D">
        <w:t>BPI</w:t>
      </w:r>
      <w:r w:rsidRPr="00131B9D">
        <w:t>（</w:t>
      </w:r>
      <w:r w:rsidRPr="00131B9D">
        <w:t>Baltic Panamax Index</w:t>
      </w:r>
      <w:r w:rsidRPr="00131B9D">
        <w:t>）及</w:t>
      </w:r>
      <w:r w:rsidRPr="00131B9D">
        <w:t>BHI</w:t>
      </w:r>
      <w:r w:rsidRPr="00131B9D">
        <w:t>（</w:t>
      </w:r>
      <w:r w:rsidRPr="00131B9D">
        <w:t>Baltic Handy Index</w:t>
      </w:r>
      <w:r w:rsidRPr="00131B9D">
        <w:t>）列示。反應的是即期市場的行情。是目前世界上衡量國際海運情況的權威指數，是反映國際間貿易情況的領先指數。</w:t>
      </w:r>
    </w:p>
    <w:p w:rsidR="00402957" w:rsidRPr="00131B9D" w:rsidRDefault="00402957" w:rsidP="00402957">
      <w:pPr>
        <w:numPr>
          <w:ilvl w:val="0"/>
          <w:numId w:val="2"/>
        </w:numPr>
        <w:spacing w:before="100" w:beforeAutospacing="1" w:after="100" w:afterAutospacing="1"/>
        <w:ind w:left="482" w:hanging="482"/>
        <w:rPr>
          <w:rFonts w:eastAsia="標楷體"/>
          <w:b/>
          <w:sz w:val="28"/>
          <w:szCs w:val="28"/>
        </w:rPr>
      </w:pPr>
      <w:r w:rsidRPr="00131B9D">
        <w:rPr>
          <w:rFonts w:eastAsia="標楷體"/>
          <w:b/>
          <w:sz w:val="28"/>
          <w:szCs w:val="28"/>
        </w:rPr>
        <w:t>CRU Steel Price Index Forcasts, CRU</w:t>
      </w:r>
      <w:r w:rsidRPr="00131B9D">
        <w:rPr>
          <w:rFonts w:eastAsia="標楷體"/>
          <w:b/>
          <w:sz w:val="28"/>
          <w:szCs w:val="28"/>
        </w:rPr>
        <w:t>，全球鋼鐵價格指數：</w:t>
      </w:r>
    </w:p>
    <w:p w:rsidR="00402957" w:rsidRPr="00131B9D" w:rsidRDefault="00402957" w:rsidP="00402957">
      <w:pPr>
        <w:pStyle w:val="-0"/>
        <w:spacing w:before="120" w:after="120" w:line="480" w:lineRule="exact"/>
        <w:ind w:firstLine="560"/>
      </w:pPr>
      <w:r w:rsidRPr="00131B9D">
        <w:t>由英國商品研究機構（主要從事國際市場分析，研究金屬、礦業、化學行業的成本與預測未來市場發展概況）每月出版鋼材、長材、板材、扁平材（不銹鋼）、煉鋼原材料、鐵合金、鎳鉻鉬</w:t>
      </w:r>
      <w:r w:rsidRPr="00131B9D">
        <w:t>7</w:t>
      </w:r>
      <w:r w:rsidRPr="00131B9D">
        <w:t>份月報；每週發佈</w:t>
      </w:r>
      <w:r w:rsidRPr="00131B9D">
        <w:t>8</w:t>
      </w:r>
      <w:r w:rsidRPr="00131B9D">
        <w:t>個加權價格指數。在這</w:t>
      </w:r>
      <w:r w:rsidRPr="00131B9D">
        <w:t>8</w:t>
      </w:r>
      <w:r w:rsidRPr="00131B9D">
        <w:t>個價格指數中，用於碳鋼的主要是國際（全球）、板材、長材、北美、歐洲與亞洲指數，另外還有不銹鋼、生鐵廢鋼價格指數。國際（全球）鋼材價格指數的形成是：選擇美國中西部、德國、中國南方城市港口</w:t>
      </w:r>
      <w:r w:rsidRPr="00131B9D">
        <w:t>39</w:t>
      </w:r>
      <w:r w:rsidRPr="00131B9D">
        <w:t>個鋼材市場中的五種鋼鐵產品（熱軋卷板、冷軋卷板、熱鍍鋅版、螺紋鋼、型材）的市場交易價格進行採集，而後對這五個鋼鐵產品在北美、西歐及亞洲市場的消費份額加權後得出國際（全球）鋼材價格指數，即</w:t>
      </w:r>
      <w:r w:rsidRPr="00131B9D">
        <w:t>“CRUspi”</w:t>
      </w:r>
      <w:r w:rsidRPr="00131B9D">
        <w:t>，該指數以</w:t>
      </w:r>
      <w:r w:rsidRPr="00131B9D">
        <w:t>1994</w:t>
      </w:r>
      <w:r w:rsidRPr="00131B9D">
        <w:t>年</w:t>
      </w:r>
      <w:r w:rsidRPr="00131B9D">
        <w:t>4</w:t>
      </w:r>
      <w:r w:rsidRPr="00131B9D">
        <w:t>月當時的加權平均價格為基準，確定指數為</w:t>
      </w:r>
      <w:r w:rsidRPr="00131B9D">
        <w:t>100</w:t>
      </w:r>
      <w:r w:rsidRPr="00131B9D">
        <w:t>，每週發佈一次。</w:t>
      </w:r>
    </w:p>
    <w:p w:rsidR="00402957" w:rsidRPr="00131B9D" w:rsidRDefault="00610F41" w:rsidP="00402957">
      <w:pPr>
        <w:numPr>
          <w:ilvl w:val="0"/>
          <w:numId w:val="2"/>
        </w:numPr>
        <w:spacing w:before="100" w:beforeAutospacing="1" w:after="100" w:afterAutospacing="1"/>
        <w:ind w:left="482" w:hanging="482"/>
        <w:rPr>
          <w:rFonts w:eastAsia="標楷體"/>
          <w:b/>
          <w:sz w:val="28"/>
          <w:szCs w:val="28"/>
        </w:rPr>
      </w:pPr>
      <w:hyperlink r:id="rId169" w:tgtFrame="_blank" w:history="1">
        <w:r w:rsidR="00402957" w:rsidRPr="00131B9D">
          <w:rPr>
            <w:rStyle w:val="afe"/>
            <w:rFonts w:eastAsia="標楷體"/>
            <w:b/>
            <w:sz w:val="28"/>
            <w:szCs w:val="28"/>
          </w:rPr>
          <w:t>FAO Food Price Index</w:t>
        </w:r>
      </w:hyperlink>
      <w:r w:rsidR="00402957" w:rsidRPr="00131B9D">
        <w:rPr>
          <w:rFonts w:eastAsia="標楷體"/>
          <w:b/>
          <w:sz w:val="28"/>
          <w:szCs w:val="28"/>
        </w:rPr>
        <w:t>，</w:t>
      </w:r>
      <w:r w:rsidR="00402957" w:rsidRPr="00131B9D">
        <w:rPr>
          <w:rFonts w:eastAsia="標楷體"/>
          <w:b/>
          <w:sz w:val="28"/>
          <w:szCs w:val="28"/>
        </w:rPr>
        <w:t xml:space="preserve"> FAO</w:t>
      </w:r>
      <w:r w:rsidR="00402957" w:rsidRPr="00131B9D">
        <w:rPr>
          <w:rFonts w:eastAsia="標楷體"/>
          <w:b/>
          <w:sz w:val="28"/>
          <w:szCs w:val="28"/>
        </w:rPr>
        <w:t>糧食價格指數：</w:t>
      </w:r>
    </w:p>
    <w:p w:rsidR="00402957" w:rsidRPr="00131B9D" w:rsidRDefault="00402957" w:rsidP="00402957">
      <w:pPr>
        <w:pStyle w:val="-0"/>
        <w:spacing w:before="120" w:after="120" w:line="480" w:lineRule="exact"/>
        <w:ind w:firstLine="560"/>
      </w:pPr>
      <w:r w:rsidRPr="00131B9D">
        <w:t>由聯合國農糧組織每月發佈的糧食價格指數，為榖物、蔬菜油脂、乳品、肉類及糖等五大類食品價格子指數的平均。</w:t>
      </w:r>
    </w:p>
    <w:p w:rsidR="00F960A6" w:rsidRPr="00131B9D" w:rsidRDefault="00F960A6" w:rsidP="00402957">
      <w:pPr>
        <w:pStyle w:val="-0"/>
        <w:spacing w:before="120" w:after="120" w:line="480" w:lineRule="exact"/>
        <w:ind w:firstLine="560"/>
      </w:pPr>
    </w:p>
    <w:p w:rsidR="00F960A6" w:rsidRPr="00131B9D" w:rsidRDefault="00F960A6" w:rsidP="00402957">
      <w:pPr>
        <w:pStyle w:val="-0"/>
        <w:spacing w:before="120" w:after="120" w:line="480" w:lineRule="exact"/>
        <w:ind w:firstLine="560"/>
      </w:pPr>
    </w:p>
    <w:p w:rsidR="00705F79" w:rsidRPr="00131B9D" w:rsidRDefault="00705F79" w:rsidP="00402957">
      <w:pPr>
        <w:sectPr w:rsidR="00705F79" w:rsidRPr="00131B9D" w:rsidSect="00F960A6">
          <w:type w:val="oddPage"/>
          <w:pgSz w:w="11906" w:h="16838"/>
          <w:pgMar w:top="720" w:right="720" w:bottom="720" w:left="720" w:header="851" w:footer="992" w:gutter="0"/>
          <w:cols w:space="425"/>
          <w:docGrid w:linePitch="360"/>
        </w:sectPr>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705F79" w:rsidRPr="00131B9D" w:rsidRDefault="00705F79" w:rsidP="00705F79">
      <w:pPr>
        <w:spacing w:line="0" w:lineRule="atLeast"/>
      </w:pPr>
    </w:p>
    <w:p w:rsidR="004D7FB5" w:rsidRPr="00131B9D" w:rsidRDefault="00705F79" w:rsidP="00705F79">
      <w:pPr>
        <w:pStyle w:val="1"/>
        <w:rPr>
          <w:rFonts w:hAnsi="Times New Roman"/>
        </w:rPr>
      </w:pPr>
      <w:bookmarkStart w:id="507" w:name="_Toc439162984"/>
      <w:r w:rsidRPr="00131B9D">
        <w:rPr>
          <w:rFonts w:hAnsi="Times New Roman"/>
        </w:rPr>
        <w:t>附件</w:t>
      </w:r>
      <w:r w:rsidR="00EC0D9A">
        <w:rPr>
          <w:rFonts w:hAnsi="Times New Roman" w:hint="eastAsia"/>
        </w:rPr>
        <w:t>五</w:t>
      </w:r>
      <w:r w:rsidRPr="00131B9D">
        <w:rPr>
          <w:rFonts w:hAnsi="Times New Roman"/>
        </w:rPr>
        <w:t>、期中報告審查意見回覆表</w:t>
      </w:r>
      <w:bookmarkEnd w:id="507"/>
    </w:p>
    <w:p w:rsidR="007A070C" w:rsidRPr="00131B9D" w:rsidRDefault="007A070C" w:rsidP="007A070C"/>
    <w:p w:rsidR="007A070C" w:rsidRPr="00131B9D" w:rsidRDefault="007A070C" w:rsidP="007A070C">
      <w:pPr>
        <w:sectPr w:rsidR="007A070C" w:rsidRPr="00131B9D" w:rsidSect="00F960A6">
          <w:type w:val="oddPage"/>
          <w:pgSz w:w="11906" w:h="16838"/>
          <w:pgMar w:top="720" w:right="720" w:bottom="720" w:left="720" w:header="851" w:footer="992" w:gutter="0"/>
          <w:cols w:space="425"/>
          <w:docGrid w:linePitch="360"/>
        </w:sectPr>
      </w:pPr>
    </w:p>
    <w:p w:rsidR="00705F79" w:rsidRPr="00131B9D" w:rsidRDefault="00705F79" w:rsidP="00705F79">
      <w:pPr>
        <w:tabs>
          <w:tab w:val="right" w:leader="dot" w:pos="9072"/>
        </w:tabs>
        <w:spacing w:line="560" w:lineRule="exact"/>
        <w:ind w:leftChars="200" w:left="480"/>
        <w:jc w:val="center"/>
        <w:rPr>
          <w:rFonts w:eastAsia="標楷體"/>
          <w:bCs/>
          <w:noProof/>
          <w:sz w:val="28"/>
          <w:szCs w:val="32"/>
        </w:rPr>
      </w:pPr>
      <w:r w:rsidRPr="00131B9D">
        <w:rPr>
          <w:rFonts w:eastAsia="標楷體"/>
          <w:bCs/>
          <w:noProof/>
          <w:sz w:val="28"/>
          <w:szCs w:val="32"/>
        </w:rPr>
        <w:lastRenderedPageBreak/>
        <w:t>104</w:t>
      </w:r>
      <w:r w:rsidRPr="00131B9D">
        <w:rPr>
          <w:rFonts w:eastAsia="標楷體"/>
          <w:bCs/>
          <w:noProof/>
          <w:sz w:val="28"/>
          <w:szCs w:val="32"/>
        </w:rPr>
        <w:t>年度「重要原物料國內外市場情勢分析及研究」委辦計畫</w:t>
      </w:r>
    </w:p>
    <w:p w:rsidR="00705F79" w:rsidRPr="00131B9D" w:rsidRDefault="00705F79" w:rsidP="00705F79">
      <w:pPr>
        <w:tabs>
          <w:tab w:val="right" w:leader="dot" w:pos="9072"/>
        </w:tabs>
        <w:spacing w:line="560" w:lineRule="exact"/>
        <w:ind w:leftChars="200" w:left="480"/>
        <w:jc w:val="center"/>
        <w:rPr>
          <w:rFonts w:eastAsia="標楷體"/>
          <w:bCs/>
          <w:noProof/>
          <w:sz w:val="28"/>
          <w:szCs w:val="32"/>
        </w:rPr>
      </w:pPr>
      <w:r w:rsidRPr="00131B9D">
        <w:rPr>
          <w:rFonts w:eastAsia="標楷體"/>
          <w:bCs/>
          <w:noProof/>
          <w:sz w:val="28"/>
          <w:szCs w:val="32"/>
        </w:rPr>
        <w:t>期中報告審查意見</w:t>
      </w:r>
      <w:r w:rsidRPr="00131B9D">
        <w:rPr>
          <w:rFonts w:eastAsia="標楷體"/>
          <w:bCs/>
          <w:noProof/>
          <w:kern w:val="0"/>
          <w:sz w:val="28"/>
          <w:szCs w:val="32"/>
          <w:lang w:val="zh-TW"/>
        </w:rPr>
        <w:t>回覆表</w:t>
      </w:r>
    </w:p>
    <w:tbl>
      <w:tblPr>
        <w:tblW w:w="95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85"/>
        <w:gridCol w:w="4634"/>
      </w:tblGrid>
      <w:tr w:rsidR="00705F79" w:rsidRPr="00131B9D" w:rsidTr="00CD2B44">
        <w:trPr>
          <w:tblHeader/>
          <w:jc w:val="center"/>
        </w:trPr>
        <w:tc>
          <w:tcPr>
            <w:tcW w:w="4885" w:type="dxa"/>
          </w:tcPr>
          <w:p w:rsidR="00705F79" w:rsidRPr="00131B9D" w:rsidRDefault="00705F79" w:rsidP="00CD2B44">
            <w:pPr>
              <w:spacing w:before="120" w:after="120"/>
              <w:jc w:val="distribute"/>
              <w:rPr>
                <w:rFonts w:eastAsia="標楷體"/>
                <w:sz w:val="28"/>
              </w:rPr>
            </w:pPr>
            <w:r w:rsidRPr="00131B9D">
              <w:rPr>
                <w:rFonts w:eastAsia="標楷體"/>
                <w:sz w:val="28"/>
              </w:rPr>
              <w:t>審查意見</w:t>
            </w:r>
          </w:p>
        </w:tc>
        <w:tc>
          <w:tcPr>
            <w:tcW w:w="4634" w:type="dxa"/>
          </w:tcPr>
          <w:p w:rsidR="00705F79" w:rsidRPr="00131B9D" w:rsidRDefault="00705F79" w:rsidP="00CD2B44">
            <w:pPr>
              <w:spacing w:before="120" w:after="120"/>
              <w:jc w:val="distribute"/>
              <w:rPr>
                <w:rFonts w:eastAsia="標楷體"/>
                <w:sz w:val="28"/>
              </w:rPr>
            </w:pPr>
            <w:r w:rsidRPr="00131B9D">
              <w:rPr>
                <w:rFonts w:eastAsia="標楷體"/>
                <w:sz w:val="28"/>
              </w:rPr>
              <w:t>辦理情形</w:t>
            </w:r>
          </w:p>
        </w:tc>
      </w:tr>
      <w:tr w:rsidR="00705F79" w:rsidRPr="00131B9D" w:rsidTr="00CD2B44">
        <w:trPr>
          <w:trHeight w:val="197"/>
          <w:jc w:val="center"/>
        </w:trPr>
        <w:tc>
          <w:tcPr>
            <w:tcW w:w="4885" w:type="dxa"/>
            <w:tcBorders>
              <w:bottom w:val="nil"/>
            </w:tcBorders>
          </w:tcPr>
          <w:p w:rsidR="00705F79" w:rsidRPr="00131B9D" w:rsidRDefault="00705F79" w:rsidP="00CD2B44">
            <w:pPr>
              <w:snapToGrid w:val="0"/>
              <w:jc w:val="both"/>
              <w:rPr>
                <w:rFonts w:eastAsia="標楷體"/>
                <w:kern w:val="0"/>
                <w:sz w:val="28"/>
                <w:szCs w:val="28"/>
              </w:rPr>
            </w:pPr>
            <w:r w:rsidRPr="00131B9D">
              <w:rPr>
                <w:rFonts w:eastAsia="標楷體"/>
                <w:kern w:val="0"/>
                <w:sz w:val="28"/>
                <w:szCs w:val="28"/>
              </w:rPr>
              <w:t>（一）綜合意見</w:t>
            </w:r>
          </w:p>
        </w:tc>
        <w:tc>
          <w:tcPr>
            <w:tcW w:w="4634" w:type="dxa"/>
            <w:tcBorders>
              <w:bottom w:val="nil"/>
            </w:tcBorders>
          </w:tcPr>
          <w:p w:rsidR="00705F79" w:rsidRPr="00131B9D" w:rsidRDefault="00705F79" w:rsidP="00CD2B44">
            <w:pPr>
              <w:snapToGrid w:val="0"/>
              <w:rPr>
                <w:rFonts w:eastAsia="標楷體"/>
                <w:sz w:val="28"/>
                <w:szCs w:val="28"/>
              </w:rPr>
            </w:pPr>
          </w:p>
        </w:tc>
      </w:tr>
      <w:tr w:rsidR="00A05AC3" w:rsidRPr="00131B9D" w:rsidTr="00CD2B44">
        <w:trPr>
          <w:jc w:val="center"/>
        </w:trPr>
        <w:tc>
          <w:tcPr>
            <w:tcW w:w="4885" w:type="dxa"/>
            <w:tcBorders>
              <w:top w:val="nil"/>
              <w:bottom w:val="dotted" w:sz="4" w:space="0" w:color="auto"/>
            </w:tcBorders>
          </w:tcPr>
          <w:p w:rsidR="00A05AC3" w:rsidRPr="00131B9D" w:rsidRDefault="00A05AC3" w:rsidP="00BD6C96">
            <w:pPr>
              <w:pStyle w:val="affe"/>
              <w:widowControl w:val="0"/>
              <w:numPr>
                <w:ilvl w:val="0"/>
                <w:numId w:val="31"/>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本計畫研究架構完整，研究內容明確，可讀性高，研究團隊的努力值得肯定。惟報告部分圖表與內容不一致，且呈現的圖表未於內文中標示，請修正。</w:t>
            </w:r>
          </w:p>
        </w:tc>
        <w:tc>
          <w:tcPr>
            <w:tcW w:w="4634" w:type="dxa"/>
            <w:tcBorders>
              <w:top w:val="nil"/>
              <w:bottom w:val="dotted" w:sz="4" w:space="0" w:color="auto"/>
            </w:tcBorders>
          </w:tcPr>
          <w:p w:rsidR="00A05AC3" w:rsidRPr="00131B9D" w:rsidRDefault="00A05AC3" w:rsidP="00CF5001">
            <w:pPr>
              <w:snapToGrid w:val="0"/>
              <w:jc w:val="both"/>
              <w:rPr>
                <w:rFonts w:eastAsia="標楷體"/>
                <w:sz w:val="28"/>
                <w:szCs w:val="28"/>
              </w:rPr>
            </w:pPr>
            <w:r w:rsidRPr="00131B9D">
              <w:rPr>
                <w:rFonts w:eastAsia="標楷體"/>
                <w:sz w:val="28"/>
                <w:szCs w:val="28"/>
              </w:rPr>
              <w:t>更改原圖</w:t>
            </w:r>
            <w:r w:rsidRPr="00131B9D">
              <w:rPr>
                <w:rFonts w:eastAsia="標楷體"/>
                <w:sz w:val="28"/>
                <w:szCs w:val="28"/>
              </w:rPr>
              <w:t>2-6</w:t>
            </w:r>
            <w:r w:rsidRPr="00131B9D">
              <w:rPr>
                <w:rFonts w:eastAsia="標楷體"/>
                <w:sz w:val="28"/>
                <w:szCs w:val="28"/>
              </w:rPr>
              <w:t>排版。刪除黃豆油與黃豆粉的價格變化之圖表</w:t>
            </w:r>
            <w:r w:rsidRPr="00131B9D">
              <w:rPr>
                <w:rFonts w:eastAsia="標楷體"/>
                <w:sz w:val="28"/>
                <w:szCs w:val="28"/>
              </w:rPr>
              <w:t>(</w:t>
            </w:r>
            <w:r w:rsidR="00724564" w:rsidRPr="00131B9D">
              <w:rPr>
                <w:rFonts w:eastAsia="標楷體"/>
                <w:sz w:val="28"/>
                <w:szCs w:val="28"/>
              </w:rPr>
              <w:t>p.</w:t>
            </w:r>
            <w:r w:rsidR="00F30050" w:rsidRPr="00131B9D">
              <w:rPr>
                <w:rFonts w:eastAsia="標楷體"/>
                <w:sz w:val="28"/>
                <w:szCs w:val="28"/>
              </w:rPr>
              <w:t>24-29</w:t>
            </w:r>
            <w:r w:rsidRPr="00131B9D">
              <w:rPr>
                <w:rFonts w:eastAsia="標楷體"/>
                <w:sz w:val="28"/>
                <w:szCs w:val="28"/>
              </w:rPr>
              <w:t>)</w:t>
            </w:r>
            <w:r w:rsidRPr="00131B9D">
              <w:rPr>
                <w:rFonts w:eastAsia="標楷體"/>
                <w:sz w:val="28"/>
                <w:szCs w:val="28"/>
              </w:rPr>
              <w:t>。感謝委員肯定。</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1"/>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除蒐集重要原物料價格變化及分析外，建議增列政策建議說明。</w:t>
            </w:r>
          </w:p>
        </w:tc>
        <w:tc>
          <w:tcPr>
            <w:tcW w:w="4634" w:type="dxa"/>
            <w:tcBorders>
              <w:top w:val="dotted" w:sz="4" w:space="0" w:color="auto"/>
              <w:bottom w:val="dotted" w:sz="4" w:space="0" w:color="auto"/>
            </w:tcBorders>
          </w:tcPr>
          <w:p w:rsidR="00A05AC3" w:rsidRPr="00131B9D" w:rsidRDefault="00A05AC3" w:rsidP="00F30050">
            <w:pPr>
              <w:snapToGrid w:val="0"/>
              <w:jc w:val="both"/>
              <w:rPr>
                <w:rFonts w:eastAsia="標楷體"/>
                <w:sz w:val="28"/>
                <w:szCs w:val="28"/>
              </w:rPr>
            </w:pPr>
            <w:r w:rsidRPr="00131B9D">
              <w:rPr>
                <w:rFonts w:eastAsia="標楷體"/>
                <w:sz w:val="28"/>
                <w:szCs w:val="28"/>
              </w:rPr>
              <w:t>已於小結部分增列政策建議說明，後續期末報告將增列一章節彙整整體性政策建議</w:t>
            </w:r>
            <w:r w:rsidR="00F30050" w:rsidRPr="00131B9D">
              <w:rPr>
                <w:rFonts w:eastAsia="標楷體"/>
                <w:sz w:val="28"/>
                <w:szCs w:val="28"/>
              </w:rPr>
              <w:t>(p.159-161)</w:t>
            </w:r>
            <w:r w:rsidRPr="00131B9D">
              <w:rPr>
                <w:rFonts w:eastAsia="標楷體"/>
                <w:sz w:val="28"/>
                <w:szCs w:val="28"/>
              </w:rPr>
              <w:t>。</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1"/>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有關總體經濟分析建議整合在第一章整體趨勢分析中說明（如</w:t>
            </w:r>
            <w:r w:rsidRPr="00131B9D">
              <w:rPr>
                <w:rFonts w:ascii="Times New Roman" w:eastAsia="標楷體" w:hAnsi="Times New Roman" w:cs="Times New Roman"/>
                <w:sz w:val="28"/>
                <w:szCs w:val="28"/>
              </w:rPr>
              <w:t>p.129</w:t>
            </w:r>
            <w:r w:rsidRPr="00131B9D">
              <w:rPr>
                <w:rFonts w:ascii="Times New Roman" w:eastAsia="標楷體" w:hAnsi="Times New Roman" w:cs="Times New Roman"/>
                <w:sz w:val="28"/>
                <w:szCs w:val="28"/>
              </w:rPr>
              <w:t>匯率變動相關說明）。</w:t>
            </w:r>
          </w:p>
        </w:tc>
        <w:tc>
          <w:tcPr>
            <w:tcW w:w="4634" w:type="dxa"/>
            <w:tcBorders>
              <w:top w:val="dotted" w:sz="4" w:space="0" w:color="auto"/>
              <w:bottom w:val="dotted" w:sz="4" w:space="0" w:color="auto"/>
            </w:tcBorders>
          </w:tcPr>
          <w:p w:rsidR="00A05AC3" w:rsidRPr="00131B9D" w:rsidRDefault="00A05AC3" w:rsidP="00CF5001">
            <w:pPr>
              <w:snapToGrid w:val="0"/>
              <w:jc w:val="both"/>
              <w:rPr>
                <w:rFonts w:eastAsia="標楷體"/>
                <w:sz w:val="28"/>
                <w:szCs w:val="28"/>
              </w:rPr>
            </w:pPr>
            <w:r w:rsidRPr="00131B9D">
              <w:rPr>
                <w:rFonts w:eastAsia="標楷體"/>
                <w:sz w:val="28"/>
                <w:szCs w:val="28"/>
              </w:rPr>
              <w:t>感謝委員建議。本研究將原附件三移至第貳章第一節，針對整體經濟情勢與大宗原物料情勢進行說明與分析</w:t>
            </w:r>
            <w:r w:rsidRPr="00131B9D">
              <w:rPr>
                <w:rFonts w:eastAsia="標楷體"/>
                <w:sz w:val="28"/>
                <w:szCs w:val="28"/>
              </w:rPr>
              <w:t>(p.</w:t>
            </w:r>
            <w:r w:rsidR="00F30050" w:rsidRPr="00131B9D">
              <w:rPr>
                <w:rFonts w:eastAsia="標楷體"/>
                <w:sz w:val="28"/>
                <w:szCs w:val="28"/>
              </w:rPr>
              <w:t>5-17</w:t>
            </w:r>
            <w:r w:rsidRPr="00131B9D">
              <w:rPr>
                <w:rFonts w:eastAsia="標楷體"/>
                <w:sz w:val="28"/>
                <w:szCs w:val="28"/>
              </w:rPr>
              <w:t>)</w:t>
            </w:r>
            <w:r w:rsidRPr="00131B9D">
              <w:rPr>
                <w:rFonts w:eastAsia="標楷體"/>
                <w:sz w:val="28"/>
                <w:szCs w:val="28"/>
              </w:rPr>
              <w:t>。</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1"/>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建議將</w:t>
            </w:r>
            <w:r w:rsidRPr="00131B9D">
              <w:rPr>
                <w:rFonts w:ascii="Times New Roman" w:eastAsia="標楷體" w:hAnsi="Times New Roman" w:cs="Times New Roman"/>
                <w:sz w:val="28"/>
                <w:szCs w:val="28"/>
              </w:rPr>
              <w:t>p.115(</w:t>
            </w:r>
            <w:r w:rsidRPr="00131B9D">
              <w:rPr>
                <w:rFonts w:ascii="Times New Roman" w:eastAsia="標楷體" w:hAnsi="Times New Roman" w:cs="Times New Roman"/>
                <w:sz w:val="28"/>
                <w:szCs w:val="28"/>
              </w:rPr>
              <w:t>表</w:t>
            </w:r>
            <w:r w:rsidRPr="00131B9D">
              <w:rPr>
                <w:rFonts w:ascii="Times New Roman" w:eastAsia="標楷體" w:hAnsi="Times New Roman" w:cs="Times New Roman"/>
                <w:sz w:val="28"/>
                <w:szCs w:val="28"/>
              </w:rPr>
              <w:t>2-12)</w:t>
            </w:r>
            <w:r w:rsidRPr="00131B9D">
              <w:rPr>
                <w:rFonts w:ascii="Times New Roman" w:eastAsia="標楷體" w:hAnsi="Times New Roman" w:cs="Times New Roman"/>
                <w:sz w:val="28"/>
                <w:szCs w:val="28"/>
              </w:rPr>
              <w:t>及</w:t>
            </w:r>
            <w:r w:rsidRPr="00131B9D">
              <w:rPr>
                <w:rFonts w:ascii="Times New Roman" w:eastAsia="標楷體" w:hAnsi="Times New Roman" w:cs="Times New Roman"/>
                <w:sz w:val="28"/>
                <w:szCs w:val="28"/>
              </w:rPr>
              <w:t>p.122(</w:t>
            </w:r>
            <w:r w:rsidRPr="00131B9D">
              <w:rPr>
                <w:rFonts w:ascii="Times New Roman" w:eastAsia="標楷體" w:hAnsi="Times New Roman" w:cs="Times New Roman"/>
                <w:sz w:val="28"/>
                <w:szCs w:val="28"/>
              </w:rPr>
              <w:t>表</w:t>
            </w:r>
            <w:r w:rsidRPr="00131B9D">
              <w:rPr>
                <w:rFonts w:ascii="Times New Roman" w:eastAsia="標楷體" w:hAnsi="Times New Roman" w:cs="Times New Roman"/>
                <w:sz w:val="28"/>
                <w:szCs w:val="28"/>
              </w:rPr>
              <w:t>3-1)</w:t>
            </w:r>
            <w:r w:rsidRPr="00131B9D">
              <w:rPr>
                <w:rFonts w:ascii="Times New Roman" w:eastAsia="標楷體" w:hAnsi="Times New Roman" w:cs="Times New Roman"/>
                <w:sz w:val="28"/>
                <w:szCs w:val="28"/>
              </w:rPr>
              <w:t>統整至章首做摘要，另建議將表</w:t>
            </w:r>
            <w:r w:rsidRPr="00131B9D">
              <w:rPr>
                <w:rFonts w:ascii="Times New Roman" w:eastAsia="標楷體" w:hAnsi="Times New Roman" w:cs="Times New Roman"/>
                <w:sz w:val="28"/>
                <w:szCs w:val="28"/>
              </w:rPr>
              <w:t>2-12</w:t>
            </w:r>
            <w:r w:rsidRPr="00131B9D">
              <w:rPr>
                <w:rFonts w:ascii="Times New Roman" w:eastAsia="標楷體" w:hAnsi="Times New Roman" w:cs="Times New Roman"/>
                <w:sz w:val="28"/>
                <w:szCs w:val="28"/>
              </w:rPr>
              <w:t>漲跌變化較大之品項以粗體字標示，以利區別。</w:t>
            </w:r>
          </w:p>
        </w:tc>
        <w:tc>
          <w:tcPr>
            <w:tcW w:w="4634" w:type="dxa"/>
            <w:tcBorders>
              <w:top w:val="dotted" w:sz="4" w:space="0" w:color="auto"/>
              <w:bottom w:val="dotted" w:sz="4" w:space="0" w:color="auto"/>
            </w:tcBorders>
          </w:tcPr>
          <w:p w:rsidR="00A05AC3" w:rsidRPr="00131B9D" w:rsidRDefault="00A05AC3" w:rsidP="00CF5001">
            <w:pPr>
              <w:snapToGrid w:val="0"/>
              <w:jc w:val="both"/>
              <w:rPr>
                <w:rFonts w:eastAsia="標楷體"/>
                <w:sz w:val="28"/>
                <w:szCs w:val="28"/>
              </w:rPr>
            </w:pPr>
            <w:r w:rsidRPr="00131B9D">
              <w:rPr>
                <w:rFonts w:eastAsia="標楷體"/>
                <w:sz w:val="28"/>
                <w:szCs w:val="28"/>
              </w:rPr>
              <w:t>感謝委員建議，原</w:t>
            </w:r>
            <w:r w:rsidRPr="00131B9D">
              <w:rPr>
                <w:rFonts w:eastAsia="標楷體"/>
                <w:sz w:val="28"/>
                <w:szCs w:val="28"/>
              </w:rPr>
              <w:t>p.115</w:t>
            </w:r>
            <w:r w:rsidRPr="00131B9D">
              <w:rPr>
                <w:rFonts w:eastAsia="標楷體"/>
                <w:sz w:val="28"/>
                <w:szCs w:val="28"/>
              </w:rPr>
              <w:t>統整表已調整至第參章第一節</w:t>
            </w:r>
            <w:r w:rsidRPr="00131B9D">
              <w:rPr>
                <w:rFonts w:eastAsia="標楷體"/>
                <w:sz w:val="28"/>
                <w:szCs w:val="28"/>
              </w:rPr>
              <w:t>(p.</w:t>
            </w:r>
            <w:r w:rsidR="00F30050" w:rsidRPr="00131B9D">
              <w:rPr>
                <w:rFonts w:eastAsia="標楷體"/>
                <w:sz w:val="28"/>
                <w:szCs w:val="28"/>
              </w:rPr>
              <w:t>18-21</w:t>
            </w:r>
            <w:r w:rsidRPr="00131B9D">
              <w:rPr>
                <w:rFonts w:eastAsia="標楷體"/>
                <w:sz w:val="28"/>
                <w:szCs w:val="28"/>
              </w:rPr>
              <w:t>)</w:t>
            </w:r>
            <w:r w:rsidRPr="00131B9D">
              <w:rPr>
                <w:rFonts w:eastAsia="標楷體"/>
                <w:sz w:val="28"/>
                <w:szCs w:val="28"/>
              </w:rPr>
              <w:t>，原</w:t>
            </w:r>
            <w:r w:rsidRPr="00131B9D">
              <w:rPr>
                <w:rFonts w:eastAsia="標楷體"/>
                <w:sz w:val="28"/>
                <w:szCs w:val="28"/>
              </w:rPr>
              <w:t>p.122</w:t>
            </w:r>
            <w:r w:rsidRPr="00131B9D">
              <w:rPr>
                <w:rFonts w:eastAsia="標楷體"/>
                <w:sz w:val="28"/>
                <w:szCs w:val="28"/>
              </w:rPr>
              <w:t>之</w:t>
            </w:r>
            <w:r w:rsidRPr="00131B9D">
              <w:rPr>
                <w:rFonts w:eastAsia="標楷體"/>
                <w:sz w:val="28"/>
                <w:szCs w:val="28"/>
              </w:rPr>
              <w:t>2015</w:t>
            </w:r>
            <w:r w:rsidRPr="00131B9D">
              <w:rPr>
                <w:rFonts w:eastAsia="標楷體"/>
                <w:sz w:val="28"/>
                <w:szCs w:val="28"/>
              </w:rPr>
              <w:t>上半年價格調整之品項彙整則已位於</w:t>
            </w:r>
            <w:r w:rsidR="00FA4062" w:rsidRPr="00131B9D">
              <w:rPr>
                <w:rFonts w:eastAsia="標楷體"/>
                <w:sz w:val="28"/>
                <w:szCs w:val="28"/>
              </w:rPr>
              <w:t>第肆</w:t>
            </w:r>
            <w:r w:rsidRPr="00131B9D">
              <w:rPr>
                <w:rFonts w:eastAsia="標楷體"/>
                <w:sz w:val="28"/>
                <w:szCs w:val="28"/>
              </w:rPr>
              <w:t>章首</w:t>
            </w:r>
            <w:r w:rsidRPr="00131B9D">
              <w:rPr>
                <w:rFonts w:eastAsia="標楷體"/>
                <w:sz w:val="28"/>
                <w:szCs w:val="28"/>
              </w:rPr>
              <w:t>(p.1</w:t>
            </w:r>
            <w:r w:rsidR="00F30050" w:rsidRPr="00131B9D">
              <w:rPr>
                <w:rFonts w:eastAsia="標楷體"/>
                <w:sz w:val="28"/>
                <w:szCs w:val="28"/>
              </w:rPr>
              <w:t>25</w:t>
            </w:r>
            <w:r w:rsidRPr="00131B9D">
              <w:rPr>
                <w:rFonts w:eastAsia="標楷體"/>
                <w:sz w:val="28"/>
                <w:szCs w:val="28"/>
              </w:rPr>
              <w:t>)</w:t>
            </w:r>
            <w:r w:rsidRPr="00131B9D">
              <w:rPr>
                <w:rFonts w:eastAsia="標楷體"/>
                <w:sz w:val="28"/>
                <w:szCs w:val="28"/>
              </w:rPr>
              <w:t>。</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1"/>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報告內容資料來源之引用請註明出處，內文數據可以圖表呈現，以利閱讀（如</w:t>
            </w:r>
            <w:r w:rsidRPr="00131B9D">
              <w:rPr>
                <w:rFonts w:ascii="Times New Roman" w:eastAsia="標楷體" w:hAnsi="Times New Roman" w:cs="Times New Roman"/>
                <w:sz w:val="28"/>
                <w:szCs w:val="28"/>
              </w:rPr>
              <w:t>p.66</w:t>
            </w:r>
            <w:r w:rsidRPr="00131B9D">
              <w:rPr>
                <w:rFonts w:ascii="Times New Roman" w:eastAsia="標楷體" w:hAnsi="Times New Roman" w:cs="Times New Roman"/>
                <w:sz w:val="28"/>
                <w:szCs w:val="28"/>
              </w:rPr>
              <w:t>廢鋼情勢分析內文的數據）。</w:t>
            </w:r>
          </w:p>
        </w:tc>
        <w:tc>
          <w:tcPr>
            <w:tcW w:w="4634" w:type="dxa"/>
            <w:tcBorders>
              <w:top w:val="dotted" w:sz="4" w:space="0" w:color="auto"/>
              <w:bottom w:val="dotted" w:sz="4" w:space="0" w:color="auto"/>
            </w:tcBorders>
          </w:tcPr>
          <w:p w:rsidR="00A05AC3" w:rsidRPr="00131B9D" w:rsidRDefault="00A05AC3" w:rsidP="00621E45">
            <w:pPr>
              <w:snapToGrid w:val="0"/>
              <w:jc w:val="both"/>
              <w:rPr>
                <w:rFonts w:eastAsia="標楷體"/>
                <w:sz w:val="28"/>
                <w:szCs w:val="28"/>
              </w:rPr>
            </w:pPr>
            <w:r w:rsidRPr="00131B9D">
              <w:rPr>
                <w:rFonts w:eastAsia="標楷體"/>
                <w:kern w:val="0"/>
                <w:sz w:val="28"/>
                <w:szCs w:val="28"/>
              </w:rPr>
              <w:t>資料來源之引用，</w:t>
            </w:r>
            <w:r w:rsidR="00FA4062" w:rsidRPr="00131B9D">
              <w:rPr>
                <w:rFonts w:eastAsia="標楷體"/>
                <w:sz w:val="28"/>
                <w:szCs w:val="28"/>
              </w:rPr>
              <w:t>已用註腳方式標註完成</w:t>
            </w:r>
            <w:r w:rsidRPr="00131B9D">
              <w:rPr>
                <w:rFonts w:eastAsia="標楷體"/>
                <w:sz w:val="28"/>
                <w:szCs w:val="28"/>
              </w:rPr>
              <w:t>；廢鋼情勢部分，新增表格整理各個市場廢鋼價格改變之因素與變動方向</w:t>
            </w:r>
            <w:r w:rsidR="00E2207F" w:rsidRPr="00131B9D">
              <w:rPr>
                <w:rFonts w:eastAsia="標楷體"/>
                <w:sz w:val="28"/>
                <w:szCs w:val="28"/>
              </w:rPr>
              <w:t>(</w:t>
            </w:r>
            <w:r w:rsidR="002657A6" w:rsidRPr="00131B9D">
              <w:rPr>
                <w:rFonts w:eastAsia="標楷體"/>
                <w:sz w:val="28"/>
                <w:szCs w:val="28"/>
              </w:rPr>
              <w:t>參見原期中報告</w:t>
            </w:r>
            <w:r w:rsidR="002657A6" w:rsidRPr="00131B9D">
              <w:rPr>
                <w:rFonts w:eastAsia="標楷體"/>
                <w:sz w:val="28"/>
                <w:szCs w:val="28"/>
              </w:rPr>
              <w:t>p.80</w:t>
            </w:r>
            <w:r w:rsidR="002657A6" w:rsidRPr="00131B9D">
              <w:rPr>
                <w:rFonts w:eastAsia="標楷體"/>
                <w:sz w:val="28"/>
                <w:szCs w:val="28"/>
              </w:rPr>
              <w:t>，</w:t>
            </w:r>
            <w:r w:rsidR="00E2207F" w:rsidRPr="00131B9D">
              <w:rPr>
                <w:rFonts w:eastAsia="標楷體"/>
                <w:sz w:val="28"/>
                <w:szCs w:val="28"/>
              </w:rPr>
              <w:t>此</w:t>
            </w:r>
            <w:r w:rsidR="00B22890" w:rsidRPr="00131B9D">
              <w:rPr>
                <w:rFonts w:eastAsia="標楷體"/>
                <w:sz w:val="28"/>
                <w:szCs w:val="28"/>
              </w:rPr>
              <w:t>部分</w:t>
            </w:r>
            <w:r w:rsidR="00E2207F" w:rsidRPr="00131B9D">
              <w:rPr>
                <w:rFonts w:eastAsia="標楷體"/>
                <w:sz w:val="28"/>
                <w:szCs w:val="28"/>
              </w:rPr>
              <w:t>為</w:t>
            </w:r>
            <w:r w:rsidR="00621E45" w:rsidRPr="00131B9D">
              <w:rPr>
                <w:rFonts w:eastAsia="標楷體"/>
                <w:sz w:val="28"/>
                <w:szCs w:val="28"/>
              </w:rPr>
              <w:t>期中報告中預</w:t>
            </w:r>
            <w:r w:rsidR="00E2207F" w:rsidRPr="00131B9D">
              <w:rPr>
                <w:rFonts w:eastAsia="標楷體"/>
                <w:sz w:val="28"/>
                <w:szCs w:val="28"/>
              </w:rPr>
              <w:t>測下半年價格走勢</w:t>
            </w:r>
            <w:r w:rsidR="00621E45" w:rsidRPr="00131B9D">
              <w:rPr>
                <w:rFonts w:eastAsia="標楷體"/>
                <w:sz w:val="28"/>
                <w:szCs w:val="28"/>
              </w:rPr>
              <w:t>之內容</w:t>
            </w:r>
            <w:r w:rsidR="00E2207F" w:rsidRPr="00131B9D">
              <w:rPr>
                <w:rFonts w:eastAsia="標楷體"/>
                <w:sz w:val="28"/>
                <w:szCs w:val="28"/>
              </w:rPr>
              <w:t>，期末報告已無此</w:t>
            </w:r>
            <w:r w:rsidR="00621E45" w:rsidRPr="00131B9D">
              <w:rPr>
                <w:rFonts w:eastAsia="標楷體"/>
                <w:sz w:val="28"/>
                <w:szCs w:val="28"/>
              </w:rPr>
              <w:t>段落</w:t>
            </w:r>
            <w:r w:rsidR="00E2207F" w:rsidRPr="00131B9D">
              <w:rPr>
                <w:rFonts w:eastAsia="標楷體"/>
                <w:sz w:val="28"/>
                <w:szCs w:val="28"/>
              </w:rPr>
              <w:t>)</w:t>
            </w:r>
            <w:r w:rsidR="00E2207F" w:rsidRPr="00131B9D">
              <w:rPr>
                <w:rFonts w:eastAsia="標楷體"/>
                <w:sz w:val="28"/>
                <w:szCs w:val="28"/>
              </w:rPr>
              <w:t>。</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1"/>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請增列附錄，彙整報告內各種主要「指數」的定義及專有名詞解釋。</w:t>
            </w:r>
          </w:p>
        </w:tc>
        <w:tc>
          <w:tcPr>
            <w:tcW w:w="4634" w:type="dxa"/>
            <w:tcBorders>
              <w:top w:val="dotted" w:sz="4" w:space="0" w:color="auto"/>
              <w:bottom w:val="dotted" w:sz="4" w:space="0" w:color="auto"/>
            </w:tcBorders>
          </w:tcPr>
          <w:p w:rsidR="00A05AC3" w:rsidRPr="00131B9D" w:rsidRDefault="00A05AC3" w:rsidP="00CF5001">
            <w:pPr>
              <w:snapToGrid w:val="0"/>
              <w:jc w:val="both"/>
              <w:rPr>
                <w:rFonts w:eastAsia="標楷體"/>
                <w:kern w:val="0"/>
                <w:sz w:val="28"/>
                <w:szCs w:val="28"/>
              </w:rPr>
            </w:pPr>
            <w:r w:rsidRPr="00131B9D">
              <w:rPr>
                <w:rFonts w:eastAsia="標楷體"/>
                <w:kern w:val="0"/>
                <w:sz w:val="28"/>
                <w:szCs w:val="28"/>
              </w:rPr>
              <w:t>將報告內各種主要「指數」的定義及專有名詞解釋，彙整於附件</w:t>
            </w:r>
            <w:r w:rsidR="00EC0D9A">
              <w:rPr>
                <w:rFonts w:eastAsia="標楷體" w:hint="eastAsia"/>
                <w:kern w:val="0"/>
                <w:sz w:val="28"/>
                <w:szCs w:val="28"/>
              </w:rPr>
              <w:t>四</w:t>
            </w:r>
            <w:r w:rsidRPr="00131B9D">
              <w:rPr>
                <w:rFonts w:eastAsia="標楷體"/>
                <w:kern w:val="0"/>
                <w:sz w:val="28"/>
                <w:szCs w:val="28"/>
              </w:rPr>
              <w:t>(p.2</w:t>
            </w:r>
            <w:r w:rsidR="00EC0D9A">
              <w:rPr>
                <w:rFonts w:eastAsia="標楷體" w:hint="eastAsia"/>
                <w:kern w:val="0"/>
                <w:sz w:val="28"/>
                <w:szCs w:val="28"/>
              </w:rPr>
              <w:t>01</w:t>
            </w:r>
            <w:r w:rsidR="006D5F7B" w:rsidRPr="00131B9D">
              <w:rPr>
                <w:rFonts w:eastAsia="標楷體"/>
                <w:kern w:val="0"/>
                <w:sz w:val="28"/>
                <w:szCs w:val="28"/>
              </w:rPr>
              <w:t>-</w:t>
            </w:r>
            <w:r w:rsidR="00CF5001" w:rsidRPr="00131B9D">
              <w:rPr>
                <w:rFonts w:eastAsia="標楷體"/>
                <w:kern w:val="0"/>
                <w:sz w:val="28"/>
                <w:szCs w:val="28"/>
              </w:rPr>
              <w:t>2</w:t>
            </w:r>
            <w:r w:rsidR="00EC0D9A">
              <w:rPr>
                <w:rFonts w:eastAsia="標楷體" w:hint="eastAsia"/>
                <w:kern w:val="0"/>
                <w:sz w:val="28"/>
                <w:szCs w:val="28"/>
              </w:rPr>
              <w:t>04</w:t>
            </w:r>
            <w:r w:rsidRPr="00131B9D">
              <w:rPr>
                <w:rFonts w:eastAsia="標楷體"/>
                <w:kern w:val="0"/>
                <w:sz w:val="28"/>
                <w:szCs w:val="28"/>
              </w:rPr>
              <w:t>)</w:t>
            </w:r>
            <w:r w:rsidRPr="00131B9D">
              <w:rPr>
                <w:rFonts w:eastAsia="標楷體"/>
                <w:kern w:val="0"/>
                <w:sz w:val="28"/>
                <w:szCs w:val="28"/>
              </w:rPr>
              <w:t>。</w:t>
            </w:r>
          </w:p>
        </w:tc>
      </w:tr>
      <w:tr w:rsidR="00A05AC3" w:rsidRPr="00131B9D" w:rsidTr="00CD2B44">
        <w:trPr>
          <w:jc w:val="center"/>
        </w:trPr>
        <w:tc>
          <w:tcPr>
            <w:tcW w:w="4885" w:type="dxa"/>
            <w:tcBorders>
              <w:bottom w:val="nil"/>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（二）原物料價格情勢</w:t>
            </w:r>
          </w:p>
        </w:tc>
        <w:tc>
          <w:tcPr>
            <w:tcW w:w="4634" w:type="dxa"/>
            <w:tcBorders>
              <w:bottom w:val="nil"/>
            </w:tcBorders>
          </w:tcPr>
          <w:p w:rsidR="00A05AC3" w:rsidRPr="00131B9D" w:rsidRDefault="00A05AC3" w:rsidP="00A05AC3">
            <w:pPr>
              <w:snapToGrid w:val="0"/>
              <w:spacing w:line="240" w:lineRule="atLeast"/>
              <w:jc w:val="both"/>
              <w:rPr>
                <w:rFonts w:eastAsia="標楷體"/>
                <w:sz w:val="28"/>
                <w:szCs w:val="28"/>
              </w:rPr>
            </w:pPr>
          </w:p>
        </w:tc>
      </w:tr>
      <w:tr w:rsidR="00A05AC3" w:rsidRPr="00131B9D" w:rsidTr="00CD2B44">
        <w:trPr>
          <w:trHeight w:val="75"/>
          <w:jc w:val="center"/>
        </w:trPr>
        <w:tc>
          <w:tcPr>
            <w:tcW w:w="4885" w:type="dxa"/>
            <w:tcBorders>
              <w:top w:val="nil"/>
              <w:bottom w:val="dotted" w:sz="4" w:space="0" w:color="auto"/>
            </w:tcBorders>
          </w:tcPr>
          <w:p w:rsidR="00A05AC3" w:rsidRPr="00131B9D" w:rsidRDefault="00A05AC3" w:rsidP="00BD6C96">
            <w:pPr>
              <w:pStyle w:val="affe"/>
              <w:widowControl w:val="0"/>
              <w:numPr>
                <w:ilvl w:val="0"/>
                <w:numId w:val="32"/>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本計畫分析</w:t>
            </w:r>
            <w:r w:rsidRPr="00131B9D">
              <w:rPr>
                <w:rFonts w:ascii="Times New Roman" w:eastAsia="標楷體" w:hAnsi="Times New Roman" w:cs="Times New Roman"/>
                <w:sz w:val="28"/>
                <w:szCs w:val="28"/>
              </w:rPr>
              <w:t>2015</w:t>
            </w:r>
            <w:r w:rsidRPr="00131B9D">
              <w:rPr>
                <w:rFonts w:ascii="Times New Roman" w:eastAsia="標楷體" w:hAnsi="Times New Roman" w:cs="Times New Roman"/>
                <w:sz w:val="28"/>
                <w:szCs w:val="28"/>
              </w:rPr>
              <w:t>年上半年原物料價格情勢分析，並對下半年走勢作預判，分析尚稱完整。惟建議內容再適度精簡，針對圖表顯示之價格趨勢掌握重點，清楚說明。</w:t>
            </w:r>
          </w:p>
        </w:tc>
        <w:tc>
          <w:tcPr>
            <w:tcW w:w="4634" w:type="dxa"/>
            <w:tcBorders>
              <w:top w:val="nil"/>
              <w:bottom w:val="dotted" w:sz="4" w:space="0" w:color="auto"/>
            </w:tcBorders>
          </w:tcPr>
          <w:p w:rsidR="00A05AC3" w:rsidRPr="00131B9D" w:rsidRDefault="00A05AC3" w:rsidP="00CF5001">
            <w:pPr>
              <w:snapToGrid w:val="0"/>
              <w:jc w:val="both"/>
              <w:rPr>
                <w:rFonts w:eastAsia="標楷體"/>
                <w:kern w:val="0"/>
                <w:sz w:val="28"/>
                <w:szCs w:val="28"/>
              </w:rPr>
            </w:pPr>
            <w:r w:rsidRPr="00131B9D">
              <w:rPr>
                <w:rFonts w:eastAsia="標楷體"/>
                <w:sz w:val="28"/>
                <w:szCs w:val="28"/>
              </w:rPr>
              <w:t>已於附件</w:t>
            </w:r>
            <w:r w:rsidR="00EC0D9A">
              <w:rPr>
                <w:rFonts w:eastAsia="標楷體" w:hint="eastAsia"/>
                <w:sz w:val="28"/>
                <w:szCs w:val="28"/>
              </w:rPr>
              <w:t>三</w:t>
            </w:r>
            <w:r w:rsidRPr="00131B9D">
              <w:rPr>
                <w:rFonts w:eastAsia="標楷體"/>
                <w:sz w:val="28"/>
                <w:szCs w:val="28"/>
              </w:rPr>
              <w:t>(p.</w:t>
            </w:r>
            <w:r w:rsidR="00EC0D9A">
              <w:rPr>
                <w:rFonts w:eastAsia="標楷體" w:hint="eastAsia"/>
                <w:sz w:val="28"/>
                <w:szCs w:val="28"/>
              </w:rPr>
              <w:t>197-199</w:t>
            </w:r>
            <w:r w:rsidRPr="00131B9D">
              <w:rPr>
                <w:rFonts w:eastAsia="標楷體"/>
                <w:sz w:val="28"/>
                <w:szCs w:val="28"/>
              </w:rPr>
              <w:t>)</w:t>
            </w:r>
            <w:r w:rsidRPr="00131B9D">
              <w:rPr>
                <w:rFonts w:eastAsia="標楷體"/>
                <w:sz w:val="28"/>
                <w:szCs w:val="28"/>
              </w:rPr>
              <w:t>提供上半年重要事件彙整，並於各大類章節前有綜合性概述，整體價格情勢</w:t>
            </w:r>
            <w:r w:rsidR="00CF5001" w:rsidRPr="00131B9D">
              <w:rPr>
                <w:rFonts w:eastAsia="標楷體"/>
                <w:sz w:val="28"/>
                <w:szCs w:val="28"/>
              </w:rPr>
              <w:t>(p.</w:t>
            </w:r>
            <w:r w:rsidR="00F30050" w:rsidRPr="00131B9D">
              <w:rPr>
                <w:rFonts w:eastAsia="標楷體"/>
                <w:sz w:val="28"/>
                <w:szCs w:val="28"/>
              </w:rPr>
              <w:t>18-21</w:t>
            </w:r>
            <w:r w:rsidRPr="00131B9D">
              <w:rPr>
                <w:rFonts w:eastAsia="標楷體"/>
                <w:sz w:val="28"/>
                <w:szCs w:val="28"/>
              </w:rPr>
              <w:t>)</w:t>
            </w:r>
            <w:r w:rsidRPr="00131B9D">
              <w:rPr>
                <w:rFonts w:eastAsia="標楷體"/>
                <w:sz w:val="28"/>
                <w:szCs w:val="28"/>
              </w:rPr>
              <w:t>、大宗物資</w:t>
            </w:r>
            <w:r w:rsidRPr="00131B9D">
              <w:rPr>
                <w:rFonts w:eastAsia="標楷體"/>
                <w:sz w:val="28"/>
                <w:szCs w:val="28"/>
              </w:rPr>
              <w:t>(p.</w:t>
            </w:r>
            <w:r w:rsidR="00CF5001" w:rsidRPr="00131B9D">
              <w:rPr>
                <w:rFonts w:eastAsia="標楷體"/>
                <w:sz w:val="28"/>
                <w:szCs w:val="28"/>
              </w:rPr>
              <w:t>2</w:t>
            </w:r>
            <w:r w:rsidR="00F30050" w:rsidRPr="00131B9D">
              <w:rPr>
                <w:rFonts w:eastAsia="標楷體"/>
                <w:sz w:val="28"/>
                <w:szCs w:val="28"/>
              </w:rPr>
              <w:t>2-24</w:t>
            </w:r>
            <w:r w:rsidRPr="00131B9D">
              <w:rPr>
                <w:rFonts w:eastAsia="標楷體"/>
                <w:sz w:val="28"/>
                <w:szCs w:val="28"/>
              </w:rPr>
              <w:t>)</w:t>
            </w:r>
            <w:r w:rsidRPr="00131B9D">
              <w:rPr>
                <w:rFonts w:eastAsia="標楷體"/>
                <w:sz w:val="28"/>
                <w:szCs w:val="28"/>
              </w:rPr>
              <w:t>、基本金屬</w:t>
            </w:r>
            <w:r w:rsidRPr="00131B9D">
              <w:rPr>
                <w:rFonts w:eastAsia="標楷體"/>
                <w:sz w:val="28"/>
                <w:szCs w:val="28"/>
              </w:rPr>
              <w:t>(p.</w:t>
            </w:r>
            <w:r w:rsidR="00F30050" w:rsidRPr="00131B9D">
              <w:rPr>
                <w:rFonts w:eastAsia="標楷體"/>
                <w:sz w:val="28"/>
                <w:szCs w:val="28"/>
              </w:rPr>
              <w:t>44</w:t>
            </w:r>
            <w:r w:rsidRPr="00131B9D">
              <w:rPr>
                <w:rFonts w:eastAsia="標楷體"/>
                <w:sz w:val="28"/>
                <w:szCs w:val="28"/>
              </w:rPr>
              <w:t>)</w:t>
            </w:r>
            <w:r w:rsidRPr="00131B9D">
              <w:rPr>
                <w:rFonts w:eastAsia="標楷體"/>
                <w:sz w:val="28"/>
                <w:szCs w:val="28"/>
              </w:rPr>
              <w:t>、金屬工業原料</w:t>
            </w:r>
            <w:r w:rsidRPr="00131B9D">
              <w:rPr>
                <w:rFonts w:eastAsia="標楷體"/>
                <w:sz w:val="28"/>
                <w:szCs w:val="28"/>
              </w:rPr>
              <w:t>(p.</w:t>
            </w:r>
            <w:r w:rsidR="00F30050" w:rsidRPr="00131B9D">
              <w:rPr>
                <w:rFonts w:eastAsia="標楷體"/>
                <w:sz w:val="28"/>
                <w:szCs w:val="28"/>
              </w:rPr>
              <w:t>75-77</w:t>
            </w:r>
            <w:r w:rsidRPr="00131B9D">
              <w:rPr>
                <w:rFonts w:eastAsia="標楷體"/>
                <w:sz w:val="28"/>
                <w:szCs w:val="28"/>
              </w:rPr>
              <w:t>)</w:t>
            </w:r>
            <w:r w:rsidRPr="00131B9D">
              <w:rPr>
                <w:rFonts w:eastAsia="標楷體"/>
                <w:sz w:val="28"/>
                <w:szCs w:val="28"/>
              </w:rPr>
              <w:t>、石化</w:t>
            </w:r>
            <w:r w:rsidRPr="00131B9D">
              <w:rPr>
                <w:rFonts w:eastAsia="標楷體"/>
                <w:sz w:val="28"/>
                <w:szCs w:val="28"/>
              </w:rPr>
              <w:t>(p.</w:t>
            </w:r>
            <w:r w:rsidR="00F30050" w:rsidRPr="00131B9D">
              <w:rPr>
                <w:rFonts w:eastAsia="標楷體"/>
                <w:sz w:val="28"/>
                <w:szCs w:val="28"/>
              </w:rPr>
              <w:t>88-90</w:t>
            </w:r>
            <w:r w:rsidRPr="00131B9D">
              <w:rPr>
                <w:rFonts w:eastAsia="標楷體"/>
                <w:sz w:val="28"/>
                <w:szCs w:val="28"/>
              </w:rPr>
              <w:t>)</w:t>
            </w:r>
            <w:r w:rsidRPr="00131B9D">
              <w:rPr>
                <w:rFonts w:eastAsia="標楷體"/>
                <w:sz w:val="28"/>
                <w:szCs w:val="28"/>
              </w:rPr>
              <w:t>、紙</w:t>
            </w:r>
            <w:r w:rsidRPr="00131B9D">
              <w:rPr>
                <w:rFonts w:eastAsia="標楷體"/>
                <w:sz w:val="28"/>
                <w:szCs w:val="28"/>
              </w:rPr>
              <w:t>(p.1</w:t>
            </w:r>
            <w:r w:rsidR="00F30050" w:rsidRPr="00131B9D">
              <w:rPr>
                <w:rFonts w:eastAsia="標楷體"/>
                <w:sz w:val="28"/>
                <w:szCs w:val="28"/>
              </w:rPr>
              <w:t>08</w:t>
            </w:r>
            <w:r w:rsidRPr="00131B9D">
              <w:rPr>
                <w:rFonts w:eastAsia="標楷體"/>
                <w:sz w:val="28"/>
                <w:szCs w:val="28"/>
              </w:rPr>
              <w:t>)</w:t>
            </w:r>
            <w:r w:rsidRPr="00131B9D">
              <w:rPr>
                <w:rFonts w:eastAsia="標楷體"/>
                <w:kern w:val="0"/>
                <w:sz w:val="28"/>
                <w:szCs w:val="28"/>
              </w:rPr>
              <w:t>。</w:t>
            </w:r>
          </w:p>
        </w:tc>
      </w:tr>
      <w:tr w:rsidR="00A05AC3" w:rsidRPr="00131B9D" w:rsidTr="00CD2B44">
        <w:trPr>
          <w:trHeight w:val="368"/>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2"/>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請補充整理主要國際農經研究機</w:t>
            </w:r>
            <w:r w:rsidRPr="00131B9D">
              <w:rPr>
                <w:rFonts w:ascii="Times New Roman" w:eastAsia="標楷體" w:hAnsi="Times New Roman" w:cs="Times New Roman"/>
                <w:sz w:val="28"/>
                <w:szCs w:val="28"/>
              </w:rPr>
              <w:lastRenderedPageBreak/>
              <w:t>構之預測分析與比較，例如：美國農業部</w:t>
            </w:r>
            <w:r w:rsidRPr="00131B9D">
              <w:rPr>
                <w:rFonts w:ascii="Times New Roman" w:eastAsia="標楷體" w:hAnsi="Times New Roman" w:cs="Times New Roman"/>
                <w:sz w:val="28"/>
                <w:szCs w:val="28"/>
              </w:rPr>
              <w:t>(USDA)</w:t>
            </w:r>
            <w:r w:rsidRPr="00131B9D">
              <w:rPr>
                <w:rFonts w:ascii="Times New Roman" w:eastAsia="標楷體" w:hAnsi="Times New Roman" w:cs="Times New Roman"/>
                <w:sz w:val="28"/>
                <w:szCs w:val="28"/>
              </w:rPr>
              <w:t>、聯合國糧食及農業組織</w:t>
            </w:r>
            <w:r w:rsidRPr="00131B9D">
              <w:rPr>
                <w:rFonts w:ascii="Times New Roman" w:eastAsia="標楷體" w:hAnsi="Times New Roman" w:cs="Times New Roman"/>
                <w:sz w:val="28"/>
                <w:szCs w:val="28"/>
              </w:rPr>
              <w:t>(FAO)</w:t>
            </w:r>
            <w:r w:rsidRPr="00131B9D">
              <w:rPr>
                <w:rFonts w:ascii="Times New Roman" w:eastAsia="標楷體" w:hAnsi="Times New Roman" w:cs="Times New Roman"/>
                <w:sz w:val="28"/>
                <w:szCs w:val="28"/>
              </w:rPr>
              <w:t>、澳洲農業資源經濟局</w:t>
            </w:r>
            <w:r w:rsidRPr="00131B9D">
              <w:rPr>
                <w:rFonts w:ascii="Times New Roman" w:eastAsia="標楷體" w:hAnsi="Times New Roman" w:cs="Times New Roman"/>
                <w:sz w:val="28"/>
                <w:szCs w:val="28"/>
              </w:rPr>
              <w:t>(ABARES)</w:t>
            </w:r>
            <w:r w:rsidRPr="00131B9D">
              <w:rPr>
                <w:rFonts w:ascii="Times New Roman" w:eastAsia="標楷體" w:hAnsi="Times New Roman" w:cs="Times New Roman"/>
                <w:sz w:val="28"/>
                <w:szCs w:val="28"/>
              </w:rPr>
              <w:t>等。</w:t>
            </w:r>
          </w:p>
        </w:tc>
        <w:tc>
          <w:tcPr>
            <w:tcW w:w="4634" w:type="dxa"/>
            <w:tcBorders>
              <w:top w:val="dotted" w:sz="4" w:space="0" w:color="auto"/>
              <w:bottom w:val="dotted" w:sz="4" w:space="0" w:color="auto"/>
            </w:tcBorders>
          </w:tcPr>
          <w:p w:rsidR="00A05AC3" w:rsidRPr="00131B9D" w:rsidRDefault="00A05AC3" w:rsidP="00CF5001">
            <w:pPr>
              <w:snapToGrid w:val="0"/>
              <w:jc w:val="both"/>
              <w:rPr>
                <w:rFonts w:eastAsia="標楷體"/>
                <w:kern w:val="0"/>
                <w:sz w:val="28"/>
                <w:szCs w:val="28"/>
              </w:rPr>
            </w:pPr>
            <w:r w:rsidRPr="00131B9D">
              <w:rPr>
                <w:rFonts w:eastAsia="標楷體"/>
                <w:kern w:val="0"/>
                <w:sz w:val="28"/>
                <w:szCs w:val="28"/>
              </w:rPr>
              <w:lastRenderedPageBreak/>
              <w:t>感謝委員建議。本報告已於大宗物資</w:t>
            </w:r>
            <w:r w:rsidRPr="00131B9D">
              <w:rPr>
                <w:rFonts w:eastAsia="標楷體"/>
                <w:kern w:val="0"/>
                <w:sz w:val="28"/>
                <w:szCs w:val="28"/>
              </w:rPr>
              <w:lastRenderedPageBreak/>
              <w:t>(p.</w:t>
            </w:r>
            <w:r w:rsidR="00CF5001" w:rsidRPr="00131B9D">
              <w:rPr>
                <w:rFonts w:eastAsia="標楷體"/>
                <w:kern w:val="0"/>
                <w:sz w:val="28"/>
                <w:szCs w:val="28"/>
              </w:rPr>
              <w:t>2</w:t>
            </w:r>
            <w:r w:rsidR="00F30050" w:rsidRPr="00131B9D">
              <w:rPr>
                <w:rFonts w:eastAsia="標楷體"/>
                <w:kern w:val="0"/>
                <w:sz w:val="28"/>
                <w:szCs w:val="28"/>
              </w:rPr>
              <w:t>2-24</w:t>
            </w:r>
            <w:r w:rsidRPr="00131B9D">
              <w:rPr>
                <w:rFonts w:eastAsia="標楷體"/>
                <w:kern w:val="0"/>
                <w:sz w:val="28"/>
                <w:szCs w:val="28"/>
              </w:rPr>
              <w:t>)</w:t>
            </w:r>
            <w:r w:rsidRPr="00131B9D">
              <w:rPr>
                <w:rFonts w:eastAsia="標楷體"/>
                <w:kern w:val="0"/>
                <w:sz w:val="28"/>
                <w:szCs w:val="28"/>
              </w:rPr>
              <w:t>、黃豆</w:t>
            </w:r>
            <w:r w:rsidRPr="00131B9D">
              <w:rPr>
                <w:rFonts w:eastAsia="標楷體"/>
                <w:kern w:val="0"/>
                <w:sz w:val="28"/>
                <w:szCs w:val="28"/>
              </w:rPr>
              <w:t>(p.</w:t>
            </w:r>
            <w:r w:rsidR="00F30050" w:rsidRPr="00131B9D">
              <w:rPr>
                <w:rFonts w:eastAsia="標楷體"/>
                <w:kern w:val="0"/>
                <w:sz w:val="28"/>
                <w:szCs w:val="28"/>
              </w:rPr>
              <w:t>24-29</w:t>
            </w:r>
            <w:r w:rsidRPr="00131B9D">
              <w:rPr>
                <w:rFonts w:eastAsia="標楷體"/>
                <w:kern w:val="0"/>
                <w:sz w:val="28"/>
                <w:szCs w:val="28"/>
              </w:rPr>
              <w:t>)</w:t>
            </w:r>
            <w:r w:rsidRPr="00131B9D">
              <w:rPr>
                <w:rFonts w:eastAsia="標楷體"/>
                <w:kern w:val="0"/>
                <w:sz w:val="28"/>
                <w:szCs w:val="28"/>
              </w:rPr>
              <w:t>、小麥</w:t>
            </w:r>
            <w:r w:rsidRPr="00131B9D">
              <w:rPr>
                <w:rFonts w:eastAsia="標楷體"/>
                <w:kern w:val="0"/>
                <w:sz w:val="28"/>
                <w:szCs w:val="28"/>
              </w:rPr>
              <w:t>(p.</w:t>
            </w:r>
            <w:r w:rsidR="00F30050" w:rsidRPr="00131B9D">
              <w:rPr>
                <w:rFonts w:eastAsia="標楷體"/>
                <w:kern w:val="0"/>
                <w:sz w:val="28"/>
                <w:szCs w:val="28"/>
              </w:rPr>
              <w:t>29-33</w:t>
            </w:r>
            <w:r w:rsidRPr="00131B9D">
              <w:rPr>
                <w:rFonts w:eastAsia="標楷體"/>
                <w:kern w:val="0"/>
                <w:sz w:val="28"/>
                <w:szCs w:val="28"/>
              </w:rPr>
              <w:t>)</w:t>
            </w:r>
            <w:r w:rsidRPr="00131B9D">
              <w:rPr>
                <w:rFonts w:eastAsia="標楷體"/>
                <w:kern w:val="0"/>
                <w:sz w:val="28"/>
                <w:szCs w:val="28"/>
              </w:rPr>
              <w:t>、玉米</w:t>
            </w:r>
            <w:r w:rsidRPr="00131B9D">
              <w:rPr>
                <w:rFonts w:eastAsia="標楷體"/>
                <w:kern w:val="0"/>
                <w:sz w:val="28"/>
                <w:szCs w:val="28"/>
              </w:rPr>
              <w:t>(p.</w:t>
            </w:r>
            <w:r w:rsidR="00F30050" w:rsidRPr="00131B9D">
              <w:rPr>
                <w:rFonts w:eastAsia="標楷體"/>
                <w:kern w:val="0"/>
                <w:sz w:val="28"/>
                <w:szCs w:val="28"/>
              </w:rPr>
              <w:t>34-38</w:t>
            </w:r>
            <w:r w:rsidRPr="00131B9D">
              <w:rPr>
                <w:rFonts w:eastAsia="標楷體"/>
                <w:kern w:val="0"/>
                <w:sz w:val="28"/>
                <w:szCs w:val="28"/>
              </w:rPr>
              <w:t>)</w:t>
            </w:r>
            <w:r w:rsidRPr="00131B9D">
              <w:rPr>
                <w:rFonts w:eastAsia="標楷體"/>
                <w:kern w:val="0"/>
                <w:sz w:val="28"/>
                <w:szCs w:val="28"/>
              </w:rPr>
              <w:t>引用</w:t>
            </w:r>
            <w:r w:rsidRPr="00131B9D">
              <w:rPr>
                <w:rFonts w:eastAsia="標楷體"/>
                <w:kern w:val="0"/>
                <w:sz w:val="28"/>
                <w:szCs w:val="28"/>
              </w:rPr>
              <w:t>USDA</w:t>
            </w:r>
            <w:r w:rsidRPr="00131B9D">
              <w:rPr>
                <w:rFonts w:eastAsia="標楷體"/>
                <w:kern w:val="0"/>
                <w:sz w:val="28"/>
                <w:szCs w:val="28"/>
              </w:rPr>
              <w:t>、</w:t>
            </w:r>
            <w:r w:rsidRPr="00131B9D">
              <w:rPr>
                <w:rFonts w:eastAsia="標楷體"/>
                <w:kern w:val="0"/>
                <w:sz w:val="28"/>
                <w:szCs w:val="28"/>
              </w:rPr>
              <w:t>FAO</w:t>
            </w:r>
            <w:r w:rsidRPr="00131B9D">
              <w:rPr>
                <w:rFonts w:eastAsia="標楷體"/>
                <w:kern w:val="0"/>
                <w:sz w:val="28"/>
                <w:szCs w:val="28"/>
              </w:rPr>
              <w:t>及</w:t>
            </w:r>
            <w:r w:rsidRPr="00131B9D">
              <w:rPr>
                <w:rFonts w:eastAsia="標楷體"/>
                <w:kern w:val="0"/>
                <w:sz w:val="28"/>
                <w:szCs w:val="28"/>
              </w:rPr>
              <w:t>ABARES</w:t>
            </w:r>
            <w:r w:rsidRPr="00131B9D">
              <w:rPr>
                <w:rFonts w:eastAsia="標楷體"/>
                <w:kern w:val="0"/>
                <w:sz w:val="28"/>
                <w:szCs w:val="28"/>
              </w:rPr>
              <w:t>等機構之相關報告與預測，日後將陸續增加與彙整，供委辦單位參考。</w:t>
            </w:r>
          </w:p>
        </w:tc>
      </w:tr>
      <w:tr w:rsidR="00A05AC3" w:rsidRPr="00131B9D" w:rsidTr="00CD2B44">
        <w:trPr>
          <w:trHeight w:val="368"/>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2"/>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lastRenderedPageBreak/>
              <w:t>部分大宗物資庫存變化波動幅度甚鉅</w:t>
            </w:r>
            <w:r w:rsidRPr="00131B9D">
              <w:rPr>
                <w:rFonts w:ascii="Times New Roman" w:eastAsia="標楷體" w:hAnsi="Times New Roman" w:cs="Times New Roman"/>
                <w:sz w:val="28"/>
                <w:szCs w:val="28"/>
              </w:rPr>
              <w:t>(</w:t>
            </w:r>
            <w:r w:rsidRPr="00131B9D">
              <w:rPr>
                <w:rFonts w:ascii="Times New Roman" w:eastAsia="標楷體" w:hAnsi="Times New Roman" w:cs="Times New Roman"/>
                <w:sz w:val="28"/>
                <w:szCs w:val="28"/>
              </w:rPr>
              <w:t>例：</w:t>
            </w:r>
            <w:r w:rsidRPr="00131B9D">
              <w:rPr>
                <w:rFonts w:ascii="Times New Roman" w:eastAsia="標楷體" w:hAnsi="Times New Roman" w:cs="Times New Roman"/>
                <w:sz w:val="28"/>
                <w:szCs w:val="28"/>
              </w:rPr>
              <w:t>p.29</w:t>
            </w:r>
            <w:r w:rsidRPr="00131B9D">
              <w:rPr>
                <w:rFonts w:ascii="Times New Roman" w:eastAsia="標楷體" w:hAnsi="Times New Roman" w:cs="Times New Roman"/>
                <w:sz w:val="28"/>
                <w:szCs w:val="28"/>
              </w:rPr>
              <w:t>表</w:t>
            </w:r>
            <w:r w:rsidRPr="00131B9D">
              <w:rPr>
                <w:rFonts w:ascii="Times New Roman" w:eastAsia="標楷體" w:hAnsi="Times New Roman" w:cs="Times New Roman"/>
                <w:sz w:val="28"/>
                <w:szCs w:val="28"/>
              </w:rPr>
              <w:t>2-5</w:t>
            </w:r>
            <w:r w:rsidRPr="00131B9D">
              <w:rPr>
                <w:rFonts w:ascii="Times New Roman" w:eastAsia="標楷體" w:hAnsi="Times New Roman" w:cs="Times New Roman"/>
                <w:sz w:val="28"/>
                <w:szCs w:val="28"/>
              </w:rPr>
              <w:t>巴西糖庫存變化高達</w:t>
            </w:r>
            <w:r w:rsidRPr="00131B9D">
              <w:rPr>
                <w:rFonts w:ascii="Times New Roman" w:eastAsia="標楷體" w:hAnsi="Times New Roman" w:cs="Times New Roman"/>
                <w:sz w:val="28"/>
                <w:szCs w:val="28"/>
              </w:rPr>
              <w:t>3400%)</w:t>
            </w:r>
            <w:r w:rsidRPr="00131B9D">
              <w:rPr>
                <w:rFonts w:ascii="Times New Roman" w:eastAsia="標楷體" w:hAnsi="Times New Roman" w:cs="Times New Roman"/>
                <w:sz w:val="28"/>
                <w:szCs w:val="28"/>
              </w:rPr>
              <w:t>，如有相關之原因分析，請進一步說明。</w:t>
            </w:r>
          </w:p>
        </w:tc>
        <w:tc>
          <w:tcPr>
            <w:tcW w:w="4634" w:type="dxa"/>
            <w:tcBorders>
              <w:top w:val="dotted" w:sz="4" w:space="0" w:color="auto"/>
              <w:bottom w:val="dotted" w:sz="4" w:space="0" w:color="auto"/>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2012/13</w:t>
            </w:r>
            <w:r w:rsidRPr="00131B9D">
              <w:rPr>
                <w:rFonts w:eastAsia="標楷體"/>
                <w:kern w:val="0"/>
                <w:sz w:val="28"/>
                <w:szCs w:val="28"/>
              </w:rPr>
              <w:t>年度巴西因貨幣貶值出口強勁，使</w:t>
            </w:r>
            <w:r w:rsidRPr="00131B9D">
              <w:rPr>
                <w:rFonts w:eastAsia="標楷體"/>
                <w:kern w:val="0"/>
                <w:sz w:val="28"/>
                <w:szCs w:val="28"/>
              </w:rPr>
              <w:t>2012/13</w:t>
            </w:r>
            <w:r w:rsidRPr="00131B9D">
              <w:rPr>
                <w:rFonts w:eastAsia="標楷體"/>
                <w:kern w:val="0"/>
                <w:sz w:val="28"/>
                <w:szCs w:val="28"/>
              </w:rPr>
              <w:t>年度期末庫存較低，因此延續至下年度</w:t>
            </w:r>
            <w:r w:rsidRPr="00131B9D">
              <w:rPr>
                <w:rFonts w:eastAsia="標楷體"/>
                <w:kern w:val="0"/>
                <w:sz w:val="28"/>
                <w:szCs w:val="28"/>
              </w:rPr>
              <w:t>(2013/14)</w:t>
            </w:r>
            <w:r w:rsidRPr="00131B9D">
              <w:rPr>
                <w:rFonts w:eastAsia="標楷體"/>
                <w:kern w:val="0"/>
                <w:sz w:val="28"/>
                <w:szCs w:val="28"/>
              </w:rPr>
              <w:t>期初庫存較低，而當</w:t>
            </w:r>
            <w:r w:rsidRPr="00131B9D">
              <w:rPr>
                <w:rFonts w:eastAsia="標楷體"/>
                <w:kern w:val="0"/>
                <w:sz w:val="28"/>
                <w:szCs w:val="28"/>
              </w:rPr>
              <w:t>2014/15</w:t>
            </w:r>
            <w:r w:rsidRPr="00131B9D">
              <w:rPr>
                <w:rFonts w:eastAsia="標楷體"/>
                <w:kern w:val="0"/>
                <w:sz w:val="28"/>
                <w:szCs w:val="28"/>
              </w:rPr>
              <w:t>年度與其比較，就會產生變化比率較高的現象。</w:t>
            </w:r>
          </w:p>
        </w:tc>
      </w:tr>
      <w:tr w:rsidR="00A05AC3" w:rsidRPr="00131B9D" w:rsidTr="00CD2B44">
        <w:trPr>
          <w:trHeight w:val="315"/>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2"/>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建議進一步探討未來國際經濟趨勢對大宗物資價格之影響，並於小結處列表比較下半年影響價格之因素與未來影響價格之潛在因素。</w:t>
            </w:r>
          </w:p>
        </w:tc>
        <w:tc>
          <w:tcPr>
            <w:tcW w:w="4634" w:type="dxa"/>
            <w:tcBorders>
              <w:top w:val="dotted" w:sz="4" w:space="0" w:color="auto"/>
              <w:bottom w:val="dotted" w:sz="4" w:space="0" w:color="auto"/>
            </w:tcBorders>
          </w:tcPr>
          <w:p w:rsidR="00A05AC3" w:rsidRPr="00131B9D" w:rsidRDefault="00A05AC3" w:rsidP="002657A6">
            <w:pPr>
              <w:snapToGrid w:val="0"/>
              <w:jc w:val="both"/>
              <w:rPr>
                <w:rFonts w:eastAsia="標楷體"/>
                <w:kern w:val="0"/>
                <w:sz w:val="28"/>
                <w:szCs w:val="28"/>
              </w:rPr>
            </w:pPr>
            <w:r w:rsidRPr="00131B9D">
              <w:rPr>
                <w:rFonts w:eastAsia="標楷體"/>
                <w:kern w:val="0"/>
                <w:sz w:val="28"/>
                <w:szCs w:val="28"/>
              </w:rPr>
              <w:t>未來國際經濟趨勢已報告於本研究第貳章</w:t>
            </w:r>
            <w:r w:rsidRPr="00131B9D">
              <w:rPr>
                <w:rFonts w:eastAsia="標楷體"/>
                <w:kern w:val="0"/>
                <w:sz w:val="28"/>
                <w:szCs w:val="28"/>
              </w:rPr>
              <w:t>(p.</w:t>
            </w:r>
            <w:r w:rsidR="00CF5001" w:rsidRPr="00131B9D">
              <w:rPr>
                <w:rFonts w:eastAsia="標楷體"/>
                <w:kern w:val="0"/>
                <w:sz w:val="28"/>
                <w:szCs w:val="28"/>
              </w:rPr>
              <w:t>5-</w:t>
            </w:r>
            <w:r w:rsidR="00F30050" w:rsidRPr="00131B9D">
              <w:rPr>
                <w:rFonts w:eastAsia="標楷體"/>
                <w:kern w:val="0"/>
                <w:sz w:val="28"/>
                <w:szCs w:val="28"/>
              </w:rPr>
              <w:t>17</w:t>
            </w:r>
            <w:r w:rsidRPr="00131B9D">
              <w:rPr>
                <w:rFonts w:eastAsia="標楷體"/>
                <w:kern w:val="0"/>
                <w:sz w:val="28"/>
                <w:szCs w:val="28"/>
              </w:rPr>
              <w:t>)</w:t>
            </w:r>
            <w:r w:rsidRPr="00131B9D">
              <w:rPr>
                <w:rFonts w:eastAsia="標楷體"/>
                <w:kern w:val="0"/>
                <w:sz w:val="28"/>
                <w:szCs w:val="28"/>
              </w:rPr>
              <w:t>，原小結已統整至第參章第一節</w:t>
            </w:r>
            <w:r w:rsidRPr="00131B9D">
              <w:rPr>
                <w:rFonts w:eastAsia="標楷體"/>
                <w:kern w:val="0"/>
                <w:sz w:val="28"/>
                <w:szCs w:val="28"/>
              </w:rPr>
              <w:t>(p.</w:t>
            </w:r>
            <w:r w:rsidR="00F30050" w:rsidRPr="00131B9D">
              <w:rPr>
                <w:rFonts w:eastAsia="標楷體"/>
                <w:kern w:val="0"/>
                <w:sz w:val="28"/>
                <w:szCs w:val="28"/>
              </w:rPr>
              <w:t>18-21</w:t>
            </w:r>
            <w:r w:rsidRPr="00131B9D">
              <w:rPr>
                <w:rFonts w:eastAsia="標楷體"/>
                <w:kern w:val="0"/>
                <w:sz w:val="28"/>
                <w:szCs w:val="28"/>
              </w:rPr>
              <w:t>)</w:t>
            </w:r>
            <w:r w:rsidRPr="00131B9D">
              <w:rPr>
                <w:rFonts w:eastAsia="標楷體"/>
                <w:kern w:val="0"/>
                <w:sz w:val="28"/>
                <w:szCs w:val="28"/>
              </w:rPr>
              <w:t>，並於第參章第八節彙整未來影響因素表</w:t>
            </w:r>
            <w:r w:rsidR="002657A6" w:rsidRPr="00131B9D">
              <w:rPr>
                <w:rFonts w:eastAsia="標楷體"/>
                <w:sz w:val="28"/>
                <w:szCs w:val="28"/>
              </w:rPr>
              <w:t>(</w:t>
            </w:r>
            <w:r w:rsidR="002657A6" w:rsidRPr="00131B9D">
              <w:rPr>
                <w:rFonts w:eastAsia="標楷體"/>
                <w:sz w:val="28"/>
                <w:szCs w:val="28"/>
              </w:rPr>
              <w:t>參見原期中報告</w:t>
            </w:r>
            <w:r w:rsidR="002657A6" w:rsidRPr="00131B9D">
              <w:rPr>
                <w:rFonts w:eastAsia="標楷體"/>
                <w:sz w:val="28"/>
                <w:szCs w:val="28"/>
              </w:rPr>
              <w:t>p.130</w:t>
            </w:r>
            <w:r w:rsidR="002657A6" w:rsidRPr="00131B9D">
              <w:rPr>
                <w:rFonts w:eastAsia="標楷體"/>
                <w:sz w:val="28"/>
                <w:szCs w:val="28"/>
              </w:rPr>
              <w:t>，此</w:t>
            </w:r>
            <w:r w:rsidR="00B22890" w:rsidRPr="00131B9D">
              <w:rPr>
                <w:rFonts w:eastAsia="標楷體"/>
                <w:sz w:val="28"/>
                <w:szCs w:val="28"/>
              </w:rPr>
              <w:t>部分</w:t>
            </w:r>
            <w:r w:rsidR="002657A6" w:rsidRPr="00131B9D">
              <w:rPr>
                <w:rFonts w:eastAsia="標楷體"/>
                <w:sz w:val="28"/>
                <w:szCs w:val="28"/>
              </w:rPr>
              <w:t>為期中報告中預測下半年價格走勢之內容，期末報告已無此段落</w:t>
            </w:r>
            <w:r w:rsidR="002657A6" w:rsidRPr="00131B9D">
              <w:rPr>
                <w:rFonts w:eastAsia="標楷體"/>
                <w:sz w:val="28"/>
                <w:szCs w:val="28"/>
              </w:rPr>
              <w:t>)</w:t>
            </w:r>
            <w:r w:rsidRPr="00131B9D">
              <w:rPr>
                <w:rFonts w:eastAsia="標楷體"/>
                <w:kern w:val="0"/>
                <w:sz w:val="28"/>
                <w:szCs w:val="28"/>
              </w:rPr>
              <w:t>。</w:t>
            </w:r>
          </w:p>
        </w:tc>
      </w:tr>
      <w:tr w:rsidR="00A05AC3" w:rsidRPr="00131B9D" w:rsidTr="00CD2B44">
        <w:trPr>
          <w:trHeight w:val="65"/>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2"/>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p.115</w:t>
            </w:r>
            <w:r w:rsidRPr="00131B9D">
              <w:rPr>
                <w:rFonts w:ascii="Times New Roman" w:eastAsia="標楷體" w:hAnsi="Times New Roman" w:cs="Times New Roman"/>
                <w:sz w:val="28"/>
                <w:szCs w:val="28"/>
              </w:rPr>
              <w:t>表</w:t>
            </w:r>
            <w:r w:rsidRPr="00131B9D">
              <w:rPr>
                <w:rFonts w:ascii="Times New Roman" w:eastAsia="標楷體" w:hAnsi="Times New Roman" w:cs="Times New Roman"/>
                <w:sz w:val="28"/>
                <w:szCs w:val="28"/>
              </w:rPr>
              <w:t>2-12</w:t>
            </w:r>
            <w:r w:rsidRPr="00131B9D">
              <w:rPr>
                <w:rFonts w:ascii="Times New Roman" w:eastAsia="標楷體" w:hAnsi="Times New Roman" w:cs="Times New Roman"/>
                <w:sz w:val="28"/>
                <w:szCs w:val="28"/>
              </w:rPr>
              <w:t>漏列紙類，請補正；另該表係所有重要原物料情勢之綜整，爰請將</w:t>
            </w:r>
            <w:r w:rsidRPr="00131B9D">
              <w:rPr>
                <w:rFonts w:ascii="Times New Roman" w:eastAsia="標楷體" w:hAnsi="Times New Roman" w:cs="Times New Roman"/>
                <w:sz w:val="28"/>
                <w:szCs w:val="28"/>
              </w:rPr>
              <w:t>p.7-114</w:t>
            </w:r>
            <w:r w:rsidRPr="00131B9D">
              <w:rPr>
                <w:rFonts w:ascii="Times New Roman" w:eastAsia="標楷體" w:hAnsi="Times New Roman" w:cs="Times New Roman"/>
                <w:sz w:val="28"/>
                <w:szCs w:val="28"/>
              </w:rPr>
              <w:t>各原物料情勢之未來展望拉長至一年，俾與表格內容統一。</w:t>
            </w:r>
          </w:p>
        </w:tc>
        <w:tc>
          <w:tcPr>
            <w:tcW w:w="4634" w:type="dxa"/>
            <w:tcBorders>
              <w:top w:val="dotted" w:sz="4" w:space="0" w:color="auto"/>
              <w:bottom w:val="dotted" w:sz="4" w:space="0" w:color="auto"/>
            </w:tcBorders>
          </w:tcPr>
          <w:p w:rsidR="00A05AC3" w:rsidRPr="00131B9D" w:rsidRDefault="00A05AC3" w:rsidP="002657A6">
            <w:pPr>
              <w:snapToGrid w:val="0"/>
              <w:jc w:val="both"/>
              <w:rPr>
                <w:rFonts w:eastAsia="標楷體"/>
                <w:sz w:val="28"/>
                <w:szCs w:val="28"/>
              </w:rPr>
            </w:pPr>
            <w:r w:rsidRPr="00131B9D">
              <w:rPr>
                <w:rFonts w:eastAsia="標楷體"/>
                <w:sz w:val="28"/>
                <w:szCs w:val="28"/>
              </w:rPr>
              <w:t>增加紙類於表</w:t>
            </w:r>
            <w:r w:rsidR="00FA4062" w:rsidRPr="00131B9D">
              <w:rPr>
                <w:rFonts w:eastAsia="標楷體"/>
                <w:sz w:val="28"/>
                <w:szCs w:val="28"/>
              </w:rPr>
              <w:t>3</w:t>
            </w:r>
            <w:r w:rsidRPr="00131B9D">
              <w:rPr>
                <w:rFonts w:eastAsia="標楷體"/>
                <w:sz w:val="28"/>
                <w:szCs w:val="28"/>
              </w:rPr>
              <w:t>-1</w:t>
            </w:r>
            <w:r w:rsidR="00FA4062" w:rsidRPr="00131B9D">
              <w:rPr>
                <w:rFonts w:eastAsia="標楷體"/>
                <w:sz w:val="28"/>
                <w:szCs w:val="28"/>
              </w:rPr>
              <w:t xml:space="preserve"> </w:t>
            </w:r>
            <w:r w:rsidRPr="00131B9D">
              <w:rPr>
                <w:rFonts w:eastAsia="標楷體"/>
                <w:sz w:val="28"/>
                <w:szCs w:val="28"/>
              </w:rPr>
              <w:t>(p.</w:t>
            </w:r>
            <w:r w:rsidR="00E2207F" w:rsidRPr="00131B9D">
              <w:rPr>
                <w:rFonts w:eastAsia="標楷體"/>
                <w:sz w:val="28"/>
                <w:szCs w:val="28"/>
              </w:rPr>
              <w:t>2</w:t>
            </w:r>
            <w:r w:rsidR="00F30050" w:rsidRPr="00131B9D">
              <w:rPr>
                <w:rFonts w:eastAsia="標楷體"/>
                <w:sz w:val="28"/>
                <w:szCs w:val="28"/>
              </w:rPr>
              <w:t>1</w:t>
            </w:r>
            <w:r w:rsidRPr="00131B9D">
              <w:rPr>
                <w:rFonts w:eastAsia="標楷體"/>
                <w:sz w:val="28"/>
                <w:szCs w:val="28"/>
              </w:rPr>
              <w:t>)</w:t>
            </w:r>
            <w:r w:rsidRPr="00131B9D">
              <w:rPr>
                <w:rFonts w:eastAsia="標楷體"/>
                <w:sz w:val="28"/>
                <w:szCs w:val="28"/>
              </w:rPr>
              <w:t>，而表格內容之「未來一年趨勢研判」標題修改為「未來半年趨勢研判」以與各原物料情勢之未來半年展望統一</w:t>
            </w:r>
            <w:r w:rsidR="002657A6" w:rsidRPr="00131B9D">
              <w:rPr>
                <w:rFonts w:eastAsia="標楷體"/>
                <w:sz w:val="28"/>
                <w:szCs w:val="28"/>
              </w:rPr>
              <w:t>(</w:t>
            </w:r>
            <w:r w:rsidR="002657A6" w:rsidRPr="00131B9D">
              <w:rPr>
                <w:rFonts w:eastAsia="標楷體"/>
                <w:sz w:val="28"/>
                <w:szCs w:val="28"/>
              </w:rPr>
              <w:t>參見原期中報告</w:t>
            </w:r>
            <w:r w:rsidR="002657A6" w:rsidRPr="00131B9D">
              <w:rPr>
                <w:rFonts w:eastAsia="標楷體"/>
                <w:sz w:val="28"/>
                <w:szCs w:val="28"/>
              </w:rPr>
              <w:t>p.23-125</w:t>
            </w:r>
            <w:r w:rsidR="002657A6" w:rsidRPr="00131B9D">
              <w:rPr>
                <w:rFonts w:eastAsia="標楷體"/>
                <w:sz w:val="28"/>
                <w:szCs w:val="28"/>
              </w:rPr>
              <w:t>，此</w:t>
            </w:r>
            <w:r w:rsidR="00B22890" w:rsidRPr="00131B9D">
              <w:rPr>
                <w:rFonts w:eastAsia="標楷體"/>
                <w:sz w:val="28"/>
                <w:szCs w:val="28"/>
              </w:rPr>
              <w:t>部分</w:t>
            </w:r>
            <w:r w:rsidR="002657A6" w:rsidRPr="00131B9D">
              <w:rPr>
                <w:rFonts w:eastAsia="標楷體"/>
                <w:sz w:val="28"/>
                <w:szCs w:val="28"/>
              </w:rPr>
              <w:t>為期中報告中預測下半年價格走勢之內容，期末報告已無此段落</w:t>
            </w:r>
            <w:r w:rsidR="002657A6" w:rsidRPr="00131B9D">
              <w:rPr>
                <w:rFonts w:eastAsia="標楷體"/>
                <w:sz w:val="28"/>
                <w:szCs w:val="28"/>
              </w:rPr>
              <w:t>)</w:t>
            </w:r>
            <w:r w:rsidRPr="00131B9D">
              <w:rPr>
                <w:rFonts w:eastAsia="標楷體"/>
                <w:sz w:val="28"/>
                <w:szCs w:val="28"/>
              </w:rPr>
              <w:t>。</w:t>
            </w:r>
          </w:p>
        </w:tc>
      </w:tr>
      <w:tr w:rsidR="00A05AC3" w:rsidRPr="00131B9D" w:rsidTr="00CD2B44">
        <w:trPr>
          <w:trHeight w:val="65"/>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2"/>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最近原油價格續跌，主因為需求不振，請加強相關國際趨勢之論述</w:t>
            </w:r>
            <w:r w:rsidRPr="00131B9D">
              <w:rPr>
                <w:rFonts w:ascii="Times New Roman" w:eastAsia="標楷體" w:hAnsi="Times New Roman" w:cs="Times New Roman"/>
                <w:sz w:val="28"/>
                <w:szCs w:val="28"/>
              </w:rPr>
              <w:t>(p.120)</w:t>
            </w:r>
            <w:r w:rsidRPr="00131B9D">
              <w:rPr>
                <w:rFonts w:ascii="Times New Roman" w:eastAsia="標楷體" w:hAnsi="Times New Roman" w:cs="Times New Roman"/>
                <w:sz w:val="28"/>
                <w:szCs w:val="28"/>
              </w:rPr>
              <w:t>，另應注意氣候難民對歐洲的經濟負擔。</w:t>
            </w:r>
          </w:p>
        </w:tc>
        <w:tc>
          <w:tcPr>
            <w:tcW w:w="4634" w:type="dxa"/>
            <w:tcBorders>
              <w:top w:val="dotted" w:sz="4" w:space="0" w:color="auto"/>
              <w:bottom w:val="dotted" w:sz="4" w:space="0" w:color="auto"/>
            </w:tcBorders>
          </w:tcPr>
          <w:p w:rsidR="00A05AC3" w:rsidRPr="00131B9D" w:rsidRDefault="00A05AC3" w:rsidP="00A05AC3">
            <w:pPr>
              <w:snapToGrid w:val="0"/>
              <w:jc w:val="both"/>
              <w:rPr>
                <w:rFonts w:eastAsia="標楷體"/>
                <w:kern w:val="0"/>
                <w:sz w:val="28"/>
                <w:szCs w:val="28"/>
              </w:rPr>
            </w:pPr>
            <w:bookmarkStart w:id="508" w:name="OLE_LINK21"/>
            <w:bookmarkStart w:id="509" w:name="OLE_LINK22"/>
            <w:r w:rsidRPr="00131B9D">
              <w:rPr>
                <w:rFonts w:eastAsia="標楷體"/>
                <w:kern w:val="0"/>
                <w:sz w:val="28"/>
                <w:szCs w:val="28"/>
              </w:rPr>
              <w:t>感謝委員的建議。</w:t>
            </w:r>
            <w:bookmarkEnd w:id="508"/>
            <w:bookmarkEnd w:id="509"/>
            <w:r w:rsidRPr="00131B9D">
              <w:rPr>
                <w:rFonts w:eastAsia="標楷體"/>
                <w:kern w:val="0"/>
                <w:sz w:val="28"/>
                <w:szCs w:val="28"/>
              </w:rPr>
              <w:t>原雙週報等撰寫內容確實提到需求不振之因素，然而需求面消息正反雜陳，例如近期國際能源總署宣布在低油價因素下，需求成長幅度創新高，並預期未來需求仍會持續成長，因此先暫不將需求面因素列入，而將持續追蹤相關發展。此外，氣候難民確為長期需要關注議題，本研究將持續注意相關議題。</w:t>
            </w:r>
          </w:p>
        </w:tc>
      </w:tr>
      <w:tr w:rsidR="00A05AC3" w:rsidRPr="00131B9D" w:rsidTr="00CD2B44">
        <w:trPr>
          <w:trHeight w:val="65"/>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2"/>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資料請以最新數據呈現，如</w:t>
            </w:r>
            <w:r w:rsidRPr="00131B9D">
              <w:rPr>
                <w:rFonts w:ascii="Times New Roman" w:eastAsia="標楷體" w:hAnsi="Times New Roman" w:cs="Times New Roman"/>
                <w:sz w:val="28"/>
                <w:szCs w:val="28"/>
              </w:rPr>
              <w:t>p.69</w:t>
            </w:r>
            <w:r w:rsidRPr="00131B9D">
              <w:rPr>
                <w:rFonts w:ascii="Times New Roman" w:eastAsia="標楷體" w:hAnsi="Times New Roman" w:cs="Times New Roman"/>
                <w:sz w:val="28"/>
                <w:szCs w:val="28"/>
              </w:rPr>
              <w:t>金屬工業原料，世界鋼鐵協會</w:t>
            </w:r>
            <w:r w:rsidRPr="00131B9D">
              <w:rPr>
                <w:rFonts w:ascii="Times New Roman" w:eastAsia="標楷體" w:hAnsi="Times New Roman" w:cs="Times New Roman"/>
                <w:sz w:val="28"/>
                <w:szCs w:val="28"/>
              </w:rPr>
              <w:t>(WSA)</w:t>
            </w:r>
            <w:r w:rsidRPr="00131B9D">
              <w:rPr>
                <w:rFonts w:ascii="Times New Roman" w:eastAsia="標楷體" w:hAnsi="Times New Roman" w:cs="Times New Roman"/>
                <w:sz w:val="28"/>
                <w:szCs w:val="28"/>
              </w:rPr>
              <w:t>之最新資料為</w:t>
            </w:r>
            <w:r w:rsidRPr="00131B9D">
              <w:rPr>
                <w:rFonts w:ascii="Times New Roman" w:eastAsia="標楷體" w:hAnsi="Times New Roman" w:cs="Times New Roman"/>
                <w:sz w:val="28"/>
                <w:szCs w:val="28"/>
              </w:rPr>
              <w:t>2015</w:t>
            </w:r>
            <w:r w:rsidRPr="00131B9D">
              <w:rPr>
                <w:rFonts w:ascii="Times New Roman" w:eastAsia="標楷體" w:hAnsi="Times New Roman" w:cs="Times New Roman"/>
                <w:sz w:val="28"/>
                <w:szCs w:val="28"/>
              </w:rPr>
              <w:t>年</w:t>
            </w:r>
            <w:r w:rsidRPr="00131B9D">
              <w:rPr>
                <w:rFonts w:ascii="Times New Roman" w:eastAsia="標楷體" w:hAnsi="Times New Roman" w:cs="Times New Roman"/>
                <w:sz w:val="28"/>
                <w:szCs w:val="28"/>
              </w:rPr>
              <w:t>4</w:t>
            </w:r>
            <w:r w:rsidRPr="00131B9D">
              <w:rPr>
                <w:rFonts w:ascii="Times New Roman" w:eastAsia="標楷體" w:hAnsi="Times New Roman" w:cs="Times New Roman"/>
                <w:sz w:val="28"/>
                <w:szCs w:val="28"/>
              </w:rPr>
              <w:t>月，惟報告引用資料為</w:t>
            </w:r>
            <w:r w:rsidRPr="00131B9D">
              <w:rPr>
                <w:rFonts w:ascii="Times New Roman" w:eastAsia="標楷體" w:hAnsi="Times New Roman" w:cs="Times New Roman"/>
                <w:sz w:val="28"/>
                <w:szCs w:val="28"/>
              </w:rPr>
              <w:t>2014</w:t>
            </w:r>
            <w:r w:rsidRPr="00131B9D">
              <w:rPr>
                <w:rFonts w:ascii="Times New Roman" w:eastAsia="標楷體" w:hAnsi="Times New Roman" w:cs="Times New Roman"/>
                <w:sz w:val="28"/>
                <w:szCs w:val="28"/>
              </w:rPr>
              <w:t>年</w:t>
            </w:r>
            <w:r w:rsidRPr="00131B9D">
              <w:rPr>
                <w:rFonts w:ascii="Times New Roman" w:eastAsia="標楷體" w:hAnsi="Times New Roman" w:cs="Times New Roman"/>
                <w:sz w:val="28"/>
                <w:szCs w:val="28"/>
              </w:rPr>
              <w:t>10</w:t>
            </w:r>
            <w:r w:rsidRPr="00131B9D">
              <w:rPr>
                <w:rFonts w:ascii="Times New Roman" w:eastAsia="標楷體" w:hAnsi="Times New Roman" w:cs="Times New Roman"/>
                <w:sz w:val="28"/>
                <w:szCs w:val="28"/>
              </w:rPr>
              <w:t>月。</w:t>
            </w:r>
          </w:p>
        </w:tc>
        <w:tc>
          <w:tcPr>
            <w:tcW w:w="4634" w:type="dxa"/>
            <w:tcBorders>
              <w:top w:val="dotted" w:sz="4" w:space="0" w:color="auto"/>
              <w:bottom w:val="dotted" w:sz="4" w:space="0" w:color="auto"/>
            </w:tcBorders>
          </w:tcPr>
          <w:p w:rsidR="00A05AC3" w:rsidRPr="00131B9D" w:rsidRDefault="00A05AC3" w:rsidP="00E2207F">
            <w:pPr>
              <w:snapToGrid w:val="0"/>
              <w:jc w:val="both"/>
              <w:rPr>
                <w:rFonts w:eastAsia="標楷體"/>
                <w:kern w:val="0"/>
                <w:sz w:val="28"/>
                <w:szCs w:val="28"/>
              </w:rPr>
            </w:pPr>
            <w:r w:rsidRPr="00131B9D">
              <w:rPr>
                <w:rFonts w:eastAsia="標楷體"/>
                <w:kern w:val="0"/>
                <w:sz w:val="28"/>
                <w:szCs w:val="28"/>
              </w:rPr>
              <w:t>刪除小鋼胚第一段前三行「世界鋼鐵協會</w:t>
            </w:r>
            <w:r w:rsidRPr="00131B9D">
              <w:rPr>
                <w:rFonts w:eastAsia="標楷體"/>
                <w:kern w:val="0"/>
                <w:sz w:val="28"/>
                <w:szCs w:val="28"/>
              </w:rPr>
              <w:t>(WSA)…….</w:t>
            </w:r>
            <w:r w:rsidRPr="00131B9D">
              <w:rPr>
                <w:rFonts w:eastAsia="標楷體"/>
                <w:kern w:val="0"/>
                <w:sz w:val="28"/>
                <w:szCs w:val="28"/>
              </w:rPr>
              <w:t>僅比去年成長</w:t>
            </w:r>
            <w:r w:rsidRPr="00131B9D">
              <w:rPr>
                <w:rFonts w:eastAsia="標楷體"/>
                <w:kern w:val="0"/>
                <w:sz w:val="28"/>
                <w:szCs w:val="28"/>
              </w:rPr>
              <w:t>0.8%</w:t>
            </w:r>
            <w:r w:rsidRPr="00131B9D">
              <w:rPr>
                <w:rFonts w:eastAsia="標楷體"/>
                <w:kern w:val="0"/>
                <w:sz w:val="28"/>
                <w:szCs w:val="28"/>
              </w:rPr>
              <w:t>」，並增加部分內容</w:t>
            </w:r>
            <w:r w:rsidRPr="00131B9D">
              <w:rPr>
                <w:rFonts w:eastAsia="標楷體"/>
                <w:kern w:val="0"/>
                <w:sz w:val="28"/>
                <w:szCs w:val="28"/>
              </w:rPr>
              <w:t>(p.</w:t>
            </w:r>
            <w:r w:rsidR="00E2207F" w:rsidRPr="00131B9D">
              <w:rPr>
                <w:rFonts w:eastAsia="標楷體"/>
                <w:kern w:val="0"/>
                <w:sz w:val="28"/>
                <w:szCs w:val="28"/>
              </w:rPr>
              <w:t>8</w:t>
            </w:r>
            <w:r w:rsidR="00F30050" w:rsidRPr="00131B9D">
              <w:rPr>
                <w:rFonts w:eastAsia="標楷體"/>
                <w:kern w:val="0"/>
                <w:sz w:val="28"/>
                <w:szCs w:val="28"/>
              </w:rPr>
              <w:t>0-81</w:t>
            </w:r>
            <w:r w:rsidRPr="00131B9D">
              <w:rPr>
                <w:rFonts w:eastAsia="標楷體"/>
                <w:kern w:val="0"/>
                <w:sz w:val="28"/>
                <w:szCs w:val="28"/>
              </w:rPr>
              <w:t>)</w:t>
            </w:r>
            <w:r w:rsidRPr="00131B9D">
              <w:rPr>
                <w:rFonts w:eastAsia="標楷體"/>
                <w:kern w:val="0"/>
                <w:sz w:val="28"/>
                <w:szCs w:val="28"/>
              </w:rPr>
              <w:t>。</w:t>
            </w:r>
          </w:p>
        </w:tc>
      </w:tr>
      <w:tr w:rsidR="00A05AC3" w:rsidRPr="00131B9D" w:rsidTr="00CD2B44">
        <w:trPr>
          <w:trHeight w:val="65"/>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2"/>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lastRenderedPageBreak/>
              <w:t>依據「水泥工業發展策略與措施」目前國內水泥生產以供應國內需求為主，並管制國產水泥外銷率，目標</w:t>
            </w:r>
            <w:r w:rsidRPr="00131B9D">
              <w:rPr>
                <w:rFonts w:ascii="Times New Roman" w:eastAsia="標楷體" w:hAnsi="Times New Roman" w:cs="Times New Roman"/>
                <w:sz w:val="28"/>
                <w:szCs w:val="28"/>
              </w:rPr>
              <w:t>114</w:t>
            </w:r>
            <w:r w:rsidRPr="00131B9D">
              <w:rPr>
                <w:rFonts w:ascii="Times New Roman" w:eastAsia="標楷體" w:hAnsi="Times New Roman" w:cs="Times New Roman"/>
                <w:sz w:val="28"/>
                <w:szCs w:val="28"/>
              </w:rPr>
              <w:t>年外銷率降至</w:t>
            </w:r>
            <w:r w:rsidRPr="00131B9D">
              <w:rPr>
                <w:rFonts w:ascii="Times New Roman" w:eastAsia="標楷體" w:hAnsi="Times New Roman" w:cs="Times New Roman"/>
                <w:sz w:val="28"/>
                <w:szCs w:val="28"/>
              </w:rPr>
              <w:t>20%</w:t>
            </w:r>
            <w:r w:rsidRPr="00131B9D">
              <w:rPr>
                <w:rFonts w:ascii="Times New Roman" w:eastAsia="標楷體" w:hAnsi="Times New Roman" w:cs="Times New Roman"/>
                <w:sz w:val="28"/>
                <w:szCs w:val="28"/>
              </w:rPr>
              <w:t>以下。此與</w:t>
            </w:r>
            <w:r w:rsidRPr="00131B9D">
              <w:rPr>
                <w:rFonts w:ascii="Times New Roman" w:eastAsia="標楷體" w:hAnsi="Times New Roman" w:cs="Times New Roman"/>
                <w:sz w:val="28"/>
                <w:szCs w:val="28"/>
              </w:rPr>
              <w:t>p.108(</w:t>
            </w:r>
            <w:r w:rsidRPr="00131B9D">
              <w:rPr>
                <w:rFonts w:ascii="Times New Roman" w:eastAsia="標楷體" w:hAnsi="Times New Roman" w:cs="Times New Roman"/>
                <w:sz w:val="28"/>
                <w:szCs w:val="28"/>
              </w:rPr>
              <w:t>一</w:t>
            </w:r>
            <w:r w:rsidRPr="00131B9D">
              <w:rPr>
                <w:rFonts w:ascii="Times New Roman" w:eastAsia="標楷體" w:hAnsi="Times New Roman" w:cs="Times New Roman"/>
                <w:sz w:val="28"/>
                <w:szCs w:val="28"/>
              </w:rPr>
              <w:t>)</w:t>
            </w:r>
            <w:r w:rsidRPr="00131B9D">
              <w:rPr>
                <w:rFonts w:ascii="Times New Roman" w:eastAsia="標楷體" w:hAnsi="Times New Roman" w:cs="Times New Roman"/>
                <w:sz w:val="28"/>
                <w:szCs w:val="28"/>
              </w:rPr>
              <w:t>水泥第一段文字不符，「臺灣水泥產業與中國大陸的供需有密切關係」此句有疑慮，建議刪除。</w:t>
            </w:r>
          </w:p>
        </w:tc>
        <w:tc>
          <w:tcPr>
            <w:tcW w:w="4634" w:type="dxa"/>
            <w:tcBorders>
              <w:top w:val="dotted" w:sz="4" w:space="0" w:color="auto"/>
              <w:bottom w:val="dotted" w:sz="4" w:space="0" w:color="auto"/>
            </w:tcBorders>
          </w:tcPr>
          <w:p w:rsidR="00A05AC3" w:rsidRPr="00131B9D" w:rsidRDefault="00A05AC3" w:rsidP="00F30050">
            <w:pPr>
              <w:snapToGrid w:val="0"/>
              <w:jc w:val="both"/>
              <w:rPr>
                <w:rFonts w:eastAsia="標楷體"/>
                <w:kern w:val="0"/>
                <w:sz w:val="28"/>
                <w:szCs w:val="28"/>
              </w:rPr>
            </w:pPr>
            <w:r w:rsidRPr="00131B9D">
              <w:rPr>
                <w:rFonts w:eastAsia="標楷體"/>
                <w:kern w:val="0"/>
                <w:sz w:val="28"/>
                <w:szCs w:val="28"/>
              </w:rPr>
              <w:t>感謝委員的建議。刪除水泥第一段不符之文字「臺灣水泥產業與中國大陸的供需有密切關係」</w:t>
            </w:r>
            <w:r w:rsidRPr="00131B9D">
              <w:rPr>
                <w:rFonts w:eastAsia="標楷體"/>
                <w:kern w:val="0"/>
                <w:sz w:val="28"/>
                <w:szCs w:val="28"/>
              </w:rPr>
              <w:t>(p.</w:t>
            </w:r>
            <w:r w:rsidR="00F30050" w:rsidRPr="00131B9D">
              <w:rPr>
                <w:rFonts w:eastAsia="標楷體"/>
                <w:kern w:val="0"/>
                <w:sz w:val="28"/>
                <w:szCs w:val="28"/>
              </w:rPr>
              <w:t>113-114)</w:t>
            </w:r>
            <w:r w:rsidR="00F30050" w:rsidRPr="00131B9D">
              <w:rPr>
                <w:rFonts w:eastAsia="標楷體"/>
                <w:kern w:val="0"/>
                <w:sz w:val="28"/>
                <w:szCs w:val="28"/>
              </w:rPr>
              <w:t>。</w:t>
            </w:r>
          </w:p>
        </w:tc>
      </w:tr>
      <w:tr w:rsidR="00A05AC3" w:rsidRPr="00131B9D" w:rsidTr="00CD2B44">
        <w:trPr>
          <w:jc w:val="center"/>
        </w:trPr>
        <w:tc>
          <w:tcPr>
            <w:tcW w:w="4885" w:type="dxa"/>
            <w:tcBorders>
              <w:bottom w:val="nil"/>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（三）民生物資價格調查</w:t>
            </w:r>
          </w:p>
        </w:tc>
        <w:tc>
          <w:tcPr>
            <w:tcW w:w="4634" w:type="dxa"/>
            <w:tcBorders>
              <w:bottom w:val="nil"/>
            </w:tcBorders>
          </w:tcPr>
          <w:p w:rsidR="00A05AC3" w:rsidRPr="00131B9D" w:rsidRDefault="00A05AC3" w:rsidP="00A05AC3">
            <w:pPr>
              <w:snapToGrid w:val="0"/>
              <w:jc w:val="both"/>
              <w:rPr>
                <w:rFonts w:eastAsia="標楷體"/>
                <w:kern w:val="0"/>
                <w:sz w:val="28"/>
                <w:szCs w:val="28"/>
              </w:rPr>
            </w:pPr>
          </w:p>
        </w:tc>
      </w:tr>
      <w:tr w:rsidR="00A05AC3" w:rsidRPr="00131B9D" w:rsidTr="00CD2B44">
        <w:trPr>
          <w:jc w:val="center"/>
        </w:trPr>
        <w:tc>
          <w:tcPr>
            <w:tcW w:w="4885" w:type="dxa"/>
            <w:tcBorders>
              <w:top w:val="nil"/>
              <w:bottom w:val="dotted" w:sz="4" w:space="0" w:color="auto"/>
            </w:tcBorders>
          </w:tcPr>
          <w:p w:rsidR="00A05AC3" w:rsidRPr="00131B9D" w:rsidRDefault="00A05AC3" w:rsidP="00BD6C96">
            <w:pPr>
              <w:pStyle w:val="affe"/>
              <w:widowControl w:val="0"/>
              <w:numPr>
                <w:ilvl w:val="0"/>
                <w:numId w:val="33"/>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民生物資價格調查涵蓋</w:t>
            </w:r>
            <w:r w:rsidRPr="00131B9D">
              <w:rPr>
                <w:rFonts w:ascii="Times New Roman" w:eastAsia="標楷體" w:hAnsi="Times New Roman" w:cs="Times New Roman"/>
                <w:sz w:val="28"/>
                <w:szCs w:val="28"/>
              </w:rPr>
              <w:t>14</w:t>
            </w:r>
            <w:r w:rsidRPr="00131B9D">
              <w:rPr>
                <w:rFonts w:ascii="Times New Roman" w:eastAsia="標楷體" w:hAnsi="Times New Roman" w:cs="Times New Roman"/>
                <w:sz w:val="28"/>
                <w:szCs w:val="28"/>
              </w:rPr>
              <w:t>大類，爰請就各類別說明整體價格變動情形，並選擇與民眾較相關的品項進行分析。另「摘要」內容相關說明亦請同步修正。</w:t>
            </w:r>
          </w:p>
        </w:tc>
        <w:tc>
          <w:tcPr>
            <w:tcW w:w="4634" w:type="dxa"/>
            <w:tcBorders>
              <w:top w:val="nil"/>
              <w:bottom w:val="dotted" w:sz="4" w:space="0" w:color="auto"/>
            </w:tcBorders>
          </w:tcPr>
          <w:p w:rsidR="00F30050" w:rsidRPr="00131B9D" w:rsidRDefault="00A05AC3" w:rsidP="00E2207F">
            <w:pPr>
              <w:snapToGrid w:val="0"/>
              <w:jc w:val="both"/>
              <w:rPr>
                <w:rFonts w:eastAsia="標楷體"/>
                <w:kern w:val="0"/>
                <w:sz w:val="28"/>
                <w:szCs w:val="28"/>
              </w:rPr>
            </w:pPr>
            <w:r w:rsidRPr="00131B9D">
              <w:rPr>
                <w:rFonts w:eastAsia="標楷體"/>
                <w:kern w:val="0"/>
                <w:sz w:val="28"/>
                <w:szCs w:val="28"/>
              </w:rPr>
              <w:t>感謝委員建議，第肆章已調整為</w:t>
            </w:r>
            <w:r w:rsidRPr="00131B9D">
              <w:rPr>
                <w:rFonts w:eastAsia="標楷體"/>
                <w:kern w:val="0"/>
                <w:sz w:val="28"/>
                <w:szCs w:val="28"/>
              </w:rPr>
              <w:t>14</w:t>
            </w:r>
            <w:r w:rsidRPr="00131B9D">
              <w:rPr>
                <w:rFonts w:eastAsia="標楷體"/>
                <w:kern w:val="0"/>
                <w:sz w:val="28"/>
                <w:szCs w:val="28"/>
              </w:rPr>
              <w:t>大類進行論述，另「摘要」內容亦一併修正完畢</w:t>
            </w:r>
            <w:r w:rsidR="00724564" w:rsidRPr="00131B9D">
              <w:rPr>
                <w:rFonts w:eastAsia="標楷體"/>
                <w:kern w:val="0"/>
                <w:sz w:val="28"/>
                <w:szCs w:val="28"/>
              </w:rPr>
              <w:t>(p.1</w:t>
            </w:r>
            <w:r w:rsidR="00F30050" w:rsidRPr="00131B9D">
              <w:rPr>
                <w:rFonts w:eastAsia="標楷體"/>
                <w:kern w:val="0"/>
                <w:sz w:val="28"/>
                <w:szCs w:val="28"/>
              </w:rPr>
              <w:t>25-161)</w:t>
            </w:r>
            <w:r w:rsidR="00F30050" w:rsidRPr="00131B9D">
              <w:rPr>
                <w:rFonts w:eastAsia="標楷體"/>
                <w:kern w:val="0"/>
                <w:sz w:val="28"/>
                <w:szCs w:val="28"/>
              </w:rPr>
              <w:t>。</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3"/>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附錄三有關「國內食品業者對於價格之建議」的回應與初步分析相當不錯，可考慮對上中下游端做訪談，進一步提出建議。</w:t>
            </w:r>
          </w:p>
        </w:tc>
        <w:tc>
          <w:tcPr>
            <w:tcW w:w="4634" w:type="dxa"/>
            <w:tcBorders>
              <w:top w:val="dotted" w:sz="4" w:space="0" w:color="auto"/>
              <w:bottom w:val="dotted" w:sz="4" w:space="0" w:color="auto"/>
            </w:tcBorders>
          </w:tcPr>
          <w:p w:rsidR="00A05AC3" w:rsidRPr="00131B9D" w:rsidRDefault="00A05AC3" w:rsidP="00E2207F">
            <w:pPr>
              <w:snapToGrid w:val="0"/>
              <w:jc w:val="both"/>
              <w:rPr>
                <w:rFonts w:eastAsia="標楷體"/>
                <w:kern w:val="0"/>
                <w:sz w:val="28"/>
                <w:szCs w:val="28"/>
              </w:rPr>
            </w:pPr>
            <w:r w:rsidRPr="00131B9D">
              <w:rPr>
                <w:rFonts w:eastAsia="標楷體"/>
                <w:kern w:val="0"/>
                <w:sz w:val="28"/>
                <w:szCs w:val="28"/>
              </w:rPr>
              <w:t>感謝委員肯定，後續如有訪談需求，將再聯繫各通路業者並彙整呈報廠商意見</w:t>
            </w:r>
            <w:r w:rsidRPr="00131B9D">
              <w:rPr>
                <w:rFonts w:eastAsia="標楷體"/>
                <w:kern w:val="0"/>
                <w:sz w:val="28"/>
                <w:szCs w:val="28"/>
              </w:rPr>
              <w:t>(p.2</w:t>
            </w:r>
            <w:r w:rsidR="00F30050" w:rsidRPr="00131B9D">
              <w:rPr>
                <w:rFonts w:eastAsia="標楷體"/>
                <w:kern w:val="0"/>
                <w:sz w:val="28"/>
                <w:szCs w:val="28"/>
              </w:rPr>
              <w:t>52-255)</w:t>
            </w:r>
            <w:r w:rsidR="00F30050" w:rsidRPr="00131B9D">
              <w:rPr>
                <w:rFonts w:eastAsia="標楷體"/>
                <w:kern w:val="0"/>
                <w:sz w:val="28"/>
                <w:szCs w:val="28"/>
              </w:rPr>
              <w:t>。</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3"/>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影響民生物資價格因素請斟酌相關程度予以刪減，如</w:t>
            </w:r>
            <w:r w:rsidRPr="00131B9D">
              <w:rPr>
                <w:rFonts w:ascii="Times New Roman" w:eastAsia="標楷體" w:hAnsi="Times New Roman" w:cs="Times New Roman"/>
                <w:sz w:val="28"/>
                <w:szCs w:val="28"/>
              </w:rPr>
              <w:t>p.123</w:t>
            </w:r>
            <w:r w:rsidRPr="00131B9D">
              <w:rPr>
                <w:rFonts w:ascii="Times New Roman" w:eastAsia="標楷體" w:hAnsi="Times New Roman" w:cs="Times New Roman"/>
                <w:sz w:val="28"/>
                <w:szCs w:val="28"/>
              </w:rPr>
              <w:t>米價與休耕、水價等關係影響不大、</w:t>
            </w:r>
            <w:r w:rsidRPr="00131B9D">
              <w:rPr>
                <w:rFonts w:ascii="Times New Roman" w:eastAsia="標楷體" w:hAnsi="Times New Roman" w:cs="Times New Roman"/>
                <w:sz w:val="28"/>
                <w:szCs w:val="28"/>
              </w:rPr>
              <w:t>p.132</w:t>
            </w:r>
            <w:r w:rsidRPr="00131B9D">
              <w:rPr>
                <w:rFonts w:ascii="Times New Roman" w:eastAsia="標楷體" w:hAnsi="Times New Roman" w:cs="Times New Roman"/>
                <w:sz w:val="28"/>
                <w:szCs w:val="28"/>
              </w:rPr>
              <w:t>蛋價與美國加州新規定的關係可能不大、</w:t>
            </w:r>
            <w:r w:rsidRPr="00131B9D">
              <w:rPr>
                <w:rFonts w:ascii="Times New Roman" w:eastAsia="標楷體" w:hAnsi="Times New Roman" w:cs="Times New Roman"/>
                <w:sz w:val="28"/>
                <w:szCs w:val="28"/>
              </w:rPr>
              <w:t>p.135</w:t>
            </w:r>
            <w:r w:rsidRPr="00131B9D">
              <w:rPr>
                <w:rFonts w:ascii="Times New Roman" w:eastAsia="標楷體" w:hAnsi="Times New Roman" w:cs="Times New Roman"/>
                <w:sz w:val="28"/>
                <w:szCs w:val="28"/>
              </w:rPr>
              <w:t>替代肉品與蛋價較無相關。</w:t>
            </w:r>
          </w:p>
        </w:tc>
        <w:tc>
          <w:tcPr>
            <w:tcW w:w="4634" w:type="dxa"/>
            <w:tcBorders>
              <w:top w:val="dotted" w:sz="4" w:space="0" w:color="auto"/>
              <w:bottom w:val="dotted" w:sz="4" w:space="0" w:color="auto"/>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感謝委員建議，已將原</w:t>
            </w:r>
            <w:r w:rsidRPr="00131B9D">
              <w:rPr>
                <w:rFonts w:eastAsia="標楷體"/>
                <w:kern w:val="0"/>
                <w:sz w:val="28"/>
                <w:szCs w:val="28"/>
              </w:rPr>
              <w:t>p.133~135</w:t>
            </w:r>
            <w:r w:rsidRPr="00131B9D">
              <w:rPr>
                <w:rFonts w:eastAsia="標楷體"/>
                <w:kern w:val="0"/>
                <w:sz w:val="28"/>
                <w:szCs w:val="28"/>
              </w:rPr>
              <w:t>精簡與整併，水價部分已予以刪除。原</w:t>
            </w:r>
            <w:r w:rsidRPr="00131B9D">
              <w:rPr>
                <w:rFonts w:eastAsia="標楷體"/>
                <w:kern w:val="0"/>
                <w:sz w:val="28"/>
                <w:szCs w:val="28"/>
              </w:rPr>
              <w:t>p.135</w:t>
            </w:r>
            <w:r w:rsidRPr="00131B9D">
              <w:rPr>
                <w:rFonts w:eastAsia="標楷體"/>
                <w:kern w:val="0"/>
                <w:sz w:val="28"/>
                <w:szCs w:val="28"/>
              </w:rPr>
              <w:t>替代肉品分析已刪除。</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3"/>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p.126</w:t>
            </w:r>
            <w:r w:rsidRPr="00131B9D">
              <w:rPr>
                <w:rFonts w:ascii="Times New Roman" w:eastAsia="標楷體" w:hAnsi="Times New Roman" w:cs="Times New Roman"/>
                <w:sz w:val="28"/>
                <w:szCs w:val="28"/>
              </w:rPr>
              <w:t>有關「統一水價」之說明，建議修改。</w:t>
            </w:r>
          </w:p>
        </w:tc>
        <w:tc>
          <w:tcPr>
            <w:tcW w:w="4634" w:type="dxa"/>
            <w:tcBorders>
              <w:top w:val="dotted" w:sz="4" w:space="0" w:color="auto"/>
              <w:bottom w:val="dotted" w:sz="4" w:space="0" w:color="auto"/>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統一水價部分已予以刪除。</w:t>
            </w:r>
          </w:p>
          <w:p w:rsidR="00A05AC3" w:rsidRPr="00131B9D" w:rsidRDefault="00A05AC3" w:rsidP="00A05AC3">
            <w:pPr>
              <w:snapToGrid w:val="0"/>
              <w:jc w:val="both"/>
              <w:rPr>
                <w:rFonts w:eastAsia="標楷體"/>
                <w:kern w:val="0"/>
                <w:sz w:val="28"/>
                <w:szCs w:val="28"/>
              </w:rPr>
            </w:pP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3"/>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我國主要進口原料黃豆者為植物油煉製廠，其自原料黃豆中約可提取</w:t>
            </w:r>
            <w:r w:rsidRPr="00131B9D">
              <w:rPr>
                <w:rFonts w:ascii="Times New Roman" w:eastAsia="標楷體" w:hAnsi="Times New Roman" w:cs="Times New Roman"/>
                <w:sz w:val="28"/>
                <w:szCs w:val="28"/>
              </w:rPr>
              <w:t>18%</w:t>
            </w:r>
            <w:r w:rsidRPr="00131B9D">
              <w:rPr>
                <w:rFonts w:ascii="Times New Roman" w:eastAsia="標楷體" w:hAnsi="Times New Roman" w:cs="Times New Roman"/>
                <w:sz w:val="28"/>
                <w:szCs w:val="28"/>
              </w:rPr>
              <w:t>油脂，爰</w:t>
            </w:r>
            <w:r w:rsidRPr="00131B9D">
              <w:rPr>
                <w:rFonts w:ascii="Times New Roman" w:eastAsia="標楷體" w:hAnsi="Times New Roman" w:cs="Times New Roman"/>
                <w:sz w:val="28"/>
                <w:szCs w:val="28"/>
              </w:rPr>
              <w:t xml:space="preserve">p.140 </w:t>
            </w:r>
            <w:r w:rsidRPr="00131B9D">
              <w:rPr>
                <w:rFonts w:ascii="Times New Roman" w:eastAsia="標楷體" w:hAnsi="Times New Roman" w:cs="Times New Roman"/>
                <w:sz w:val="28"/>
                <w:szCs w:val="28"/>
              </w:rPr>
              <w:t>第</w:t>
            </w:r>
            <w:r w:rsidRPr="00131B9D">
              <w:rPr>
                <w:rFonts w:ascii="Times New Roman" w:eastAsia="標楷體" w:hAnsi="Times New Roman" w:cs="Times New Roman"/>
                <w:sz w:val="28"/>
                <w:szCs w:val="28"/>
              </w:rPr>
              <w:t>2</w:t>
            </w:r>
            <w:r w:rsidRPr="00131B9D">
              <w:rPr>
                <w:rFonts w:ascii="Times New Roman" w:eastAsia="標楷體" w:hAnsi="Times New Roman" w:cs="Times New Roman"/>
                <w:sz w:val="28"/>
                <w:szCs w:val="28"/>
              </w:rPr>
              <w:t>點統一大豆沙拉油敘述「其中用於製造沙拉油約占</w:t>
            </w:r>
            <w:r w:rsidRPr="00131B9D">
              <w:rPr>
                <w:rFonts w:ascii="Times New Roman" w:eastAsia="標楷體" w:hAnsi="Times New Roman" w:cs="Times New Roman"/>
                <w:sz w:val="28"/>
                <w:szCs w:val="28"/>
              </w:rPr>
              <w:t>18%</w:t>
            </w:r>
            <w:r w:rsidRPr="00131B9D">
              <w:rPr>
                <w:rFonts w:ascii="Times New Roman" w:eastAsia="標楷體" w:hAnsi="Times New Roman" w:cs="Times New Roman"/>
                <w:sz w:val="28"/>
                <w:szCs w:val="28"/>
              </w:rPr>
              <w:t>」與現況不同，建議調整。</w:t>
            </w:r>
          </w:p>
        </w:tc>
        <w:tc>
          <w:tcPr>
            <w:tcW w:w="4634" w:type="dxa"/>
            <w:tcBorders>
              <w:top w:val="dotted" w:sz="4" w:space="0" w:color="auto"/>
              <w:bottom w:val="dotted" w:sz="4" w:space="0" w:color="auto"/>
            </w:tcBorders>
          </w:tcPr>
          <w:p w:rsidR="00A05AC3" w:rsidRPr="00131B9D" w:rsidRDefault="00A05AC3" w:rsidP="00E2207F">
            <w:pPr>
              <w:snapToGrid w:val="0"/>
              <w:jc w:val="both"/>
              <w:rPr>
                <w:rFonts w:eastAsia="標楷體"/>
                <w:kern w:val="0"/>
                <w:sz w:val="28"/>
                <w:szCs w:val="28"/>
              </w:rPr>
            </w:pPr>
            <w:r w:rsidRPr="00131B9D">
              <w:rPr>
                <w:rFonts w:eastAsia="標楷體"/>
                <w:kern w:val="0"/>
                <w:sz w:val="28"/>
                <w:szCs w:val="28"/>
              </w:rPr>
              <w:t>感謝委員指導，相關敘述已修正</w:t>
            </w:r>
            <w:r w:rsidR="00724564" w:rsidRPr="00131B9D">
              <w:rPr>
                <w:rFonts w:eastAsia="標楷體"/>
                <w:kern w:val="0"/>
                <w:sz w:val="28"/>
                <w:szCs w:val="28"/>
              </w:rPr>
              <w:t>(p.1</w:t>
            </w:r>
            <w:r w:rsidR="00F30050" w:rsidRPr="00131B9D">
              <w:rPr>
                <w:rFonts w:eastAsia="標楷體"/>
                <w:kern w:val="0"/>
                <w:sz w:val="28"/>
                <w:szCs w:val="28"/>
              </w:rPr>
              <w:t>46</w:t>
            </w:r>
            <w:r w:rsidRPr="00131B9D">
              <w:rPr>
                <w:rFonts w:eastAsia="標楷體"/>
                <w:kern w:val="0"/>
                <w:sz w:val="28"/>
                <w:szCs w:val="28"/>
              </w:rPr>
              <w:t>)</w:t>
            </w:r>
            <w:r w:rsidRPr="00131B9D">
              <w:rPr>
                <w:rFonts w:eastAsia="標楷體"/>
                <w:kern w:val="0"/>
                <w:sz w:val="28"/>
                <w:szCs w:val="28"/>
              </w:rPr>
              <w:t>。</w:t>
            </w:r>
          </w:p>
        </w:tc>
      </w:tr>
      <w:tr w:rsidR="00A05AC3" w:rsidRPr="00131B9D" w:rsidTr="00CD2B44">
        <w:trPr>
          <w:trHeight w:val="70"/>
          <w:jc w:val="center"/>
        </w:trPr>
        <w:tc>
          <w:tcPr>
            <w:tcW w:w="4885" w:type="dxa"/>
            <w:tcBorders>
              <w:bottom w:val="nil"/>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（四）其他</w:t>
            </w:r>
          </w:p>
        </w:tc>
        <w:tc>
          <w:tcPr>
            <w:tcW w:w="4634" w:type="dxa"/>
            <w:tcBorders>
              <w:bottom w:val="nil"/>
            </w:tcBorders>
          </w:tcPr>
          <w:p w:rsidR="00A05AC3" w:rsidRPr="00131B9D" w:rsidRDefault="00A05AC3" w:rsidP="00A05AC3">
            <w:pPr>
              <w:snapToGrid w:val="0"/>
              <w:jc w:val="both"/>
              <w:rPr>
                <w:rFonts w:eastAsia="標楷體"/>
                <w:kern w:val="0"/>
                <w:sz w:val="28"/>
                <w:szCs w:val="28"/>
              </w:rPr>
            </w:pPr>
          </w:p>
        </w:tc>
      </w:tr>
      <w:tr w:rsidR="00A05AC3" w:rsidRPr="00131B9D" w:rsidTr="00CD2B44">
        <w:trPr>
          <w:trHeight w:val="91"/>
          <w:jc w:val="center"/>
        </w:trPr>
        <w:tc>
          <w:tcPr>
            <w:tcW w:w="4885" w:type="dxa"/>
            <w:tcBorders>
              <w:top w:val="nil"/>
              <w:bottom w:val="dotted" w:sz="4" w:space="0" w:color="auto"/>
            </w:tcBorders>
          </w:tcPr>
          <w:p w:rsidR="00A05AC3" w:rsidRPr="00131B9D" w:rsidRDefault="00A05AC3" w:rsidP="00BD6C96">
            <w:pPr>
              <w:pStyle w:val="affe"/>
              <w:widowControl w:val="0"/>
              <w:numPr>
                <w:ilvl w:val="0"/>
                <w:numId w:val="34"/>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內文之論述請前後要一致，並注意其關聯性。</w:t>
            </w:r>
          </w:p>
        </w:tc>
        <w:tc>
          <w:tcPr>
            <w:tcW w:w="4634" w:type="dxa"/>
            <w:tcBorders>
              <w:top w:val="nil"/>
              <w:bottom w:val="dotted" w:sz="4" w:space="0" w:color="auto"/>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感謝委員提點，已再次檢視全文，並注意內文論述前後一致性與關聯性。</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4"/>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報告內容如引用網站資料須注意內容之正確性、時效性，請備註</w:t>
            </w:r>
            <w:r w:rsidRPr="00131B9D">
              <w:rPr>
                <w:rFonts w:ascii="Times New Roman" w:eastAsia="標楷體" w:hAnsi="Times New Roman" w:cs="Times New Roman"/>
                <w:sz w:val="28"/>
                <w:szCs w:val="28"/>
              </w:rPr>
              <w:lastRenderedPageBreak/>
              <w:t>查詢日期。另報告內容如涉及公司名稱或人名，請以去識別化之方式表達。</w:t>
            </w:r>
          </w:p>
        </w:tc>
        <w:tc>
          <w:tcPr>
            <w:tcW w:w="4634" w:type="dxa"/>
            <w:tcBorders>
              <w:top w:val="dotted" w:sz="4" w:space="0" w:color="auto"/>
              <w:bottom w:val="dotted" w:sz="4" w:space="0" w:color="auto"/>
            </w:tcBorders>
          </w:tcPr>
          <w:p w:rsidR="00A05AC3" w:rsidRPr="00131B9D" w:rsidRDefault="00A05AC3" w:rsidP="003A3331">
            <w:pPr>
              <w:snapToGrid w:val="0"/>
              <w:jc w:val="both"/>
              <w:rPr>
                <w:rFonts w:eastAsia="標楷體"/>
                <w:kern w:val="0"/>
                <w:sz w:val="28"/>
                <w:szCs w:val="28"/>
              </w:rPr>
            </w:pPr>
            <w:r w:rsidRPr="00131B9D">
              <w:rPr>
                <w:rFonts w:eastAsia="標楷體"/>
                <w:kern w:val="0"/>
                <w:sz w:val="28"/>
                <w:szCs w:val="28"/>
              </w:rPr>
              <w:lastRenderedPageBreak/>
              <w:t>感謝委員建議，後續報告引用皆會多加留意內容之正確性、時效性，並備</w:t>
            </w:r>
            <w:r w:rsidRPr="00131B9D">
              <w:rPr>
                <w:rFonts w:eastAsia="標楷體"/>
                <w:kern w:val="0"/>
                <w:sz w:val="28"/>
                <w:szCs w:val="28"/>
              </w:rPr>
              <w:lastRenderedPageBreak/>
              <w:t>註查詢日期。已檢視全文並將相關公司名稱或人名，以去識別化之方式表達</w:t>
            </w:r>
            <w:r w:rsidR="00724564" w:rsidRPr="00131B9D">
              <w:rPr>
                <w:rFonts w:eastAsia="標楷體"/>
                <w:kern w:val="0"/>
                <w:sz w:val="28"/>
                <w:szCs w:val="28"/>
              </w:rPr>
              <w:t>(p.2</w:t>
            </w:r>
            <w:r w:rsidR="003A3331" w:rsidRPr="00131B9D">
              <w:rPr>
                <w:rFonts w:eastAsia="標楷體"/>
                <w:kern w:val="0"/>
                <w:sz w:val="28"/>
                <w:szCs w:val="28"/>
              </w:rPr>
              <w:t>52</w:t>
            </w:r>
            <w:r w:rsidR="00724564" w:rsidRPr="00131B9D">
              <w:rPr>
                <w:rFonts w:eastAsia="標楷體"/>
                <w:kern w:val="0"/>
                <w:sz w:val="28"/>
                <w:szCs w:val="28"/>
              </w:rPr>
              <w:t>)</w:t>
            </w:r>
            <w:r w:rsidRPr="00131B9D">
              <w:rPr>
                <w:rFonts w:eastAsia="標楷體"/>
                <w:kern w:val="0"/>
                <w:sz w:val="28"/>
                <w:szCs w:val="28"/>
              </w:rPr>
              <w:t>。</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4"/>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lastRenderedPageBreak/>
              <w:t>部分內容請予以釐清，如</w:t>
            </w:r>
            <w:r w:rsidRPr="00131B9D">
              <w:rPr>
                <w:rFonts w:ascii="Times New Roman" w:eastAsia="標楷體" w:hAnsi="Times New Roman" w:cs="Times New Roman"/>
                <w:sz w:val="28"/>
                <w:szCs w:val="28"/>
              </w:rPr>
              <w:t>p.9</w:t>
            </w:r>
            <w:r w:rsidRPr="00131B9D">
              <w:rPr>
                <w:rFonts w:ascii="Times New Roman" w:eastAsia="標楷體" w:hAnsi="Times New Roman" w:cs="Times New Roman"/>
                <w:sz w:val="28"/>
                <w:szCs w:val="28"/>
              </w:rPr>
              <w:t>「我國」係指臺灣或中國大陸？</w:t>
            </w:r>
            <w:r w:rsidRPr="00131B9D">
              <w:rPr>
                <w:rFonts w:ascii="Times New Roman" w:eastAsia="標楷體" w:hAnsi="Times New Roman" w:cs="Times New Roman"/>
                <w:sz w:val="28"/>
                <w:szCs w:val="28"/>
              </w:rPr>
              <w:t>p.64</w:t>
            </w:r>
            <w:r w:rsidRPr="00131B9D">
              <w:rPr>
                <w:rFonts w:ascii="Times New Roman" w:eastAsia="標楷體" w:hAnsi="Times New Roman" w:cs="Times New Roman"/>
                <w:sz w:val="28"/>
                <w:szCs w:val="28"/>
              </w:rPr>
              <w:t>第</w:t>
            </w:r>
            <w:r w:rsidRPr="00131B9D">
              <w:rPr>
                <w:rFonts w:ascii="Times New Roman" w:eastAsia="標楷體" w:hAnsi="Times New Roman" w:cs="Times New Roman"/>
                <w:sz w:val="28"/>
                <w:szCs w:val="28"/>
              </w:rPr>
              <w:t>10</w:t>
            </w:r>
            <w:r w:rsidRPr="00131B9D">
              <w:rPr>
                <w:rFonts w:ascii="Times New Roman" w:eastAsia="標楷體" w:hAnsi="Times New Roman" w:cs="Times New Roman"/>
                <w:sz w:val="28"/>
                <w:szCs w:val="28"/>
              </w:rPr>
              <w:t>行、</w:t>
            </w:r>
            <w:r w:rsidRPr="00131B9D">
              <w:rPr>
                <w:rFonts w:ascii="Times New Roman" w:eastAsia="標楷體" w:hAnsi="Times New Roman" w:cs="Times New Roman"/>
                <w:sz w:val="28"/>
                <w:szCs w:val="28"/>
              </w:rPr>
              <w:t>p.125</w:t>
            </w:r>
            <w:r w:rsidRPr="00131B9D">
              <w:rPr>
                <w:rFonts w:ascii="Times New Roman" w:eastAsia="標楷體" w:hAnsi="Times New Roman" w:cs="Times New Roman"/>
                <w:sz w:val="28"/>
                <w:szCs w:val="28"/>
              </w:rPr>
              <w:t>倒數第</w:t>
            </w:r>
            <w:r w:rsidRPr="00131B9D">
              <w:rPr>
                <w:rFonts w:ascii="Times New Roman" w:eastAsia="標楷體" w:hAnsi="Times New Roman" w:cs="Times New Roman"/>
                <w:sz w:val="28"/>
                <w:szCs w:val="28"/>
              </w:rPr>
              <w:t>2</w:t>
            </w:r>
            <w:r w:rsidRPr="00131B9D">
              <w:rPr>
                <w:rFonts w:ascii="Times New Roman" w:eastAsia="標楷體" w:hAnsi="Times New Roman" w:cs="Times New Roman"/>
                <w:sz w:val="28"/>
                <w:szCs w:val="28"/>
              </w:rPr>
              <w:t>行「目前」所指為何時，請進一步說明；另有關「中國」文字請更正為「中國大陸」。</w:t>
            </w:r>
          </w:p>
        </w:tc>
        <w:tc>
          <w:tcPr>
            <w:tcW w:w="4634" w:type="dxa"/>
            <w:tcBorders>
              <w:top w:val="dotted" w:sz="4" w:space="0" w:color="auto"/>
              <w:bottom w:val="dotted" w:sz="4" w:space="0" w:color="auto"/>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感謝委員指正，已檢視全文並進行修正。</w:t>
            </w:r>
          </w:p>
        </w:tc>
      </w:tr>
      <w:tr w:rsidR="00A05AC3" w:rsidRPr="00131B9D" w:rsidTr="00CD2B44">
        <w:trPr>
          <w:jc w:val="center"/>
        </w:trPr>
        <w:tc>
          <w:tcPr>
            <w:tcW w:w="4885" w:type="dxa"/>
            <w:tcBorders>
              <w:top w:val="dotted" w:sz="4" w:space="0" w:color="auto"/>
              <w:bottom w:val="dotted" w:sz="4" w:space="0" w:color="auto"/>
            </w:tcBorders>
          </w:tcPr>
          <w:p w:rsidR="00A05AC3" w:rsidRPr="00131B9D" w:rsidRDefault="00A05AC3" w:rsidP="00BD6C96">
            <w:pPr>
              <w:pStyle w:val="affe"/>
              <w:widowControl w:val="0"/>
              <w:numPr>
                <w:ilvl w:val="0"/>
                <w:numId w:val="34"/>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部分文字敘述較為少見或為中國大陸慣用語，請調整為我國常用文字，以利閱讀（例：</w:t>
            </w:r>
            <w:r w:rsidRPr="00131B9D">
              <w:rPr>
                <w:rFonts w:ascii="Times New Roman" w:eastAsia="標楷體" w:hAnsi="Times New Roman" w:cs="Times New Roman"/>
                <w:sz w:val="28"/>
                <w:szCs w:val="28"/>
              </w:rPr>
              <w:t>p33</w:t>
            </w:r>
            <w:r w:rsidRPr="00131B9D">
              <w:rPr>
                <w:rFonts w:ascii="Times New Roman" w:eastAsia="標楷體" w:hAnsi="Times New Roman" w:cs="Times New Roman"/>
                <w:sz w:val="28"/>
                <w:szCs w:val="28"/>
              </w:rPr>
              <w:t>第二段「增速疲軟」、「供給增速」；</w:t>
            </w:r>
            <w:r w:rsidRPr="00131B9D">
              <w:rPr>
                <w:rFonts w:ascii="Times New Roman" w:eastAsia="標楷體" w:hAnsi="Times New Roman" w:cs="Times New Roman"/>
                <w:sz w:val="28"/>
                <w:szCs w:val="28"/>
              </w:rPr>
              <w:t>p67</w:t>
            </w:r>
            <w:r w:rsidRPr="00131B9D">
              <w:rPr>
                <w:rFonts w:ascii="Times New Roman" w:eastAsia="標楷體" w:hAnsi="Times New Roman" w:cs="Times New Roman"/>
                <w:sz w:val="28"/>
                <w:szCs w:val="28"/>
              </w:rPr>
              <w:t>倒數第</w:t>
            </w:r>
            <w:r w:rsidRPr="00131B9D">
              <w:rPr>
                <w:rFonts w:ascii="Times New Roman" w:eastAsia="標楷體" w:hAnsi="Times New Roman" w:cs="Times New Roman"/>
                <w:sz w:val="28"/>
                <w:szCs w:val="28"/>
              </w:rPr>
              <w:t>3</w:t>
            </w:r>
            <w:r w:rsidRPr="00131B9D">
              <w:rPr>
                <w:rFonts w:ascii="Times New Roman" w:eastAsia="標楷體" w:hAnsi="Times New Roman" w:cs="Times New Roman"/>
                <w:sz w:val="28"/>
                <w:szCs w:val="28"/>
              </w:rPr>
              <w:t>行「承壓下行」；</w:t>
            </w:r>
            <w:r w:rsidRPr="00131B9D">
              <w:rPr>
                <w:rFonts w:ascii="Times New Roman" w:eastAsia="標楷體" w:hAnsi="Times New Roman" w:cs="Times New Roman"/>
                <w:sz w:val="28"/>
                <w:szCs w:val="28"/>
              </w:rPr>
              <w:t>p69</w:t>
            </w:r>
            <w:r w:rsidRPr="00131B9D">
              <w:rPr>
                <w:rFonts w:ascii="Times New Roman" w:eastAsia="標楷體" w:hAnsi="Times New Roman" w:cs="Times New Roman"/>
                <w:sz w:val="28"/>
                <w:szCs w:val="28"/>
              </w:rPr>
              <w:t>第</w:t>
            </w:r>
            <w:r w:rsidRPr="00131B9D">
              <w:rPr>
                <w:rFonts w:ascii="Times New Roman" w:eastAsia="標楷體" w:hAnsi="Times New Roman" w:cs="Times New Roman"/>
                <w:sz w:val="28"/>
                <w:szCs w:val="28"/>
              </w:rPr>
              <w:t>3</w:t>
            </w:r>
            <w:r w:rsidRPr="00131B9D">
              <w:rPr>
                <w:rFonts w:ascii="Times New Roman" w:eastAsia="標楷體" w:hAnsi="Times New Roman" w:cs="Times New Roman"/>
                <w:sz w:val="28"/>
                <w:szCs w:val="28"/>
              </w:rPr>
              <w:t>行「收窄」、「下行」）。</w:t>
            </w:r>
          </w:p>
        </w:tc>
        <w:tc>
          <w:tcPr>
            <w:tcW w:w="4634" w:type="dxa"/>
            <w:tcBorders>
              <w:top w:val="dotted" w:sz="4" w:space="0" w:color="auto"/>
              <w:bottom w:val="dotted" w:sz="4" w:space="0" w:color="auto"/>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感謝委員指正，已檢視全文並進行修正。</w:t>
            </w:r>
          </w:p>
        </w:tc>
      </w:tr>
      <w:tr w:rsidR="00A05AC3" w:rsidRPr="00131B9D" w:rsidTr="00CD2B44">
        <w:trPr>
          <w:jc w:val="center"/>
        </w:trPr>
        <w:tc>
          <w:tcPr>
            <w:tcW w:w="4885" w:type="dxa"/>
            <w:tcBorders>
              <w:top w:val="dotted" w:sz="4" w:space="0" w:color="auto"/>
              <w:bottom w:val="single" w:sz="4" w:space="0" w:color="auto"/>
            </w:tcBorders>
          </w:tcPr>
          <w:p w:rsidR="00A05AC3" w:rsidRPr="00131B9D" w:rsidRDefault="00A05AC3" w:rsidP="00BD6C96">
            <w:pPr>
              <w:pStyle w:val="affe"/>
              <w:widowControl w:val="0"/>
              <w:numPr>
                <w:ilvl w:val="0"/>
                <w:numId w:val="34"/>
              </w:numPr>
              <w:ind w:leftChars="0"/>
              <w:jc w:val="both"/>
              <w:rPr>
                <w:rFonts w:ascii="Times New Roman" w:eastAsia="標楷體" w:hAnsi="Times New Roman" w:cs="Times New Roman"/>
                <w:sz w:val="28"/>
                <w:szCs w:val="28"/>
              </w:rPr>
            </w:pPr>
            <w:r w:rsidRPr="00131B9D">
              <w:rPr>
                <w:rFonts w:ascii="Times New Roman" w:eastAsia="標楷體" w:hAnsi="Times New Roman" w:cs="Times New Roman"/>
                <w:sz w:val="28"/>
                <w:szCs w:val="28"/>
              </w:rPr>
              <w:t>部分文字有誤或為簡體字（例：</w:t>
            </w:r>
            <w:r w:rsidRPr="00131B9D">
              <w:rPr>
                <w:rFonts w:ascii="Times New Roman" w:eastAsia="標楷體" w:hAnsi="Times New Roman" w:cs="Times New Roman"/>
                <w:sz w:val="28"/>
                <w:szCs w:val="28"/>
              </w:rPr>
              <w:t>p.3</w:t>
            </w:r>
            <w:r w:rsidRPr="00131B9D">
              <w:rPr>
                <w:rFonts w:ascii="Times New Roman" w:eastAsia="標楷體" w:hAnsi="Times New Roman" w:cs="Times New Roman"/>
                <w:sz w:val="28"/>
                <w:szCs w:val="28"/>
              </w:rPr>
              <w:t>「相關工程實績」；</w:t>
            </w:r>
            <w:r w:rsidRPr="00131B9D">
              <w:rPr>
                <w:rFonts w:ascii="Times New Roman" w:eastAsia="標楷體" w:hAnsi="Times New Roman" w:cs="Times New Roman"/>
                <w:sz w:val="28"/>
                <w:szCs w:val="28"/>
              </w:rPr>
              <w:t>p.110</w:t>
            </w:r>
            <w:r w:rsidRPr="00131B9D">
              <w:rPr>
                <w:rFonts w:ascii="Times New Roman" w:eastAsia="標楷體" w:hAnsi="Times New Roman" w:cs="Times New Roman"/>
                <w:sz w:val="28"/>
                <w:szCs w:val="28"/>
              </w:rPr>
              <w:t>第</w:t>
            </w:r>
            <w:r w:rsidRPr="00131B9D">
              <w:rPr>
                <w:rFonts w:ascii="Times New Roman" w:eastAsia="標楷體" w:hAnsi="Times New Roman" w:cs="Times New Roman"/>
                <w:sz w:val="28"/>
                <w:szCs w:val="28"/>
              </w:rPr>
              <w:t>5</w:t>
            </w:r>
            <w:r w:rsidRPr="00131B9D">
              <w:rPr>
                <w:rFonts w:ascii="Times New Roman" w:eastAsia="標楷體" w:hAnsi="Times New Roman" w:cs="Times New Roman"/>
                <w:sz w:val="28"/>
                <w:szCs w:val="28"/>
              </w:rPr>
              <w:t>行「自去</w:t>
            </w:r>
            <w:r w:rsidRPr="00131B9D">
              <w:rPr>
                <w:rFonts w:ascii="Times New Roman" w:eastAsia="標楷體" w:hAnsi="Times New Roman" w:cs="Times New Roman"/>
                <w:sz w:val="28"/>
                <w:szCs w:val="28"/>
              </w:rPr>
              <w:t>2014</w:t>
            </w:r>
            <w:r w:rsidRPr="00131B9D">
              <w:rPr>
                <w:rFonts w:ascii="Times New Roman" w:eastAsia="標楷體" w:hAnsi="Times New Roman" w:cs="Times New Roman"/>
                <w:sz w:val="28"/>
                <w:szCs w:val="28"/>
              </w:rPr>
              <w:t>年」；</w:t>
            </w:r>
            <w:r w:rsidRPr="00131B9D">
              <w:rPr>
                <w:rFonts w:ascii="Times New Roman" w:eastAsia="標楷體" w:hAnsi="Times New Roman" w:cs="Times New Roman"/>
                <w:sz w:val="28"/>
                <w:szCs w:val="28"/>
              </w:rPr>
              <w:t>p.133</w:t>
            </w:r>
            <w:r w:rsidRPr="00131B9D">
              <w:rPr>
                <w:rFonts w:ascii="Times New Roman" w:eastAsia="標楷體" w:hAnsi="Times New Roman" w:cs="Times New Roman"/>
                <w:sz w:val="28"/>
                <w:szCs w:val="28"/>
              </w:rPr>
              <w:t>、</w:t>
            </w:r>
            <w:r w:rsidRPr="00131B9D">
              <w:rPr>
                <w:rFonts w:ascii="Times New Roman" w:eastAsia="標楷體" w:hAnsi="Times New Roman" w:cs="Times New Roman"/>
                <w:sz w:val="28"/>
                <w:szCs w:val="28"/>
              </w:rPr>
              <w:t>p.153</w:t>
            </w:r>
            <w:r w:rsidRPr="00131B9D">
              <w:rPr>
                <w:rFonts w:ascii="Times New Roman" w:eastAsia="標楷體" w:hAnsi="Times New Roman" w:cs="Times New Roman"/>
                <w:sz w:val="28"/>
                <w:szCs w:val="28"/>
              </w:rPr>
              <w:t>「情流感」；</w:t>
            </w:r>
            <w:r w:rsidRPr="00131B9D">
              <w:rPr>
                <w:rFonts w:ascii="Times New Roman" w:eastAsia="標楷體" w:hAnsi="Times New Roman" w:cs="Times New Roman"/>
                <w:sz w:val="28"/>
                <w:szCs w:val="28"/>
              </w:rPr>
              <w:t>p.125</w:t>
            </w:r>
            <w:r w:rsidRPr="00131B9D">
              <w:rPr>
                <w:rFonts w:ascii="Times New Roman" w:eastAsia="標楷體" w:hAnsi="Times New Roman" w:cs="Times New Roman"/>
                <w:sz w:val="28"/>
                <w:szCs w:val="28"/>
              </w:rPr>
              <w:t>「台中」、「台南」、「全台」），請再仔細檢視修正。</w:t>
            </w:r>
            <w:r w:rsidRPr="00131B9D">
              <w:rPr>
                <w:rFonts w:ascii="Times New Roman" w:eastAsia="標楷體" w:hAnsi="Times New Roman" w:cs="Times New Roman"/>
                <w:b/>
                <w:sz w:val="28"/>
                <w:szCs w:val="28"/>
              </w:rPr>
              <w:t>(</w:t>
            </w:r>
            <w:r w:rsidRPr="00131B9D">
              <w:rPr>
                <w:rFonts w:ascii="Times New Roman" w:eastAsia="標楷體" w:hAnsi="Times New Roman" w:cs="Times New Roman"/>
                <w:b/>
                <w:sz w:val="28"/>
                <w:szCs w:val="28"/>
              </w:rPr>
              <w:t>以上各點僅為舉例，仍請全文檢視</w:t>
            </w:r>
            <w:r w:rsidRPr="00131B9D">
              <w:rPr>
                <w:rFonts w:ascii="Times New Roman" w:eastAsia="標楷體" w:hAnsi="Times New Roman" w:cs="Times New Roman"/>
                <w:b/>
                <w:sz w:val="28"/>
                <w:szCs w:val="28"/>
              </w:rPr>
              <w:t>)</w:t>
            </w:r>
          </w:p>
        </w:tc>
        <w:tc>
          <w:tcPr>
            <w:tcW w:w="4634" w:type="dxa"/>
            <w:tcBorders>
              <w:top w:val="dotted" w:sz="4" w:space="0" w:color="auto"/>
              <w:bottom w:val="single" w:sz="4" w:space="0" w:color="auto"/>
            </w:tcBorders>
          </w:tcPr>
          <w:p w:rsidR="00A05AC3" w:rsidRPr="00131B9D" w:rsidRDefault="00A05AC3" w:rsidP="00A05AC3">
            <w:pPr>
              <w:snapToGrid w:val="0"/>
              <w:jc w:val="both"/>
              <w:rPr>
                <w:rFonts w:eastAsia="標楷體"/>
                <w:kern w:val="0"/>
                <w:sz w:val="28"/>
                <w:szCs w:val="28"/>
              </w:rPr>
            </w:pPr>
            <w:r w:rsidRPr="00131B9D">
              <w:rPr>
                <w:rFonts w:eastAsia="標楷體"/>
                <w:kern w:val="0"/>
                <w:sz w:val="28"/>
                <w:szCs w:val="28"/>
              </w:rPr>
              <w:t>感謝委員指正，已檢視全文並進行修正。</w:t>
            </w:r>
          </w:p>
        </w:tc>
      </w:tr>
    </w:tbl>
    <w:p w:rsidR="00705F79" w:rsidRPr="00131B9D" w:rsidRDefault="00705F79" w:rsidP="00705F79">
      <w:pPr>
        <w:jc w:val="both"/>
      </w:pPr>
      <w:bookmarkStart w:id="510" w:name="_PictureBullets"/>
      <w:bookmarkEnd w:id="510"/>
    </w:p>
    <w:p w:rsidR="00D77E08" w:rsidRPr="00131B9D" w:rsidRDefault="00D77E08" w:rsidP="00402957">
      <w:pPr>
        <w:sectPr w:rsidR="00D77E08" w:rsidRPr="00131B9D" w:rsidSect="007A070C">
          <w:footerReference w:type="default" r:id="rId170"/>
          <w:type w:val="oddPage"/>
          <w:pgSz w:w="11906" w:h="16838"/>
          <w:pgMar w:top="851" w:right="1644" w:bottom="851" w:left="1440" w:header="851" w:footer="992" w:gutter="0"/>
          <w:cols w:space="425"/>
          <w:docGrid w:linePitch="360"/>
        </w:sectPr>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spacing w:line="0" w:lineRule="atLeast"/>
      </w:pPr>
    </w:p>
    <w:p w:rsidR="008635E4" w:rsidRPr="00131B9D" w:rsidRDefault="008635E4" w:rsidP="008635E4">
      <w:pPr>
        <w:pStyle w:val="1"/>
        <w:rPr>
          <w:rFonts w:hAnsi="Times New Roman"/>
        </w:rPr>
      </w:pPr>
      <w:bookmarkStart w:id="511" w:name="_Toc439162985"/>
      <w:r w:rsidRPr="00131B9D">
        <w:rPr>
          <w:rFonts w:hAnsi="Times New Roman"/>
        </w:rPr>
        <w:t>附件</w:t>
      </w:r>
      <w:r w:rsidR="00EC0D9A">
        <w:rPr>
          <w:rFonts w:hAnsi="Times New Roman" w:hint="eastAsia"/>
        </w:rPr>
        <w:t>六</w:t>
      </w:r>
      <w:r w:rsidRPr="00131B9D">
        <w:rPr>
          <w:rFonts w:hAnsi="Times New Roman"/>
        </w:rPr>
        <w:t>、期末報告審查意見回覆表</w:t>
      </w:r>
      <w:bookmarkEnd w:id="511"/>
    </w:p>
    <w:p w:rsidR="008635E4" w:rsidRPr="00131B9D" w:rsidRDefault="008635E4" w:rsidP="008635E4"/>
    <w:p w:rsidR="008635E4" w:rsidRPr="00131B9D" w:rsidRDefault="008635E4" w:rsidP="00485A2D">
      <w:pPr>
        <w:tabs>
          <w:tab w:val="right" w:leader="dot" w:pos="9072"/>
        </w:tabs>
        <w:spacing w:line="560" w:lineRule="exact"/>
        <w:ind w:leftChars="200" w:left="480"/>
        <w:jc w:val="center"/>
        <w:rPr>
          <w:rFonts w:eastAsia="標楷體"/>
          <w:bCs/>
          <w:noProof/>
          <w:color w:val="000000"/>
          <w:sz w:val="28"/>
          <w:szCs w:val="28"/>
        </w:rPr>
        <w:sectPr w:rsidR="008635E4" w:rsidRPr="00131B9D" w:rsidSect="008635E4">
          <w:footerReference w:type="default" r:id="rId171"/>
          <w:pgSz w:w="11906" w:h="16838"/>
          <w:pgMar w:top="851" w:right="1644" w:bottom="851" w:left="1440" w:header="851" w:footer="992" w:gutter="0"/>
          <w:cols w:space="425"/>
          <w:docGrid w:linePitch="360"/>
        </w:sectPr>
      </w:pPr>
    </w:p>
    <w:p w:rsidR="00485A2D" w:rsidRPr="00131B9D" w:rsidRDefault="00485A2D" w:rsidP="00485A2D">
      <w:pPr>
        <w:tabs>
          <w:tab w:val="right" w:leader="dot" w:pos="9072"/>
        </w:tabs>
        <w:spacing w:line="560" w:lineRule="exact"/>
        <w:ind w:leftChars="200" w:left="480"/>
        <w:jc w:val="center"/>
        <w:rPr>
          <w:rFonts w:eastAsia="標楷體"/>
          <w:bCs/>
          <w:noProof/>
          <w:color w:val="000000"/>
          <w:sz w:val="28"/>
          <w:szCs w:val="28"/>
        </w:rPr>
      </w:pPr>
      <w:r w:rsidRPr="00131B9D">
        <w:rPr>
          <w:rFonts w:eastAsia="標楷體"/>
          <w:bCs/>
          <w:noProof/>
          <w:color w:val="000000"/>
          <w:sz w:val="28"/>
          <w:szCs w:val="28"/>
        </w:rPr>
        <w:lastRenderedPageBreak/>
        <w:t>104</w:t>
      </w:r>
      <w:r w:rsidRPr="00131B9D">
        <w:rPr>
          <w:rFonts w:eastAsia="標楷體"/>
          <w:bCs/>
          <w:noProof/>
          <w:color w:val="000000"/>
          <w:sz w:val="28"/>
          <w:szCs w:val="28"/>
        </w:rPr>
        <w:t>年度「重要原物料國內外市場情勢分析及研究」委辦計畫</w:t>
      </w:r>
    </w:p>
    <w:p w:rsidR="00485A2D" w:rsidRPr="00131B9D" w:rsidRDefault="00485A2D" w:rsidP="00485A2D">
      <w:pPr>
        <w:tabs>
          <w:tab w:val="right" w:leader="dot" w:pos="9072"/>
        </w:tabs>
        <w:spacing w:line="560" w:lineRule="exact"/>
        <w:ind w:leftChars="200" w:left="480"/>
        <w:jc w:val="center"/>
        <w:rPr>
          <w:rFonts w:eastAsia="標楷體"/>
          <w:bCs/>
          <w:noProof/>
          <w:color w:val="000000"/>
          <w:sz w:val="28"/>
          <w:szCs w:val="28"/>
        </w:rPr>
      </w:pPr>
      <w:r w:rsidRPr="00131B9D">
        <w:rPr>
          <w:rFonts w:eastAsia="標楷體"/>
          <w:bCs/>
          <w:noProof/>
          <w:color w:val="000000"/>
          <w:sz w:val="28"/>
          <w:szCs w:val="28"/>
        </w:rPr>
        <w:t>期末報告審查意見</w:t>
      </w:r>
      <w:r w:rsidRPr="00131B9D">
        <w:rPr>
          <w:rFonts w:eastAsia="標楷體"/>
          <w:bCs/>
          <w:noProof/>
          <w:color w:val="000000"/>
          <w:kern w:val="0"/>
          <w:sz w:val="28"/>
          <w:szCs w:val="28"/>
          <w:lang w:val="zh-TW"/>
        </w:rPr>
        <w:t>回覆表</w:t>
      </w:r>
    </w:p>
    <w:tbl>
      <w:tblPr>
        <w:tblW w:w="95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85"/>
        <w:gridCol w:w="4634"/>
      </w:tblGrid>
      <w:tr w:rsidR="00485A2D" w:rsidRPr="00131B9D" w:rsidTr="00384781">
        <w:trPr>
          <w:tblHeader/>
          <w:jc w:val="center"/>
        </w:trPr>
        <w:tc>
          <w:tcPr>
            <w:tcW w:w="4885" w:type="dxa"/>
          </w:tcPr>
          <w:p w:rsidR="00485A2D" w:rsidRPr="00131B9D" w:rsidRDefault="00485A2D" w:rsidP="00485A2D">
            <w:pPr>
              <w:spacing w:before="120" w:after="120"/>
              <w:jc w:val="distribute"/>
              <w:rPr>
                <w:rFonts w:eastAsia="標楷體"/>
                <w:color w:val="000000"/>
                <w:sz w:val="28"/>
                <w:szCs w:val="28"/>
              </w:rPr>
            </w:pPr>
            <w:r w:rsidRPr="00131B9D">
              <w:rPr>
                <w:rFonts w:eastAsia="標楷體"/>
                <w:color w:val="000000"/>
                <w:sz w:val="28"/>
                <w:szCs w:val="28"/>
              </w:rPr>
              <w:t>審查意見</w:t>
            </w:r>
          </w:p>
        </w:tc>
        <w:tc>
          <w:tcPr>
            <w:tcW w:w="4634" w:type="dxa"/>
          </w:tcPr>
          <w:p w:rsidR="00485A2D" w:rsidRPr="00131B9D" w:rsidRDefault="00485A2D" w:rsidP="00485A2D">
            <w:pPr>
              <w:spacing w:before="120" w:after="120"/>
              <w:jc w:val="distribute"/>
              <w:rPr>
                <w:rFonts w:eastAsia="標楷體"/>
                <w:color w:val="000000"/>
                <w:sz w:val="28"/>
                <w:szCs w:val="28"/>
              </w:rPr>
            </w:pPr>
            <w:r w:rsidRPr="00131B9D">
              <w:rPr>
                <w:rFonts w:eastAsia="標楷體"/>
                <w:color w:val="000000"/>
                <w:sz w:val="28"/>
                <w:szCs w:val="28"/>
              </w:rPr>
              <w:t>辦理情形</w:t>
            </w:r>
          </w:p>
        </w:tc>
      </w:tr>
      <w:tr w:rsidR="00485A2D" w:rsidRPr="00131B9D" w:rsidTr="00384781">
        <w:trPr>
          <w:jc w:val="center"/>
        </w:trPr>
        <w:tc>
          <w:tcPr>
            <w:tcW w:w="4885" w:type="dxa"/>
            <w:tcBorders>
              <w:top w:val="nil"/>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t>整體而言，本報告符合委託單位需求，應分析的構面均有做相關分析。整份報告參考性高，研究團隊的努力值得肯定。</w:t>
            </w:r>
          </w:p>
        </w:tc>
        <w:tc>
          <w:tcPr>
            <w:tcW w:w="4634" w:type="dxa"/>
            <w:tcBorders>
              <w:top w:val="nil"/>
              <w:bottom w:val="dotted" w:sz="4" w:space="0" w:color="auto"/>
            </w:tcBorders>
          </w:tcPr>
          <w:p w:rsidR="00485A2D" w:rsidRPr="00131B9D" w:rsidRDefault="00485A2D" w:rsidP="00485A2D">
            <w:pPr>
              <w:snapToGrid w:val="0"/>
              <w:jc w:val="both"/>
              <w:rPr>
                <w:rFonts w:eastAsia="標楷體"/>
                <w:color w:val="000000"/>
                <w:kern w:val="0"/>
                <w:sz w:val="28"/>
                <w:szCs w:val="28"/>
              </w:rPr>
            </w:pPr>
            <w:r w:rsidRPr="00131B9D">
              <w:rPr>
                <w:rFonts w:eastAsia="標楷體"/>
                <w:color w:val="000000"/>
                <w:kern w:val="0"/>
                <w:sz w:val="28"/>
                <w:szCs w:val="28"/>
              </w:rPr>
              <w:t>感謝委員的肯定。本團隊也感謝委員提供許多寶貴建議，讓計畫內容更具參考性。</w:t>
            </w:r>
          </w:p>
        </w:tc>
      </w:tr>
      <w:tr w:rsidR="00485A2D" w:rsidRPr="00131B9D" w:rsidTr="00384781">
        <w:trPr>
          <w:jc w:val="center"/>
        </w:trPr>
        <w:tc>
          <w:tcPr>
            <w:tcW w:w="4885" w:type="dxa"/>
            <w:tcBorders>
              <w:top w:val="dotted" w:sz="4" w:space="0" w:color="auto"/>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t>第貳章建議加強總體金融情勢與原物料情勢之間的關係論述。</w:t>
            </w:r>
          </w:p>
        </w:tc>
        <w:tc>
          <w:tcPr>
            <w:tcW w:w="4634" w:type="dxa"/>
            <w:tcBorders>
              <w:top w:val="dotted" w:sz="4" w:space="0" w:color="auto"/>
              <w:bottom w:val="dotted" w:sz="4" w:space="0" w:color="auto"/>
            </w:tcBorders>
          </w:tcPr>
          <w:p w:rsidR="00485A2D" w:rsidRPr="00131B9D" w:rsidRDefault="00B22890" w:rsidP="003A3331">
            <w:pPr>
              <w:snapToGrid w:val="0"/>
              <w:jc w:val="both"/>
              <w:rPr>
                <w:rFonts w:eastAsia="標楷體"/>
                <w:sz w:val="28"/>
                <w:szCs w:val="28"/>
              </w:rPr>
            </w:pPr>
            <w:r w:rsidRPr="00131B9D">
              <w:rPr>
                <w:rFonts w:eastAsia="標楷體"/>
                <w:sz w:val="28"/>
                <w:szCs w:val="28"/>
              </w:rPr>
              <w:t>感謝委員的建議。本團隊已在第二章總體金融暨原物料情勢分析之開頭加強描述總體金融情勢與原物料之間的關係，另在</w:t>
            </w:r>
            <w:r w:rsidRPr="00131B9D">
              <w:rPr>
                <w:rFonts w:eastAsia="標楷體"/>
                <w:sz w:val="28"/>
                <w:szCs w:val="28"/>
              </w:rPr>
              <w:t>p.10</w:t>
            </w:r>
            <w:r w:rsidRPr="00131B9D">
              <w:rPr>
                <w:rFonts w:eastAsia="標楷體"/>
                <w:sz w:val="28"/>
                <w:szCs w:val="28"/>
              </w:rPr>
              <w:t>金融概況之匯率部分加入以下說明「國際大宗原物料價格多以美元進行報價，因此美元走強將對以美元報價的大宗商品價格形成壓力。臺灣多數原料仰賴進口，且匯率走勢主要跟隨美元與人民幣走勢。故當美元走強導致臺幣相對走貶時，進口原物料成本上升，則可預期未來將有一部分成本陸續轉嫁給消費者，影響國內民生價格走勢。因此，檢視美元指數與匯率市場表現，可以解釋為部分大宗原物料價格變化的成因。」本計畫未來也將持續關注金融情勢與原物料之間的關聯，持續加強相關論述。此外，依委員建議，已將上下半年之金融情勢分析請綜整為全年度進行說明</w:t>
            </w:r>
            <w:r w:rsidR="003A3331" w:rsidRPr="00131B9D">
              <w:rPr>
                <w:rFonts w:eastAsia="標楷體"/>
                <w:sz w:val="28"/>
                <w:szCs w:val="28"/>
              </w:rPr>
              <w:t>(p.5-13)</w:t>
            </w:r>
            <w:r w:rsidRPr="00131B9D">
              <w:rPr>
                <w:rFonts w:eastAsia="標楷體"/>
                <w:sz w:val="28"/>
                <w:szCs w:val="28"/>
              </w:rPr>
              <w:t>。</w:t>
            </w:r>
          </w:p>
        </w:tc>
      </w:tr>
      <w:tr w:rsidR="00485A2D" w:rsidRPr="00131B9D" w:rsidTr="00384781">
        <w:trPr>
          <w:jc w:val="center"/>
        </w:trPr>
        <w:tc>
          <w:tcPr>
            <w:tcW w:w="4885" w:type="dxa"/>
            <w:tcBorders>
              <w:top w:val="dotted" w:sz="4" w:space="0" w:color="auto"/>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t>研究分析部分，尤其是農產品，建議多參酌引述農委會報告或國內外學者專家的看法。</w:t>
            </w:r>
          </w:p>
        </w:tc>
        <w:tc>
          <w:tcPr>
            <w:tcW w:w="4634" w:type="dxa"/>
            <w:tcBorders>
              <w:top w:val="dotted" w:sz="4" w:space="0" w:color="auto"/>
              <w:bottom w:val="dotted" w:sz="4" w:space="0" w:color="auto"/>
            </w:tcBorders>
          </w:tcPr>
          <w:p w:rsidR="00485A2D" w:rsidRPr="00131B9D" w:rsidRDefault="00B22890" w:rsidP="003A3331">
            <w:pPr>
              <w:snapToGrid w:val="0"/>
              <w:jc w:val="both"/>
              <w:rPr>
                <w:rFonts w:eastAsia="標楷體"/>
                <w:sz w:val="28"/>
                <w:szCs w:val="28"/>
              </w:rPr>
            </w:pPr>
            <w:r w:rsidRPr="00131B9D">
              <w:rPr>
                <w:rFonts w:eastAsia="標楷體"/>
                <w:sz w:val="28"/>
                <w:szCs w:val="28"/>
              </w:rPr>
              <w:t>大宗、民生物資價格變化有時並無法在當下就得知價格變化的原因，僅能參照當時的新聞稿或其他可取得之資訊撰寫。有關農委會資訊部分，政府推出之農業政策或法規資訊可即時查詢，可輔助參考對物價之影響，惟研究報告部分，不一定能在報告期限內獲得即時分析，故未必適用。至於國內學者專家看法部分，本報告撰寫時，會蒐集產業界看法，例如中</w:t>
            </w:r>
            <w:r w:rsidRPr="00131B9D">
              <w:rPr>
                <w:rFonts w:eastAsia="標楷體"/>
                <w:sz w:val="28"/>
                <w:szCs w:val="28"/>
              </w:rPr>
              <w:lastRenderedPageBreak/>
              <w:t>鋼、中油、台塑等等，來反映國內有關鋼鐵、油氣及石化產品之相關看法</w:t>
            </w:r>
            <w:r w:rsidRPr="00131B9D">
              <w:rPr>
                <w:rFonts w:eastAsia="標楷體"/>
                <w:sz w:val="28"/>
                <w:szCs w:val="28"/>
              </w:rPr>
              <w:t>(</w:t>
            </w:r>
            <w:r w:rsidRPr="00131B9D">
              <w:rPr>
                <w:rFonts w:eastAsia="標楷體"/>
                <w:sz w:val="28"/>
                <w:szCs w:val="28"/>
              </w:rPr>
              <w:t>例</w:t>
            </w:r>
            <w:r w:rsidRPr="00131B9D">
              <w:rPr>
                <w:rFonts w:eastAsia="標楷體"/>
                <w:sz w:val="28"/>
                <w:szCs w:val="28"/>
              </w:rPr>
              <w:t>p.</w:t>
            </w:r>
            <w:r w:rsidR="003A3331" w:rsidRPr="00131B9D">
              <w:rPr>
                <w:rFonts w:eastAsia="標楷體"/>
                <w:sz w:val="28"/>
                <w:szCs w:val="28"/>
              </w:rPr>
              <w:t>83</w:t>
            </w:r>
            <w:r w:rsidRPr="00131B9D">
              <w:rPr>
                <w:rFonts w:eastAsia="標楷體"/>
                <w:sz w:val="28"/>
                <w:szCs w:val="28"/>
              </w:rPr>
              <w:t>、</w:t>
            </w:r>
            <w:r w:rsidR="003A3331" w:rsidRPr="00131B9D">
              <w:rPr>
                <w:rFonts w:eastAsia="標楷體"/>
                <w:sz w:val="28"/>
                <w:szCs w:val="28"/>
              </w:rPr>
              <w:t>84</w:t>
            </w:r>
            <w:r w:rsidRPr="00131B9D">
              <w:rPr>
                <w:rFonts w:eastAsia="標楷體"/>
                <w:sz w:val="28"/>
                <w:szCs w:val="28"/>
              </w:rPr>
              <w:t>、</w:t>
            </w:r>
            <w:r w:rsidR="003A3331" w:rsidRPr="00131B9D">
              <w:rPr>
                <w:rFonts w:eastAsia="標楷體"/>
                <w:sz w:val="28"/>
                <w:szCs w:val="28"/>
              </w:rPr>
              <w:t>92</w:t>
            </w:r>
            <w:r w:rsidRPr="00131B9D">
              <w:rPr>
                <w:rFonts w:eastAsia="標楷體"/>
                <w:sz w:val="28"/>
                <w:szCs w:val="28"/>
              </w:rPr>
              <w:t>、</w:t>
            </w:r>
            <w:r w:rsidR="003A3331" w:rsidRPr="00131B9D">
              <w:rPr>
                <w:rFonts w:eastAsia="標楷體"/>
                <w:sz w:val="28"/>
                <w:szCs w:val="28"/>
              </w:rPr>
              <w:t>96</w:t>
            </w:r>
            <w:r w:rsidRPr="00131B9D">
              <w:rPr>
                <w:rFonts w:eastAsia="標楷體"/>
                <w:sz w:val="28"/>
                <w:szCs w:val="28"/>
              </w:rPr>
              <w:t>)</w:t>
            </w:r>
            <w:r w:rsidRPr="00131B9D">
              <w:rPr>
                <w:rFonts w:eastAsia="標楷體"/>
                <w:sz w:val="28"/>
                <w:szCs w:val="28"/>
              </w:rPr>
              <w:t>；國外學者專家部分，以參考較具指標性機構發布之研究報告或數據為主，例如</w:t>
            </w:r>
            <w:r w:rsidRPr="00131B9D">
              <w:rPr>
                <w:rFonts w:eastAsia="標楷體"/>
                <w:sz w:val="28"/>
                <w:szCs w:val="28"/>
              </w:rPr>
              <w:t>FAO</w:t>
            </w:r>
            <w:r w:rsidRPr="00131B9D">
              <w:rPr>
                <w:rFonts w:eastAsia="標楷體"/>
                <w:sz w:val="28"/>
                <w:szCs w:val="28"/>
              </w:rPr>
              <w:t>、</w:t>
            </w:r>
            <w:r w:rsidRPr="00131B9D">
              <w:rPr>
                <w:rFonts w:eastAsia="標楷體"/>
                <w:sz w:val="28"/>
                <w:szCs w:val="28"/>
              </w:rPr>
              <w:t>IGC</w:t>
            </w:r>
            <w:r w:rsidRPr="00131B9D">
              <w:rPr>
                <w:rFonts w:eastAsia="標楷體"/>
                <w:sz w:val="28"/>
                <w:szCs w:val="28"/>
              </w:rPr>
              <w:t>、</w:t>
            </w:r>
            <w:r w:rsidRPr="00131B9D">
              <w:rPr>
                <w:rFonts w:eastAsia="標楷體"/>
                <w:sz w:val="28"/>
                <w:szCs w:val="28"/>
              </w:rPr>
              <w:t>USDA</w:t>
            </w:r>
            <w:r w:rsidRPr="00131B9D">
              <w:rPr>
                <w:rFonts w:eastAsia="標楷體"/>
                <w:sz w:val="28"/>
                <w:szCs w:val="28"/>
              </w:rPr>
              <w:t>、</w:t>
            </w:r>
            <w:r w:rsidRPr="00131B9D">
              <w:rPr>
                <w:rFonts w:eastAsia="標楷體"/>
                <w:sz w:val="28"/>
                <w:szCs w:val="28"/>
              </w:rPr>
              <w:t>NOPA</w:t>
            </w:r>
            <w:r w:rsidRPr="00131B9D">
              <w:rPr>
                <w:rFonts w:eastAsia="標楷體"/>
                <w:sz w:val="28"/>
                <w:szCs w:val="28"/>
              </w:rPr>
              <w:t>、</w:t>
            </w:r>
            <w:r w:rsidRPr="00131B9D">
              <w:rPr>
                <w:rFonts w:eastAsia="標楷體"/>
                <w:sz w:val="28"/>
                <w:szCs w:val="28"/>
              </w:rPr>
              <w:t>ABARES</w:t>
            </w:r>
            <w:r w:rsidRPr="00131B9D">
              <w:rPr>
                <w:rFonts w:eastAsia="標楷體"/>
                <w:sz w:val="28"/>
                <w:szCs w:val="28"/>
              </w:rPr>
              <w:t>、</w:t>
            </w:r>
            <w:r w:rsidRPr="00131B9D">
              <w:rPr>
                <w:rFonts w:eastAsia="標楷體"/>
                <w:sz w:val="28"/>
                <w:szCs w:val="28"/>
              </w:rPr>
              <w:t>ISO</w:t>
            </w:r>
            <w:r w:rsidRPr="00131B9D">
              <w:rPr>
                <w:rFonts w:eastAsia="標楷體"/>
                <w:sz w:val="28"/>
                <w:szCs w:val="28"/>
              </w:rPr>
              <w:t>、</w:t>
            </w:r>
            <w:r w:rsidRPr="00131B9D">
              <w:rPr>
                <w:rFonts w:eastAsia="標楷體"/>
                <w:sz w:val="28"/>
                <w:szCs w:val="28"/>
              </w:rPr>
              <w:t>ICSG</w:t>
            </w:r>
            <w:r w:rsidRPr="00131B9D">
              <w:rPr>
                <w:rFonts w:eastAsia="標楷體"/>
                <w:sz w:val="28"/>
                <w:szCs w:val="28"/>
              </w:rPr>
              <w:t>、</w:t>
            </w:r>
            <w:r w:rsidRPr="00131B9D">
              <w:rPr>
                <w:rFonts w:eastAsia="標楷體"/>
                <w:sz w:val="28"/>
                <w:szCs w:val="28"/>
              </w:rPr>
              <w:t>IAI</w:t>
            </w:r>
            <w:r w:rsidRPr="00131B9D">
              <w:rPr>
                <w:rFonts w:eastAsia="標楷體"/>
                <w:sz w:val="28"/>
                <w:szCs w:val="28"/>
              </w:rPr>
              <w:t>、</w:t>
            </w:r>
            <w:r w:rsidRPr="00131B9D">
              <w:rPr>
                <w:rFonts w:eastAsia="標楷體"/>
                <w:sz w:val="28"/>
                <w:szCs w:val="28"/>
              </w:rPr>
              <w:t>WBMS</w:t>
            </w:r>
            <w:r w:rsidRPr="00131B9D">
              <w:rPr>
                <w:rFonts w:eastAsia="標楷體"/>
                <w:sz w:val="28"/>
                <w:szCs w:val="28"/>
              </w:rPr>
              <w:t>、</w:t>
            </w:r>
            <w:r w:rsidRPr="00131B9D">
              <w:rPr>
                <w:rFonts w:eastAsia="標楷體"/>
                <w:sz w:val="28"/>
                <w:szCs w:val="28"/>
              </w:rPr>
              <w:t>INSG</w:t>
            </w:r>
            <w:r w:rsidRPr="00131B9D">
              <w:rPr>
                <w:rFonts w:eastAsia="標楷體"/>
                <w:sz w:val="28"/>
                <w:szCs w:val="28"/>
              </w:rPr>
              <w:t>、</w:t>
            </w:r>
            <w:r w:rsidRPr="00131B9D">
              <w:rPr>
                <w:rFonts w:eastAsia="標楷體"/>
                <w:sz w:val="28"/>
                <w:szCs w:val="28"/>
              </w:rPr>
              <w:t>ILZSG</w:t>
            </w:r>
            <w:r w:rsidRPr="00131B9D">
              <w:rPr>
                <w:rFonts w:eastAsia="標楷體"/>
                <w:sz w:val="28"/>
                <w:szCs w:val="28"/>
              </w:rPr>
              <w:t>、</w:t>
            </w:r>
            <w:r w:rsidRPr="00131B9D">
              <w:rPr>
                <w:rFonts w:eastAsia="標楷體"/>
                <w:sz w:val="28"/>
                <w:szCs w:val="28"/>
              </w:rPr>
              <w:t>ITRI</w:t>
            </w:r>
            <w:r w:rsidRPr="00131B9D">
              <w:rPr>
                <w:rFonts w:eastAsia="標楷體"/>
                <w:sz w:val="28"/>
                <w:szCs w:val="28"/>
              </w:rPr>
              <w:t>等等</w:t>
            </w:r>
            <w:r w:rsidR="003A3331" w:rsidRPr="00131B9D">
              <w:rPr>
                <w:rFonts w:eastAsia="標楷體"/>
                <w:sz w:val="28"/>
                <w:szCs w:val="28"/>
              </w:rPr>
              <w:t>(</w:t>
            </w:r>
            <w:r w:rsidR="003A3331" w:rsidRPr="00131B9D">
              <w:rPr>
                <w:rFonts w:eastAsia="標楷體"/>
                <w:sz w:val="28"/>
                <w:szCs w:val="28"/>
              </w:rPr>
              <w:t>例</w:t>
            </w:r>
            <w:r w:rsidR="003A3331" w:rsidRPr="00131B9D">
              <w:rPr>
                <w:rFonts w:eastAsia="標楷體"/>
                <w:sz w:val="28"/>
                <w:szCs w:val="28"/>
              </w:rPr>
              <w:t>p.22</w:t>
            </w:r>
            <w:r w:rsidR="003A3331" w:rsidRPr="00131B9D">
              <w:rPr>
                <w:rFonts w:eastAsia="標楷體"/>
                <w:sz w:val="28"/>
                <w:szCs w:val="28"/>
              </w:rPr>
              <w:t>、</w:t>
            </w:r>
            <w:r w:rsidR="003A3331" w:rsidRPr="00131B9D">
              <w:rPr>
                <w:rFonts w:eastAsia="標楷體"/>
                <w:sz w:val="28"/>
                <w:szCs w:val="28"/>
              </w:rPr>
              <w:t>24</w:t>
            </w:r>
            <w:r w:rsidR="003A3331" w:rsidRPr="00131B9D">
              <w:rPr>
                <w:rFonts w:eastAsia="標楷體"/>
                <w:sz w:val="28"/>
                <w:szCs w:val="28"/>
              </w:rPr>
              <w:t>、</w:t>
            </w:r>
            <w:r w:rsidR="003A3331" w:rsidRPr="00131B9D">
              <w:rPr>
                <w:rFonts w:eastAsia="標楷體"/>
                <w:sz w:val="28"/>
                <w:szCs w:val="28"/>
              </w:rPr>
              <w:t>25</w:t>
            </w:r>
            <w:r w:rsidR="003A3331" w:rsidRPr="00131B9D">
              <w:rPr>
                <w:rFonts w:eastAsia="標楷體"/>
                <w:sz w:val="28"/>
                <w:szCs w:val="28"/>
              </w:rPr>
              <w:t>、</w:t>
            </w:r>
            <w:r w:rsidR="003A3331" w:rsidRPr="00131B9D">
              <w:rPr>
                <w:rFonts w:eastAsia="標楷體"/>
                <w:sz w:val="28"/>
                <w:szCs w:val="28"/>
              </w:rPr>
              <w:t>27</w:t>
            </w:r>
            <w:r w:rsidR="003A3331" w:rsidRPr="00131B9D">
              <w:rPr>
                <w:rFonts w:eastAsia="標楷體"/>
                <w:sz w:val="28"/>
                <w:szCs w:val="28"/>
              </w:rPr>
              <w:t>、</w:t>
            </w:r>
            <w:r w:rsidR="003A3331" w:rsidRPr="00131B9D">
              <w:rPr>
                <w:rFonts w:eastAsia="標楷體"/>
                <w:sz w:val="28"/>
                <w:szCs w:val="28"/>
              </w:rPr>
              <w:t>40</w:t>
            </w:r>
            <w:r w:rsidR="003A3331" w:rsidRPr="00131B9D">
              <w:rPr>
                <w:rFonts w:eastAsia="標楷體"/>
                <w:sz w:val="28"/>
                <w:szCs w:val="28"/>
              </w:rPr>
              <w:t>、</w:t>
            </w:r>
            <w:r w:rsidR="003A3331" w:rsidRPr="00131B9D">
              <w:rPr>
                <w:rFonts w:eastAsia="標楷體"/>
                <w:sz w:val="28"/>
                <w:szCs w:val="28"/>
              </w:rPr>
              <w:t>46</w:t>
            </w:r>
            <w:r w:rsidR="003A3331" w:rsidRPr="00131B9D">
              <w:rPr>
                <w:rFonts w:eastAsia="標楷體"/>
                <w:sz w:val="28"/>
                <w:szCs w:val="28"/>
              </w:rPr>
              <w:t>、</w:t>
            </w:r>
            <w:r w:rsidR="003A3331" w:rsidRPr="00131B9D">
              <w:rPr>
                <w:rFonts w:eastAsia="標楷體"/>
                <w:sz w:val="28"/>
                <w:szCs w:val="28"/>
              </w:rPr>
              <w:t>49</w:t>
            </w:r>
            <w:r w:rsidR="003A3331" w:rsidRPr="00131B9D">
              <w:rPr>
                <w:rFonts w:eastAsia="標楷體"/>
                <w:sz w:val="28"/>
                <w:szCs w:val="28"/>
              </w:rPr>
              <w:t>、</w:t>
            </w:r>
            <w:r w:rsidR="003A3331" w:rsidRPr="00131B9D">
              <w:rPr>
                <w:rFonts w:eastAsia="標楷體"/>
                <w:sz w:val="28"/>
                <w:szCs w:val="28"/>
              </w:rPr>
              <w:t>53</w:t>
            </w:r>
            <w:r w:rsidR="003A3331" w:rsidRPr="00131B9D">
              <w:rPr>
                <w:rFonts w:eastAsia="標楷體"/>
                <w:sz w:val="28"/>
                <w:szCs w:val="28"/>
              </w:rPr>
              <w:t>、</w:t>
            </w:r>
            <w:r w:rsidR="003A3331" w:rsidRPr="00131B9D">
              <w:rPr>
                <w:rFonts w:eastAsia="標楷體"/>
                <w:sz w:val="28"/>
                <w:szCs w:val="28"/>
              </w:rPr>
              <w:t>57</w:t>
            </w:r>
            <w:r w:rsidR="003A3331" w:rsidRPr="00131B9D">
              <w:rPr>
                <w:rFonts w:eastAsia="標楷體"/>
                <w:sz w:val="28"/>
                <w:szCs w:val="28"/>
              </w:rPr>
              <w:t>、</w:t>
            </w:r>
            <w:r w:rsidR="003A3331" w:rsidRPr="00131B9D">
              <w:rPr>
                <w:rFonts w:eastAsia="標楷體"/>
                <w:sz w:val="28"/>
                <w:szCs w:val="28"/>
              </w:rPr>
              <w:t>67)</w:t>
            </w:r>
            <w:r w:rsidRPr="00131B9D">
              <w:rPr>
                <w:rFonts w:eastAsia="標楷體"/>
                <w:sz w:val="28"/>
                <w:szCs w:val="28"/>
              </w:rPr>
              <w:t>。</w:t>
            </w:r>
          </w:p>
        </w:tc>
      </w:tr>
      <w:tr w:rsidR="00485A2D" w:rsidRPr="00131B9D" w:rsidTr="00384781">
        <w:trPr>
          <w:jc w:val="center"/>
        </w:trPr>
        <w:tc>
          <w:tcPr>
            <w:tcW w:w="4885" w:type="dxa"/>
            <w:tcBorders>
              <w:top w:val="nil"/>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lastRenderedPageBreak/>
              <w:t>有關各原物料價格走勢之呈現，建議將時間拉長至</w:t>
            </w:r>
            <w:r w:rsidRPr="00131B9D">
              <w:rPr>
                <w:rFonts w:eastAsia="標楷體"/>
                <w:color w:val="000000"/>
                <w:sz w:val="28"/>
                <w:szCs w:val="28"/>
              </w:rPr>
              <w:t>2</w:t>
            </w:r>
            <w:r w:rsidRPr="00131B9D">
              <w:rPr>
                <w:rFonts w:eastAsia="標楷體"/>
                <w:color w:val="000000"/>
                <w:sz w:val="28"/>
                <w:szCs w:val="28"/>
              </w:rPr>
              <w:t>年，以利判斷趨勢。</w:t>
            </w:r>
          </w:p>
        </w:tc>
        <w:tc>
          <w:tcPr>
            <w:tcW w:w="4634" w:type="dxa"/>
            <w:tcBorders>
              <w:top w:val="nil"/>
              <w:bottom w:val="dotted" w:sz="4" w:space="0" w:color="auto"/>
            </w:tcBorders>
          </w:tcPr>
          <w:p w:rsidR="00485A2D" w:rsidRPr="00131B9D" w:rsidRDefault="008635E4" w:rsidP="00485A2D">
            <w:pPr>
              <w:snapToGrid w:val="0"/>
              <w:jc w:val="both"/>
              <w:rPr>
                <w:rFonts w:eastAsia="標楷體"/>
                <w:color w:val="000000"/>
                <w:sz w:val="28"/>
                <w:szCs w:val="28"/>
              </w:rPr>
            </w:pPr>
            <w:r w:rsidRPr="00131B9D">
              <w:rPr>
                <w:rFonts w:eastAsia="標楷體"/>
                <w:sz w:val="28"/>
                <w:szCs w:val="28"/>
              </w:rPr>
              <w:t>因各原物料價格於</w:t>
            </w:r>
            <w:r w:rsidRPr="00131B9D">
              <w:rPr>
                <w:rFonts w:eastAsia="標楷體"/>
                <w:sz w:val="28"/>
                <w:szCs w:val="28"/>
              </w:rPr>
              <w:t>2015</w:t>
            </w:r>
            <w:r w:rsidRPr="00131B9D">
              <w:rPr>
                <w:rFonts w:eastAsia="標楷體"/>
                <w:sz w:val="28"/>
                <w:szCs w:val="28"/>
              </w:rPr>
              <w:t>年延續</w:t>
            </w:r>
            <w:r w:rsidRPr="00131B9D">
              <w:rPr>
                <w:rFonts w:eastAsia="標楷體"/>
                <w:sz w:val="28"/>
                <w:szCs w:val="28"/>
              </w:rPr>
              <w:t>2014</w:t>
            </w:r>
            <w:r w:rsidRPr="00131B9D">
              <w:rPr>
                <w:rFonts w:eastAsia="標楷體"/>
                <w:sz w:val="28"/>
                <w:szCs w:val="28"/>
              </w:rPr>
              <w:t>年下半年後之趨勢，大多呈現下跌走勢，至</w:t>
            </w:r>
            <w:r w:rsidRPr="00131B9D">
              <w:rPr>
                <w:rFonts w:eastAsia="標楷體"/>
                <w:sz w:val="28"/>
                <w:szCs w:val="28"/>
              </w:rPr>
              <w:t>2015</w:t>
            </w:r>
            <w:r w:rsidRPr="00131B9D">
              <w:rPr>
                <w:rFonts w:eastAsia="標楷體"/>
                <w:sz w:val="28"/>
                <w:szCs w:val="28"/>
              </w:rPr>
              <w:t>年</w:t>
            </w:r>
            <w:r w:rsidRPr="00131B9D">
              <w:rPr>
                <w:rFonts w:eastAsia="標楷體"/>
                <w:sz w:val="28"/>
                <w:szCs w:val="28"/>
              </w:rPr>
              <w:t>12</w:t>
            </w:r>
            <w:r w:rsidRPr="00131B9D">
              <w:rPr>
                <w:rFonts w:eastAsia="標楷體"/>
                <w:sz w:val="28"/>
                <w:szCs w:val="28"/>
              </w:rPr>
              <w:t>月中，各品項價格仍於低點附近徘徊，故繪製一年期的走勢圖較能看出本年度價格的起伏和變化，若將期間拉長，則價格變動幅度較不明顯，故於期末報告中維持單年度走勢圖。</w:t>
            </w:r>
          </w:p>
        </w:tc>
      </w:tr>
      <w:tr w:rsidR="00485A2D" w:rsidRPr="00131B9D" w:rsidTr="00384781">
        <w:trPr>
          <w:jc w:val="center"/>
        </w:trPr>
        <w:tc>
          <w:tcPr>
            <w:tcW w:w="4885" w:type="dxa"/>
            <w:tcBorders>
              <w:top w:val="dotted" w:sz="4" w:space="0" w:color="auto"/>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t>近期部分原物料資訊變化大，如時間允許，建議可更至較新資料。</w:t>
            </w:r>
          </w:p>
        </w:tc>
        <w:tc>
          <w:tcPr>
            <w:tcW w:w="4634" w:type="dxa"/>
            <w:tcBorders>
              <w:top w:val="dotted" w:sz="4" w:space="0" w:color="auto"/>
              <w:bottom w:val="dotted" w:sz="4" w:space="0" w:color="auto"/>
            </w:tcBorders>
          </w:tcPr>
          <w:p w:rsidR="00485A2D" w:rsidRPr="00131B9D" w:rsidRDefault="00B22890" w:rsidP="003A3331">
            <w:pPr>
              <w:snapToGrid w:val="0"/>
              <w:jc w:val="both"/>
              <w:rPr>
                <w:rFonts w:eastAsia="標楷體"/>
                <w:sz w:val="28"/>
                <w:szCs w:val="28"/>
              </w:rPr>
            </w:pPr>
            <w:r w:rsidRPr="00131B9D">
              <w:rPr>
                <w:rFonts w:eastAsia="標楷體"/>
                <w:sz w:val="28"/>
                <w:szCs w:val="28"/>
              </w:rPr>
              <w:t>已更新</w:t>
            </w:r>
            <w:r w:rsidRPr="00131B9D">
              <w:rPr>
                <w:rFonts w:eastAsia="標楷體"/>
                <w:sz w:val="28"/>
                <w:szCs w:val="28"/>
              </w:rPr>
              <w:t>12</w:t>
            </w:r>
            <w:r w:rsidRPr="00131B9D">
              <w:rPr>
                <w:rFonts w:eastAsia="標楷體"/>
                <w:sz w:val="28"/>
                <w:szCs w:val="28"/>
              </w:rPr>
              <w:t>月</w:t>
            </w:r>
            <w:r w:rsidRPr="00131B9D">
              <w:rPr>
                <w:rFonts w:eastAsia="標楷體"/>
                <w:sz w:val="28"/>
                <w:szCs w:val="28"/>
              </w:rPr>
              <w:t>OPEC</w:t>
            </w:r>
            <w:r w:rsidRPr="00131B9D">
              <w:rPr>
                <w:rFonts w:eastAsia="標楷體"/>
                <w:sz w:val="28"/>
                <w:szCs w:val="28"/>
              </w:rPr>
              <w:t>宣布不減產之資訊於內文中</w:t>
            </w:r>
            <w:r w:rsidRPr="00131B9D">
              <w:rPr>
                <w:rFonts w:eastAsia="標楷體"/>
                <w:sz w:val="28"/>
                <w:szCs w:val="28"/>
              </w:rPr>
              <w:t>(p.1</w:t>
            </w:r>
            <w:r w:rsidR="003A3331" w:rsidRPr="00131B9D">
              <w:rPr>
                <w:rFonts w:eastAsia="標楷體"/>
                <w:sz w:val="28"/>
                <w:szCs w:val="28"/>
              </w:rPr>
              <w:t>5</w:t>
            </w:r>
            <w:r w:rsidRPr="00131B9D">
              <w:rPr>
                <w:rFonts w:eastAsia="標楷體"/>
                <w:sz w:val="28"/>
                <w:szCs w:val="28"/>
              </w:rPr>
              <w:t>、</w:t>
            </w:r>
            <w:r w:rsidR="003A3331" w:rsidRPr="00131B9D">
              <w:rPr>
                <w:rFonts w:eastAsia="標楷體"/>
                <w:sz w:val="28"/>
                <w:szCs w:val="28"/>
              </w:rPr>
              <w:t>90</w:t>
            </w:r>
            <w:r w:rsidRPr="00131B9D">
              <w:rPr>
                <w:rFonts w:eastAsia="標楷體"/>
                <w:sz w:val="28"/>
                <w:szCs w:val="28"/>
              </w:rPr>
              <w:t>、</w:t>
            </w:r>
            <w:r w:rsidRPr="00131B9D">
              <w:rPr>
                <w:rFonts w:eastAsia="標楷體"/>
                <w:sz w:val="28"/>
                <w:szCs w:val="28"/>
              </w:rPr>
              <w:t>1</w:t>
            </w:r>
            <w:r w:rsidR="003A3331" w:rsidRPr="00131B9D">
              <w:rPr>
                <w:rFonts w:eastAsia="標楷體"/>
                <w:sz w:val="28"/>
                <w:szCs w:val="28"/>
              </w:rPr>
              <w:t>23</w:t>
            </w:r>
            <w:r w:rsidRPr="00131B9D">
              <w:rPr>
                <w:rFonts w:eastAsia="標楷體"/>
                <w:sz w:val="28"/>
                <w:szCs w:val="28"/>
              </w:rPr>
              <w:t>)</w:t>
            </w:r>
            <w:r w:rsidRPr="00131B9D">
              <w:rPr>
                <w:rFonts w:eastAsia="標楷體"/>
                <w:sz w:val="28"/>
                <w:szCs w:val="28"/>
              </w:rPr>
              <w:t>，亦新增中國大陸近期有色金屬減少產能之資訊於報告中</w:t>
            </w:r>
            <w:r w:rsidRPr="00131B9D">
              <w:rPr>
                <w:rFonts w:eastAsia="標楷體"/>
                <w:sz w:val="28"/>
                <w:szCs w:val="28"/>
              </w:rPr>
              <w:t>(</w:t>
            </w:r>
            <w:r w:rsidR="003A3331" w:rsidRPr="00131B9D">
              <w:rPr>
                <w:rFonts w:eastAsia="標楷體"/>
                <w:sz w:val="28"/>
                <w:szCs w:val="28"/>
              </w:rPr>
              <w:t>p.47</w:t>
            </w:r>
            <w:r w:rsidRPr="00131B9D">
              <w:rPr>
                <w:rFonts w:eastAsia="標楷體"/>
                <w:sz w:val="28"/>
                <w:szCs w:val="28"/>
              </w:rPr>
              <w:t>、</w:t>
            </w:r>
            <w:r w:rsidR="003A3331" w:rsidRPr="00131B9D">
              <w:rPr>
                <w:rFonts w:eastAsia="標楷體"/>
                <w:sz w:val="28"/>
                <w:szCs w:val="28"/>
              </w:rPr>
              <w:t>50</w:t>
            </w:r>
            <w:r w:rsidRPr="00131B9D">
              <w:rPr>
                <w:rFonts w:eastAsia="標楷體"/>
                <w:sz w:val="28"/>
                <w:szCs w:val="28"/>
              </w:rPr>
              <w:t>、</w:t>
            </w:r>
            <w:r w:rsidR="003A3331" w:rsidRPr="00131B9D">
              <w:rPr>
                <w:rFonts w:eastAsia="標楷體"/>
                <w:sz w:val="28"/>
                <w:szCs w:val="28"/>
              </w:rPr>
              <w:t>51</w:t>
            </w:r>
            <w:r w:rsidRPr="00131B9D">
              <w:rPr>
                <w:rFonts w:eastAsia="標楷體"/>
                <w:sz w:val="28"/>
                <w:szCs w:val="28"/>
              </w:rPr>
              <w:t>、</w:t>
            </w:r>
            <w:r w:rsidR="003A3331" w:rsidRPr="00131B9D">
              <w:rPr>
                <w:rFonts w:eastAsia="標楷體"/>
                <w:sz w:val="28"/>
                <w:szCs w:val="28"/>
              </w:rPr>
              <w:t>54</w:t>
            </w:r>
            <w:r w:rsidRPr="00131B9D">
              <w:rPr>
                <w:rFonts w:eastAsia="標楷體"/>
                <w:sz w:val="28"/>
                <w:szCs w:val="28"/>
              </w:rPr>
              <w:t>、</w:t>
            </w:r>
            <w:r w:rsidR="003A3331" w:rsidRPr="00131B9D">
              <w:rPr>
                <w:rFonts w:eastAsia="標楷體"/>
                <w:sz w:val="28"/>
                <w:szCs w:val="28"/>
              </w:rPr>
              <w:t>59</w:t>
            </w:r>
            <w:r w:rsidRPr="00131B9D">
              <w:rPr>
                <w:rFonts w:eastAsia="標楷體"/>
                <w:sz w:val="28"/>
                <w:szCs w:val="28"/>
              </w:rPr>
              <w:t>)</w:t>
            </w:r>
            <w:r w:rsidRPr="00131B9D">
              <w:rPr>
                <w:rFonts w:eastAsia="標楷體"/>
                <w:sz w:val="28"/>
                <w:szCs w:val="28"/>
              </w:rPr>
              <w:t>。</w:t>
            </w:r>
          </w:p>
        </w:tc>
      </w:tr>
      <w:tr w:rsidR="00485A2D" w:rsidRPr="00131B9D" w:rsidTr="00384781">
        <w:trPr>
          <w:jc w:val="center"/>
        </w:trPr>
        <w:tc>
          <w:tcPr>
            <w:tcW w:w="4885" w:type="dxa"/>
            <w:tcBorders>
              <w:top w:val="dotted" w:sz="4" w:space="0" w:color="auto"/>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t>有關石化價格情勢，建議於原油價格走勢分析段落補充</w:t>
            </w:r>
            <w:r w:rsidRPr="00131B9D">
              <w:rPr>
                <w:rFonts w:eastAsia="標楷體"/>
                <w:color w:val="000000"/>
                <w:sz w:val="28"/>
                <w:szCs w:val="28"/>
              </w:rPr>
              <w:t>OPEC 11</w:t>
            </w:r>
            <w:r w:rsidRPr="00131B9D">
              <w:rPr>
                <w:rFonts w:eastAsia="標楷體"/>
                <w:color w:val="000000"/>
                <w:sz w:val="28"/>
                <w:szCs w:val="28"/>
              </w:rPr>
              <w:t>月</w:t>
            </w:r>
            <w:r w:rsidRPr="00131B9D">
              <w:rPr>
                <w:rFonts w:eastAsia="標楷體"/>
                <w:color w:val="000000"/>
                <w:sz w:val="28"/>
                <w:szCs w:val="28"/>
              </w:rPr>
              <w:t>27</w:t>
            </w:r>
            <w:r w:rsidRPr="00131B9D">
              <w:rPr>
                <w:rFonts w:eastAsia="標楷體"/>
                <w:color w:val="000000"/>
                <w:sz w:val="28"/>
                <w:szCs w:val="28"/>
              </w:rPr>
              <w:t>日宣布不減產之訊息。另有關乙烯相關論述建議酌修，以符合近期國際油價走跌，乙烯價差大幅萎縮之現況。</w:t>
            </w:r>
          </w:p>
        </w:tc>
        <w:tc>
          <w:tcPr>
            <w:tcW w:w="4634" w:type="dxa"/>
            <w:tcBorders>
              <w:top w:val="dotted" w:sz="4" w:space="0" w:color="auto"/>
              <w:bottom w:val="dotted" w:sz="4" w:space="0" w:color="auto"/>
            </w:tcBorders>
          </w:tcPr>
          <w:p w:rsidR="00485A2D" w:rsidRPr="00131B9D" w:rsidRDefault="008635E4" w:rsidP="003A3331">
            <w:pPr>
              <w:snapToGrid w:val="0"/>
              <w:jc w:val="both"/>
              <w:rPr>
                <w:rFonts w:eastAsia="標楷體"/>
                <w:color w:val="000000"/>
                <w:sz w:val="28"/>
                <w:szCs w:val="28"/>
              </w:rPr>
            </w:pPr>
            <w:r w:rsidRPr="00131B9D">
              <w:rPr>
                <w:rFonts w:eastAsia="標楷體"/>
                <w:sz w:val="28"/>
                <w:szCs w:val="28"/>
              </w:rPr>
              <w:t>已於內文中補充今年年底</w:t>
            </w:r>
            <w:r w:rsidRPr="00131B9D">
              <w:rPr>
                <w:rFonts w:eastAsia="標楷體"/>
                <w:sz w:val="28"/>
                <w:szCs w:val="28"/>
              </w:rPr>
              <w:t>OPEC</w:t>
            </w:r>
            <w:r w:rsidRPr="00131B9D">
              <w:rPr>
                <w:rFonts w:eastAsia="標楷體"/>
                <w:sz w:val="28"/>
                <w:szCs w:val="28"/>
              </w:rPr>
              <w:t>宣布不減產之訊息</w:t>
            </w:r>
            <w:r w:rsidR="00E6458F" w:rsidRPr="00131B9D">
              <w:rPr>
                <w:rFonts w:eastAsia="標楷體"/>
                <w:sz w:val="28"/>
                <w:szCs w:val="28"/>
              </w:rPr>
              <w:t>(p.</w:t>
            </w:r>
            <w:r w:rsidR="00CD45FA" w:rsidRPr="00131B9D">
              <w:rPr>
                <w:rFonts w:eastAsia="標楷體"/>
                <w:sz w:val="28"/>
                <w:szCs w:val="28"/>
              </w:rPr>
              <w:t>15</w:t>
            </w:r>
            <w:r w:rsidR="00CD45FA" w:rsidRPr="00131B9D">
              <w:rPr>
                <w:rFonts w:eastAsia="標楷體"/>
                <w:sz w:val="28"/>
                <w:szCs w:val="28"/>
              </w:rPr>
              <w:t>、</w:t>
            </w:r>
            <w:r w:rsidR="003A3331" w:rsidRPr="00131B9D">
              <w:rPr>
                <w:rFonts w:eastAsia="標楷體"/>
                <w:sz w:val="28"/>
                <w:szCs w:val="28"/>
              </w:rPr>
              <w:t>90</w:t>
            </w:r>
            <w:r w:rsidR="00E6458F" w:rsidRPr="00131B9D">
              <w:rPr>
                <w:rFonts w:eastAsia="標楷體"/>
                <w:sz w:val="28"/>
                <w:szCs w:val="28"/>
              </w:rPr>
              <w:t>、</w:t>
            </w:r>
            <w:r w:rsidR="003A3331" w:rsidRPr="00131B9D">
              <w:rPr>
                <w:rFonts w:eastAsia="標楷體"/>
                <w:sz w:val="28"/>
                <w:szCs w:val="28"/>
              </w:rPr>
              <w:t>123</w:t>
            </w:r>
            <w:r w:rsidR="00E6458F" w:rsidRPr="00131B9D">
              <w:rPr>
                <w:rFonts w:eastAsia="標楷體"/>
                <w:sz w:val="28"/>
                <w:szCs w:val="28"/>
              </w:rPr>
              <w:t>)</w:t>
            </w:r>
            <w:r w:rsidRPr="00131B9D">
              <w:rPr>
                <w:rFonts w:eastAsia="標楷體"/>
                <w:sz w:val="28"/>
                <w:szCs w:val="28"/>
              </w:rPr>
              <w:t>，並增加第</w:t>
            </w:r>
            <w:r w:rsidRPr="00131B9D">
              <w:rPr>
                <w:rFonts w:eastAsia="標楷體"/>
                <w:sz w:val="28"/>
                <w:szCs w:val="28"/>
              </w:rPr>
              <w:t>2</w:t>
            </w:r>
            <w:r w:rsidRPr="00131B9D">
              <w:rPr>
                <w:rFonts w:eastAsia="標楷體"/>
                <w:sz w:val="28"/>
                <w:szCs w:val="28"/>
              </w:rPr>
              <w:t>季後美國、亞洲乙烯價差縮小之資訊</w:t>
            </w:r>
            <w:r w:rsidR="003A3331" w:rsidRPr="00131B9D">
              <w:rPr>
                <w:rFonts w:eastAsia="標楷體"/>
                <w:sz w:val="28"/>
                <w:szCs w:val="28"/>
              </w:rPr>
              <w:t>（</w:t>
            </w:r>
            <w:r w:rsidR="003A3331" w:rsidRPr="00131B9D">
              <w:rPr>
                <w:rFonts w:eastAsia="標楷體"/>
                <w:sz w:val="28"/>
                <w:szCs w:val="28"/>
              </w:rPr>
              <w:t>p.</w:t>
            </w:r>
            <w:r w:rsidR="003A3331" w:rsidRPr="00131B9D">
              <w:rPr>
                <w:rFonts w:eastAsia="標楷體"/>
                <w:kern w:val="0"/>
                <w:sz w:val="28"/>
                <w:szCs w:val="28"/>
              </w:rPr>
              <w:t xml:space="preserve"> 92</w:t>
            </w:r>
            <w:r w:rsidR="003A3331" w:rsidRPr="00131B9D">
              <w:rPr>
                <w:rFonts w:eastAsia="標楷體"/>
                <w:sz w:val="28"/>
                <w:szCs w:val="28"/>
              </w:rPr>
              <w:t>）</w:t>
            </w:r>
            <w:r w:rsidRPr="00131B9D">
              <w:rPr>
                <w:rFonts w:eastAsia="標楷體"/>
                <w:sz w:val="28"/>
                <w:szCs w:val="28"/>
              </w:rPr>
              <w:t>。</w:t>
            </w:r>
          </w:p>
        </w:tc>
      </w:tr>
      <w:tr w:rsidR="00485A2D" w:rsidRPr="00131B9D" w:rsidTr="00384781">
        <w:trPr>
          <w:jc w:val="center"/>
        </w:trPr>
        <w:tc>
          <w:tcPr>
            <w:tcW w:w="4885" w:type="dxa"/>
            <w:tcBorders>
              <w:top w:val="dotted" w:sz="4" w:space="0" w:color="auto"/>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t>有關水泥之市場分析著重中國大陸，建議未來可加強對國內市場與下游產業影響，以及國外市場情勢對我國市場之評估。</w:t>
            </w:r>
          </w:p>
        </w:tc>
        <w:tc>
          <w:tcPr>
            <w:tcW w:w="4634" w:type="dxa"/>
            <w:tcBorders>
              <w:top w:val="dotted" w:sz="4" w:space="0" w:color="auto"/>
              <w:bottom w:val="dotted" w:sz="4" w:space="0" w:color="auto"/>
            </w:tcBorders>
          </w:tcPr>
          <w:p w:rsidR="00485A2D" w:rsidRPr="00131B9D" w:rsidRDefault="00B22890" w:rsidP="003A3331">
            <w:pPr>
              <w:snapToGrid w:val="0"/>
              <w:jc w:val="both"/>
              <w:rPr>
                <w:rFonts w:eastAsia="標楷體"/>
                <w:kern w:val="0"/>
                <w:sz w:val="28"/>
                <w:szCs w:val="28"/>
              </w:rPr>
            </w:pPr>
            <w:r w:rsidRPr="00131B9D">
              <w:rPr>
                <w:rFonts w:eastAsia="標楷體"/>
                <w:color w:val="000000"/>
                <w:sz w:val="28"/>
                <w:szCs w:val="28"/>
              </w:rPr>
              <w:t>感謝委員建議，因我國水泥以國內市場為主，公開資訊甚少，</w:t>
            </w:r>
            <w:r w:rsidRPr="00131B9D">
              <w:rPr>
                <w:rFonts w:eastAsia="標楷體"/>
                <w:kern w:val="0"/>
                <w:sz w:val="28"/>
                <w:szCs w:val="28"/>
              </w:rPr>
              <w:t>中國大陸水泥生產與消費量均為世界第一，同時我國水泥大廠如台泥、亞泥均西進設廠營運，故分析為主中國水泥市場為主。已修改文字敘述內容，增加說明中國大陸水泥市場概況，並精簡文字敘述，加強呈現與國內水泥產業之連結，以及增加我國水泥市場之敘述</w:t>
            </w:r>
            <w:r w:rsidR="003A3331" w:rsidRPr="00131B9D">
              <w:rPr>
                <w:rFonts w:eastAsia="標楷體"/>
                <w:kern w:val="0"/>
                <w:sz w:val="28"/>
                <w:szCs w:val="28"/>
              </w:rPr>
              <w:t>（</w:t>
            </w:r>
            <w:r w:rsidR="003A3331" w:rsidRPr="00131B9D">
              <w:rPr>
                <w:rFonts w:eastAsia="標楷體"/>
                <w:kern w:val="0"/>
                <w:sz w:val="28"/>
                <w:szCs w:val="28"/>
              </w:rPr>
              <w:t>p.113-114</w:t>
            </w:r>
            <w:r w:rsidR="003A3331" w:rsidRPr="00131B9D">
              <w:rPr>
                <w:rFonts w:eastAsia="標楷體"/>
                <w:kern w:val="0"/>
                <w:sz w:val="28"/>
                <w:szCs w:val="28"/>
              </w:rPr>
              <w:t>）</w:t>
            </w:r>
            <w:r w:rsidRPr="00131B9D">
              <w:rPr>
                <w:rFonts w:eastAsia="標楷體"/>
                <w:kern w:val="0"/>
                <w:sz w:val="28"/>
                <w:szCs w:val="28"/>
              </w:rPr>
              <w:t>。</w:t>
            </w:r>
          </w:p>
        </w:tc>
      </w:tr>
      <w:tr w:rsidR="00485A2D" w:rsidRPr="00131B9D" w:rsidTr="00384781">
        <w:trPr>
          <w:jc w:val="center"/>
        </w:trPr>
        <w:tc>
          <w:tcPr>
            <w:tcW w:w="4885" w:type="dxa"/>
            <w:tcBorders>
              <w:top w:val="dotted" w:sz="4" w:space="0" w:color="auto"/>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lastRenderedPageBreak/>
              <w:t>部分民生物資查價品項因食安問題價格大幅下滑，參考性不足。建議可適時檢討調整查價品項，以市占率高者為優先考量。</w:t>
            </w:r>
          </w:p>
        </w:tc>
        <w:tc>
          <w:tcPr>
            <w:tcW w:w="4634" w:type="dxa"/>
            <w:tcBorders>
              <w:top w:val="dotted" w:sz="4" w:space="0" w:color="auto"/>
              <w:bottom w:val="dotted" w:sz="4" w:space="0" w:color="auto"/>
            </w:tcBorders>
          </w:tcPr>
          <w:p w:rsidR="00485A2D" w:rsidRPr="00131B9D" w:rsidRDefault="00485A2D" w:rsidP="00485A2D">
            <w:pPr>
              <w:snapToGrid w:val="0"/>
              <w:jc w:val="both"/>
              <w:rPr>
                <w:rFonts w:eastAsia="標楷體"/>
                <w:color w:val="000000"/>
                <w:sz w:val="28"/>
                <w:szCs w:val="28"/>
              </w:rPr>
            </w:pPr>
            <w:r w:rsidRPr="00131B9D">
              <w:rPr>
                <w:rFonts w:eastAsia="標楷體"/>
                <w:color w:val="000000"/>
                <w:sz w:val="28"/>
                <w:szCs w:val="28"/>
              </w:rPr>
              <w:t>感謝委員建議。確有查價品項因曾發生過食安議題而降低目前其在市場上的市佔率與代表性，委託單位也有察覺此情事。惟調查品項之變更皆須由委託單位詳細評估且經上簽核可後始能執行。若後續委託單位有更改品項之需求與指示，本團隊必依照需求通知查價員進行調整。</w:t>
            </w:r>
          </w:p>
        </w:tc>
      </w:tr>
      <w:tr w:rsidR="00485A2D" w:rsidRPr="00131B9D" w:rsidTr="00384781">
        <w:trPr>
          <w:jc w:val="center"/>
        </w:trPr>
        <w:tc>
          <w:tcPr>
            <w:tcW w:w="4885" w:type="dxa"/>
            <w:tcBorders>
              <w:top w:val="dotted" w:sz="4" w:space="0" w:color="auto"/>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t>有關民生物資查價品項，囿於品項選取，恐無法呈現實況，建議未來可增列主計總處</w:t>
            </w:r>
            <w:r w:rsidRPr="00131B9D">
              <w:rPr>
                <w:rFonts w:eastAsia="標楷體"/>
                <w:color w:val="000000"/>
                <w:sz w:val="28"/>
                <w:szCs w:val="28"/>
              </w:rPr>
              <w:t>CPI</w:t>
            </w:r>
            <w:r w:rsidRPr="00131B9D">
              <w:rPr>
                <w:rFonts w:eastAsia="標楷體"/>
                <w:color w:val="000000"/>
                <w:sz w:val="28"/>
                <w:szCs w:val="28"/>
              </w:rPr>
              <w:t>細項部分，以利比對。</w:t>
            </w:r>
          </w:p>
        </w:tc>
        <w:tc>
          <w:tcPr>
            <w:tcW w:w="4634" w:type="dxa"/>
            <w:tcBorders>
              <w:top w:val="dotted" w:sz="4" w:space="0" w:color="auto"/>
              <w:bottom w:val="dotted" w:sz="4" w:space="0" w:color="auto"/>
            </w:tcBorders>
          </w:tcPr>
          <w:p w:rsidR="00485A2D" w:rsidRPr="00131B9D" w:rsidRDefault="00485A2D" w:rsidP="00485A2D">
            <w:pPr>
              <w:snapToGrid w:val="0"/>
              <w:jc w:val="both"/>
              <w:rPr>
                <w:rFonts w:eastAsia="標楷體"/>
                <w:color w:val="000000"/>
                <w:sz w:val="28"/>
                <w:szCs w:val="28"/>
              </w:rPr>
            </w:pPr>
            <w:r w:rsidRPr="00131B9D">
              <w:rPr>
                <w:rFonts w:eastAsia="標楷體"/>
                <w:color w:val="000000"/>
                <w:sz w:val="28"/>
                <w:szCs w:val="28"/>
              </w:rPr>
              <w:t>感謝委員建議。由於本研究計畫主要為</w:t>
            </w:r>
            <w:r w:rsidR="00CE1637" w:rsidRPr="00131B9D">
              <w:rPr>
                <w:rFonts w:eastAsia="標楷體"/>
                <w:color w:val="000000"/>
                <w:sz w:val="28"/>
                <w:szCs w:val="28"/>
              </w:rPr>
              <w:t>每</w:t>
            </w:r>
            <w:r w:rsidR="00CE1637">
              <w:rPr>
                <w:rFonts w:eastAsia="標楷體" w:hint="eastAsia"/>
                <w:color w:val="000000"/>
                <w:sz w:val="28"/>
                <w:szCs w:val="28"/>
              </w:rPr>
              <w:t>月兩次</w:t>
            </w:r>
            <w:r w:rsidRPr="00131B9D">
              <w:rPr>
                <w:rFonts w:eastAsia="標楷體"/>
                <w:color w:val="000000"/>
                <w:sz w:val="28"/>
                <w:szCs w:val="28"/>
              </w:rPr>
              <w:t>針對全臺之北、中、南區</w:t>
            </w:r>
            <w:r w:rsidRPr="00131B9D">
              <w:rPr>
                <w:rFonts w:eastAsia="標楷體"/>
                <w:color w:val="000000"/>
                <w:sz w:val="28"/>
                <w:szCs w:val="28"/>
              </w:rPr>
              <w:t>32</w:t>
            </w:r>
            <w:r w:rsidRPr="00131B9D">
              <w:rPr>
                <w:rFonts w:eastAsia="標楷體"/>
                <w:color w:val="000000"/>
                <w:sz w:val="28"/>
                <w:szCs w:val="28"/>
              </w:rPr>
              <w:t>家便利店、超市及量販店通路，共</w:t>
            </w:r>
            <w:r w:rsidRPr="00131B9D">
              <w:rPr>
                <w:rFonts w:eastAsia="標楷體"/>
                <w:color w:val="000000"/>
                <w:sz w:val="28"/>
                <w:szCs w:val="28"/>
              </w:rPr>
              <w:t>138</w:t>
            </w:r>
            <w:r w:rsidRPr="00131B9D">
              <w:rPr>
                <w:rFonts w:eastAsia="標楷體"/>
                <w:color w:val="000000"/>
                <w:sz w:val="28"/>
                <w:szCs w:val="28"/>
              </w:rPr>
              <w:t>項特定規格之重要民生商品進行查價，而主計總處為單月抽樣，且</w:t>
            </w:r>
            <w:r w:rsidRPr="00131B9D">
              <w:rPr>
                <w:rFonts w:eastAsia="標楷體"/>
                <w:color w:val="000000"/>
                <w:sz w:val="28"/>
                <w:szCs w:val="28"/>
              </w:rPr>
              <w:t>CPI</w:t>
            </w:r>
            <w:r w:rsidRPr="00131B9D">
              <w:rPr>
                <w:rFonts w:eastAsia="標楷體"/>
                <w:color w:val="000000"/>
                <w:sz w:val="28"/>
                <w:szCs w:val="28"/>
              </w:rPr>
              <w:t>提供價格資訊皆為大分類。例如，以鮮乳為例，本研究計畫針對味全林鳳營鮮乳</w:t>
            </w:r>
            <w:r w:rsidRPr="00131B9D">
              <w:rPr>
                <w:rFonts w:eastAsia="標楷體"/>
                <w:color w:val="000000"/>
                <w:sz w:val="28"/>
                <w:szCs w:val="28"/>
              </w:rPr>
              <w:t>1857</w:t>
            </w:r>
            <w:r w:rsidRPr="00131B9D">
              <w:rPr>
                <w:rFonts w:eastAsia="標楷體"/>
                <w:color w:val="000000"/>
                <w:sz w:val="28"/>
                <w:szCs w:val="28"/>
              </w:rPr>
              <w:t>毫升、瑞穗鮮乳</w:t>
            </w:r>
            <w:r w:rsidRPr="00131B9D">
              <w:rPr>
                <w:rFonts w:eastAsia="標楷體"/>
                <w:color w:val="000000"/>
                <w:sz w:val="28"/>
                <w:szCs w:val="28"/>
              </w:rPr>
              <w:t>930</w:t>
            </w:r>
            <w:r w:rsidRPr="00131B9D">
              <w:rPr>
                <w:rFonts w:eastAsia="標楷體"/>
                <w:color w:val="000000"/>
                <w:sz w:val="28"/>
                <w:szCs w:val="28"/>
              </w:rPr>
              <w:t>毫升、光泉鮮奶</w:t>
            </w:r>
            <w:r w:rsidRPr="00131B9D">
              <w:rPr>
                <w:rFonts w:eastAsia="標楷體"/>
                <w:color w:val="000000"/>
                <w:sz w:val="28"/>
                <w:szCs w:val="28"/>
              </w:rPr>
              <w:t>936</w:t>
            </w:r>
            <w:r w:rsidRPr="00131B9D">
              <w:rPr>
                <w:rFonts w:eastAsia="標楷體"/>
                <w:color w:val="000000"/>
                <w:sz w:val="28"/>
                <w:szCs w:val="28"/>
              </w:rPr>
              <w:t>毫升等品項進行查價，且規定查價規格需與指定容量一致，惟</w:t>
            </w:r>
            <w:r w:rsidRPr="00131B9D">
              <w:rPr>
                <w:rFonts w:eastAsia="標楷體"/>
                <w:color w:val="000000"/>
                <w:sz w:val="28"/>
                <w:szCs w:val="28"/>
              </w:rPr>
              <w:t>CPI</w:t>
            </w:r>
            <w:r w:rsidRPr="00131B9D">
              <w:rPr>
                <w:rFonts w:eastAsia="標楷體"/>
                <w:color w:val="000000"/>
                <w:sz w:val="28"/>
                <w:szCs w:val="28"/>
              </w:rPr>
              <w:t>僅提供「</w:t>
            </w:r>
            <w:r w:rsidRPr="00131B9D">
              <w:rPr>
                <w:rFonts w:eastAsia="標楷體"/>
                <w:color w:val="000000"/>
                <w:sz w:val="28"/>
                <w:szCs w:val="28"/>
              </w:rPr>
              <w:t>121</w:t>
            </w:r>
            <w:r w:rsidRPr="00131B9D">
              <w:rPr>
                <w:rFonts w:eastAsia="標楷體"/>
                <w:color w:val="000000"/>
                <w:sz w:val="28"/>
                <w:szCs w:val="28"/>
              </w:rPr>
              <w:t>鮮奶」類別之價格變化。另再以米為例，本計畫主要以三好米</w:t>
            </w:r>
            <w:r w:rsidRPr="00131B9D">
              <w:rPr>
                <w:rFonts w:eastAsia="標楷體"/>
                <w:color w:val="000000"/>
                <w:sz w:val="28"/>
                <w:szCs w:val="28"/>
              </w:rPr>
              <w:t>2</w:t>
            </w:r>
            <w:r w:rsidRPr="00131B9D">
              <w:rPr>
                <w:rFonts w:eastAsia="標楷體"/>
                <w:color w:val="000000"/>
                <w:sz w:val="28"/>
                <w:szCs w:val="28"/>
              </w:rPr>
              <w:t>、</w:t>
            </w:r>
            <w:r w:rsidRPr="00131B9D">
              <w:rPr>
                <w:rFonts w:eastAsia="標楷體"/>
                <w:color w:val="000000"/>
                <w:sz w:val="28"/>
                <w:szCs w:val="28"/>
              </w:rPr>
              <w:t>3.4</w:t>
            </w:r>
            <w:r w:rsidRPr="00131B9D">
              <w:rPr>
                <w:rFonts w:eastAsia="標楷體"/>
                <w:color w:val="000000"/>
                <w:sz w:val="28"/>
                <w:szCs w:val="28"/>
              </w:rPr>
              <w:t>、</w:t>
            </w:r>
            <w:r w:rsidRPr="00131B9D">
              <w:rPr>
                <w:rFonts w:eastAsia="標楷體"/>
                <w:color w:val="000000"/>
                <w:sz w:val="28"/>
                <w:szCs w:val="28"/>
              </w:rPr>
              <w:t>4</w:t>
            </w:r>
            <w:r w:rsidRPr="00131B9D">
              <w:rPr>
                <w:rFonts w:eastAsia="標楷體"/>
                <w:color w:val="000000"/>
                <w:sz w:val="28"/>
                <w:szCs w:val="28"/>
              </w:rPr>
              <w:t>公斤及中興米</w:t>
            </w:r>
            <w:r w:rsidRPr="00131B9D">
              <w:rPr>
                <w:rFonts w:eastAsia="標楷體"/>
                <w:color w:val="000000"/>
                <w:sz w:val="28"/>
                <w:szCs w:val="28"/>
              </w:rPr>
              <w:t>3.4</w:t>
            </w:r>
            <w:r w:rsidRPr="00131B9D">
              <w:rPr>
                <w:rFonts w:eastAsia="標楷體"/>
                <w:color w:val="000000"/>
                <w:sz w:val="28"/>
                <w:szCs w:val="28"/>
              </w:rPr>
              <w:t>及</w:t>
            </w:r>
            <w:r w:rsidRPr="00131B9D">
              <w:rPr>
                <w:rFonts w:eastAsia="標楷體"/>
                <w:color w:val="000000"/>
                <w:sz w:val="28"/>
                <w:szCs w:val="28"/>
              </w:rPr>
              <w:t>4</w:t>
            </w:r>
            <w:r w:rsidRPr="00131B9D">
              <w:rPr>
                <w:rFonts w:eastAsia="標楷體"/>
                <w:color w:val="000000"/>
                <w:sz w:val="28"/>
                <w:szCs w:val="28"/>
              </w:rPr>
              <w:t>公斤裝商品為查價項目，惟</w:t>
            </w:r>
            <w:r w:rsidRPr="00131B9D">
              <w:rPr>
                <w:rFonts w:eastAsia="標楷體"/>
                <w:color w:val="000000"/>
                <w:sz w:val="28"/>
                <w:szCs w:val="28"/>
              </w:rPr>
              <w:t>CPI</w:t>
            </w:r>
            <w:r w:rsidRPr="00131B9D">
              <w:rPr>
                <w:rFonts w:eastAsia="標楷體"/>
                <w:color w:val="000000"/>
                <w:sz w:val="28"/>
                <w:szCs w:val="28"/>
              </w:rPr>
              <w:t>提供類別則為「米類及其製品」。且主計處相關查價品項皆未標明抽樣場所與產品規格。因此，二者所反映之資訊能有所不同，若直接比較可能有失偏頗。惟後續研究團隊將觀察相關近似之主計處品項是否有大幅價格變化之情況，若過去半年有大幅變化者，研究團隊將彙整報告於金融情勢分析之物價章節。</w:t>
            </w:r>
          </w:p>
        </w:tc>
      </w:tr>
      <w:tr w:rsidR="00485A2D" w:rsidRPr="00131B9D" w:rsidTr="00B22890">
        <w:trPr>
          <w:jc w:val="center"/>
        </w:trPr>
        <w:tc>
          <w:tcPr>
            <w:tcW w:w="4885" w:type="dxa"/>
            <w:tcBorders>
              <w:top w:val="dotted" w:sz="4" w:space="0" w:color="auto"/>
              <w:bottom w:val="dotted" w:sz="4" w:space="0" w:color="auto"/>
            </w:tcBorders>
          </w:tcPr>
          <w:p w:rsidR="00485A2D" w:rsidRPr="00131B9D" w:rsidRDefault="00485A2D" w:rsidP="00485A2D">
            <w:pPr>
              <w:numPr>
                <w:ilvl w:val="0"/>
                <w:numId w:val="46"/>
              </w:numPr>
              <w:spacing w:line="240" w:lineRule="atLeast"/>
              <w:ind w:left="1077" w:hanging="1077"/>
              <w:jc w:val="both"/>
              <w:rPr>
                <w:rFonts w:eastAsia="標楷體"/>
                <w:color w:val="000000"/>
                <w:sz w:val="28"/>
                <w:szCs w:val="28"/>
              </w:rPr>
            </w:pPr>
            <w:r w:rsidRPr="00131B9D">
              <w:rPr>
                <w:rFonts w:eastAsia="標楷體"/>
                <w:color w:val="000000"/>
                <w:sz w:val="28"/>
                <w:szCs w:val="28"/>
              </w:rPr>
              <w:t>政策建議著墨不多，原物料部分建議補充景氣面之說明；民生物資部分請補充政府在穩定物價作法上有何精進或改善空間、食安風暴衝擊等；嬰兒奶粉則建議可進一步掌握通路資訊。</w:t>
            </w:r>
          </w:p>
        </w:tc>
        <w:tc>
          <w:tcPr>
            <w:tcW w:w="4634" w:type="dxa"/>
            <w:tcBorders>
              <w:top w:val="dotted" w:sz="4" w:space="0" w:color="auto"/>
              <w:bottom w:val="dotted" w:sz="4" w:space="0" w:color="auto"/>
            </w:tcBorders>
          </w:tcPr>
          <w:p w:rsidR="00485A2D" w:rsidRPr="00131B9D" w:rsidRDefault="00485A2D" w:rsidP="008635E4">
            <w:pPr>
              <w:snapToGrid w:val="0"/>
              <w:jc w:val="both"/>
              <w:rPr>
                <w:rFonts w:eastAsia="標楷體"/>
                <w:color w:val="000000"/>
                <w:sz w:val="28"/>
                <w:szCs w:val="28"/>
              </w:rPr>
            </w:pPr>
            <w:r w:rsidRPr="00131B9D">
              <w:rPr>
                <w:rFonts w:eastAsia="標楷體"/>
                <w:color w:val="000000"/>
                <w:kern w:val="0"/>
                <w:sz w:val="28"/>
                <w:szCs w:val="28"/>
              </w:rPr>
              <w:t>感謝委員的建議。</w:t>
            </w:r>
            <w:r w:rsidR="008635E4" w:rsidRPr="00131B9D">
              <w:rPr>
                <w:rFonts w:eastAsia="標楷體"/>
                <w:kern w:val="0"/>
                <w:sz w:val="28"/>
                <w:szCs w:val="28"/>
              </w:rPr>
              <w:t>原物料部分景氣面之說明已補充於內文（</w:t>
            </w:r>
            <w:r w:rsidR="008635E4" w:rsidRPr="00131B9D">
              <w:rPr>
                <w:rFonts w:eastAsia="標楷體"/>
                <w:kern w:val="0"/>
                <w:sz w:val="28"/>
                <w:szCs w:val="28"/>
              </w:rPr>
              <w:t>p.1</w:t>
            </w:r>
            <w:r w:rsidR="003A3331" w:rsidRPr="00131B9D">
              <w:rPr>
                <w:rFonts w:eastAsia="標楷體"/>
                <w:kern w:val="0"/>
                <w:sz w:val="28"/>
                <w:szCs w:val="28"/>
              </w:rPr>
              <w:t>59</w:t>
            </w:r>
            <w:r w:rsidR="008635E4" w:rsidRPr="00131B9D">
              <w:rPr>
                <w:rFonts w:eastAsia="標楷體"/>
                <w:kern w:val="0"/>
                <w:sz w:val="28"/>
                <w:szCs w:val="28"/>
              </w:rPr>
              <w:t>）。並</w:t>
            </w:r>
            <w:r w:rsidRPr="00131B9D">
              <w:rPr>
                <w:rFonts w:eastAsia="標楷體"/>
                <w:color w:val="000000"/>
                <w:kern w:val="0"/>
                <w:sz w:val="28"/>
                <w:szCs w:val="28"/>
              </w:rPr>
              <w:t>新增相關政策建議與做法於第伍章、政策建議說明。再次感謝委員的指導與建議。</w:t>
            </w:r>
          </w:p>
        </w:tc>
      </w:tr>
      <w:tr w:rsidR="00B22890" w:rsidRPr="00131B9D" w:rsidTr="00B22890">
        <w:trPr>
          <w:jc w:val="center"/>
        </w:trPr>
        <w:tc>
          <w:tcPr>
            <w:tcW w:w="4885" w:type="dxa"/>
            <w:tcBorders>
              <w:top w:val="dotted" w:sz="4" w:space="0" w:color="auto"/>
              <w:bottom w:val="dotted" w:sz="4" w:space="0" w:color="auto"/>
            </w:tcBorders>
          </w:tcPr>
          <w:p w:rsidR="00B22890" w:rsidRPr="00131B9D" w:rsidRDefault="00B22890" w:rsidP="00485A2D">
            <w:pPr>
              <w:numPr>
                <w:ilvl w:val="0"/>
                <w:numId w:val="46"/>
              </w:numPr>
              <w:spacing w:line="240" w:lineRule="atLeast"/>
              <w:ind w:left="1077" w:hanging="1077"/>
              <w:jc w:val="both"/>
              <w:rPr>
                <w:rFonts w:eastAsia="標楷體"/>
                <w:sz w:val="28"/>
                <w:szCs w:val="28"/>
              </w:rPr>
            </w:pPr>
            <w:r w:rsidRPr="00131B9D">
              <w:rPr>
                <w:rFonts w:eastAsia="標楷體"/>
                <w:sz w:val="28"/>
                <w:szCs w:val="28"/>
              </w:rPr>
              <w:lastRenderedPageBreak/>
              <w:t>報告內容資料來源之引用請註明出處，另請注意網路引用資料之正確性。部分敘述或用詞欠缺中性，建議調整。</w:t>
            </w:r>
          </w:p>
        </w:tc>
        <w:tc>
          <w:tcPr>
            <w:tcW w:w="4634" w:type="dxa"/>
            <w:tcBorders>
              <w:top w:val="dotted" w:sz="4" w:space="0" w:color="auto"/>
              <w:bottom w:val="dotted" w:sz="4" w:space="0" w:color="auto"/>
            </w:tcBorders>
          </w:tcPr>
          <w:p w:rsidR="00B22890" w:rsidRPr="00131B9D" w:rsidRDefault="00B22890" w:rsidP="003A3331">
            <w:pPr>
              <w:snapToGrid w:val="0"/>
              <w:jc w:val="both"/>
              <w:rPr>
                <w:rFonts w:eastAsia="標楷體"/>
                <w:color w:val="000000"/>
                <w:kern w:val="0"/>
                <w:sz w:val="28"/>
                <w:szCs w:val="28"/>
              </w:rPr>
            </w:pPr>
            <w:r w:rsidRPr="00131B9D">
              <w:rPr>
                <w:rFonts w:eastAsia="標楷體"/>
                <w:color w:val="000000"/>
                <w:kern w:val="0"/>
                <w:sz w:val="28"/>
                <w:szCs w:val="28"/>
              </w:rPr>
              <w:t>感謝委員建議，報告內容資料來源之引用皆已於內文註明出處。相關用詞皆改以中性敘述方式呈現</w:t>
            </w:r>
            <w:r w:rsidRPr="00131B9D">
              <w:rPr>
                <w:rFonts w:eastAsia="標楷體"/>
                <w:color w:val="000000"/>
                <w:kern w:val="0"/>
                <w:sz w:val="28"/>
                <w:szCs w:val="28"/>
              </w:rPr>
              <w:t>(p.</w:t>
            </w:r>
            <w:r w:rsidR="003A3331" w:rsidRPr="00131B9D">
              <w:rPr>
                <w:rFonts w:eastAsia="標楷體"/>
                <w:color w:val="000000"/>
                <w:kern w:val="0"/>
                <w:sz w:val="28"/>
                <w:szCs w:val="28"/>
              </w:rPr>
              <w:t>48</w:t>
            </w:r>
            <w:r w:rsidRPr="00131B9D">
              <w:rPr>
                <w:rFonts w:eastAsia="標楷體"/>
                <w:color w:val="000000"/>
                <w:kern w:val="0"/>
                <w:sz w:val="28"/>
                <w:szCs w:val="28"/>
              </w:rPr>
              <w:t>-</w:t>
            </w:r>
            <w:r w:rsidR="003A3331" w:rsidRPr="00131B9D">
              <w:rPr>
                <w:rFonts w:eastAsia="標楷體"/>
                <w:color w:val="000000"/>
                <w:kern w:val="0"/>
                <w:sz w:val="28"/>
                <w:szCs w:val="28"/>
              </w:rPr>
              <w:t>52</w:t>
            </w:r>
            <w:r w:rsidRPr="00131B9D">
              <w:rPr>
                <w:rFonts w:eastAsia="標楷體"/>
                <w:color w:val="000000"/>
                <w:kern w:val="0"/>
                <w:sz w:val="28"/>
                <w:szCs w:val="28"/>
              </w:rPr>
              <w:t>)</w:t>
            </w:r>
            <w:r w:rsidRPr="00131B9D">
              <w:rPr>
                <w:rFonts w:eastAsia="標楷體"/>
                <w:color w:val="000000"/>
                <w:kern w:val="0"/>
                <w:sz w:val="28"/>
                <w:szCs w:val="28"/>
              </w:rPr>
              <w:t>。</w:t>
            </w:r>
          </w:p>
        </w:tc>
      </w:tr>
      <w:tr w:rsidR="00B22890" w:rsidRPr="00131B9D" w:rsidTr="00B22890">
        <w:trPr>
          <w:jc w:val="center"/>
        </w:trPr>
        <w:tc>
          <w:tcPr>
            <w:tcW w:w="4885" w:type="dxa"/>
            <w:tcBorders>
              <w:top w:val="dotted" w:sz="4" w:space="0" w:color="auto"/>
              <w:bottom w:val="dotted" w:sz="4" w:space="0" w:color="auto"/>
            </w:tcBorders>
          </w:tcPr>
          <w:p w:rsidR="00B22890" w:rsidRPr="00131B9D" w:rsidRDefault="00B22890" w:rsidP="00485A2D">
            <w:pPr>
              <w:numPr>
                <w:ilvl w:val="0"/>
                <w:numId w:val="46"/>
              </w:numPr>
              <w:spacing w:line="240" w:lineRule="atLeast"/>
              <w:ind w:left="1077" w:hanging="1077"/>
              <w:jc w:val="both"/>
              <w:rPr>
                <w:rFonts w:eastAsia="標楷體"/>
                <w:sz w:val="28"/>
                <w:szCs w:val="28"/>
              </w:rPr>
            </w:pPr>
            <w:r w:rsidRPr="00131B9D">
              <w:rPr>
                <w:rFonts w:eastAsia="標楷體"/>
                <w:sz w:val="28"/>
                <w:szCs w:val="28"/>
              </w:rPr>
              <w:t>請加強報告內容歷史資料之更新，過去的預測報告可刪除或更至最新（例</w:t>
            </w:r>
            <w:r w:rsidRPr="00131B9D">
              <w:rPr>
                <w:rFonts w:eastAsia="標楷體"/>
                <w:sz w:val="28"/>
                <w:szCs w:val="28"/>
              </w:rPr>
              <w:t>p.124</w:t>
            </w:r>
            <w:r w:rsidRPr="00131B9D">
              <w:rPr>
                <w:rFonts w:eastAsia="標楷體"/>
                <w:sz w:val="28"/>
                <w:szCs w:val="28"/>
              </w:rPr>
              <w:t>、</w:t>
            </w:r>
            <w:r w:rsidRPr="00131B9D">
              <w:rPr>
                <w:rFonts w:eastAsia="標楷體"/>
                <w:sz w:val="28"/>
                <w:szCs w:val="28"/>
              </w:rPr>
              <w:t>p.151</w:t>
            </w:r>
            <w:r w:rsidRPr="00131B9D">
              <w:rPr>
                <w:rFonts w:eastAsia="標楷體"/>
                <w:sz w:val="28"/>
                <w:szCs w:val="28"/>
              </w:rPr>
              <w:t>）。</w:t>
            </w:r>
          </w:p>
        </w:tc>
        <w:tc>
          <w:tcPr>
            <w:tcW w:w="4634" w:type="dxa"/>
            <w:tcBorders>
              <w:top w:val="dotted" w:sz="4" w:space="0" w:color="auto"/>
              <w:bottom w:val="dotted" w:sz="4" w:space="0" w:color="auto"/>
            </w:tcBorders>
          </w:tcPr>
          <w:p w:rsidR="00B22890" w:rsidRPr="00131B9D" w:rsidRDefault="00B22890" w:rsidP="003A3331">
            <w:pPr>
              <w:snapToGrid w:val="0"/>
              <w:jc w:val="both"/>
              <w:rPr>
                <w:rFonts w:eastAsia="標楷體"/>
                <w:color w:val="000000"/>
                <w:kern w:val="0"/>
                <w:sz w:val="28"/>
                <w:szCs w:val="28"/>
              </w:rPr>
            </w:pPr>
            <w:r w:rsidRPr="00131B9D">
              <w:rPr>
                <w:rFonts w:eastAsia="標楷體"/>
                <w:kern w:val="0"/>
                <w:sz w:val="28"/>
                <w:szCs w:val="28"/>
              </w:rPr>
              <w:t>感謝委員建議，預測報告或資料內容原則上皆以撰寫截止日期結束前可取得之最新資料為基準，故會出現資料有落差的現象，惟</w:t>
            </w:r>
            <w:r w:rsidRPr="00131B9D">
              <w:rPr>
                <w:rFonts w:eastAsia="標楷體"/>
                <w:kern w:val="0"/>
                <w:sz w:val="28"/>
                <w:szCs w:val="28"/>
              </w:rPr>
              <w:t>p.12</w:t>
            </w:r>
            <w:r w:rsidR="003A3331" w:rsidRPr="00131B9D">
              <w:rPr>
                <w:rFonts w:eastAsia="標楷體"/>
                <w:kern w:val="0"/>
                <w:sz w:val="28"/>
                <w:szCs w:val="28"/>
              </w:rPr>
              <w:t>0</w:t>
            </w:r>
            <w:r w:rsidRPr="00131B9D">
              <w:rPr>
                <w:rFonts w:eastAsia="標楷體"/>
                <w:kern w:val="0"/>
                <w:sz w:val="28"/>
                <w:szCs w:val="28"/>
              </w:rPr>
              <w:t>、</w:t>
            </w:r>
            <w:r w:rsidRPr="00131B9D">
              <w:rPr>
                <w:rFonts w:eastAsia="標楷體"/>
                <w:kern w:val="0"/>
                <w:sz w:val="28"/>
                <w:szCs w:val="28"/>
              </w:rPr>
              <w:t>12</w:t>
            </w:r>
            <w:r w:rsidR="003A3331" w:rsidRPr="00131B9D">
              <w:rPr>
                <w:rFonts w:eastAsia="標楷體"/>
                <w:kern w:val="0"/>
                <w:sz w:val="28"/>
                <w:szCs w:val="28"/>
              </w:rPr>
              <w:t>1</w:t>
            </w:r>
            <w:r w:rsidRPr="00131B9D">
              <w:rPr>
                <w:rFonts w:eastAsia="標楷體"/>
                <w:kern w:val="0"/>
                <w:sz w:val="28"/>
                <w:szCs w:val="28"/>
              </w:rPr>
              <w:t>依委員需要，再度更新</w:t>
            </w:r>
            <w:r w:rsidRPr="00131B9D">
              <w:rPr>
                <w:rFonts w:eastAsia="標楷體"/>
                <w:kern w:val="0"/>
                <w:sz w:val="28"/>
                <w:szCs w:val="28"/>
              </w:rPr>
              <w:t>IMF</w:t>
            </w:r>
            <w:r w:rsidRPr="00131B9D">
              <w:rPr>
                <w:rFonts w:eastAsia="標楷體"/>
                <w:kern w:val="0"/>
                <w:sz w:val="28"/>
                <w:szCs w:val="28"/>
              </w:rPr>
              <w:t>近期預測資料，然因各機構預測時間點不同，所應用之基礎估計資訊將有差異，故各機構間對未來品項價格預測數值和趨勢並不完全一致。</w:t>
            </w:r>
            <w:r w:rsidR="003A3331" w:rsidRPr="00131B9D">
              <w:rPr>
                <w:rFonts w:eastAsia="標楷體"/>
                <w:kern w:val="0"/>
                <w:sz w:val="28"/>
                <w:szCs w:val="28"/>
              </w:rPr>
              <w:t>p.143-144</w:t>
            </w:r>
            <w:r w:rsidR="003A3331" w:rsidRPr="00131B9D">
              <w:rPr>
                <w:rFonts w:eastAsia="標楷體"/>
                <w:kern w:val="0"/>
                <w:sz w:val="28"/>
                <w:szCs w:val="28"/>
              </w:rPr>
              <w:t>之</w:t>
            </w:r>
            <w:r w:rsidRPr="00131B9D">
              <w:rPr>
                <w:rFonts w:eastAsia="標楷體"/>
                <w:kern w:val="0"/>
                <w:sz w:val="28"/>
                <w:szCs w:val="28"/>
              </w:rPr>
              <w:t>報告內容歷史資料</w:t>
            </w:r>
            <w:r w:rsidR="003A3331" w:rsidRPr="00131B9D">
              <w:rPr>
                <w:rFonts w:eastAsia="標楷體"/>
                <w:kern w:val="0"/>
                <w:sz w:val="28"/>
                <w:szCs w:val="28"/>
              </w:rPr>
              <w:t>則</w:t>
            </w:r>
            <w:r w:rsidRPr="00131B9D">
              <w:rPr>
                <w:rFonts w:eastAsia="標楷體"/>
                <w:kern w:val="0"/>
                <w:sz w:val="28"/>
                <w:szCs w:val="28"/>
              </w:rPr>
              <w:t>已更新。</w:t>
            </w:r>
          </w:p>
        </w:tc>
      </w:tr>
      <w:tr w:rsidR="00B22890" w:rsidRPr="00131B9D" w:rsidTr="00B22890">
        <w:trPr>
          <w:jc w:val="center"/>
        </w:trPr>
        <w:tc>
          <w:tcPr>
            <w:tcW w:w="4885" w:type="dxa"/>
            <w:tcBorders>
              <w:top w:val="dotted" w:sz="4" w:space="0" w:color="auto"/>
              <w:bottom w:val="dotted" w:sz="4" w:space="0" w:color="auto"/>
            </w:tcBorders>
          </w:tcPr>
          <w:p w:rsidR="00B22890" w:rsidRPr="00131B9D" w:rsidRDefault="00B22890" w:rsidP="00485A2D">
            <w:pPr>
              <w:numPr>
                <w:ilvl w:val="0"/>
                <w:numId w:val="46"/>
              </w:numPr>
              <w:spacing w:line="240" w:lineRule="atLeast"/>
              <w:ind w:left="1077" w:hanging="1077"/>
              <w:jc w:val="both"/>
              <w:rPr>
                <w:rFonts w:eastAsia="標楷體"/>
                <w:sz w:val="28"/>
                <w:szCs w:val="28"/>
              </w:rPr>
            </w:pPr>
            <w:r w:rsidRPr="00131B9D">
              <w:rPr>
                <w:rFonts w:eastAsia="標楷體"/>
                <w:kern w:val="0"/>
                <w:sz w:val="28"/>
                <w:szCs w:val="28"/>
              </w:rPr>
              <w:t>相關圖表應有對應之文字說明（例：</w:t>
            </w:r>
            <w:r w:rsidRPr="00131B9D">
              <w:rPr>
                <w:rFonts w:eastAsia="標楷體"/>
                <w:kern w:val="0"/>
                <w:sz w:val="28"/>
                <w:szCs w:val="28"/>
              </w:rPr>
              <w:t>p122</w:t>
            </w:r>
            <w:r w:rsidRPr="00131B9D">
              <w:rPr>
                <w:rFonts w:eastAsia="標楷體"/>
                <w:kern w:val="0"/>
                <w:sz w:val="28"/>
                <w:szCs w:val="28"/>
              </w:rPr>
              <w:t>圖</w:t>
            </w:r>
            <w:r w:rsidRPr="00131B9D">
              <w:rPr>
                <w:rFonts w:eastAsia="標楷體"/>
                <w:kern w:val="0"/>
                <w:sz w:val="28"/>
                <w:szCs w:val="28"/>
              </w:rPr>
              <w:t>3-41</w:t>
            </w:r>
            <w:r w:rsidRPr="00131B9D">
              <w:rPr>
                <w:rFonts w:eastAsia="標楷體"/>
                <w:kern w:val="0"/>
                <w:sz w:val="28"/>
                <w:szCs w:val="28"/>
              </w:rPr>
              <w:t>、</w:t>
            </w:r>
            <w:r w:rsidRPr="00131B9D">
              <w:rPr>
                <w:rFonts w:eastAsia="標楷體"/>
                <w:kern w:val="0"/>
                <w:sz w:val="28"/>
                <w:szCs w:val="28"/>
              </w:rPr>
              <w:t>p125</w:t>
            </w:r>
            <w:r w:rsidRPr="00131B9D">
              <w:rPr>
                <w:rFonts w:eastAsia="標楷體"/>
                <w:kern w:val="0"/>
                <w:sz w:val="28"/>
                <w:szCs w:val="28"/>
              </w:rPr>
              <w:t>圖</w:t>
            </w:r>
            <w:r w:rsidRPr="00131B9D">
              <w:rPr>
                <w:rFonts w:eastAsia="標楷體"/>
                <w:kern w:val="0"/>
                <w:sz w:val="28"/>
                <w:szCs w:val="28"/>
              </w:rPr>
              <w:t>3-43</w:t>
            </w:r>
            <w:r w:rsidRPr="00131B9D">
              <w:rPr>
                <w:rFonts w:eastAsia="標楷體"/>
                <w:kern w:val="0"/>
                <w:sz w:val="28"/>
                <w:szCs w:val="28"/>
              </w:rPr>
              <w:t>未於內文說明），另請注意圖文是否一致。（例：</w:t>
            </w:r>
            <w:r w:rsidRPr="00131B9D">
              <w:rPr>
                <w:rFonts w:eastAsia="標楷體"/>
                <w:kern w:val="0"/>
                <w:sz w:val="28"/>
                <w:szCs w:val="28"/>
              </w:rPr>
              <w:t>p123</w:t>
            </w:r>
            <w:r w:rsidRPr="00131B9D">
              <w:rPr>
                <w:rFonts w:eastAsia="標楷體"/>
                <w:kern w:val="0"/>
                <w:sz w:val="28"/>
                <w:szCs w:val="28"/>
              </w:rPr>
              <w:t>內文敘述與圖</w:t>
            </w:r>
            <w:r w:rsidRPr="00131B9D">
              <w:rPr>
                <w:rFonts w:eastAsia="標楷體"/>
                <w:kern w:val="0"/>
                <w:sz w:val="28"/>
                <w:szCs w:val="28"/>
              </w:rPr>
              <w:t>3-42</w:t>
            </w:r>
            <w:r w:rsidRPr="00131B9D">
              <w:rPr>
                <w:rFonts w:eastAsia="標楷體"/>
                <w:kern w:val="0"/>
                <w:sz w:val="28"/>
                <w:szCs w:val="28"/>
              </w:rPr>
              <w:t>不符）。</w:t>
            </w:r>
          </w:p>
        </w:tc>
        <w:tc>
          <w:tcPr>
            <w:tcW w:w="4634" w:type="dxa"/>
            <w:tcBorders>
              <w:top w:val="dotted" w:sz="4" w:space="0" w:color="auto"/>
              <w:bottom w:val="dotted" w:sz="4" w:space="0" w:color="auto"/>
            </w:tcBorders>
          </w:tcPr>
          <w:p w:rsidR="00B22890" w:rsidRPr="00131B9D" w:rsidRDefault="00B22890" w:rsidP="003A3331">
            <w:pPr>
              <w:snapToGrid w:val="0"/>
              <w:jc w:val="both"/>
              <w:rPr>
                <w:rFonts w:eastAsia="標楷體"/>
                <w:color w:val="000000"/>
                <w:kern w:val="0"/>
                <w:sz w:val="28"/>
                <w:szCs w:val="28"/>
              </w:rPr>
            </w:pPr>
            <w:r w:rsidRPr="00131B9D">
              <w:rPr>
                <w:rFonts w:eastAsia="標楷體"/>
                <w:color w:val="000000" w:themeColor="text1"/>
                <w:sz w:val="28"/>
                <w:szCs w:val="28"/>
              </w:rPr>
              <w:t>感謝委員建議，</w:t>
            </w:r>
            <w:r w:rsidRPr="00131B9D">
              <w:rPr>
                <w:rFonts w:eastAsia="標楷體"/>
                <w:color w:val="000000" w:themeColor="text1"/>
                <w:sz w:val="28"/>
                <w:szCs w:val="28"/>
              </w:rPr>
              <w:t>p</w:t>
            </w:r>
            <w:r w:rsidR="003A3331" w:rsidRPr="00131B9D">
              <w:rPr>
                <w:rFonts w:eastAsia="標楷體"/>
                <w:color w:val="000000" w:themeColor="text1"/>
                <w:sz w:val="28"/>
                <w:szCs w:val="28"/>
              </w:rPr>
              <w:t>.113-114</w:t>
            </w:r>
            <w:r w:rsidRPr="00131B9D">
              <w:rPr>
                <w:rFonts w:eastAsia="標楷體"/>
                <w:color w:val="000000" w:themeColor="text1"/>
                <w:sz w:val="28"/>
                <w:szCs w:val="28"/>
              </w:rPr>
              <w:t>已在文字敘述中加入與圖</w:t>
            </w:r>
            <w:r w:rsidRPr="00131B9D">
              <w:rPr>
                <w:rFonts w:eastAsia="標楷體"/>
                <w:color w:val="000000" w:themeColor="text1"/>
                <w:sz w:val="28"/>
                <w:szCs w:val="28"/>
              </w:rPr>
              <w:t>3-41</w:t>
            </w:r>
            <w:r w:rsidRPr="00131B9D">
              <w:rPr>
                <w:rFonts w:eastAsia="標楷體"/>
                <w:color w:val="000000" w:themeColor="text1"/>
                <w:sz w:val="28"/>
                <w:szCs w:val="28"/>
              </w:rPr>
              <w:t>對應之說明，並於價格趨勢圖中新增中國大陸水泥價格以供參考；</w:t>
            </w:r>
            <w:r w:rsidRPr="00131B9D">
              <w:rPr>
                <w:rFonts w:eastAsia="標楷體"/>
                <w:color w:val="000000" w:themeColor="text1"/>
                <w:sz w:val="28"/>
                <w:szCs w:val="28"/>
              </w:rPr>
              <w:t>p.11</w:t>
            </w:r>
            <w:r w:rsidR="003A3331" w:rsidRPr="00131B9D">
              <w:rPr>
                <w:rFonts w:eastAsia="標楷體"/>
                <w:color w:val="000000" w:themeColor="text1"/>
                <w:sz w:val="28"/>
                <w:szCs w:val="28"/>
              </w:rPr>
              <w:t>5</w:t>
            </w:r>
            <w:r w:rsidRPr="00131B9D">
              <w:rPr>
                <w:rFonts w:eastAsia="標楷體"/>
                <w:color w:val="000000" w:themeColor="text1"/>
                <w:sz w:val="28"/>
                <w:szCs w:val="28"/>
              </w:rPr>
              <w:t>已修改文字敘述，使之與圖</w:t>
            </w:r>
            <w:r w:rsidRPr="00131B9D">
              <w:rPr>
                <w:rFonts w:eastAsia="標楷體"/>
                <w:color w:val="000000" w:themeColor="text1"/>
                <w:sz w:val="28"/>
                <w:szCs w:val="28"/>
              </w:rPr>
              <w:t>3-42</w:t>
            </w:r>
            <w:r w:rsidRPr="00131B9D">
              <w:rPr>
                <w:rFonts w:eastAsia="標楷體"/>
                <w:color w:val="000000" w:themeColor="text1"/>
                <w:sz w:val="28"/>
                <w:szCs w:val="28"/>
              </w:rPr>
              <w:t>價格趨勢相符；</w:t>
            </w:r>
            <w:r w:rsidRPr="00131B9D">
              <w:rPr>
                <w:rFonts w:eastAsia="標楷體"/>
                <w:color w:val="000000" w:themeColor="text1"/>
                <w:sz w:val="28"/>
                <w:szCs w:val="28"/>
              </w:rPr>
              <w:t>p.11</w:t>
            </w:r>
            <w:r w:rsidR="003A3331" w:rsidRPr="00131B9D">
              <w:rPr>
                <w:rFonts w:eastAsia="標楷體"/>
                <w:color w:val="000000" w:themeColor="text1"/>
                <w:sz w:val="28"/>
                <w:szCs w:val="28"/>
              </w:rPr>
              <w:t>7</w:t>
            </w:r>
            <w:r w:rsidRPr="00131B9D">
              <w:rPr>
                <w:rFonts w:eastAsia="標楷體"/>
                <w:color w:val="000000" w:themeColor="text1"/>
                <w:sz w:val="28"/>
                <w:szCs w:val="28"/>
              </w:rPr>
              <w:t>已修改部分文字敘述，並加入與圖</w:t>
            </w:r>
            <w:r w:rsidRPr="00131B9D">
              <w:rPr>
                <w:rFonts w:eastAsia="標楷體"/>
                <w:color w:val="000000" w:themeColor="text1"/>
                <w:sz w:val="28"/>
                <w:szCs w:val="28"/>
              </w:rPr>
              <w:t>3-43</w:t>
            </w:r>
            <w:r w:rsidRPr="00131B9D">
              <w:rPr>
                <w:rFonts w:eastAsia="標楷體"/>
                <w:color w:val="000000" w:themeColor="text1"/>
                <w:sz w:val="28"/>
                <w:szCs w:val="28"/>
              </w:rPr>
              <w:t>相對應之說明。</w:t>
            </w:r>
          </w:p>
        </w:tc>
      </w:tr>
      <w:tr w:rsidR="00B22890" w:rsidRPr="00131B9D" w:rsidTr="00B22890">
        <w:trPr>
          <w:jc w:val="center"/>
        </w:trPr>
        <w:tc>
          <w:tcPr>
            <w:tcW w:w="4885" w:type="dxa"/>
            <w:tcBorders>
              <w:top w:val="dotted" w:sz="4" w:space="0" w:color="auto"/>
              <w:bottom w:val="dotted" w:sz="4" w:space="0" w:color="auto"/>
            </w:tcBorders>
          </w:tcPr>
          <w:p w:rsidR="00B22890" w:rsidRPr="00131B9D" w:rsidRDefault="00B22890" w:rsidP="00485A2D">
            <w:pPr>
              <w:numPr>
                <w:ilvl w:val="0"/>
                <w:numId w:val="46"/>
              </w:numPr>
              <w:spacing w:line="240" w:lineRule="atLeast"/>
              <w:ind w:left="1077" w:hanging="1077"/>
              <w:jc w:val="both"/>
              <w:rPr>
                <w:rFonts w:eastAsia="標楷體"/>
                <w:sz w:val="28"/>
                <w:szCs w:val="28"/>
              </w:rPr>
            </w:pPr>
            <w:r w:rsidRPr="00131B9D">
              <w:rPr>
                <w:rFonts w:eastAsia="標楷體"/>
                <w:sz w:val="28"/>
              </w:rPr>
              <w:t>部分影響民生物價之因素未更新，如</w:t>
            </w:r>
            <w:r w:rsidRPr="00131B9D">
              <w:rPr>
                <w:rFonts w:eastAsia="標楷體"/>
                <w:sz w:val="28"/>
              </w:rPr>
              <w:t>p135</w:t>
            </w:r>
            <w:r w:rsidRPr="00131B9D">
              <w:rPr>
                <w:rFonts w:eastAsia="標楷體"/>
                <w:sz w:val="28"/>
              </w:rPr>
              <w:t>圖</w:t>
            </w:r>
            <w:r w:rsidRPr="00131B9D">
              <w:rPr>
                <w:rFonts w:eastAsia="標楷體"/>
                <w:sz w:val="28"/>
              </w:rPr>
              <w:t>4-2</w:t>
            </w:r>
            <w:r w:rsidRPr="00131B9D">
              <w:rPr>
                <w:rFonts w:eastAsia="標楷體"/>
                <w:sz w:val="28"/>
              </w:rPr>
              <w:t>、</w:t>
            </w:r>
            <w:r w:rsidRPr="00131B9D">
              <w:rPr>
                <w:rFonts w:eastAsia="標楷體"/>
                <w:sz w:val="28"/>
              </w:rPr>
              <w:t>p141</w:t>
            </w:r>
            <w:r w:rsidRPr="00131B9D">
              <w:rPr>
                <w:rFonts w:eastAsia="標楷體"/>
                <w:sz w:val="28"/>
              </w:rPr>
              <w:t>圖</w:t>
            </w:r>
            <w:r w:rsidRPr="00131B9D">
              <w:rPr>
                <w:rFonts w:eastAsia="標楷體"/>
                <w:sz w:val="28"/>
              </w:rPr>
              <w:t>4-6</w:t>
            </w:r>
            <w:r w:rsidRPr="00131B9D">
              <w:rPr>
                <w:rFonts w:eastAsia="標楷體"/>
                <w:sz w:val="28"/>
              </w:rPr>
              <w:t>、</w:t>
            </w:r>
            <w:r w:rsidRPr="00131B9D">
              <w:rPr>
                <w:rFonts w:eastAsia="標楷體"/>
                <w:sz w:val="28"/>
              </w:rPr>
              <w:t>p143</w:t>
            </w:r>
            <w:r w:rsidRPr="00131B9D">
              <w:rPr>
                <w:rFonts w:eastAsia="標楷體"/>
                <w:sz w:val="28"/>
              </w:rPr>
              <w:t>圖</w:t>
            </w:r>
            <w:r w:rsidRPr="00131B9D">
              <w:rPr>
                <w:rFonts w:eastAsia="標楷體"/>
                <w:sz w:val="28"/>
              </w:rPr>
              <w:t>4-9</w:t>
            </w:r>
            <w:r w:rsidRPr="00131B9D">
              <w:rPr>
                <w:rFonts w:eastAsia="標楷體"/>
                <w:sz w:val="28"/>
              </w:rPr>
              <w:t>僅呈現至</w:t>
            </w:r>
            <w:r w:rsidRPr="00131B9D">
              <w:rPr>
                <w:rFonts w:eastAsia="標楷體"/>
                <w:sz w:val="28"/>
              </w:rPr>
              <w:t>2015</w:t>
            </w:r>
            <w:r w:rsidRPr="00131B9D">
              <w:rPr>
                <w:rFonts w:eastAsia="標楷體"/>
                <w:sz w:val="28"/>
              </w:rPr>
              <w:t>年上半年，內文相關說明亦未更新，請補充。</w:t>
            </w:r>
          </w:p>
        </w:tc>
        <w:tc>
          <w:tcPr>
            <w:tcW w:w="4634" w:type="dxa"/>
            <w:tcBorders>
              <w:top w:val="dotted" w:sz="4" w:space="0" w:color="auto"/>
              <w:bottom w:val="dotted" w:sz="4" w:space="0" w:color="auto"/>
            </w:tcBorders>
          </w:tcPr>
          <w:p w:rsidR="00B22890" w:rsidRPr="00131B9D" w:rsidRDefault="00B22890" w:rsidP="00BD3E36">
            <w:pPr>
              <w:snapToGrid w:val="0"/>
              <w:jc w:val="both"/>
              <w:rPr>
                <w:rFonts w:eastAsia="標楷體"/>
                <w:color w:val="000000"/>
                <w:kern w:val="0"/>
                <w:sz w:val="28"/>
                <w:szCs w:val="28"/>
              </w:rPr>
            </w:pPr>
            <w:r w:rsidRPr="00131B9D">
              <w:rPr>
                <w:rFonts w:eastAsia="標楷體"/>
                <w:sz w:val="28"/>
                <w:szCs w:val="28"/>
              </w:rPr>
              <w:t>感謝委員建議，惟部份事件為當期或當季變化，如圖</w:t>
            </w:r>
            <w:r w:rsidRPr="00131B9D">
              <w:rPr>
                <w:rFonts w:eastAsia="標楷體"/>
                <w:sz w:val="28"/>
                <w:szCs w:val="28"/>
              </w:rPr>
              <w:t>4-2</w:t>
            </w:r>
            <w:r w:rsidRPr="00131B9D">
              <w:rPr>
                <w:rFonts w:eastAsia="標楷體"/>
                <w:sz w:val="28"/>
                <w:szCs w:val="28"/>
              </w:rPr>
              <w:t>與圖</w:t>
            </w:r>
            <w:r w:rsidRPr="00131B9D">
              <w:rPr>
                <w:rFonts w:eastAsia="標楷體"/>
                <w:sz w:val="28"/>
                <w:szCs w:val="28"/>
              </w:rPr>
              <w:t>4-6</w:t>
            </w:r>
            <w:r w:rsidRPr="00131B9D">
              <w:rPr>
                <w:rFonts w:eastAsia="標楷體"/>
                <w:sz w:val="28"/>
                <w:szCs w:val="28"/>
              </w:rPr>
              <w:t>分別針對今年限水議題與端午節前後蛋價變化繪製，故相關敘述亦僅針對上半年進行說明</w:t>
            </w:r>
            <w:r w:rsidRPr="00131B9D">
              <w:rPr>
                <w:rFonts w:eastAsia="標楷體"/>
                <w:sz w:val="28"/>
                <w:szCs w:val="28"/>
              </w:rPr>
              <w:t>(p.127</w:t>
            </w:r>
            <w:r w:rsidRPr="00131B9D">
              <w:rPr>
                <w:rFonts w:eastAsia="標楷體"/>
                <w:sz w:val="28"/>
                <w:szCs w:val="28"/>
              </w:rPr>
              <w:t>、</w:t>
            </w:r>
            <w:r w:rsidRPr="00131B9D">
              <w:rPr>
                <w:rFonts w:eastAsia="標楷體"/>
                <w:sz w:val="28"/>
                <w:szCs w:val="28"/>
              </w:rPr>
              <w:t>133)</w:t>
            </w:r>
            <w:r w:rsidRPr="00131B9D">
              <w:rPr>
                <w:rFonts w:eastAsia="標楷體"/>
                <w:sz w:val="28"/>
                <w:szCs w:val="28"/>
              </w:rPr>
              <w:t>。圖</w:t>
            </w:r>
            <w:r w:rsidRPr="00131B9D">
              <w:rPr>
                <w:rFonts w:eastAsia="標楷體"/>
                <w:sz w:val="28"/>
                <w:szCs w:val="28"/>
              </w:rPr>
              <w:t>4-9</w:t>
            </w:r>
            <w:r w:rsidRPr="00131B9D">
              <w:rPr>
                <w:rFonts w:eastAsia="標楷體"/>
                <w:sz w:val="28"/>
                <w:szCs w:val="28"/>
              </w:rPr>
              <w:t>則已更新至最新數據，相關內文亦同步更新。</w:t>
            </w:r>
            <w:r w:rsidR="00072828" w:rsidRPr="00131B9D">
              <w:rPr>
                <w:rFonts w:eastAsia="標楷體"/>
                <w:sz w:val="28"/>
                <w:szCs w:val="28"/>
              </w:rPr>
              <w:t>(p.134-</w:t>
            </w:r>
            <w:r w:rsidRPr="00131B9D">
              <w:rPr>
                <w:rFonts w:eastAsia="標楷體"/>
                <w:sz w:val="28"/>
                <w:szCs w:val="28"/>
              </w:rPr>
              <w:t>135)</w:t>
            </w:r>
          </w:p>
        </w:tc>
      </w:tr>
      <w:tr w:rsidR="00B22890" w:rsidRPr="00131B9D" w:rsidTr="00B22890">
        <w:trPr>
          <w:jc w:val="center"/>
        </w:trPr>
        <w:tc>
          <w:tcPr>
            <w:tcW w:w="4885" w:type="dxa"/>
            <w:tcBorders>
              <w:top w:val="dotted" w:sz="4" w:space="0" w:color="auto"/>
              <w:bottom w:val="dotted" w:sz="4" w:space="0" w:color="auto"/>
            </w:tcBorders>
          </w:tcPr>
          <w:p w:rsidR="00B22890" w:rsidRPr="00131B9D" w:rsidRDefault="00B22890" w:rsidP="00485A2D">
            <w:pPr>
              <w:numPr>
                <w:ilvl w:val="0"/>
                <w:numId w:val="46"/>
              </w:numPr>
              <w:spacing w:line="240" w:lineRule="atLeast"/>
              <w:ind w:left="1077" w:hanging="1077"/>
              <w:jc w:val="both"/>
              <w:rPr>
                <w:rFonts w:eastAsia="標楷體"/>
                <w:sz w:val="28"/>
                <w:szCs w:val="28"/>
              </w:rPr>
            </w:pPr>
            <w:r w:rsidRPr="00131B9D">
              <w:rPr>
                <w:rFonts w:eastAsia="標楷體"/>
                <w:sz w:val="28"/>
              </w:rPr>
              <w:t>目次表之貳</w:t>
            </w:r>
            <w:r w:rsidRPr="00131B9D">
              <w:rPr>
                <w:rFonts w:eastAsia="標楷體"/>
                <w:sz w:val="28"/>
              </w:rPr>
              <w:t>.</w:t>
            </w:r>
            <w:r w:rsidRPr="00131B9D">
              <w:rPr>
                <w:rFonts w:eastAsia="標楷體"/>
                <w:sz w:val="28"/>
              </w:rPr>
              <w:t>建議改為「總體金融暨相關指數分析」；貳</w:t>
            </w:r>
            <w:r w:rsidRPr="00131B9D">
              <w:rPr>
                <w:rFonts w:eastAsia="標楷體"/>
                <w:sz w:val="28"/>
              </w:rPr>
              <w:t>.</w:t>
            </w:r>
            <w:r w:rsidRPr="00131B9D">
              <w:rPr>
                <w:rFonts w:eastAsia="標楷體"/>
                <w:sz w:val="28"/>
              </w:rPr>
              <w:t>三、建議改為「相關經濟指數」並更正項次為二、）；參</w:t>
            </w:r>
            <w:r w:rsidRPr="00131B9D">
              <w:rPr>
                <w:rFonts w:eastAsia="標楷體"/>
                <w:sz w:val="28"/>
              </w:rPr>
              <w:t>.</w:t>
            </w:r>
            <w:r w:rsidRPr="00131B9D">
              <w:rPr>
                <w:rFonts w:eastAsia="標楷體"/>
                <w:sz w:val="28"/>
              </w:rPr>
              <w:t>建議改為「</w:t>
            </w:r>
            <w:r w:rsidRPr="00131B9D">
              <w:rPr>
                <w:rFonts w:eastAsia="標楷體"/>
                <w:sz w:val="28"/>
              </w:rPr>
              <w:t>2015</w:t>
            </w:r>
            <w:r w:rsidRPr="00131B9D">
              <w:rPr>
                <w:rFonts w:eastAsia="標楷體"/>
                <w:sz w:val="28"/>
              </w:rPr>
              <w:t>年重要原物料整體價格情勢」；參</w:t>
            </w:r>
            <w:r w:rsidRPr="00131B9D">
              <w:rPr>
                <w:rFonts w:eastAsia="標楷體"/>
                <w:sz w:val="28"/>
              </w:rPr>
              <w:t>.</w:t>
            </w:r>
            <w:r w:rsidRPr="00131B9D">
              <w:rPr>
                <w:rFonts w:eastAsia="標楷體"/>
                <w:sz w:val="28"/>
              </w:rPr>
              <w:t>一、建議改為「整體摘要」。</w:t>
            </w:r>
          </w:p>
        </w:tc>
        <w:tc>
          <w:tcPr>
            <w:tcW w:w="4634" w:type="dxa"/>
            <w:tcBorders>
              <w:top w:val="dotted" w:sz="4" w:space="0" w:color="auto"/>
              <w:bottom w:val="dotted" w:sz="4" w:space="0" w:color="auto"/>
            </w:tcBorders>
          </w:tcPr>
          <w:p w:rsidR="00B22890" w:rsidRPr="00131B9D" w:rsidRDefault="00B22890" w:rsidP="00BD3E36">
            <w:pPr>
              <w:snapToGrid w:val="0"/>
              <w:jc w:val="both"/>
              <w:rPr>
                <w:rFonts w:eastAsia="標楷體"/>
                <w:color w:val="000000"/>
                <w:kern w:val="0"/>
                <w:sz w:val="28"/>
                <w:szCs w:val="28"/>
              </w:rPr>
            </w:pPr>
            <w:r w:rsidRPr="00131B9D">
              <w:rPr>
                <w:rFonts w:eastAsia="標楷體"/>
                <w:sz w:val="28"/>
                <w:szCs w:val="28"/>
              </w:rPr>
              <w:t>感謝委員建議，已依指示修改各章節標題。</w:t>
            </w:r>
            <w:r w:rsidRPr="00131B9D">
              <w:rPr>
                <w:rFonts w:eastAsia="標楷體"/>
                <w:sz w:val="28"/>
                <w:szCs w:val="28"/>
              </w:rPr>
              <w:t>(p.5</w:t>
            </w:r>
            <w:r w:rsidRPr="00131B9D">
              <w:rPr>
                <w:rFonts w:eastAsia="標楷體"/>
                <w:sz w:val="28"/>
                <w:szCs w:val="28"/>
              </w:rPr>
              <w:t>、</w:t>
            </w:r>
            <w:r w:rsidRPr="00131B9D">
              <w:rPr>
                <w:rFonts w:eastAsia="標楷體"/>
                <w:sz w:val="28"/>
                <w:szCs w:val="28"/>
              </w:rPr>
              <w:t>14</w:t>
            </w:r>
            <w:r w:rsidRPr="00131B9D">
              <w:rPr>
                <w:rFonts w:eastAsia="標楷體"/>
                <w:sz w:val="28"/>
                <w:szCs w:val="28"/>
              </w:rPr>
              <w:t>、</w:t>
            </w:r>
            <w:r w:rsidRPr="00131B9D">
              <w:rPr>
                <w:rFonts w:eastAsia="標楷體"/>
                <w:sz w:val="28"/>
                <w:szCs w:val="28"/>
              </w:rPr>
              <w:t>18)</w:t>
            </w:r>
          </w:p>
        </w:tc>
      </w:tr>
      <w:tr w:rsidR="00B22890" w:rsidRPr="00131B9D" w:rsidTr="00384781">
        <w:trPr>
          <w:jc w:val="center"/>
        </w:trPr>
        <w:tc>
          <w:tcPr>
            <w:tcW w:w="4885" w:type="dxa"/>
            <w:tcBorders>
              <w:top w:val="dotted" w:sz="4" w:space="0" w:color="auto"/>
              <w:bottom w:val="single" w:sz="4" w:space="0" w:color="auto"/>
            </w:tcBorders>
          </w:tcPr>
          <w:p w:rsidR="00B22890" w:rsidRPr="00131B9D" w:rsidRDefault="00B22890" w:rsidP="00485A2D">
            <w:pPr>
              <w:numPr>
                <w:ilvl w:val="0"/>
                <w:numId w:val="46"/>
              </w:numPr>
              <w:spacing w:line="240" w:lineRule="atLeast"/>
              <w:ind w:left="1077" w:hanging="1077"/>
              <w:jc w:val="both"/>
              <w:rPr>
                <w:rFonts w:eastAsia="標楷體"/>
                <w:sz w:val="28"/>
                <w:szCs w:val="28"/>
              </w:rPr>
            </w:pPr>
            <w:r w:rsidRPr="00131B9D">
              <w:rPr>
                <w:rFonts w:eastAsia="標楷體"/>
                <w:sz w:val="28"/>
              </w:rPr>
              <w:t>部分文字敘述為中國大陸慣用語，請調整為我國常用文字，以利閱讀。</w:t>
            </w:r>
          </w:p>
        </w:tc>
        <w:tc>
          <w:tcPr>
            <w:tcW w:w="4634" w:type="dxa"/>
            <w:tcBorders>
              <w:top w:val="dotted" w:sz="4" w:space="0" w:color="auto"/>
              <w:bottom w:val="single" w:sz="4" w:space="0" w:color="auto"/>
            </w:tcBorders>
          </w:tcPr>
          <w:p w:rsidR="00B22890" w:rsidRPr="00131B9D" w:rsidRDefault="00B22890" w:rsidP="003A3331">
            <w:pPr>
              <w:snapToGrid w:val="0"/>
              <w:jc w:val="both"/>
              <w:rPr>
                <w:rFonts w:eastAsia="標楷體"/>
                <w:color w:val="000000"/>
                <w:kern w:val="0"/>
                <w:sz w:val="28"/>
                <w:szCs w:val="28"/>
              </w:rPr>
            </w:pPr>
            <w:r w:rsidRPr="00131B9D">
              <w:rPr>
                <w:rFonts w:eastAsia="標楷體"/>
                <w:color w:val="000000" w:themeColor="text1"/>
                <w:kern w:val="0"/>
                <w:sz w:val="28"/>
                <w:szCs w:val="28"/>
              </w:rPr>
              <w:t>感謝委員建議。已檢視全文，並調整用字（例：</w:t>
            </w:r>
            <w:r w:rsidRPr="00131B9D">
              <w:rPr>
                <w:rFonts w:eastAsia="標楷體"/>
                <w:color w:val="000000" w:themeColor="text1"/>
                <w:kern w:val="0"/>
                <w:sz w:val="28"/>
                <w:szCs w:val="28"/>
              </w:rPr>
              <w:t>p10</w:t>
            </w:r>
            <w:r w:rsidRPr="00131B9D">
              <w:rPr>
                <w:rFonts w:eastAsia="標楷體"/>
                <w:color w:val="000000" w:themeColor="text1"/>
                <w:kern w:val="0"/>
                <w:sz w:val="28"/>
                <w:szCs w:val="28"/>
              </w:rPr>
              <w:t>、</w:t>
            </w:r>
            <w:r w:rsidR="003A3331" w:rsidRPr="00131B9D">
              <w:rPr>
                <w:rFonts w:eastAsia="標楷體"/>
                <w:color w:val="000000" w:themeColor="text1"/>
                <w:kern w:val="0"/>
                <w:sz w:val="28"/>
                <w:szCs w:val="28"/>
              </w:rPr>
              <w:t>36</w:t>
            </w:r>
            <w:r w:rsidRPr="00131B9D">
              <w:rPr>
                <w:rFonts w:eastAsia="標楷體"/>
                <w:color w:val="000000" w:themeColor="text1"/>
                <w:kern w:val="0"/>
                <w:sz w:val="28"/>
                <w:szCs w:val="28"/>
              </w:rPr>
              <w:t>「水平」修改為「水準」；</w:t>
            </w:r>
            <w:r w:rsidR="003A3331" w:rsidRPr="00131B9D">
              <w:rPr>
                <w:rFonts w:eastAsia="標楷體"/>
                <w:color w:val="000000" w:themeColor="text1"/>
                <w:kern w:val="0"/>
                <w:sz w:val="28"/>
                <w:szCs w:val="28"/>
              </w:rPr>
              <w:t>p44</w:t>
            </w:r>
            <w:r w:rsidRPr="00131B9D">
              <w:rPr>
                <w:rFonts w:eastAsia="標楷體"/>
                <w:color w:val="000000" w:themeColor="text1"/>
                <w:kern w:val="0"/>
                <w:sz w:val="28"/>
                <w:szCs w:val="28"/>
              </w:rPr>
              <w:t>、</w:t>
            </w:r>
            <w:r w:rsidR="003A3331" w:rsidRPr="00131B9D">
              <w:rPr>
                <w:rFonts w:eastAsia="標楷體"/>
                <w:color w:val="000000" w:themeColor="text1"/>
                <w:kern w:val="0"/>
                <w:sz w:val="28"/>
                <w:szCs w:val="28"/>
              </w:rPr>
              <w:t>54</w:t>
            </w:r>
            <w:r w:rsidRPr="00131B9D">
              <w:rPr>
                <w:rFonts w:eastAsia="標楷體"/>
                <w:color w:val="000000" w:themeColor="text1"/>
                <w:kern w:val="0"/>
                <w:sz w:val="28"/>
                <w:szCs w:val="28"/>
              </w:rPr>
              <w:t>、</w:t>
            </w:r>
            <w:r w:rsidRPr="00131B9D">
              <w:rPr>
                <w:rFonts w:eastAsia="標楷體"/>
                <w:color w:val="000000" w:themeColor="text1"/>
                <w:kern w:val="0"/>
                <w:sz w:val="28"/>
                <w:szCs w:val="28"/>
              </w:rPr>
              <w:t>7</w:t>
            </w:r>
            <w:r w:rsidR="003A3331" w:rsidRPr="00131B9D">
              <w:rPr>
                <w:rFonts w:eastAsia="標楷體"/>
                <w:color w:val="000000" w:themeColor="text1"/>
                <w:kern w:val="0"/>
                <w:sz w:val="28"/>
                <w:szCs w:val="28"/>
              </w:rPr>
              <w:t>0</w:t>
            </w:r>
            <w:r w:rsidRPr="00131B9D">
              <w:rPr>
                <w:rFonts w:eastAsia="標楷體"/>
                <w:color w:val="000000" w:themeColor="text1"/>
                <w:kern w:val="0"/>
                <w:sz w:val="28"/>
                <w:szCs w:val="28"/>
              </w:rPr>
              <w:t>、</w:t>
            </w:r>
            <w:r w:rsidR="003A3331" w:rsidRPr="00131B9D">
              <w:rPr>
                <w:rFonts w:eastAsia="標楷體"/>
                <w:color w:val="000000" w:themeColor="text1"/>
                <w:kern w:val="0"/>
                <w:sz w:val="28"/>
                <w:szCs w:val="28"/>
              </w:rPr>
              <w:t>89</w:t>
            </w:r>
            <w:r w:rsidRPr="00131B9D">
              <w:rPr>
                <w:rFonts w:eastAsia="標楷體"/>
                <w:color w:val="000000" w:themeColor="text1"/>
                <w:kern w:val="0"/>
                <w:sz w:val="28"/>
                <w:szCs w:val="28"/>
              </w:rPr>
              <w:t>「增速」</w:t>
            </w:r>
            <w:r w:rsidRPr="00131B9D">
              <w:rPr>
                <w:rFonts w:eastAsia="標楷體"/>
                <w:color w:val="000000" w:themeColor="text1"/>
                <w:kern w:val="0"/>
                <w:sz w:val="28"/>
                <w:szCs w:val="28"/>
              </w:rPr>
              <w:lastRenderedPageBreak/>
              <w:t>修改為「增加速度」；</w:t>
            </w:r>
            <w:r w:rsidRPr="00131B9D">
              <w:rPr>
                <w:rFonts w:eastAsia="標楷體"/>
                <w:color w:val="000000" w:themeColor="text1"/>
                <w:kern w:val="0"/>
                <w:sz w:val="28"/>
                <w:szCs w:val="28"/>
              </w:rPr>
              <w:t>p1</w:t>
            </w:r>
            <w:r w:rsidR="003A3331" w:rsidRPr="00131B9D">
              <w:rPr>
                <w:rFonts w:eastAsia="標楷體"/>
                <w:color w:val="000000" w:themeColor="text1"/>
                <w:kern w:val="0"/>
                <w:sz w:val="28"/>
                <w:szCs w:val="28"/>
              </w:rPr>
              <w:t>4</w:t>
            </w:r>
            <w:r w:rsidRPr="00131B9D">
              <w:rPr>
                <w:rFonts w:eastAsia="標楷體"/>
                <w:color w:val="000000" w:themeColor="text1"/>
                <w:kern w:val="0"/>
                <w:sz w:val="28"/>
                <w:szCs w:val="28"/>
              </w:rPr>
              <w:t>、</w:t>
            </w:r>
            <w:r w:rsidRPr="00131B9D">
              <w:rPr>
                <w:rFonts w:eastAsia="標楷體"/>
                <w:color w:val="000000" w:themeColor="text1"/>
                <w:kern w:val="0"/>
                <w:sz w:val="28"/>
                <w:szCs w:val="28"/>
              </w:rPr>
              <w:t>2</w:t>
            </w:r>
            <w:r w:rsidR="003A3331" w:rsidRPr="00131B9D">
              <w:rPr>
                <w:rFonts w:eastAsia="標楷體"/>
                <w:color w:val="000000" w:themeColor="text1"/>
                <w:kern w:val="0"/>
                <w:sz w:val="28"/>
                <w:szCs w:val="28"/>
              </w:rPr>
              <w:t>0</w:t>
            </w:r>
            <w:r w:rsidRPr="00131B9D">
              <w:rPr>
                <w:rFonts w:eastAsia="標楷體"/>
                <w:color w:val="000000" w:themeColor="text1"/>
                <w:kern w:val="0"/>
                <w:sz w:val="28"/>
                <w:szCs w:val="28"/>
              </w:rPr>
              <w:t>、</w:t>
            </w:r>
            <w:r w:rsidRPr="00131B9D">
              <w:rPr>
                <w:rFonts w:eastAsia="標楷體"/>
                <w:color w:val="000000" w:themeColor="text1"/>
                <w:kern w:val="0"/>
                <w:sz w:val="28"/>
                <w:szCs w:val="28"/>
              </w:rPr>
              <w:t>4</w:t>
            </w:r>
            <w:r w:rsidR="003A3331" w:rsidRPr="00131B9D">
              <w:rPr>
                <w:rFonts w:eastAsia="標楷體"/>
                <w:color w:val="000000" w:themeColor="text1"/>
                <w:kern w:val="0"/>
                <w:sz w:val="28"/>
                <w:szCs w:val="28"/>
              </w:rPr>
              <w:t>4</w:t>
            </w:r>
            <w:r w:rsidRPr="00131B9D">
              <w:rPr>
                <w:rFonts w:eastAsia="標楷體"/>
                <w:color w:val="000000" w:themeColor="text1"/>
                <w:kern w:val="0"/>
                <w:sz w:val="28"/>
                <w:szCs w:val="28"/>
              </w:rPr>
              <w:t>、</w:t>
            </w:r>
            <w:r w:rsidRPr="00131B9D">
              <w:rPr>
                <w:rFonts w:eastAsia="標楷體"/>
                <w:color w:val="000000" w:themeColor="text1"/>
                <w:kern w:val="0"/>
                <w:sz w:val="28"/>
                <w:szCs w:val="28"/>
              </w:rPr>
              <w:t>7</w:t>
            </w:r>
            <w:r w:rsidR="003A3331" w:rsidRPr="00131B9D">
              <w:rPr>
                <w:rFonts w:eastAsia="標楷體"/>
                <w:color w:val="000000" w:themeColor="text1"/>
                <w:kern w:val="0"/>
                <w:sz w:val="28"/>
                <w:szCs w:val="28"/>
              </w:rPr>
              <w:t>0</w:t>
            </w:r>
            <w:r w:rsidRPr="00131B9D">
              <w:rPr>
                <w:rFonts w:eastAsia="標楷體"/>
                <w:color w:val="000000" w:themeColor="text1"/>
                <w:kern w:val="0"/>
                <w:sz w:val="28"/>
                <w:szCs w:val="28"/>
              </w:rPr>
              <w:t>、</w:t>
            </w:r>
            <w:r w:rsidR="003A3331" w:rsidRPr="00131B9D">
              <w:rPr>
                <w:rFonts w:eastAsia="標楷體"/>
                <w:color w:val="000000" w:themeColor="text1"/>
                <w:kern w:val="0"/>
                <w:sz w:val="28"/>
                <w:szCs w:val="28"/>
              </w:rPr>
              <w:t>78</w:t>
            </w:r>
            <w:r w:rsidRPr="00131B9D">
              <w:rPr>
                <w:rFonts w:eastAsia="標楷體"/>
                <w:color w:val="000000" w:themeColor="text1"/>
                <w:kern w:val="0"/>
                <w:sz w:val="28"/>
                <w:szCs w:val="28"/>
              </w:rPr>
              <w:t>「疲軟」、「疲弱」修改為「不振」或「走弱」或「減緩」或「不佳」或「低迷」。）</w:t>
            </w:r>
          </w:p>
        </w:tc>
      </w:tr>
    </w:tbl>
    <w:p w:rsidR="00485A2D" w:rsidRPr="00131B9D" w:rsidRDefault="00485A2D" w:rsidP="00485A2D">
      <w:pPr>
        <w:jc w:val="both"/>
        <w:rPr>
          <w:color w:val="000000"/>
          <w:sz w:val="28"/>
          <w:szCs w:val="28"/>
        </w:rPr>
      </w:pPr>
    </w:p>
    <w:p w:rsidR="009B62F2" w:rsidRPr="00131B9D" w:rsidRDefault="009B62F2" w:rsidP="00402957"/>
    <w:sectPr w:rsidR="009B62F2" w:rsidRPr="00131B9D" w:rsidSect="008635E4">
      <w:type w:val="oddPage"/>
      <w:pgSz w:w="11906" w:h="16838"/>
      <w:pgMar w:top="851" w:right="1644" w:bottom="851" w:left="1440" w:header="851" w:footer="992"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0F41" w:rsidRDefault="00610F41">
      <w:r>
        <w:separator/>
      </w:r>
    </w:p>
  </w:endnote>
  <w:endnote w:type="continuationSeparator" w:id="0">
    <w:p w:rsidR="00610F41" w:rsidRDefault="00610F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00000003" w:usb1="080E0000" w:usb2="00000016" w:usb3="00000000" w:csb0="00100001"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華康中明體">
    <w:altName w:val="新細明體"/>
    <w:charset w:val="88"/>
    <w:family w:val="modern"/>
    <w:pitch w:val="fixed"/>
    <w:sig w:usb0="80000001" w:usb1="28091800" w:usb2="00000016" w:usb3="00000000" w:csb0="00100000" w:csb1="00000000"/>
  </w:font>
  <w:font w:name="微軟正黑體">
    <w:panose1 w:val="020B0604030504040204"/>
    <w:charset w:val="88"/>
    <w:family w:val="swiss"/>
    <w:pitch w:val="variable"/>
    <w:sig w:usb0="00000087" w:usb1="288F4000" w:usb2="00000016" w:usb3="00000000" w:csb0="00100009" w:csb1="00000000"/>
  </w:font>
  <w:font w:name="細明體">
    <w:altName w:val="MingLiU"/>
    <w:panose1 w:val="02020509000000000000"/>
    <w:charset w:val="88"/>
    <w:family w:val="modern"/>
    <w:pitch w:val="fixed"/>
    <w:sig w:usb0="00000003" w:usb1="080E0000" w:usb2="00000016" w:usb3="00000000" w:csb0="00100001" w:csb1="00000000"/>
  </w:font>
  <w:font w:name="文鼎中楷">
    <w:altName w:val="細明體"/>
    <w:charset w:val="88"/>
    <w:family w:val="modern"/>
    <w:pitch w:val="fixed"/>
    <w:sig w:usb0="800002A3" w:usb1="38CF7C70" w:usb2="00000016" w:usb3="00000000" w:csb0="00100000" w:csb1="00000000"/>
  </w:font>
  <w:font w:name="Cambria">
    <w:panose1 w:val="02040503050406030204"/>
    <w:charset w:val="00"/>
    <w:family w:val="roman"/>
    <w:pitch w:val="variable"/>
    <w:sig w:usb0="E00002FF" w:usb1="400004FF" w:usb2="00000000" w:usb3="00000000" w:csb0="0000019F" w:csb1="00000000"/>
  </w:font>
  <w:font w:name="華康中黑體">
    <w:altName w:val="細明體"/>
    <w:panose1 w:val="00000000000000000000"/>
    <w:charset w:val="88"/>
    <w:family w:val="modern"/>
    <w:notTrueType/>
    <w:pitch w:val="fixed"/>
    <w:sig w:usb0="00000001" w:usb1="08080000" w:usb2="00000010" w:usb3="00000000" w:csb0="00100000" w:csb1="00000000"/>
  </w:font>
  <w:font w:name="文鼎標準楷體">
    <w:altName w:val="Arial Unicode MS"/>
    <w:charset w:val="88"/>
    <w:family w:val="modern"/>
    <w:pitch w:val="fixed"/>
    <w:sig w:usb0="00000000" w:usb1="38CF7C70" w:usb2="00000016" w:usb3="00000000" w:csb0="00100000" w:csb1="00000000"/>
  </w:font>
  <w:font w:name="SimSun">
    <w:altName w:val="宋体"/>
    <w:panose1 w:val="02010600030101010101"/>
    <w:charset w:val="86"/>
    <w:family w:val="auto"/>
    <w:pitch w:val="variable"/>
    <w:sig w:usb0="00000003" w:usb1="288F0000" w:usb2="00000016" w:usb3="00000000" w:csb0="00040001" w:csb1="00000000"/>
  </w:font>
  <w:font w:name="文鼎中粗隸">
    <w:altName w:val="細明體"/>
    <w:charset w:val="88"/>
    <w:family w:val="script"/>
    <w:pitch w:val="fixed"/>
    <w:sig w:usb0="800002E3" w:usb1="38CF7C7A" w:usb2="00000016" w:usb3="00000000" w:csb0="00100000" w:csb1="00000000"/>
  </w:font>
  <w:font w:name="文鼎特明">
    <w:altName w:val="細明體"/>
    <w:charset w:val="88"/>
    <w:family w:val="modern"/>
    <w:pitch w:val="fixed"/>
    <w:sig w:usb0="800002E3" w:usb1="38CF7C7A" w:usb2="00000016"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0050" w:rsidRDefault="00F30050" w:rsidP="007B2385">
    <w:pPr>
      <w:pStyle w:val="a9"/>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separate"/>
    </w:r>
    <w:r>
      <w:rPr>
        <w:rStyle w:val="af4"/>
        <w:noProof/>
      </w:rPr>
      <w:t>7</w:t>
    </w:r>
    <w:r>
      <w:rPr>
        <w:rStyle w:val="af4"/>
      </w:rPr>
      <w:fldChar w:fldCharType="end"/>
    </w:r>
  </w:p>
  <w:p w:rsidR="00F30050" w:rsidRDefault="00F30050">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0050" w:rsidRDefault="00F30050">
    <w:pPr>
      <w:pStyle w:val="a9"/>
      <w:jc w:val="center"/>
    </w:pPr>
  </w:p>
  <w:p w:rsidR="00F30050" w:rsidRDefault="00F30050">
    <w:pPr>
      <w:pStyle w:val="a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0050" w:rsidRDefault="00F30050" w:rsidP="00BD7A3B">
    <w:pPr>
      <w:pStyle w:val="a9"/>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separate"/>
    </w:r>
    <w:r w:rsidR="00C03850">
      <w:rPr>
        <w:rStyle w:val="af4"/>
        <w:noProof/>
      </w:rPr>
      <w:t>I</w:t>
    </w:r>
    <w:r>
      <w:rPr>
        <w:rStyle w:val="af4"/>
      </w:rPr>
      <w:fldChar w:fldCharType="end"/>
    </w:r>
  </w:p>
  <w:p w:rsidR="00F30050" w:rsidRDefault="00F30050" w:rsidP="004F7CEF">
    <w:pPr>
      <w:pStyle w:val="a9"/>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8246781"/>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159</w:t>
        </w:r>
        <w:r>
          <w:rPr>
            <w:noProof/>
            <w:lang w:val="zh-TW"/>
          </w:rPr>
          <w:fldChar w:fldCharType="end"/>
        </w:r>
      </w:p>
    </w:sdtContent>
  </w:sdt>
  <w:p w:rsidR="00F30050" w:rsidRDefault="00F30050" w:rsidP="004F7CEF">
    <w:pPr>
      <w:pStyle w:val="a9"/>
      <w:jc w:val="cen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176495"/>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166</w:t>
        </w:r>
        <w:r>
          <w:rPr>
            <w:noProof/>
            <w:lang w:val="zh-TW"/>
          </w:rPr>
          <w:fldChar w:fldCharType="end"/>
        </w:r>
      </w:p>
    </w:sdtContent>
  </w:sdt>
  <w:p w:rsidR="00F30050" w:rsidRPr="00F41E72" w:rsidRDefault="00F30050" w:rsidP="00CE7296">
    <w:pPr>
      <w:pStyle w:val="a9"/>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0050" w:rsidRDefault="00F30050" w:rsidP="009318AA">
    <w:pPr>
      <w:pStyle w:val="a9"/>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separate"/>
    </w:r>
    <w:r>
      <w:rPr>
        <w:rStyle w:val="af4"/>
        <w:noProof/>
      </w:rPr>
      <w:t>4</w:t>
    </w:r>
    <w:r>
      <w:rPr>
        <w:rStyle w:val="af4"/>
      </w:rPr>
      <w:fldChar w:fldCharType="end"/>
    </w:r>
  </w:p>
  <w:p w:rsidR="00F30050" w:rsidRDefault="00F30050" w:rsidP="009318AA">
    <w:pPr>
      <w:pStyle w:val="a9"/>
    </w:pPr>
    <w:r>
      <w:rPr>
        <w:noProof/>
      </w:rPr>
      <mc:AlternateContent>
        <mc:Choice Requires="wps">
          <w:drawing>
            <wp:anchor distT="0" distB="0" distL="114300" distR="114300" simplePos="0" relativeHeight="251669504" behindDoc="0" locked="0" layoutInCell="1" allowOverlap="1" wp14:anchorId="647FFAF9" wp14:editId="1CCC110E">
              <wp:simplePos x="0" y="0"/>
              <wp:positionH relativeFrom="column">
                <wp:posOffset>0</wp:posOffset>
              </wp:positionH>
              <wp:positionV relativeFrom="paragraph">
                <wp:posOffset>586740</wp:posOffset>
              </wp:positionV>
              <wp:extent cx="1885950" cy="247015"/>
              <wp:effectExtent l="0" t="0" r="57150" b="57785"/>
              <wp:wrapNone/>
              <wp:docPr id="56" name="文字方塊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47015"/>
                      </a:xfrm>
                      <a:prstGeom prst="rect">
                        <a:avLst/>
                      </a:prstGeom>
                      <a:solidFill>
                        <a:srgbClr val="FFFFFF"/>
                      </a:solidFill>
                      <a:ln w="3175">
                        <a:solidFill>
                          <a:srgbClr val="000000"/>
                        </a:solidFill>
                        <a:miter lim="800000"/>
                        <a:headEnd/>
                        <a:tailEnd/>
                      </a:ln>
                      <a:effectLst>
                        <a:outerShdw dist="35921" dir="2700000" algn="ctr" rotWithShape="0">
                          <a:srgbClr val="3366FF"/>
                        </a:outerShdw>
                      </a:effectLst>
                    </wps:spPr>
                    <wps:txbx>
                      <w:txbxContent>
                        <w:p w:rsidR="00F30050" w:rsidRDefault="00F30050">
                          <w:pPr>
                            <w:spacing w:line="240" w:lineRule="exact"/>
                            <w:jc w:val="center"/>
                            <w:rPr>
                              <w:rFonts w:eastAsia="文鼎特明"/>
                              <w:sz w:val="18"/>
                            </w:rPr>
                          </w:pPr>
                          <w:r>
                            <w:rPr>
                              <w:rFonts w:eastAsia="文鼎特明" w:hint="eastAsia"/>
                              <w:sz w:val="18"/>
                            </w:rPr>
                            <w:t>中華經濟研究院</w:t>
                          </w:r>
                          <w:r>
                            <w:rPr>
                              <w:rFonts w:eastAsia="文鼎特明" w:hint="eastAsia"/>
                              <w:sz w:val="18"/>
                            </w:rPr>
                            <w:t>2014</w:t>
                          </w:r>
                          <w:r>
                            <w:rPr>
                              <w:rFonts w:eastAsia="文鼎特明" w:hint="eastAsia"/>
                              <w:sz w:val="18"/>
                            </w:rPr>
                            <w:t>年第</w:t>
                          </w:r>
                          <w:r>
                            <w:rPr>
                              <w:rFonts w:eastAsia="文鼎特明" w:hint="eastAsia"/>
                              <w:sz w:val="18"/>
                            </w:rPr>
                            <w:t>4</w:t>
                          </w:r>
                          <w:r>
                            <w:rPr>
                              <w:rFonts w:eastAsia="文鼎特明" w:hint="eastAsia"/>
                              <w:sz w:val="18"/>
                            </w:rPr>
                            <w:t>季</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47FFAF9" id="_x0000_t202" coordsize="21600,21600" o:spt="202" path="m,l,21600r21600,l21600,xe">
              <v:stroke joinstyle="miter"/>
              <v:path gradientshapeok="t" o:connecttype="rect"/>
            </v:shapetype>
            <v:shape id="文字方塊 22" o:spid="_x0000_s1028" type="#_x0000_t202" style="position:absolute;margin-left:0;margin-top:46.2pt;width:148.5pt;height:19.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" strokeweight=".25pt">
              <v:shadow on="t" color="#36f"/>
              <v:textbox>
                <w:txbxContent>
                  <w:p w:rsidR="00F30050" w:rsidRDefault="00F30050">
                    <w:pPr>
                      <w:spacing w:line="240" w:lineRule="exact"/>
                      <w:jc w:val="center"/>
                      <w:rPr>
                        <w:rFonts w:eastAsia="文鼎特明"/>
                        <w:sz w:val="18"/>
                      </w:rPr>
                    </w:pPr>
                    <w:r>
                      <w:rPr>
                        <w:rFonts w:eastAsia="文鼎特明" w:hint="eastAsia"/>
                        <w:sz w:val="18"/>
                      </w:rPr>
                      <w:t>中華經濟研究院</w:t>
                    </w:r>
                    <w:r>
                      <w:rPr>
                        <w:rFonts w:eastAsia="文鼎特明" w:hint="eastAsia"/>
                        <w:sz w:val="18"/>
                      </w:rPr>
                      <w:t>2014</w:t>
                    </w:r>
                    <w:r>
                      <w:rPr>
                        <w:rFonts w:eastAsia="文鼎特明" w:hint="eastAsia"/>
                        <w:sz w:val="18"/>
                      </w:rPr>
                      <w:t>年第</w:t>
                    </w:r>
                    <w:r>
                      <w:rPr>
                        <w:rFonts w:eastAsia="文鼎特明" w:hint="eastAsia"/>
                        <w:sz w:val="18"/>
                      </w:rPr>
                      <w:t>4</w:t>
                    </w:r>
                    <w:r>
                      <w:rPr>
                        <w:rFonts w:eastAsia="文鼎特明" w:hint="eastAsia"/>
                        <w:sz w:val="18"/>
                      </w:rPr>
                      <w:t>季</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5BB6FD75" wp14:editId="16265443">
              <wp:simplePos x="0" y="0"/>
              <wp:positionH relativeFrom="column">
                <wp:posOffset>-36195</wp:posOffset>
              </wp:positionH>
              <wp:positionV relativeFrom="paragraph">
                <wp:posOffset>501015</wp:posOffset>
              </wp:positionV>
              <wp:extent cx="5844540" cy="6350"/>
              <wp:effectExtent l="0" t="19050" r="22860" b="50800"/>
              <wp:wrapNone/>
              <wp:docPr id="46" name="直線接點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44540" cy="6350"/>
                      </a:xfrm>
                      <a:prstGeom prst="line">
                        <a:avLst/>
                      </a:prstGeom>
                      <a:noFill/>
                      <a:ln w="57150" cmpd="thinThick">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5069EA5A" id="直線接點 21" o:spid="_x0000_s1026" style="position:absolute;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5pt,39.45pt" to="457.35pt,3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" strokeweight="4.5pt">
              <v:stroke linestyle="thinThick"/>
            </v:lin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20328743"/>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169</w:t>
        </w:r>
        <w:r>
          <w:rPr>
            <w:noProof/>
            <w:lang w:val="zh-TW"/>
          </w:rPr>
          <w:fldChar w:fldCharType="end"/>
        </w:r>
      </w:p>
    </w:sdtContent>
  </w:sdt>
  <w:p w:rsidR="00F30050" w:rsidRDefault="00F30050">
    <w:pPr>
      <w:pStyle w:val="a9"/>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94972156"/>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175</w:t>
        </w:r>
        <w:r>
          <w:rPr>
            <w:noProof/>
            <w:lang w:val="zh-TW"/>
          </w:rPr>
          <w:fldChar w:fldCharType="end"/>
        </w:r>
      </w:p>
    </w:sdtContent>
  </w:sdt>
  <w:p w:rsidR="00F30050" w:rsidRPr="00055BDF" w:rsidRDefault="00F30050">
    <w:pPr>
      <w:pStyle w:val="a9"/>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9629625"/>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179</w:t>
        </w:r>
        <w:r>
          <w:fldChar w:fldCharType="end"/>
        </w:r>
      </w:p>
    </w:sdtContent>
  </w:sdt>
  <w:p w:rsidR="00F30050" w:rsidRPr="00F41E72" w:rsidRDefault="00F30050" w:rsidP="001A4331">
    <w:pPr>
      <w:pStyle w:val="a9"/>
      <w:ind w:right="360"/>
      <w:jc w:val="cen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47869641"/>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197</w:t>
        </w:r>
        <w:r>
          <w:fldChar w:fldCharType="end"/>
        </w:r>
      </w:p>
    </w:sdtContent>
  </w:sdt>
  <w:p w:rsidR="00F30050" w:rsidRDefault="00F30050">
    <w:pPr>
      <w:pStyle w:val="a9"/>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68893499"/>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207</w:t>
        </w:r>
        <w:r>
          <w:fldChar w:fldCharType="end"/>
        </w:r>
      </w:p>
    </w:sdtContent>
  </w:sdt>
  <w:p w:rsidR="00F30050" w:rsidRDefault="00F30050">
    <w:pPr>
      <w:pStyle w:val="a9"/>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592700"/>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212</w:t>
        </w:r>
        <w:r>
          <w:fldChar w:fldCharType="end"/>
        </w:r>
      </w:p>
    </w:sdtContent>
  </w:sdt>
  <w:p w:rsidR="00F30050" w:rsidRDefault="00F30050" w:rsidP="005224EC">
    <w:pPr>
      <w:pStyle w:val="a9"/>
      <w:jc w:val="cen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37336820"/>
      <w:docPartObj>
        <w:docPartGallery w:val="Page Numbers (Bottom of Page)"/>
        <w:docPartUnique/>
      </w:docPartObj>
    </w:sdtPr>
    <w:sdtEndPr/>
    <w:sdtContent>
      <w:p w:rsidR="00F30050" w:rsidRDefault="00F30050">
        <w:pPr>
          <w:pStyle w:val="a9"/>
          <w:jc w:val="center"/>
        </w:pPr>
        <w:r>
          <w:fldChar w:fldCharType="begin"/>
        </w:r>
        <w:r>
          <w:instrText>PAGE   \* MERGEFORMAT</w:instrText>
        </w:r>
        <w:r>
          <w:fldChar w:fldCharType="separate"/>
        </w:r>
        <w:r w:rsidR="00C03850" w:rsidRPr="00C03850">
          <w:rPr>
            <w:noProof/>
            <w:lang w:val="zh-TW"/>
          </w:rPr>
          <w:t>219</w:t>
        </w:r>
        <w:r>
          <w:fldChar w:fldCharType="end"/>
        </w:r>
      </w:p>
    </w:sdtContent>
  </w:sdt>
  <w:p w:rsidR="00F30050" w:rsidRDefault="00F30050" w:rsidP="005224EC">
    <w:pPr>
      <w:pStyle w:val="a9"/>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0F41" w:rsidRDefault="00610F41">
      <w:r>
        <w:separator/>
      </w:r>
    </w:p>
  </w:footnote>
  <w:footnote w:type="continuationSeparator" w:id="0">
    <w:p w:rsidR="00610F41" w:rsidRDefault="00610F4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0050" w:rsidRPr="00E15DCB" w:rsidRDefault="00F30050" w:rsidP="009318AA">
    <w:pPr>
      <w:pStyle w:val="a7"/>
      <w:jc w:val="right"/>
    </w:pPr>
    <w:r>
      <w:rPr>
        <w:noProof/>
      </w:rPr>
      <mc:AlternateContent>
        <mc:Choice Requires="wps">
          <w:drawing>
            <wp:anchor distT="0" distB="0" distL="114300" distR="114300" simplePos="0" relativeHeight="251656192" behindDoc="0" locked="0" layoutInCell="1" allowOverlap="1" wp14:anchorId="3418A795" wp14:editId="30E1C929">
              <wp:simplePos x="0" y="0"/>
              <wp:positionH relativeFrom="column">
                <wp:posOffset>0</wp:posOffset>
              </wp:positionH>
              <wp:positionV relativeFrom="paragraph">
                <wp:posOffset>302895</wp:posOffset>
              </wp:positionV>
              <wp:extent cx="1327785" cy="320040"/>
              <wp:effectExtent l="0" t="0" r="0" b="3810"/>
              <wp:wrapNone/>
              <wp:docPr id="42" name="文字方塊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7785"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30050" w:rsidRDefault="00F30050">
                          <w:pPr>
                            <w:shd w:val="clear" w:color="auto" w:fill="FFFFFF"/>
                            <w:rPr>
                              <w:rFonts w:ascii="文鼎中粗隸" w:eastAsia="文鼎中粗隸"/>
                              <w:b/>
                              <w:w w:val="120"/>
                            </w:rPr>
                          </w:pPr>
                          <w:r>
                            <w:rPr>
                              <w:rFonts w:ascii="文鼎中粗隸" w:eastAsia="文鼎中粗隸" w:hint="eastAsia"/>
                              <w:b/>
                              <w:w w:val="120"/>
                            </w:rPr>
                            <w:t>臺灣經濟預測</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418A795" id="_x0000_t202" coordsize="21600,21600" o:spt="202" path="m,l,21600r21600,l21600,xe">
              <v:stroke joinstyle="miter"/>
              <v:path gradientshapeok="t" o:connecttype="rect"/>
            </v:shapetype>
            <v:shape id="文字方塊 32" o:spid="_x0000_s1026" type="#_x0000_t202" style="position:absolute;left:0;text-align:left;margin-left:0;margin-top:23.85pt;width:104.55pt;height:25.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" filled="f" stroked="f">
              <v:textbox>
                <w:txbxContent>
                  <w:p w:rsidR="00F30050" w:rsidRDefault="00F30050">
                    <w:pPr>
                      <w:shd w:val="clear" w:color="auto" w:fill="FFFFFF"/>
                      <w:rPr>
                        <w:rFonts w:ascii="文鼎中粗隸" w:eastAsia="文鼎中粗隸"/>
                        <w:b/>
                        <w:w w:val="120"/>
                      </w:rPr>
                    </w:pPr>
                    <w:r>
                      <w:rPr>
                        <w:rFonts w:ascii="文鼎中粗隸" w:eastAsia="文鼎中粗隸" w:hint="eastAsia"/>
                        <w:b/>
                        <w:w w:val="120"/>
                      </w:rPr>
                      <w:t>臺灣經濟預測</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60EEEF0D" wp14:editId="4955B8AA">
              <wp:simplePos x="0" y="0"/>
              <wp:positionH relativeFrom="column">
                <wp:posOffset>-508635</wp:posOffset>
              </wp:positionH>
              <wp:positionV relativeFrom="paragraph">
                <wp:posOffset>165735</wp:posOffset>
              </wp:positionV>
              <wp:extent cx="621665" cy="445770"/>
              <wp:effectExtent l="0" t="0" r="0" b="0"/>
              <wp:wrapNone/>
              <wp:docPr id="43" name="文字方塊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665" cy="445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30050" w:rsidRDefault="00F30050" w:rsidP="009318AA">
                          <w:pPr>
                            <w:shd w:val="clear" w:color="auto" w:fill="FFFFFF"/>
                            <w:rPr>
                              <w:rFonts w:ascii="文鼎中粗隸" w:eastAsia="文鼎中粗隸"/>
                              <w:b/>
                              <w:w w:val="120"/>
                            </w:rPr>
                          </w:pPr>
                          <w:r>
                            <w:rPr>
                              <w:rFonts w:ascii="文鼎中粗隸" w:eastAsia="文鼎中粗隸"/>
                              <w:b/>
                              <w:noProof/>
                              <w:w w:val="120"/>
                            </w:rPr>
                            <w:drawing>
                              <wp:inline distT="0" distB="0" distL="0" distR="0" wp14:anchorId="31D456E4" wp14:editId="3A1646A4">
                                <wp:extent cx="441960" cy="350520"/>
                                <wp:effectExtent l="0" t="0" r="0" b="0"/>
                                <wp:docPr id="1" name="圖片 3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0"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41960" cy="35052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60EEEF0D" id="文字方塊 31" o:spid="_x0000_s1027" type="#_x0000_t202" style="position:absolute;left:0;text-align:left;margin-left:-40.05pt;margin-top:13.05pt;width:48.95pt;height:35.1pt;z-index:2516633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" filled="f" stroked="f">
              <v:textbox style="mso-fit-shape-to-text:t">
                <w:txbxContent>
                  <w:p w:rsidR="00F30050" w:rsidRDefault="00F30050" w:rsidP="009318AA">
                    <w:pPr>
                      <w:shd w:val="clear" w:color="auto" w:fill="FFFFFF"/>
                      <w:rPr>
                        <w:rFonts w:ascii="文鼎中粗隸" w:eastAsia="文鼎中粗隸"/>
                        <w:b/>
                        <w:w w:val="120"/>
                      </w:rPr>
                    </w:pPr>
                    <w:r>
                      <w:rPr>
                        <w:rFonts w:ascii="文鼎中粗隸" w:eastAsia="文鼎中粗隸"/>
                        <w:b/>
                        <w:noProof/>
                        <w:w w:val="120"/>
                      </w:rPr>
                      <w:drawing>
                        <wp:inline distT="0" distB="0" distL="0" distR="0" wp14:anchorId="31D456E4" wp14:editId="3A1646A4">
                          <wp:extent cx="441960" cy="350520"/>
                          <wp:effectExtent l="0" t="0" r="0" b="0"/>
                          <wp:docPr id="1" name="圖片 3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0"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1960" cy="350520"/>
                                  </a:xfrm>
                                  <a:prstGeom prst="rect">
                                    <a:avLst/>
                                  </a:prstGeom>
                                  <a:noFill/>
                                  <a:ln>
                                    <a:noFill/>
                                  </a:ln>
                                </pic:spPr>
                              </pic:pic>
                            </a:graphicData>
                          </a:graphic>
                        </wp:inline>
                      </w:drawing>
                    </w:r>
                  </w:p>
                </w:txbxContent>
              </v:textbox>
            </v:shape>
          </w:pict>
        </mc:Fallback>
      </mc:AlternateContent>
    </w:r>
    <w:r w:rsidRPr="00E15DCB">
      <w:rPr>
        <w:rFonts w:hint="eastAsia"/>
      </w:rPr>
      <w:t xml:space="preserve"> </w:t>
    </w:r>
  </w:p>
  <w:p w:rsidR="00F30050" w:rsidRDefault="00F30050">
    <w:pPr>
      <w:pStyle w:val="a7"/>
    </w:pPr>
    <w:r>
      <w:rPr>
        <w:noProof/>
      </w:rPr>
      <mc:AlternateContent>
        <mc:Choice Requires="wps">
          <w:drawing>
            <wp:anchor distT="4294967294" distB="4294967294" distL="114300" distR="114300" simplePos="0" relativeHeight="251651072" behindDoc="0" locked="0" layoutInCell="1" allowOverlap="1" wp14:anchorId="789A1DA8" wp14:editId="4B70B64F">
              <wp:simplePos x="0" y="0"/>
              <wp:positionH relativeFrom="column">
                <wp:posOffset>-422910</wp:posOffset>
              </wp:positionH>
              <wp:positionV relativeFrom="paragraph">
                <wp:posOffset>245744</wp:posOffset>
              </wp:positionV>
              <wp:extent cx="5848350" cy="0"/>
              <wp:effectExtent l="0" t="19050" r="0" b="19050"/>
              <wp:wrapNone/>
              <wp:docPr id="44" name="直線接點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8350" cy="0"/>
                      </a:xfrm>
                      <a:prstGeom prst="line">
                        <a:avLst/>
                      </a:prstGeom>
                      <a:noFill/>
                      <a:ln w="444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4E0D191D" id="直線接點 29" o:spid="_x0000_s1026" style="position:absolute;z-index:2516510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3pt,19.35pt" to="427.2pt,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" strokeweight="3.5pt">
              <v:stroke linestyle="thickThin"/>
            </v:line>
          </w:pict>
        </mc:Fallback>
      </mc:AlternateContent>
    </w:r>
    <w:r>
      <w:rPr>
        <w:noProof/>
      </w:rPr>
      <mc:AlternateContent>
        <mc:Choice Requires="wps">
          <w:drawing>
            <wp:anchor distT="0" distB="0" distL="114300" distR="114300" simplePos="0" relativeHeight="251644928" behindDoc="0" locked="0" layoutInCell="1" allowOverlap="1" wp14:anchorId="3E0ECD57" wp14:editId="58E857DF">
              <wp:simplePos x="0" y="0"/>
              <wp:positionH relativeFrom="column">
                <wp:posOffset>1325245</wp:posOffset>
              </wp:positionH>
              <wp:positionV relativeFrom="paragraph">
                <wp:posOffset>3810</wp:posOffset>
              </wp:positionV>
              <wp:extent cx="4104005" cy="169545"/>
              <wp:effectExtent l="1270" t="3810" r="0" b="0"/>
              <wp:wrapNone/>
              <wp:docPr id="21" name="矩形 28" descr="淺色右斜對角線"/>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04005" cy="169545"/>
                      </a:xfrm>
                      <a:prstGeom prst="rect">
                        <a:avLst/>
                      </a:prstGeom>
                      <a:pattFill prst="ltUpDiag">
                        <a:fgClr>
                          <a:srgbClr val="0000FF"/>
                        </a:fgClr>
                        <a:bgClr>
                          <a:srgbClr val="FFFFFF"/>
                        </a:bgClr>
                      </a:pattFill>
                      <a:ln>
                        <a:noFill/>
                      </a:ln>
                      <a:extLst>
                        <a:ext uri="{91240B29-F687-4F45-9708-019B960494DF}">
                          <a14:hiddenLine xmlns:a14="http://schemas.microsoft.com/office/drawing/2010/main" w="9525">
                            <a:pattFill prst="pct40">
                              <a:fgClr>
                                <a:srgbClr val="000000"/>
                              </a:fgClr>
                              <a:bgClr>
                                <a:srgbClr val="FFFFFF"/>
                              </a:bgClr>
                            </a:patt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5C2EB62" id="矩形 28" o:spid="_x0000_s1026" alt="淺色右斜對角線" style="position:absolute;margin-left:104.35pt;margin-top:.3pt;width:323.15pt;height:13.3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" fillcolor="blue" stroked="f">
              <v:fill r:id="rId3" o:title="" type="pattern"/>
              <v:stroke r:id="rId4" o:title="" filltype="pattern"/>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85BE3"/>
    <w:multiLevelType w:val="hybridMultilevel"/>
    <w:tmpl w:val="CBEEF2CA"/>
    <w:lvl w:ilvl="0" w:tplc="0409000F">
      <w:start w:val="1"/>
      <w:numFmt w:val="decimal"/>
      <w:lvlText w:val="%1."/>
      <w:lvlJc w:val="left"/>
      <w:pPr>
        <w:ind w:left="480" w:hanging="480"/>
      </w:pPr>
      <w:rPr>
        <w:rFont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nsid w:val="02BF7CF3"/>
    <w:multiLevelType w:val="hybridMultilevel"/>
    <w:tmpl w:val="AE58D7A6"/>
    <w:lvl w:ilvl="0" w:tplc="04090003">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
    <w:nsid w:val="03BC779D"/>
    <w:multiLevelType w:val="hybridMultilevel"/>
    <w:tmpl w:val="B9EC2E16"/>
    <w:lvl w:ilvl="0" w:tplc="D6B0C1D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459094D"/>
    <w:multiLevelType w:val="hybridMultilevel"/>
    <w:tmpl w:val="E9D8A3D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05EF508F"/>
    <w:multiLevelType w:val="hybridMultilevel"/>
    <w:tmpl w:val="89F2895A"/>
    <w:lvl w:ilvl="0" w:tplc="AB0C7092">
      <w:start w:val="1"/>
      <w:numFmt w:val="decimal"/>
      <w:lvlText w:val="%1."/>
      <w:lvlJc w:val="left"/>
      <w:pPr>
        <w:ind w:left="644" w:hanging="360"/>
      </w:pPr>
      <w:rPr>
        <w:rFonts w:cs="Times New Roman" w:hint="default"/>
      </w:rPr>
    </w:lvl>
    <w:lvl w:ilvl="1" w:tplc="04090019" w:tentative="1">
      <w:start w:val="1"/>
      <w:numFmt w:val="ideographTraditional"/>
      <w:lvlText w:val="%2、"/>
      <w:lvlJc w:val="left"/>
      <w:pPr>
        <w:ind w:left="1244" w:hanging="480"/>
      </w:pPr>
      <w:rPr>
        <w:rFonts w:cs="Times New Roman"/>
      </w:rPr>
    </w:lvl>
    <w:lvl w:ilvl="2" w:tplc="0409001B" w:tentative="1">
      <w:start w:val="1"/>
      <w:numFmt w:val="lowerRoman"/>
      <w:lvlText w:val="%3."/>
      <w:lvlJc w:val="right"/>
      <w:pPr>
        <w:ind w:left="1724" w:hanging="480"/>
      </w:pPr>
      <w:rPr>
        <w:rFonts w:cs="Times New Roman"/>
      </w:rPr>
    </w:lvl>
    <w:lvl w:ilvl="3" w:tplc="0409000F" w:tentative="1">
      <w:start w:val="1"/>
      <w:numFmt w:val="decimal"/>
      <w:lvlText w:val="%4."/>
      <w:lvlJc w:val="left"/>
      <w:pPr>
        <w:ind w:left="2204" w:hanging="480"/>
      </w:pPr>
      <w:rPr>
        <w:rFonts w:cs="Times New Roman"/>
      </w:rPr>
    </w:lvl>
    <w:lvl w:ilvl="4" w:tplc="04090019" w:tentative="1">
      <w:start w:val="1"/>
      <w:numFmt w:val="ideographTraditional"/>
      <w:lvlText w:val="%5、"/>
      <w:lvlJc w:val="left"/>
      <w:pPr>
        <w:ind w:left="2684" w:hanging="480"/>
      </w:pPr>
      <w:rPr>
        <w:rFonts w:cs="Times New Roman"/>
      </w:rPr>
    </w:lvl>
    <w:lvl w:ilvl="5" w:tplc="0409001B" w:tentative="1">
      <w:start w:val="1"/>
      <w:numFmt w:val="lowerRoman"/>
      <w:lvlText w:val="%6."/>
      <w:lvlJc w:val="right"/>
      <w:pPr>
        <w:ind w:left="3164" w:hanging="480"/>
      </w:pPr>
      <w:rPr>
        <w:rFonts w:cs="Times New Roman"/>
      </w:rPr>
    </w:lvl>
    <w:lvl w:ilvl="6" w:tplc="0409000F" w:tentative="1">
      <w:start w:val="1"/>
      <w:numFmt w:val="decimal"/>
      <w:lvlText w:val="%7."/>
      <w:lvlJc w:val="left"/>
      <w:pPr>
        <w:ind w:left="3644" w:hanging="480"/>
      </w:pPr>
      <w:rPr>
        <w:rFonts w:cs="Times New Roman"/>
      </w:rPr>
    </w:lvl>
    <w:lvl w:ilvl="7" w:tplc="04090019" w:tentative="1">
      <w:start w:val="1"/>
      <w:numFmt w:val="ideographTraditional"/>
      <w:lvlText w:val="%8、"/>
      <w:lvlJc w:val="left"/>
      <w:pPr>
        <w:ind w:left="4124" w:hanging="480"/>
      </w:pPr>
      <w:rPr>
        <w:rFonts w:cs="Times New Roman"/>
      </w:rPr>
    </w:lvl>
    <w:lvl w:ilvl="8" w:tplc="0409001B" w:tentative="1">
      <w:start w:val="1"/>
      <w:numFmt w:val="lowerRoman"/>
      <w:lvlText w:val="%9."/>
      <w:lvlJc w:val="right"/>
      <w:pPr>
        <w:ind w:left="4604" w:hanging="480"/>
      </w:pPr>
      <w:rPr>
        <w:rFonts w:cs="Times New Roman"/>
      </w:rPr>
    </w:lvl>
  </w:abstractNum>
  <w:abstractNum w:abstractNumId="5">
    <w:nsid w:val="0F404BCD"/>
    <w:multiLevelType w:val="hybridMultilevel"/>
    <w:tmpl w:val="480077A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103335E9"/>
    <w:multiLevelType w:val="hybridMultilevel"/>
    <w:tmpl w:val="E9D8A3D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11550F5D"/>
    <w:multiLevelType w:val="hybridMultilevel"/>
    <w:tmpl w:val="980A356A"/>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15145C89"/>
    <w:multiLevelType w:val="hybridMultilevel"/>
    <w:tmpl w:val="480077A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153F548A"/>
    <w:multiLevelType w:val="hybridMultilevel"/>
    <w:tmpl w:val="C6FC4A9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nsid w:val="16CB0FD0"/>
    <w:multiLevelType w:val="hybridMultilevel"/>
    <w:tmpl w:val="C2C80950"/>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1">
    <w:nsid w:val="17FF3FAC"/>
    <w:multiLevelType w:val="hybridMultilevel"/>
    <w:tmpl w:val="EC504EAE"/>
    <w:lvl w:ilvl="0" w:tplc="C440507A">
      <w:start w:val="1"/>
      <w:numFmt w:val="decimal"/>
      <w:lvlText w:val="%1."/>
      <w:lvlJc w:val="left"/>
      <w:pPr>
        <w:tabs>
          <w:tab w:val="num" w:pos="840"/>
        </w:tabs>
        <w:ind w:left="840" w:hanging="360"/>
      </w:pPr>
      <w:rPr>
        <w:rFonts w:cs="Times New Roman" w:hint="default"/>
      </w:rPr>
    </w:lvl>
    <w:lvl w:ilvl="1" w:tplc="04090019" w:tentative="1">
      <w:start w:val="1"/>
      <w:numFmt w:val="ideographTraditional"/>
      <w:lvlText w:val="%2、"/>
      <w:lvlJc w:val="left"/>
      <w:pPr>
        <w:tabs>
          <w:tab w:val="num" w:pos="1440"/>
        </w:tabs>
        <w:ind w:left="1440" w:hanging="480"/>
      </w:pPr>
      <w:rPr>
        <w:rFonts w:cs="Times New Roman"/>
      </w:rPr>
    </w:lvl>
    <w:lvl w:ilvl="2" w:tplc="0409001B" w:tentative="1">
      <w:start w:val="1"/>
      <w:numFmt w:val="lowerRoman"/>
      <w:lvlText w:val="%3."/>
      <w:lvlJc w:val="right"/>
      <w:pPr>
        <w:tabs>
          <w:tab w:val="num" w:pos="1920"/>
        </w:tabs>
        <w:ind w:left="1920" w:hanging="480"/>
      </w:pPr>
      <w:rPr>
        <w:rFonts w:cs="Times New Roman"/>
      </w:rPr>
    </w:lvl>
    <w:lvl w:ilvl="3" w:tplc="0409000F" w:tentative="1">
      <w:start w:val="1"/>
      <w:numFmt w:val="decimal"/>
      <w:lvlText w:val="%4."/>
      <w:lvlJc w:val="left"/>
      <w:pPr>
        <w:tabs>
          <w:tab w:val="num" w:pos="2400"/>
        </w:tabs>
        <w:ind w:left="2400" w:hanging="480"/>
      </w:pPr>
      <w:rPr>
        <w:rFonts w:cs="Times New Roman"/>
      </w:rPr>
    </w:lvl>
    <w:lvl w:ilvl="4" w:tplc="04090019" w:tentative="1">
      <w:start w:val="1"/>
      <w:numFmt w:val="ideographTraditional"/>
      <w:lvlText w:val="%5、"/>
      <w:lvlJc w:val="left"/>
      <w:pPr>
        <w:tabs>
          <w:tab w:val="num" w:pos="2880"/>
        </w:tabs>
        <w:ind w:left="2880" w:hanging="480"/>
      </w:pPr>
      <w:rPr>
        <w:rFonts w:cs="Times New Roman"/>
      </w:rPr>
    </w:lvl>
    <w:lvl w:ilvl="5" w:tplc="0409001B" w:tentative="1">
      <w:start w:val="1"/>
      <w:numFmt w:val="lowerRoman"/>
      <w:lvlText w:val="%6."/>
      <w:lvlJc w:val="right"/>
      <w:pPr>
        <w:tabs>
          <w:tab w:val="num" w:pos="3360"/>
        </w:tabs>
        <w:ind w:left="3360" w:hanging="480"/>
      </w:pPr>
      <w:rPr>
        <w:rFonts w:cs="Times New Roman"/>
      </w:rPr>
    </w:lvl>
    <w:lvl w:ilvl="6" w:tplc="0409000F" w:tentative="1">
      <w:start w:val="1"/>
      <w:numFmt w:val="decimal"/>
      <w:lvlText w:val="%7."/>
      <w:lvlJc w:val="left"/>
      <w:pPr>
        <w:tabs>
          <w:tab w:val="num" w:pos="3840"/>
        </w:tabs>
        <w:ind w:left="3840" w:hanging="480"/>
      </w:pPr>
      <w:rPr>
        <w:rFonts w:cs="Times New Roman"/>
      </w:rPr>
    </w:lvl>
    <w:lvl w:ilvl="7" w:tplc="04090019" w:tentative="1">
      <w:start w:val="1"/>
      <w:numFmt w:val="ideographTraditional"/>
      <w:lvlText w:val="%8、"/>
      <w:lvlJc w:val="left"/>
      <w:pPr>
        <w:tabs>
          <w:tab w:val="num" w:pos="4320"/>
        </w:tabs>
        <w:ind w:left="4320" w:hanging="480"/>
      </w:pPr>
      <w:rPr>
        <w:rFonts w:cs="Times New Roman"/>
      </w:rPr>
    </w:lvl>
    <w:lvl w:ilvl="8" w:tplc="0409001B" w:tentative="1">
      <w:start w:val="1"/>
      <w:numFmt w:val="lowerRoman"/>
      <w:lvlText w:val="%9."/>
      <w:lvlJc w:val="right"/>
      <w:pPr>
        <w:tabs>
          <w:tab w:val="num" w:pos="4800"/>
        </w:tabs>
        <w:ind w:left="4800" w:hanging="480"/>
      </w:pPr>
      <w:rPr>
        <w:rFonts w:cs="Times New Roman"/>
      </w:rPr>
    </w:lvl>
  </w:abstractNum>
  <w:abstractNum w:abstractNumId="12">
    <w:nsid w:val="1A160565"/>
    <w:multiLevelType w:val="hybridMultilevel"/>
    <w:tmpl w:val="5AE4602E"/>
    <w:lvl w:ilvl="0" w:tplc="574C841C">
      <w:start w:val="1"/>
      <w:numFmt w:val="decimal"/>
      <w:lvlText w:val="%1."/>
      <w:lvlJc w:val="left"/>
      <w:pPr>
        <w:ind w:left="644" w:hanging="360"/>
      </w:pPr>
      <w:rPr>
        <w:rFonts w:cs="Times New Roman" w:hint="default"/>
      </w:rPr>
    </w:lvl>
    <w:lvl w:ilvl="1" w:tplc="04090019" w:tentative="1">
      <w:start w:val="1"/>
      <w:numFmt w:val="ideographTraditional"/>
      <w:lvlText w:val="%2、"/>
      <w:lvlJc w:val="left"/>
      <w:pPr>
        <w:ind w:left="1244" w:hanging="480"/>
      </w:pPr>
      <w:rPr>
        <w:rFonts w:cs="Times New Roman"/>
      </w:rPr>
    </w:lvl>
    <w:lvl w:ilvl="2" w:tplc="0409001B" w:tentative="1">
      <w:start w:val="1"/>
      <w:numFmt w:val="lowerRoman"/>
      <w:lvlText w:val="%3."/>
      <w:lvlJc w:val="right"/>
      <w:pPr>
        <w:ind w:left="1724" w:hanging="480"/>
      </w:pPr>
      <w:rPr>
        <w:rFonts w:cs="Times New Roman"/>
      </w:rPr>
    </w:lvl>
    <w:lvl w:ilvl="3" w:tplc="0409000F" w:tentative="1">
      <w:start w:val="1"/>
      <w:numFmt w:val="decimal"/>
      <w:lvlText w:val="%4."/>
      <w:lvlJc w:val="left"/>
      <w:pPr>
        <w:ind w:left="2204" w:hanging="480"/>
      </w:pPr>
      <w:rPr>
        <w:rFonts w:cs="Times New Roman"/>
      </w:rPr>
    </w:lvl>
    <w:lvl w:ilvl="4" w:tplc="04090019" w:tentative="1">
      <w:start w:val="1"/>
      <w:numFmt w:val="ideographTraditional"/>
      <w:lvlText w:val="%5、"/>
      <w:lvlJc w:val="left"/>
      <w:pPr>
        <w:ind w:left="2684" w:hanging="480"/>
      </w:pPr>
      <w:rPr>
        <w:rFonts w:cs="Times New Roman"/>
      </w:rPr>
    </w:lvl>
    <w:lvl w:ilvl="5" w:tplc="0409001B" w:tentative="1">
      <w:start w:val="1"/>
      <w:numFmt w:val="lowerRoman"/>
      <w:lvlText w:val="%6."/>
      <w:lvlJc w:val="right"/>
      <w:pPr>
        <w:ind w:left="3164" w:hanging="480"/>
      </w:pPr>
      <w:rPr>
        <w:rFonts w:cs="Times New Roman"/>
      </w:rPr>
    </w:lvl>
    <w:lvl w:ilvl="6" w:tplc="0409000F" w:tentative="1">
      <w:start w:val="1"/>
      <w:numFmt w:val="decimal"/>
      <w:lvlText w:val="%7."/>
      <w:lvlJc w:val="left"/>
      <w:pPr>
        <w:ind w:left="3644" w:hanging="480"/>
      </w:pPr>
      <w:rPr>
        <w:rFonts w:cs="Times New Roman"/>
      </w:rPr>
    </w:lvl>
    <w:lvl w:ilvl="7" w:tplc="04090019" w:tentative="1">
      <w:start w:val="1"/>
      <w:numFmt w:val="ideographTraditional"/>
      <w:lvlText w:val="%8、"/>
      <w:lvlJc w:val="left"/>
      <w:pPr>
        <w:ind w:left="4124" w:hanging="480"/>
      </w:pPr>
      <w:rPr>
        <w:rFonts w:cs="Times New Roman"/>
      </w:rPr>
    </w:lvl>
    <w:lvl w:ilvl="8" w:tplc="0409001B" w:tentative="1">
      <w:start w:val="1"/>
      <w:numFmt w:val="lowerRoman"/>
      <w:lvlText w:val="%9."/>
      <w:lvlJc w:val="right"/>
      <w:pPr>
        <w:ind w:left="4604" w:hanging="480"/>
      </w:pPr>
      <w:rPr>
        <w:rFonts w:cs="Times New Roman"/>
      </w:rPr>
    </w:lvl>
  </w:abstractNum>
  <w:abstractNum w:abstractNumId="13">
    <w:nsid w:val="1CD00C97"/>
    <w:multiLevelType w:val="hybridMultilevel"/>
    <w:tmpl w:val="50C8787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1E00137F"/>
    <w:multiLevelType w:val="hybridMultilevel"/>
    <w:tmpl w:val="450C3992"/>
    <w:lvl w:ilvl="0" w:tplc="27AC6C86">
      <w:start w:val="1"/>
      <w:numFmt w:val="taiwaneseCountingThousand"/>
      <w:lvlText w:val="（%1）"/>
      <w:lvlJc w:val="left"/>
      <w:pPr>
        <w:ind w:left="1506" w:hanging="1080"/>
      </w:pPr>
      <w:rPr>
        <w:rFonts w:cs="Times New Roman" w:hint="default"/>
        <w:lang w:val="en-US"/>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5">
    <w:nsid w:val="1F083F9F"/>
    <w:multiLevelType w:val="hybridMultilevel"/>
    <w:tmpl w:val="12CEBB7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nsid w:val="1F2B5BAD"/>
    <w:multiLevelType w:val="hybridMultilevel"/>
    <w:tmpl w:val="5F4086D4"/>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7">
    <w:nsid w:val="1FDE4A4B"/>
    <w:multiLevelType w:val="hybridMultilevel"/>
    <w:tmpl w:val="DDDA8E84"/>
    <w:lvl w:ilvl="0" w:tplc="04090011">
      <w:start w:val="1"/>
      <w:numFmt w:val="upperLetter"/>
      <w:lvlText w:val="%1."/>
      <w:lvlJc w:val="left"/>
      <w:pPr>
        <w:ind w:left="1453" w:hanging="480"/>
      </w:pPr>
    </w:lvl>
    <w:lvl w:ilvl="1" w:tplc="04090019" w:tentative="1">
      <w:start w:val="1"/>
      <w:numFmt w:val="ideographTraditional"/>
      <w:lvlText w:val="%2、"/>
      <w:lvlJc w:val="left"/>
      <w:pPr>
        <w:ind w:left="1933" w:hanging="480"/>
      </w:pPr>
    </w:lvl>
    <w:lvl w:ilvl="2" w:tplc="0409001B" w:tentative="1">
      <w:start w:val="1"/>
      <w:numFmt w:val="lowerRoman"/>
      <w:lvlText w:val="%3."/>
      <w:lvlJc w:val="right"/>
      <w:pPr>
        <w:ind w:left="2413" w:hanging="480"/>
      </w:pPr>
    </w:lvl>
    <w:lvl w:ilvl="3" w:tplc="0409000F" w:tentative="1">
      <w:start w:val="1"/>
      <w:numFmt w:val="decimal"/>
      <w:lvlText w:val="%4."/>
      <w:lvlJc w:val="left"/>
      <w:pPr>
        <w:ind w:left="2893" w:hanging="480"/>
      </w:pPr>
    </w:lvl>
    <w:lvl w:ilvl="4" w:tplc="04090019" w:tentative="1">
      <w:start w:val="1"/>
      <w:numFmt w:val="ideographTraditional"/>
      <w:lvlText w:val="%5、"/>
      <w:lvlJc w:val="left"/>
      <w:pPr>
        <w:ind w:left="3373" w:hanging="480"/>
      </w:pPr>
    </w:lvl>
    <w:lvl w:ilvl="5" w:tplc="0409001B" w:tentative="1">
      <w:start w:val="1"/>
      <w:numFmt w:val="lowerRoman"/>
      <w:lvlText w:val="%6."/>
      <w:lvlJc w:val="right"/>
      <w:pPr>
        <w:ind w:left="3853" w:hanging="480"/>
      </w:pPr>
    </w:lvl>
    <w:lvl w:ilvl="6" w:tplc="0409000F" w:tentative="1">
      <w:start w:val="1"/>
      <w:numFmt w:val="decimal"/>
      <w:lvlText w:val="%7."/>
      <w:lvlJc w:val="left"/>
      <w:pPr>
        <w:ind w:left="4333" w:hanging="480"/>
      </w:pPr>
    </w:lvl>
    <w:lvl w:ilvl="7" w:tplc="04090019" w:tentative="1">
      <w:start w:val="1"/>
      <w:numFmt w:val="ideographTraditional"/>
      <w:lvlText w:val="%8、"/>
      <w:lvlJc w:val="left"/>
      <w:pPr>
        <w:ind w:left="4813" w:hanging="480"/>
      </w:pPr>
    </w:lvl>
    <w:lvl w:ilvl="8" w:tplc="0409001B" w:tentative="1">
      <w:start w:val="1"/>
      <w:numFmt w:val="lowerRoman"/>
      <w:lvlText w:val="%9."/>
      <w:lvlJc w:val="right"/>
      <w:pPr>
        <w:ind w:left="5293" w:hanging="480"/>
      </w:pPr>
    </w:lvl>
  </w:abstractNum>
  <w:abstractNum w:abstractNumId="18">
    <w:nsid w:val="236A3F50"/>
    <w:multiLevelType w:val="hybridMultilevel"/>
    <w:tmpl w:val="5F4086D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25450EA8"/>
    <w:multiLevelType w:val="hybridMultilevel"/>
    <w:tmpl w:val="DE96AE68"/>
    <w:lvl w:ilvl="0" w:tplc="4092953A">
      <w:start w:val="1"/>
      <w:numFmt w:val="decimal"/>
      <w:lvlText w:val="%1."/>
      <w:lvlJc w:val="left"/>
      <w:pPr>
        <w:ind w:left="644"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2601376F"/>
    <w:multiLevelType w:val="hybridMultilevel"/>
    <w:tmpl w:val="D4AC7EEE"/>
    <w:lvl w:ilvl="0" w:tplc="08644F98">
      <w:start w:val="1"/>
      <w:numFmt w:val="decimal"/>
      <w:lvlText w:val="%1."/>
      <w:lvlJc w:val="left"/>
      <w:pPr>
        <w:ind w:left="495" w:hanging="495"/>
      </w:pPr>
      <w:rPr>
        <w:rFonts w:ascii="Calibri" w:hAnsi="Calibri" w:hint="default"/>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27B86822"/>
    <w:multiLevelType w:val="hybridMultilevel"/>
    <w:tmpl w:val="AE0481A0"/>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2">
    <w:nsid w:val="2E0E0D96"/>
    <w:multiLevelType w:val="hybridMultilevel"/>
    <w:tmpl w:val="3C389540"/>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3">
    <w:nsid w:val="2EEB2584"/>
    <w:multiLevelType w:val="hybridMultilevel"/>
    <w:tmpl w:val="E8A0FB82"/>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4">
    <w:nsid w:val="3155503A"/>
    <w:multiLevelType w:val="hybridMultilevel"/>
    <w:tmpl w:val="F3B02756"/>
    <w:lvl w:ilvl="0" w:tplc="04090003">
      <w:start w:val="1"/>
      <w:numFmt w:val="bullet"/>
      <w:lvlText w:val=""/>
      <w:lvlJc w:val="left"/>
      <w:pPr>
        <w:ind w:left="1425" w:hanging="480"/>
      </w:pPr>
      <w:rPr>
        <w:rFonts w:ascii="Wingdings" w:hAnsi="Wingdings" w:hint="default"/>
      </w:rPr>
    </w:lvl>
    <w:lvl w:ilvl="1" w:tplc="04090003" w:tentative="1">
      <w:start w:val="1"/>
      <w:numFmt w:val="bullet"/>
      <w:lvlText w:val=""/>
      <w:lvlJc w:val="left"/>
      <w:pPr>
        <w:ind w:left="1905" w:hanging="480"/>
      </w:pPr>
      <w:rPr>
        <w:rFonts w:ascii="Wingdings" w:hAnsi="Wingdings" w:hint="default"/>
      </w:rPr>
    </w:lvl>
    <w:lvl w:ilvl="2" w:tplc="04090005" w:tentative="1">
      <w:start w:val="1"/>
      <w:numFmt w:val="bullet"/>
      <w:lvlText w:val=""/>
      <w:lvlJc w:val="left"/>
      <w:pPr>
        <w:ind w:left="2385" w:hanging="480"/>
      </w:pPr>
      <w:rPr>
        <w:rFonts w:ascii="Wingdings" w:hAnsi="Wingdings" w:hint="default"/>
      </w:rPr>
    </w:lvl>
    <w:lvl w:ilvl="3" w:tplc="04090001" w:tentative="1">
      <w:start w:val="1"/>
      <w:numFmt w:val="bullet"/>
      <w:lvlText w:val=""/>
      <w:lvlJc w:val="left"/>
      <w:pPr>
        <w:ind w:left="2865" w:hanging="480"/>
      </w:pPr>
      <w:rPr>
        <w:rFonts w:ascii="Wingdings" w:hAnsi="Wingdings" w:hint="default"/>
      </w:rPr>
    </w:lvl>
    <w:lvl w:ilvl="4" w:tplc="04090003" w:tentative="1">
      <w:start w:val="1"/>
      <w:numFmt w:val="bullet"/>
      <w:lvlText w:val=""/>
      <w:lvlJc w:val="left"/>
      <w:pPr>
        <w:ind w:left="3345" w:hanging="480"/>
      </w:pPr>
      <w:rPr>
        <w:rFonts w:ascii="Wingdings" w:hAnsi="Wingdings" w:hint="default"/>
      </w:rPr>
    </w:lvl>
    <w:lvl w:ilvl="5" w:tplc="04090005" w:tentative="1">
      <w:start w:val="1"/>
      <w:numFmt w:val="bullet"/>
      <w:lvlText w:val=""/>
      <w:lvlJc w:val="left"/>
      <w:pPr>
        <w:ind w:left="3825" w:hanging="480"/>
      </w:pPr>
      <w:rPr>
        <w:rFonts w:ascii="Wingdings" w:hAnsi="Wingdings" w:hint="default"/>
      </w:rPr>
    </w:lvl>
    <w:lvl w:ilvl="6" w:tplc="04090001" w:tentative="1">
      <w:start w:val="1"/>
      <w:numFmt w:val="bullet"/>
      <w:lvlText w:val=""/>
      <w:lvlJc w:val="left"/>
      <w:pPr>
        <w:ind w:left="4305" w:hanging="480"/>
      </w:pPr>
      <w:rPr>
        <w:rFonts w:ascii="Wingdings" w:hAnsi="Wingdings" w:hint="default"/>
      </w:rPr>
    </w:lvl>
    <w:lvl w:ilvl="7" w:tplc="04090003" w:tentative="1">
      <w:start w:val="1"/>
      <w:numFmt w:val="bullet"/>
      <w:lvlText w:val=""/>
      <w:lvlJc w:val="left"/>
      <w:pPr>
        <w:ind w:left="4785" w:hanging="480"/>
      </w:pPr>
      <w:rPr>
        <w:rFonts w:ascii="Wingdings" w:hAnsi="Wingdings" w:hint="default"/>
      </w:rPr>
    </w:lvl>
    <w:lvl w:ilvl="8" w:tplc="04090005" w:tentative="1">
      <w:start w:val="1"/>
      <w:numFmt w:val="bullet"/>
      <w:lvlText w:val=""/>
      <w:lvlJc w:val="left"/>
      <w:pPr>
        <w:ind w:left="5265" w:hanging="480"/>
      </w:pPr>
      <w:rPr>
        <w:rFonts w:ascii="Wingdings" w:hAnsi="Wingdings" w:hint="default"/>
      </w:rPr>
    </w:lvl>
  </w:abstractNum>
  <w:abstractNum w:abstractNumId="25">
    <w:nsid w:val="3AA80D56"/>
    <w:multiLevelType w:val="hybridMultilevel"/>
    <w:tmpl w:val="F670D3F2"/>
    <w:lvl w:ilvl="0" w:tplc="0409000F">
      <w:start w:val="1"/>
      <w:numFmt w:val="decimal"/>
      <w:lvlText w:val="%1."/>
      <w:lvlJc w:val="left"/>
      <w:pPr>
        <w:ind w:left="480" w:hanging="480"/>
      </w:pPr>
    </w:lvl>
    <w:lvl w:ilvl="1" w:tplc="8D8CCA80">
      <w:start w:val="1"/>
      <w:numFmt w:val="decimal"/>
      <w:lvlText w:val="%2."/>
      <w:lvlJc w:val="left"/>
      <w:pPr>
        <w:ind w:left="960" w:hanging="48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40734693"/>
    <w:multiLevelType w:val="hybridMultilevel"/>
    <w:tmpl w:val="75BC1C14"/>
    <w:lvl w:ilvl="0" w:tplc="04090003">
      <w:start w:val="1"/>
      <w:numFmt w:val="bullet"/>
      <w:lvlText w:val=""/>
      <w:lvlJc w:val="left"/>
      <w:pPr>
        <w:ind w:left="975" w:hanging="480"/>
      </w:pPr>
      <w:rPr>
        <w:rFonts w:ascii="Wingdings" w:hAnsi="Wingdings" w:hint="default"/>
      </w:rPr>
    </w:lvl>
    <w:lvl w:ilvl="1" w:tplc="04090003" w:tentative="1">
      <w:start w:val="1"/>
      <w:numFmt w:val="bullet"/>
      <w:lvlText w:val=""/>
      <w:lvlJc w:val="left"/>
      <w:pPr>
        <w:ind w:left="1455" w:hanging="480"/>
      </w:pPr>
      <w:rPr>
        <w:rFonts w:ascii="Wingdings" w:hAnsi="Wingdings" w:hint="default"/>
      </w:rPr>
    </w:lvl>
    <w:lvl w:ilvl="2" w:tplc="04090005" w:tentative="1">
      <w:start w:val="1"/>
      <w:numFmt w:val="bullet"/>
      <w:lvlText w:val=""/>
      <w:lvlJc w:val="left"/>
      <w:pPr>
        <w:ind w:left="1935" w:hanging="480"/>
      </w:pPr>
      <w:rPr>
        <w:rFonts w:ascii="Wingdings" w:hAnsi="Wingdings" w:hint="default"/>
      </w:rPr>
    </w:lvl>
    <w:lvl w:ilvl="3" w:tplc="04090001" w:tentative="1">
      <w:start w:val="1"/>
      <w:numFmt w:val="bullet"/>
      <w:lvlText w:val=""/>
      <w:lvlJc w:val="left"/>
      <w:pPr>
        <w:ind w:left="2415" w:hanging="480"/>
      </w:pPr>
      <w:rPr>
        <w:rFonts w:ascii="Wingdings" w:hAnsi="Wingdings" w:hint="default"/>
      </w:rPr>
    </w:lvl>
    <w:lvl w:ilvl="4" w:tplc="04090003" w:tentative="1">
      <w:start w:val="1"/>
      <w:numFmt w:val="bullet"/>
      <w:lvlText w:val=""/>
      <w:lvlJc w:val="left"/>
      <w:pPr>
        <w:ind w:left="2895" w:hanging="480"/>
      </w:pPr>
      <w:rPr>
        <w:rFonts w:ascii="Wingdings" w:hAnsi="Wingdings" w:hint="default"/>
      </w:rPr>
    </w:lvl>
    <w:lvl w:ilvl="5" w:tplc="04090005" w:tentative="1">
      <w:start w:val="1"/>
      <w:numFmt w:val="bullet"/>
      <w:lvlText w:val=""/>
      <w:lvlJc w:val="left"/>
      <w:pPr>
        <w:ind w:left="3375" w:hanging="480"/>
      </w:pPr>
      <w:rPr>
        <w:rFonts w:ascii="Wingdings" w:hAnsi="Wingdings" w:hint="default"/>
      </w:rPr>
    </w:lvl>
    <w:lvl w:ilvl="6" w:tplc="04090001" w:tentative="1">
      <w:start w:val="1"/>
      <w:numFmt w:val="bullet"/>
      <w:lvlText w:val=""/>
      <w:lvlJc w:val="left"/>
      <w:pPr>
        <w:ind w:left="3855" w:hanging="480"/>
      </w:pPr>
      <w:rPr>
        <w:rFonts w:ascii="Wingdings" w:hAnsi="Wingdings" w:hint="default"/>
      </w:rPr>
    </w:lvl>
    <w:lvl w:ilvl="7" w:tplc="04090003" w:tentative="1">
      <w:start w:val="1"/>
      <w:numFmt w:val="bullet"/>
      <w:lvlText w:val=""/>
      <w:lvlJc w:val="left"/>
      <w:pPr>
        <w:ind w:left="4335" w:hanging="480"/>
      </w:pPr>
      <w:rPr>
        <w:rFonts w:ascii="Wingdings" w:hAnsi="Wingdings" w:hint="default"/>
      </w:rPr>
    </w:lvl>
    <w:lvl w:ilvl="8" w:tplc="04090005" w:tentative="1">
      <w:start w:val="1"/>
      <w:numFmt w:val="bullet"/>
      <w:lvlText w:val=""/>
      <w:lvlJc w:val="left"/>
      <w:pPr>
        <w:ind w:left="4815" w:hanging="480"/>
      </w:pPr>
      <w:rPr>
        <w:rFonts w:ascii="Wingdings" w:hAnsi="Wingdings" w:hint="default"/>
      </w:rPr>
    </w:lvl>
  </w:abstractNum>
  <w:abstractNum w:abstractNumId="27">
    <w:nsid w:val="44A64EFE"/>
    <w:multiLevelType w:val="hybridMultilevel"/>
    <w:tmpl w:val="51F8195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nsid w:val="47484EF0"/>
    <w:multiLevelType w:val="hybridMultilevel"/>
    <w:tmpl w:val="5664D45A"/>
    <w:lvl w:ilvl="0" w:tplc="11DEC83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nsid w:val="47914D09"/>
    <w:multiLevelType w:val="hybridMultilevel"/>
    <w:tmpl w:val="E6B6736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nsid w:val="50E10CEC"/>
    <w:multiLevelType w:val="hybridMultilevel"/>
    <w:tmpl w:val="CF765E3C"/>
    <w:lvl w:ilvl="0" w:tplc="D91CBC8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nsid w:val="528D3916"/>
    <w:multiLevelType w:val="hybridMultilevel"/>
    <w:tmpl w:val="7806E83E"/>
    <w:lvl w:ilvl="0" w:tplc="0409000F">
      <w:start w:val="1"/>
      <w:numFmt w:val="decimal"/>
      <w:lvlText w:val="%1."/>
      <w:lvlJc w:val="left"/>
      <w:pPr>
        <w:ind w:left="1958" w:hanging="480"/>
      </w:pPr>
    </w:lvl>
    <w:lvl w:ilvl="1" w:tplc="04090019" w:tentative="1">
      <w:start w:val="1"/>
      <w:numFmt w:val="ideographTraditional"/>
      <w:lvlText w:val="%2、"/>
      <w:lvlJc w:val="left"/>
      <w:pPr>
        <w:ind w:left="2438" w:hanging="480"/>
      </w:pPr>
    </w:lvl>
    <w:lvl w:ilvl="2" w:tplc="0409001B" w:tentative="1">
      <w:start w:val="1"/>
      <w:numFmt w:val="lowerRoman"/>
      <w:lvlText w:val="%3."/>
      <w:lvlJc w:val="right"/>
      <w:pPr>
        <w:ind w:left="2918" w:hanging="480"/>
      </w:pPr>
    </w:lvl>
    <w:lvl w:ilvl="3" w:tplc="0409000F" w:tentative="1">
      <w:start w:val="1"/>
      <w:numFmt w:val="decimal"/>
      <w:lvlText w:val="%4."/>
      <w:lvlJc w:val="left"/>
      <w:pPr>
        <w:ind w:left="3398" w:hanging="480"/>
      </w:pPr>
    </w:lvl>
    <w:lvl w:ilvl="4" w:tplc="04090019" w:tentative="1">
      <w:start w:val="1"/>
      <w:numFmt w:val="ideographTraditional"/>
      <w:lvlText w:val="%5、"/>
      <w:lvlJc w:val="left"/>
      <w:pPr>
        <w:ind w:left="3878" w:hanging="480"/>
      </w:pPr>
    </w:lvl>
    <w:lvl w:ilvl="5" w:tplc="0409001B" w:tentative="1">
      <w:start w:val="1"/>
      <w:numFmt w:val="lowerRoman"/>
      <w:lvlText w:val="%6."/>
      <w:lvlJc w:val="right"/>
      <w:pPr>
        <w:ind w:left="4358" w:hanging="480"/>
      </w:pPr>
    </w:lvl>
    <w:lvl w:ilvl="6" w:tplc="0409000F" w:tentative="1">
      <w:start w:val="1"/>
      <w:numFmt w:val="decimal"/>
      <w:lvlText w:val="%7."/>
      <w:lvlJc w:val="left"/>
      <w:pPr>
        <w:ind w:left="4838" w:hanging="480"/>
      </w:pPr>
    </w:lvl>
    <w:lvl w:ilvl="7" w:tplc="04090019" w:tentative="1">
      <w:start w:val="1"/>
      <w:numFmt w:val="ideographTraditional"/>
      <w:lvlText w:val="%8、"/>
      <w:lvlJc w:val="left"/>
      <w:pPr>
        <w:ind w:left="5318" w:hanging="480"/>
      </w:pPr>
    </w:lvl>
    <w:lvl w:ilvl="8" w:tplc="0409001B" w:tentative="1">
      <w:start w:val="1"/>
      <w:numFmt w:val="lowerRoman"/>
      <w:lvlText w:val="%9."/>
      <w:lvlJc w:val="right"/>
      <w:pPr>
        <w:ind w:left="5798" w:hanging="480"/>
      </w:pPr>
    </w:lvl>
  </w:abstractNum>
  <w:abstractNum w:abstractNumId="32">
    <w:nsid w:val="544F241B"/>
    <w:multiLevelType w:val="hybridMultilevel"/>
    <w:tmpl w:val="1C28B05E"/>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nsid w:val="551967C7"/>
    <w:multiLevelType w:val="hybridMultilevel"/>
    <w:tmpl w:val="1EE82232"/>
    <w:lvl w:ilvl="0" w:tplc="C440507A">
      <w:start w:val="1"/>
      <w:numFmt w:val="decimal"/>
      <w:lvlText w:val="%1."/>
      <w:lvlJc w:val="left"/>
      <w:pPr>
        <w:ind w:left="962" w:hanging="480"/>
      </w:pPr>
      <w:rPr>
        <w:rFonts w:cs="Times New Roman" w:hint="default"/>
      </w:rPr>
    </w:lvl>
    <w:lvl w:ilvl="1" w:tplc="04090019" w:tentative="1">
      <w:start w:val="1"/>
      <w:numFmt w:val="ideographTraditional"/>
      <w:lvlText w:val="%2、"/>
      <w:lvlJc w:val="left"/>
      <w:pPr>
        <w:ind w:left="1442" w:hanging="480"/>
      </w:pPr>
    </w:lvl>
    <w:lvl w:ilvl="2" w:tplc="0409001B" w:tentative="1">
      <w:start w:val="1"/>
      <w:numFmt w:val="lowerRoman"/>
      <w:lvlText w:val="%3."/>
      <w:lvlJc w:val="right"/>
      <w:pPr>
        <w:ind w:left="1922" w:hanging="480"/>
      </w:pPr>
    </w:lvl>
    <w:lvl w:ilvl="3" w:tplc="0409000F" w:tentative="1">
      <w:start w:val="1"/>
      <w:numFmt w:val="decimal"/>
      <w:lvlText w:val="%4."/>
      <w:lvlJc w:val="left"/>
      <w:pPr>
        <w:ind w:left="2402" w:hanging="480"/>
      </w:pPr>
    </w:lvl>
    <w:lvl w:ilvl="4" w:tplc="04090019" w:tentative="1">
      <w:start w:val="1"/>
      <w:numFmt w:val="ideographTraditional"/>
      <w:lvlText w:val="%5、"/>
      <w:lvlJc w:val="left"/>
      <w:pPr>
        <w:ind w:left="2882" w:hanging="480"/>
      </w:pPr>
    </w:lvl>
    <w:lvl w:ilvl="5" w:tplc="0409001B" w:tentative="1">
      <w:start w:val="1"/>
      <w:numFmt w:val="lowerRoman"/>
      <w:lvlText w:val="%6."/>
      <w:lvlJc w:val="right"/>
      <w:pPr>
        <w:ind w:left="3362" w:hanging="480"/>
      </w:pPr>
    </w:lvl>
    <w:lvl w:ilvl="6" w:tplc="0409000F" w:tentative="1">
      <w:start w:val="1"/>
      <w:numFmt w:val="decimal"/>
      <w:lvlText w:val="%7."/>
      <w:lvlJc w:val="left"/>
      <w:pPr>
        <w:ind w:left="3842" w:hanging="480"/>
      </w:pPr>
    </w:lvl>
    <w:lvl w:ilvl="7" w:tplc="04090019" w:tentative="1">
      <w:start w:val="1"/>
      <w:numFmt w:val="ideographTraditional"/>
      <w:lvlText w:val="%8、"/>
      <w:lvlJc w:val="left"/>
      <w:pPr>
        <w:ind w:left="4322" w:hanging="480"/>
      </w:pPr>
    </w:lvl>
    <w:lvl w:ilvl="8" w:tplc="0409001B" w:tentative="1">
      <w:start w:val="1"/>
      <w:numFmt w:val="lowerRoman"/>
      <w:lvlText w:val="%9."/>
      <w:lvlJc w:val="right"/>
      <w:pPr>
        <w:ind w:left="4802" w:hanging="480"/>
      </w:pPr>
    </w:lvl>
  </w:abstractNum>
  <w:abstractNum w:abstractNumId="34">
    <w:nsid w:val="56BE7AF5"/>
    <w:multiLevelType w:val="hybridMultilevel"/>
    <w:tmpl w:val="92D814B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nsid w:val="59E01EA3"/>
    <w:multiLevelType w:val="hybridMultilevel"/>
    <w:tmpl w:val="1D1AB72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6">
    <w:nsid w:val="5C032C66"/>
    <w:multiLevelType w:val="hybridMultilevel"/>
    <w:tmpl w:val="DD967036"/>
    <w:lvl w:ilvl="0" w:tplc="0409000F">
      <w:start w:val="1"/>
      <w:numFmt w:val="decimal"/>
      <w:lvlText w:val="%1."/>
      <w:lvlJc w:val="left"/>
      <w:pPr>
        <w:ind w:left="480" w:hanging="480"/>
      </w:p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nsid w:val="643E5AB3"/>
    <w:multiLevelType w:val="hybridMultilevel"/>
    <w:tmpl w:val="A8BE2F8E"/>
    <w:lvl w:ilvl="0" w:tplc="04090003">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8">
    <w:nsid w:val="66870624"/>
    <w:multiLevelType w:val="hybridMultilevel"/>
    <w:tmpl w:val="773460EE"/>
    <w:lvl w:ilvl="0" w:tplc="04090003">
      <w:start w:val="1"/>
      <w:numFmt w:val="bullet"/>
      <w:lvlText w:val=""/>
      <w:lvlJc w:val="left"/>
      <w:pPr>
        <w:ind w:left="480" w:hanging="480"/>
      </w:pPr>
      <w:rPr>
        <w:rFonts w:ascii="Wingdings" w:hAnsi="Wingding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nsid w:val="6C96093F"/>
    <w:multiLevelType w:val="hybridMultilevel"/>
    <w:tmpl w:val="E6B6736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0">
    <w:nsid w:val="6E841DBC"/>
    <w:multiLevelType w:val="hybridMultilevel"/>
    <w:tmpl w:val="39AC0B58"/>
    <w:lvl w:ilvl="0" w:tplc="04090003">
      <w:start w:val="1"/>
      <w:numFmt w:val="bullet"/>
      <w:lvlText w:val=""/>
      <w:lvlJc w:val="left"/>
      <w:pPr>
        <w:ind w:left="480" w:hanging="480"/>
      </w:pPr>
      <w:rPr>
        <w:rFonts w:ascii="Wingdings" w:hAnsi="Wingding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1">
    <w:nsid w:val="7194078F"/>
    <w:multiLevelType w:val="hybridMultilevel"/>
    <w:tmpl w:val="B316061C"/>
    <w:lvl w:ilvl="0" w:tplc="04090009">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2">
    <w:nsid w:val="71E063FE"/>
    <w:multiLevelType w:val="hybridMultilevel"/>
    <w:tmpl w:val="B8541504"/>
    <w:lvl w:ilvl="0" w:tplc="04090003">
      <w:start w:val="1"/>
      <w:numFmt w:val="bullet"/>
      <w:lvlText w:val=""/>
      <w:lvlJc w:val="left"/>
      <w:pPr>
        <w:ind w:left="480" w:hanging="480"/>
      </w:pPr>
      <w:rPr>
        <w:rFonts w:ascii="Wingdings" w:hAnsi="Wingding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3">
    <w:nsid w:val="725C0155"/>
    <w:multiLevelType w:val="hybridMultilevel"/>
    <w:tmpl w:val="F670D3F2"/>
    <w:lvl w:ilvl="0" w:tplc="0409000F">
      <w:start w:val="1"/>
      <w:numFmt w:val="decimal"/>
      <w:lvlText w:val="%1."/>
      <w:lvlJc w:val="left"/>
      <w:pPr>
        <w:ind w:left="480" w:hanging="480"/>
      </w:pPr>
    </w:lvl>
    <w:lvl w:ilvl="1" w:tplc="8D8CCA80">
      <w:start w:val="1"/>
      <w:numFmt w:val="decimal"/>
      <w:lvlText w:val="%2."/>
      <w:lvlJc w:val="left"/>
      <w:pPr>
        <w:ind w:left="960" w:hanging="48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4">
    <w:nsid w:val="727666A7"/>
    <w:multiLevelType w:val="hybridMultilevel"/>
    <w:tmpl w:val="9FFAD452"/>
    <w:lvl w:ilvl="0" w:tplc="6362096C">
      <w:start w:val="1"/>
      <w:numFmt w:val="decimal"/>
      <w:lvlText w:val="%1."/>
      <w:lvlJc w:val="left"/>
      <w:pPr>
        <w:ind w:left="644" w:hanging="360"/>
      </w:pPr>
      <w:rPr>
        <w:rFonts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5">
    <w:nsid w:val="77931EEC"/>
    <w:multiLevelType w:val="hybridMultilevel"/>
    <w:tmpl w:val="93E2ED24"/>
    <w:lvl w:ilvl="0" w:tplc="F6305440">
      <w:start w:val="4"/>
      <w:numFmt w:val="taiwaneseCountingThousand"/>
      <w:lvlText w:val="（%1）"/>
      <w:lvlJc w:val="left"/>
      <w:pPr>
        <w:ind w:left="1005" w:hanging="1005"/>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num w:numId="1">
    <w:abstractNumId w:val="45"/>
  </w:num>
  <w:num w:numId="2">
    <w:abstractNumId w:val="1"/>
  </w:num>
  <w:num w:numId="3">
    <w:abstractNumId w:val="11"/>
  </w:num>
  <w:num w:numId="4">
    <w:abstractNumId w:val="40"/>
  </w:num>
  <w:num w:numId="5">
    <w:abstractNumId w:val="13"/>
  </w:num>
  <w:num w:numId="6">
    <w:abstractNumId w:val="42"/>
  </w:num>
  <w:num w:numId="7">
    <w:abstractNumId w:val="5"/>
  </w:num>
  <w:num w:numId="8">
    <w:abstractNumId w:val="8"/>
  </w:num>
  <w:num w:numId="9">
    <w:abstractNumId w:val="0"/>
  </w:num>
  <w:num w:numId="10">
    <w:abstractNumId w:val="32"/>
  </w:num>
  <w:num w:numId="11">
    <w:abstractNumId w:val="35"/>
  </w:num>
  <w:num w:numId="12">
    <w:abstractNumId w:val="38"/>
  </w:num>
  <w:num w:numId="13">
    <w:abstractNumId w:val="43"/>
  </w:num>
  <w:num w:numId="14">
    <w:abstractNumId w:val="25"/>
  </w:num>
  <w:num w:numId="15">
    <w:abstractNumId w:val="27"/>
  </w:num>
  <w:num w:numId="16">
    <w:abstractNumId w:val="39"/>
  </w:num>
  <w:num w:numId="17">
    <w:abstractNumId w:val="29"/>
  </w:num>
  <w:num w:numId="18">
    <w:abstractNumId w:val="15"/>
  </w:num>
  <w:num w:numId="19">
    <w:abstractNumId w:val="7"/>
  </w:num>
  <w:num w:numId="20">
    <w:abstractNumId w:val="2"/>
  </w:num>
  <w:num w:numId="21">
    <w:abstractNumId w:val="9"/>
  </w:num>
  <w:num w:numId="22">
    <w:abstractNumId w:val="3"/>
  </w:num>
  <w:num w:numId="23">
    <w:abstractNumId w:val="6"/>
  </w:num>
  <w:num w:numId="24">
    <w:abstractNumId w:val="34"/>
  </w:num>
  <w:num w:numId="25">
    <w:abstractNumId w:val="33"/>
  </w:num>
  <w:num w:numId="26">
    <w:abstractNumId w:val="37"/>
  </w:num>
  <w:num w:numId="27">
    <w:abstractNumId w:val="21"/>
  </w:num>
  <w:num w:numId="28">
    <w:abstractNumId w:val="41"/>
  </w:num>
  <w:num w:numId="29">
    <w:abstractNumId w:val="22"/>
  </w:num>
  <w:num w:numId="30">
    <w:abstractNumId w:val="23"/>
  </w:num>
  <w:num w:numId="31">
    <w:abstractNumId w:val="12"/>
  </w:num>
  <w:num w:numId="32">
    <w:abstractNumId w:val="4"/>
  </w:num>
  <w:num w:numId="33">
    <w:abstractNumId w:val="44"/>
  </w:num>
  <w:num w:numId="34">
    <w:abstractNumId w:val="19"/>
  </w:num>
  <w:num w:numId="35">
    <w:abstractNumId w:val="20"/>
  </w:num>
  <w:num w:numId="36">
    <w:abstractNumId w:val="26"/>
  </w:num>
  <w:num w:numId="3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6"/>
  </w:num>
  <w:num w:numId="41">
    <w:abstractNumId w:val="24"/>
  </w:num>
  <w:num w:numId="42">
    <w:abstractNumId w:val="17"/>
  </w:num>
  <w:num w:numId="43">
    <w:abstractNumId w:val="31"/>
  </w:num>
  <w:num w:numId="44">
    <w:abstractNumId w:val="30"/>
  </w:num>
  <w:num w:numId="45">
    <w:abstractNumId w:val="28"/>
  </w:num>
  <w:num w:numId="46">
    <w:abstractNumId w:val="14"/>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480"/>
  <w:drawingGridHorizontalSpacing w:val="120"/>
  <w:displayHorizontalDrawingGridEvery w:val="0"/>
  <w:displayVerticalDrawingGridEvery w:val="2"/>
  <w:characterSpacingControl w:val="compressPunctuation"/>
  <w:noLineBreaksAfter w:lang="zh-TW" w:val="([{£¥‘“‵〈《「『【〔〝︵︷︹︻︽︿﹁﹃﹙﹛﹝（｛"/>
  <w:noLineBreaksBefore w:lang="zh-TW" w:va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5898"/>
    <w:rsid w:val="00000044"/>
    <w:rsid w:val="00000887"/>
    <w:rsid w:val="00001B36"/>
    <w:rsid w:val="00001F8D"/>
    <w:rsid w:val="00002423"/>
    <w:rsid w:val="00002D5C"/>
    <w:rsid w:val="00004442"/>
    <w:rsid w:val="0000468A"/>
    <w:rsid w:val="00004EBD"/>
    <w:rsid w:val="00004EBE"/>
    <w:rsid w:val="0000513E"/>
    <w:rsid w:val="0000552D"/>
    <w:rsid w:val="0000579B"/>
    <w:rsid w:val="0000651A"/>
    <w:rsid w:val="00006F09"/>
    <w:rsid w:val="00007602"/>
    <w:rsid w:val="00007691"/>
    <w:rsid w:val="00010EF3"/>
    <w:rsid w:val="000110ED"/>
    <w:rsid w:val="000112E8"/>
    <w:rsid w:val="00011840"/>
    <w:rsid w:val="00011D78"/>
    <w:rsid w:val="00012323"/>
    <w:rsid w:val="00012616"/>
    <w:rsid w:val="00012CF6"/>
    <w:rsid w:val="000133BE"/>
    <w:rsid w:val="00013414"/>
    <w:rsid w:val="000143DA"/>
    <w:rsid w:val="00015584"/>
    <w:rsid w:val="00015D9C"/>
    <w:rsid w:val="00016FF5"/>
    <w:rsid w:val="00017322"/>
    <w:rsid w:val="000174F5"/>
    <w:rsid w:val="00020ADF"/>
    <w:rsid w:val="0002117B"/>
    <w:rsid w:val="00021350"/>
    <w:rsid w:val="00021ADE"/>
    <w:rsid w:val="00021CC2"/>
    <w:rsid w:val="00022471"/>
    <w:rsid w:val="00022696"/>
    <w:rsid w:val="0002271B"/>
    <w:rsid w:val="0002277E"/>
    <w:rsid w:val="00022EA0"/>
    <w:rsid w:val="00023703"/>
    <w:rsid w:val="00024885"/>
    <w:rsid w:val="00024E21"/>
    <w:rsid w:val="00024E6F"/>
    <w:rsid w:val="00025B33"/>
    <w:rsid w:val="00025F28"/>
    <w:rsid w:val="00026DEC"/>
    <w:rsid w:val="000270EB"/>
    <w:rsid w:val="00027395"/>
    <w:rsid w:val="00027F75"/>
    <w:rsid w:val="0003005F"/>
    <w:rsid w:val="00030737"/>
    <w:rsid w:val="00030951"/>
    <w:rsid w:val="00033640"/>
    <w:rsid w:val="00034005"/>
    <w:rsid w:val="00035935"/>
    <w:rsid w:val="000370BE"/>
    <w:rsid w:val="00037399"/>
    <w:rsid w:val="000375D0"/>
    <w:rsid w:val="00037ECD"/>
    <w:rsid w:val="000405FF"/>
    <w:rsid w:val="00040B38"/>
    <w:rsid w:val="00040CC7"/>
    <w:rsid w:val="000411F4"/>
    <w:rsid w:val="000414B8"/>
    <w:rsid w:val="0004150D"/>
    <w:rsid w:val="00041AA5"/>
    <w:rsid w:val="00041DD6"/>
    <w:rsid w:val="00041E95"/>
    <w:rsid w:val="0004229D"/>
    <w:rsid w:val="00042E9A"/>
    <w:rsid w:val="00043E24"/>
    <w:rsid w:val="00043F9B"/>
    <w:rsid w:val="00044320"/>
    <w:rsid w:val="00044ADD"/>
    <w:rsid w:val="00045042"/>
    <w:rsid w:val="000459F4"/>
    <w:rsid w:val="0004614B"/>
    <w:rsid w:val="00046364"/>
    <w:rsid w:val="00046C93"/>
    <w:rsid w:val="000470D2"/>
    <w:rsid w:val="0004792A"/>
    <w:rsid w:val="00050C8A"/>
    <w:rsid w:val="000514FA"/>
    <w:rsid w:val="00051666"/>
    <w:rsid w:val="00051B82"/>
    <w:rsid w:val="00051E00"/>
    <w:rsid w:val="00053149"/>
    <w:rsid w:val="00053ACB"/>
    <w:rsid w:val="00053FB8"/>
    <w:rsid w:val="00055D01"/>
    <w:rsid w:val="00056518"/>
    <w:rsid w:val="000566E8"/>
    <w:rsid w:val="000568D8"/>
    <w:rsid w:val="00057251"/>
    <w:rsid w:val="00060071"/>
    <w:rsid w:val="000601FE"/>
    <w:rsid w:val="00061B5F"/>
    <w:rsid w:val="00062514"/>
    <w:rsid w:val="0006357F"/>
    <w:rsid w:val="00063CD2"/>
    <w:rsid w:val="00063D11"/>
    <w:rsid w:val="00063DA7"/>
    <w:rsid w:val="00064664"/>
    <w:rsid w:val="00064675"/>
    <w:rsid w:val="00064BA7"/>
    <w:rsid w:val="00064BD1"/>
    <w:rsid w:val="000660EE"/>
    <w:rsid w:val="0006696F"/>
    <w:rsid w:val="00066CE8"/>
    <w:rsid w:val="000679BE"/>
    <w:rsid w:val="00071433"/>
    <w:rsid w:val="00072828"/>
    <w:rsid w:val="000734EE"/>
    <w:rsid w:val="00073793"/>
    <w:rsid w:val="00073A17"/>
    <w:rsid w:val="00073E69"/>
    <w:rsid w:val="000740A9"/>
    <w:rsid w:val="000741FE"/>
    <w:rsid w:val="00074228"/>
    <w:rsid w:val="00074251"/>
    <w:rsid w:val="00074B7C"/>
    <w:rsid w:val="00074C6F"/>
    <w:rsid w:val="00074C9D"/>
    <w:rsid w:val="00074D5A"/>
    <w:rsid w:val="0007549D"/>
    <w:rsid w:val="00075C9A"/>
    <w:rsid w:val="0007630F"/>
    <w:rsid w:val="000766FC"/>
    <w:rsid w:val="000771C3"/>
    <w:rsid w:val="00077637"/>
    <w:rsid w:val="00077D5C"/>
    <w:rsid w:val="00077E42"/>
    <w:rsid w:val="0008009B"/>
    <w:rsid w:val="00080B3D"/>
    <w:rsid w:val="000813C7"/>
    <w:rsid w:val="00081A62"/>
    <w:rsid w:val="00081E57"/>
    <w:rsid w:val="000829FF"/>
    <w:rsid w:val="000830DE"/>
    <w:rsid w:val="00083C85"/>
    <w:rsid w:val="0008424A"/>
    <w:rsid w:val="000842E3"/>
    <w:rsid w:val="000850CD"/>
    <w:rsid w:val="000851BA"/>
    <w:rsid w:val="0008588C"/>
    <w:rsid w:val="00085D1E"/>
    <w:rsid w:val="000869BD"/>
    <w:rsid w:val="00086DD9"/>
    <w:rsid w:val="00090345"/>
    <w:rsid w:val="00090C42"/>
    <w:rsid w:val="00090E4D"/>
    <w:rsid w:val="00092782"/>
    <w:rsid w:val="00093777"/>
    <w:rsid w:val="000937D2"/>
    <w:rsid w:val="00093E38"/>
    <w:rsid w:val="00096011"/>
    <w:rsid w:val="00096101"/>
    <w:rsid w:val="0009628A"/>
    <w:rsid w:val="0009698C"/>
    <w:rsid w:val="00096A22"/>
    <w:rsid w:val="00096DF5"/>
    <w:rsid w:val="00097B8D"/>
    <w:rsid w:val="000A0C44"/>
    <w:rsid w:val="000A0F98"/>
    <w:rsid w:val="000A13CB"/>
    <w:rsid w:val="000A193E"/>
    <w:rsid w:val="000A193F"/>
    <w:rsid w:val="000A1FE7"/>
    <w:rsid w:val="000A2620"/>
    <w:rsid w:val="000A2782"/>
    <w:rsid w:val="000A2924"/>
    <w:rsid w:val="000A2960"/>
    <w:rsid w:val="000A31D2"/>
    <w:rsid w:val="000A361B"/>
    <w:rsid w:val="000A3658"/>
    <w:rsid w:val="000A37DE"/>
    <w:rsid w:val="000A4095"/>
    <w:rsid w:val="000A4A27"/>
    <w:rsid w:val="000A5488"/>
    <w:rsid w:val="000A5798"/>
    <w:rsid w:val="000A5AB8"/>
    <w:rsid w:val="000A5CF8"/>
    <w:rsid w:val="000A6967"/>
    <w:rsid w:val="000A6B26"/>
    <w:rsid w:val="000A6FD1"/>
    <w:rsid w:val="000A7431"/>
    <w:rsid w:val="000A7E1F"/>
    <w:rsid w:val="000B06B6"/>
    <w:rsid w:val="000B09AE"/>
    <w:rsid w:val="000B0D2A"/>
    <w:rsid w:val="000B0FBD"/>
    <w:rsid w:val="000B1069"/>
    <w:rsid w:val="000B2AA7"/>
    <w:rsid w:val="000B2CEF"/>
    <w:rsid w:val="000B2FC5"/>
    <w:rsid w:val="000B4A66"/>
    <w:rsid w:val="000B4AD3"/>
    <w:rsid w:val="000B566C"/>
    <w:rsid w:val="000B5B53"/>
    <w:rsid w:val="000C005A"/>
    <w:rsid w:val="000C006B"/>
    <w:rsid w:val="000C0408"/>
    <w:rsid w:val="000C0648"/>
    <w:rsid w:val="000C07BB"/>
    <w:rsid w:val="000C07FF"/>
    <w:rsid w:val="000C0898"/>
    <w:rsid w:val="000C138A"/>
    <w:rsid w:val="000C2454"/>
    <w:rsid w:val="000C259C"/>
    <w:rsid w:val="000C31A7"/>
    <w:rsid w:val="000C3482"/>
    <w:rsid w:val="000C36C0"/>
    <w:rsid w:val="000C3958"/>
    <w:rsid w:val="000C405C"/>
    <w:rsid w:val="000C430F"/>
    <w:rsid w:val="000C4997"/>
    <w:rsid w:val="000C4CF9"/>
    <w:rsid w:val="000C511F"/>
    <w:rsid w:val="000C6314"/>
    <w:rsid w:val="000C7509"/>
    <w:rsid w:val="000C788F"/>
    <w:rsid w:val="000C793A"/>
    <w:rsid w:val="000C7F03"/>
    <w:rsid w:val="000D0977"/>
    <w:rsid w:val="000D1693"/>
    <w:rsid w:val="000D1F8D"/>
    <w:rsid w:val="000D22BC"/>
    <w:rsid w:val="000D2F40"/>
    <w:rsid w:val="000D3BED"/>
    <w:rsid w:val="000D4939"/>
    <w:rsid w:val="000D4940"/>
    <w:rsid w:val="000D4A6A"/>
    <w:rsid w:val="000D5991"/>
    <w:rsid w:val="000D61B2"/>
    <w:rsid w:val="000D6436"/>
    <w:rsid w:val="000D66B3"/>
    <w:rsid w:val="000D6C63"/>
    <w:rsid w:val="000D6D6D"/>
    <w:rsid w:val="000D715F"/>
    <w:rsid w:val="000D74EF"/>
    <w:rsid w:val="000D7A70"/>
    <w:rsid w:val="000E194D"/>
    <w:rsid w:val="000E1FE8"/>
    <w:rsid w:val="000E2180"/>
    <w:rsid w:val="000E243A"/>
    <w:rsid w:val="000E25DC"/>
    <w:rsid w:val="000E3663"/>
    <w:rsid w:val="000E371C"/>
    <w:rsid w:val="000E4037"/>
    <w:rsid w:val="000E496D"/>
    <w:rsid w:val="000E4D4D"/>
    <w:rsid w:val="000E5971"/>
    <w:rsid w:val="000E672E"/>
    <w:rsid w:val="000E726C"/>
    <w:rsid w:val="000E789A"/>
    <w:rsid w:val="000E7CE7"/>
    <w:rsid w:val="000F0577"/>
    <w:rsid w:val="000F085F"/>
    <w:rsid w:val="000F0E0F"/>
    <w:rsid w:val="000F1D7D"/>
    <w:rsid w:val="000F2145"/>
    <w:rsid w:val="000F285F"/>
    <w:rsid w:val="000F28F8"/>
    <w:rsid w:val="000F314A"/>
    <w:rsid w:val="000F36E4"/>
    <w:rsid w:val="000F3CA9"/>
    <w:rsid w:val="000F3D83"/>
    <w:rsid w:val="000F488C"/>
    <w:rsid w:val="000F4E22"/>
    <w:rsid w:val="000F54E4"/>
    <w:rsid w:val="000F5710"/>
    <w:rsid w:val="000F57D8"/>
    <w:rsid w:val="000F60EF"/>
    <w:rsid w:val="000F635D"/>
    <w:rsid w:val="000F6726"/>
    <w:rsid w:val="000F6BB5"/>
    <w:rsid w:val="000F70B3"/>
    <w:rsid w:val="000F7A7D"/>
    <w:rsid w:val="000F7C6E"/>
    <w:rsid w:val="00100090"/>
    <w:rsid w:val="0010089A"/>
    <w:rsid w:val="001012E4"/>
    <w:rsid w:val="001014C6"/>
    <w:rsid w:val="00102D60"/>
    <w:rsid w:val="00102D86"/>
    <w:rsid w:val="0010439D"/>
    <w:rsid w:val="001047C2"/>
    <w:rsid w:val="00104B2D"/>
    <w:rsid w:val="00105B6D"/>
    <w:rsid w:val="0010660F"/>
    <w:rsid w:val="00106F37"/>
    <w:rsid w:val="001074B6"/>
    <w:rsid w:val="001077ED"/>
    <w:rsid w:val="00107FB1"/>
    <w:rsid w:val="001101E1"/>
    <w:rsid w:val="00110296"/>
    <w:rsid w:val="00111395"/>
    <w:rsid w:val="001116D6"/>
    <w:rsid w:val="00111A9B"/>
    <w:rsid w:val="00111DD0"/>
    <w:rsid w:val="00113362"/>
    <w:rsid w:val="00114232"/>
    <w:rsid w:val="001155F7"/>
    <w:rsid w:val="0011578D"/>
    <w:rsid w:val="00115EBB"/>
    <w:rsid w:val="001160F2"/>
    <w:rsid w:val="001166D2"/>
    <w:rsid w:val="001167C2"/>
    <w:rsid w:val="001167D6"/>
    <w:rsid w:val="00116D3B"/>
    <w:rsid w:val="00117793"/>
    <w:rsid w:val="00117EB6"/>
    <w:rsid w:val="001200F4"/>
    <w:rsid w:val="00120B49"/>
    <w:rsid w:val="00121B21"/>
    <w:rsid w:val="00122260"/>
    <w:rsid w:val="00122711"/>
    <w:rsid w:val="00122C42"/>
    <w:rsid w:val="0012307F"/>
    <w:rsid w:val="001238BE"/>
    <w:rsid w:val="00123A19"/>
    <w:rsid w:val="00123E18"/>
    <w:rsid w:val="0012507F"/>
    <w:rsid w:val="00125462"/>
    <w:rsid w:val="00125BE7"/>
    <w:rsid w:val="00126562"/>
    <w:rsid w:val="00126607"/>
    <w:rsid w:val="001268AA"/>
    <w:rsid w:val="0012691B"/>
    <w:rsid w:val="00127C79"/>
    <w:rsid w:val="00127D11"/>
    <w:rsid w:val="0013016F"/>
    <w:rsid w:val="00130431"/>
    <w:rsid w:val="0013050E"/>
    <w:rsid w:val="0013085C"/>
    <w:rsid w:val="00130C7B"/>
    <w:rsid w:val="0013153E"/>
    <w:rsid w:val="00131604"/>
    <w:rsid w:val="00131622"/>
    <w:rsid w:val="00131815"/>
    <w:rsid w:val="001318F8"/>
    <w:rsid w:val="00131B9D"/>
    <w:rsid w:val="001324F0"/>
    <w:rsid w:val="001326B1"/>
    <w:rsid w:val="0013299D"/>
    <w:rsid w:val="00133742"/>
    <w:rsid w:val="001354E5"/>
    <w:rsid w:val="00135CCD"/>
    <w:rsid w:val="00135DB3"/>
    <w:rsid w:val="0013641E"/>
    <w:rsid w:val="00136F37"/>
    <w:rsid w:val="001371F8"/>
    <w:rsid w:val="001378D3"/>
    <w:rsid w:val="001378F2"/>
    <w:rsid w:val="001401D9"/>
    <w:rsid w:val="0014021E"/>
    <w:rsid w:val="00140AC5"/>
    <w:rsid w:val="00140F17"/>
    <w:rsid w:val="00141043"/>
    <w:rsid w:val="0014114A"/>
    <w:rsid w:val="001415E9"/>
    <w:rsid w:val="00141B3D"/>
    <w:rsid w:val="00141B4D"/>
    <w:rsid w:val="00142C92"/>
    <w:rsid w:val="00142CE9"/>
    <w:rsid w:val="00143166"/>
    <w:rsid w:val="001432DD"/>
    <w:rsid w:val="001433EE"/>
    <w:rsid w:val="001445F6"/>
    <w:rsid w:val="0014463D"/>
    <w:rsid w:val="001453DE"/>
    <w:rsid w:val="00146055"/>
    <w:rsid w:val="0014633D"/>
    <w:rsid w:val="001465C1"/>
    <w:rsid w:val="001466AD"/>
    <w:rsid w:val="001474D8"/>
    <w:rsid w:val="0014798D"/>
    <w:rsid w:val="00147BBF"/>
    <w:rsid w:val="00147BE6"/>
    <w:rsid w:val="001506FF"/>
    <w:rsid w:val="001515E9"/>
    <w:rsid w:val="0015174D"/>
    <w:rsid w:val="0015209E"/>
    <w:rsid w:val="00152329"/>
    <w:rsid w:val="00152DB5"/>
    <w:rsid w:val="00153109"/>
    <w:rsid w:val="00153377"/>
    <w:rsid w:val="001534F9"/>
    <w:rsid w:val="00154229"/>
    <w:rsid w:val="0015446D"/>
    <w:rsid w:val="001548BE"/>
    <w:rsid w:val="001550FF"/>
    <w:rsid w:val="001558B8"/>
    <w:rsid w:val="00155A7B"/>
    <w:rsid w:val="00155C18"/>
    <w:rsid w:val="0015655B"/>
    <w:rsid w:val="00156A9E"/>
    <w:rsid w:val="00156B92"/>
    <w:rsid w:val="00156D46"/>
    <w:rsid w:val="00157301"/>
    <w:rsid w:val="00157707"/>
    <w:rsid w:val="001606E6"/>
    <w:rsid w:val="00160782"/>
    <w:rsid w:val="00160D38"/>
    <w:rsid w:val="00160DEA"/>
    <w:rsid w:val="00160E34"/>
    <w:rsid w:val="00160EE4"/>
    <w:rsid w:val="00161562"/>
    <w:rsid w:val="001617DC"/>
    <w:rsid w:val="001624B7"/>
    <w:rsid w:val="00162A45"/>
    <w:rsid w:val="00162B91"/>
    <w:rsid w:val="00162F48"/>
    <w:rsid w:val="0016315C"/>
    <w:rsid w:val="0016360D"/>
    <w:rsid w:val="001638D0"/>
    <w:rsid w:val="001641CB"/>
    <w:rsid w:val="001641D3"/>
    <w:rsid w:val="001652B5"/>
    <w:rsid w:val="00165552"/>
    <w:rsid w:val="001657E3"/>
    <w:rsid w:val="00165C73"/>
    <w:rsid w:val="00166572"/>
    <w:rsid w:val="001678A5"/>
    <w:rsid w:val="00167E6B"/>
    <w:rsid w:val="001705AB"/>
    <w:rsid w:val="00170789"/>
    <w:rsid w:val="00170F1B"/>
    <w:rsid w:val="00171653"/>
    <w:rsid w:val="00171980"/>
    <w:rsid w:val="00171FB4"/>
    <w:rsid w:val="001725DC"/>
    <w:rsid w:val="00172797"/>
    <w:rsid w:val="00173255"/>
    <w:rsid w:val="001732AC"/>
    <w:rsid w:val="001734D6"/>
    <w:rsid w:val="0017376A"/>
    <w:rsid w:val="0017376F"/>
    <w:rsid w:val="00173950"/>
    <w:rsid w:val="00173A40"/>
    <w:rsid w:val="00174049"/>
    <w:rsid w:val="0017440C"/>
    <w:rsid w:val="001747F9"/>
    <w:rsid w:val="00174E4D"/>
    <w:rsid w:val="001752B3"/>
    <w:rsid w:val="00175BEA"/>
    <w:rsid w:val="00175F52"/>
    <w:rsid w:val="00176324"/>
    <w:rsid w:val="001763CE"/>
    <w:rsid w:val="00176FFA"/>
    <w:rsid w:val="001776CF"/>
    <w:rsid w:val="001812DB"/>
    <w:rsid w:val="001812F7"/>
    <w:rsid w:val="00181388"/>
    <w:rsid w:val="00181A5A"/>
    <w:rsid w:val="001823ED"/>
    <w:rsid w:val="001829C7"/>
    <w:rsid w:val="00182F4E"/>
    <w:rsid w:val="0018392D"/>
    <w:rsid w:val="00183EB9"/>
    <w:rsid w:val="00184A90"/>
    <w:rsid w:val="00185645"/>
    <w:rsid w:val="001857DE"/>
    <w:rsid w:val="00186312"/>
    <w:rsid w:val="00187251"/>
    <w:rsid w:val="001874F7"/>
    <w:rsid w:val="00187E94"/>
    <w:rsid w:val="00190323"/>
    <w:rsid w:val="00190399"/>
    <w:rsid w:val="00190C2F"/>
    <w:rsid w:val="0019121E"/>
    <w:rsid w:val="00191CE4"/>
    <w:rsid w:val="00192334"/>
    <w:rsid w:val="00192DA5"/>
    <w:rsid w:val="00193028"/>
    <w:rsid w:val="001938E3"/>
    <w:rsid w:val="0019417A"/>
    <w:rsid w:val="00194D9C"/>
    <w:rsid w:val="00195291"/>
    <w:rsid w:val="00195DC4"/>
    <w:rsid w:val="00195F09"/>
    <w:rsid w:val="0019644B"/>
    <w:rsid w:val="00197585"/>
    <w:rsid w:val="0019781D"/>
    <w:rsid w:val="00197E32"/>
    <w:rsid w:val="001A0684"/>
    <w:rsid w:val="001A06A6"/>
    <w:rsid w:val="001A199D"/>
    <w:rsid w:val="001A1A59"/>
    <w:rsid w:val="001A238A"/>
    <w:rsid w:val="001A2935"/>
    <w:rsid w:val="001A34A4"/>
    <w:rsid w:val="001A36F8"/>
    <w:rsid w:val="001A4331"/>
    <w:rsid w:val="001A475B"/>
    <w:rsid w:val="001A4955"/>
    <w:rsid w:val="001A58B7"/>
    <w:rsid w:val="001A5EA6"/>
    <w:rsid w:val="001A6131"/>
    <w:rsid w:val="001A70A9"/>
    <w:rsid w:val="001A7440"/>
    <w:rsid w:val="001A745F"/>
    <w:rsid w:val="001A7FB7"/>
    <w:rsid w:val="001B0027"/>
    <w:rsid w:val="001B0B7A"/>
    <w:rsid w:val="001B13AD"/>
    <w:rsid w:val="001B1625"/>
    <w:rsid w:val="001B18AA"/>
    <w:rsid w:val="001B1D24"/>
    <w:rsid w:val="001B1E3D"/>
    <w:rsid w:val="001B204B"/>
    <w:rsid w:val="001B2E8F"/>
    <w:rsid w:val="001B366E"/>
    <w:rsid w:val="001B3E18"/>
    <w:rsid w:val="001B47B0"/>
    <w:rsid w:val="001B4C8C"/>
    <w:rsid w:val="001B5013"/>
    <w:rsid w:val="001B6135"/>
    <w:rsid w:val="001B6148"/>
    <w:rsid w:val="001B639D"/>
    <w:rsid w:val="001B6F5E"/>
    <w:rsid w:val="001B797F"/>
    <w:rsid w:val="001C0208"/>
    <w:rsid w:val="001C09C0"/>
    <w:rsid w:val="001C1C9F"/>
    <w:rsid w:val="001C2405"/>
    <w:rsid w:val="001C2D3C"/>
    <w:rsid w:val="001C3D93"/>
    <w:rsid w:val="001C3DE0"/>
    <w:rsid w:val="001C3EC6"/>
    <w:rsid w:val="001C41A3"/>
    <w:rsid w:val="001C4A0F"/>
    <w:rsid w:val="001C5F69"/>
    <w:rsid w:val="001C6032"/>
    <w:rsid w:val="001C6697"/>
    <w:rsid w:val="001C70BA"/>
    <w:rsid w:val="001C7372"/>
    <w:rsid w:val="001D0435"/>
    <w:rsid w:val="001D0C2B"/>
    <w:rsid w:val="001D1907"/>
    <w:rsid w:val="001D1D1D"/>
    <w:rsid w:val="001D24B4"/>
    <w:rsid w:val="001D27BE"/>
    <w:rsid w:val="001D3012"/>
    <w:rsid w:val="001D36AE"/>
    <w:rsid w:val="001D3723"/>
    <w:rsid w:val="001D3BFB"/>
    <w:rsid w:val="001D467C"/>
    <w:rsid w:val="001D5497"/>
    <w:rsid w:val="001D638C"/>
    <w:rsid w:val="001D64E9"/>
    <w:rsid w:val="001D668F"/>
    <w:rsid w:val="001D78AF"/>
    <w:rsid w:val="001E0630"/>
    <w:rsid w:val="001E0948"/>
    <w:rsid w:val="001E1163"/>
    <w:rsid w:val="001E1332"/>
    <w:rsid w:val="001E3A1E"/>
    <w:rsid w:val="001E3DAE"/>
    <w:rsid w:val="001E3FFC"/>
    <w:rsid w:val="001E4196"/>
    <w:rsid w:val="001E4497"/>
    <w:rsid w:val="001E5069"/>
    <w:rsid w:val="001E540E"/>
    <w:rsid w:val="001E5AC4"/>
    <w:rsid w:val="001E699B"/>
    <w:rsid w:val="001E707B"/>
    <w:rsid w:val="001E79E7"/>
    <w:rsid w:val="001F0500"/>
    <w:rsid w:val="001F0813"/>
    <w:rsid w:val="001F0E4C"/>
    <w:rsid w:val="001F1FBF"/>
    <w:rsid w:val="001F2B8D"/>
    <w:rsid w:val="001F3225"/>
    <w:rsid w:val="001F4043"/>
    <w:rsid w:val="001F42A3"/>
    <w:rsid w:val="001F5029"/>
    <w:rsid w:val="001F5355"/>
    <w:rsid w:val="001F598E"/>
    <w:rsid w:val="001F5EA9"/>
    <w:rsid w:val="001F694D"/>
    <w:rsid w:val="001F6B3A"/>
    <w:rsid w:val="001F6EC3"/>
    <w:rsid w:val="001F6F54"/>
    <w:rsid w:val="001F72BE"/>
    <w:rsid w:val="001F7733"/>
    <w:rsid w:val="001F7C83"/>
    <w:rsid w:val="001F7C90"/>
    <w:rsid w:val="002001C7"/>
    <w:rsid w:val="0020054E"/>
    <w:rsid w:val="00200939"/>
    <w:rsid w:val="0020098F"/>
    <w:rsid w:val="002019E6"/>
    <w:rsid w:val="00201ACA"/>
    <w:rsid w:val="002022D5"/>
    <w:rsid w:val="00202651"/>
    <w:rsid w:val="00202B69"/>
    <w:rsid w:val="00202C34"/>
    <w:rsid w:val="00202FF8"/>
    <w:rsid w:val="0020376C"/>
    <w:rsid w:val="0020390D"/>
    <w:rsid w:val="00203E26"/>
    <w:rsid w:val="0020421E"/>
    <w:rsid w:val="00204928"/>
    <w:rsid w:val="00204E68"/>
    <w:rsid w:val="00205086"/>
    <w:rsid w:val="002052A0"/>
    <w:rsid w:val="00207C8C"/>
    <w:rsid w:val="00210172"/>
    <w:rsid w:val="0021030B"/>
    <w:rsid w:val="002109EF"/>
    <w:rsid w:val="00210B66"/>
    <w:rsid w:val="0021161A"/>
    <w:rsid w:val="00211BFF"/>
    <w:rsid w:val="0021328F"/>
    <w:rsid w:val="00213717"/>
    <w:rsid w:val="002149A6"/>
    <w:rsid w:val="00214B0F"/>
    <w:rsid w:val="00215C53"/>
    <w:rsid w:val="002161BB"/>
    <w:rsid w:val="00216E11"/>
    <w:rsid w:val="00217322"/>
    <w:rsid w:val="002175E1"/>
    <w:rsid w:val="00217FAD"/>
    <w:rsid w:val="002209D2"/>
    <w:rsid w:val="00221DAF"/>
    <w:rsid w:val="0022372A"/>
    <w:rsid w:val="00224266"/>
    <w:rsid w:val="00224780"/>
    <w:rsid w:val="0022511C"/>
    <w:rsid w:val="002251AE"/>
    <w:rsid w:val="002257B1"/>
    <w:rsid w:val="00225AAD"/>
    <w:rsid w:val="002269D7"/>
    <w:rsid w:val="00227727"/>
    <w:rsid w:val="0022796F"/>
    <w:rsid w:val="00227AA8"/>
    <w:rsid w:val="00227F9E"/>
    <w:rsid w:val="0023025D"/>
    <w:rsid w:val="002308B2"/>
    <w:rsid w:val="0023098E"/>
    <w:rsid w:val="00230ACF"/>
    <w:rsid w:val="00230F85"/>
    <w:rsid w:val="00231741"/>
    <w:rsid w:val="00231A2D"/>
    <w:rsid w:val="00231BFD"/>
    <w:rsid w:val="00231C9C"/>
    <w:rsid w:val="00231D1C"/>
    <w:rsid w:val="00232394"/>
    <w:rsid w:val="002326ED"/>
    <w:rsid w:val="0023322A"/>
    <w:rsid w:val="0023329D"/>
    <w:rsid w:val="00233D04"/>
    <w:rsid w:val="00233F78"/>
    <w:rsid w:val="00234114"/>
    <w:rsid w:val="002341F5"/>
    <w:rsid w:val="002342DF"/>
    <w:rsid w:val="00235205"/>
    <w:rsid w:val="00235E0E"/>
    <w:rsid w:val="0023656A"/>
    <w:rsid w:val="0023662A"/>
    <w:rsid w:val="00236FDC"/>
    <w:rsid w:val="002378EB"/>
    <w:rsid w:val="00242639"/>
    <w:rsid w:val="00242869"/>
    <w:rsid w:val="00242EAC"/>
    <w:rsid w:val="00242F7C"/>
    <w:rsid w:val="002432D0"/>
    <w:rsid w:val="00243308"/>
    <w:rsid w:val="0024351C"/>
    <w:rsid w:val="00243BD2"/>
    <w:rsid w:val="00244E8C"/>
    <w:rsid w:val="00246A26"/>
    <w:rsid w:val="00247213"/>
    <w:rsid w:val="00247260"/>
    <w:rsid w:val="00247EDF"/>
    <w:rsid w:val="0025057D"/>
    <w:rsid w:val="0025092E"/>
    <w:rsid w:val="0025249D"/>
    <w:rsid w:val="002527B3"/>
    <w:rsid w:val="00253102"/>
    <w:rsid w:val="00253709"/>
    <w:rsid w:val="002537EA"/>
    <w:rsid w:val="00253C36"/>
    <w:rsid w:val="00253E91"/>
    <w:rsid w:val="0025413D"/>
    <w:rsid w:val="0025445F"/>
    <w:rsid w:val="00254FD9"/>
    <w:rsid w:val="002577EC"/>
    <w:rsid w:val="00257896"/>
    <w:rsid w:val="00257912"/>
    <w:rsid w:val="00257C15"/>
    <w:rsid w:val="002603F1"/>
    <w:rsid w:val="0026057C"/>
    <w:rsid w:val="002611FA"/>
    <w:rsid w:val="002612A3"/>
    <w:rsid w:val="00261A70"/>
    <w:rsid w:val="0026241C"/>
    <w:rsid w:val="00262443"/>
    <w:rsid w:val="00262B57"/>
    <w:rsid w:val="00263A8A"/>
    <w:rsid w:val="00263F97"/>
    <w:rsid w:val="00264144"/>
    <w:rsid w:val="002657A6"/>
    <w:rsid w:val="0026761C"/>
    <w:rsid w:val="00267A4A"/>
    <w:rsid w:val="00267C60"/>
    <w:rsid w:val="00267D78"/>
    <w:rsid w:val="00270CD3"/>
    <w:rsid w:val="0027290F"/>
    <w:rsid w:val="00273050"/>
    <w:rsid w:val="00273C21"/>
    <w:rsid w:val="00273D66"/>
    <w:rsid w:val="002748DA"/>
    <w:rsid w:val="00274A8B"/>
    <w:rsid w:val="0027632F"/>
    <w:rsid w:val="00276B8C"/>
    <w:rsid w:val="00276D71"/>
    <w:rsid w:val="00277C1E"/>
    <w:rsid w:val="0028103F"/>
    <w:rsid w:val="0028104B"/>
    <w:rsid w:val="002811A0"/>
    <w:rsid w:val="002818A4"/>
    <w:rsid w:val="00281A49"/>
    <w:rsid w:val="00281E84"/>
    <w:rsid w:val="00282218"/>
    <w:rsid w:val="002827C0"/>
    <w:rsid w:val="002829C5"/>
    <w:rsid w:val="0028350A"/>
    <w:rsid w:val="0028361E"/>
    <w:rsid w:val="002844D6"/>
    <w:rsid w:val="00284B66"/>
    <w:rsid w:val="0028503E"/>
    <w:rsid w:val="002851A3"/>
    <w:rsid w:val="00285C16"/>
    <w:rsid w:val="002865CA"/>
    <w:rsid w:val="00287897"/>
    <w:rsid w:val="002900F3"/>
    <w:rsid w:val="00290618"/>
    <w:rsid w:val="0029073B"/>
    <w:rsid w:val="002907F7"/>
    <w:rsid w:val="00290FF4"/>
    <w:rsid w:val="00291B07"/>
    <w:rsid w:val="00292759"/>
    <w:rsid w:val="002933AB"/>
    <w:rsid w:val="00294A85"/>
    <w:rsid w:val="002959F6"/>
    <w:rsid w:val="00295D27"/>
    <w:rsid w:val="00295D89"/>
    <w:rsid w:val="002964B9"/>
    <w:rsid w:val="002965A2"/>
    <w:rsid w:val="00297142"/>
    <w:rsid w:val="00297665"/>
    <w:rsid w:val="00297886"/>
    <w:rsid w:val="00297945"/>
    <w:rsid w:val="00297A3C"/>
    <w:rsid w:val="002A0031"/>
    <w:rsid w:val="002A08B6"/>
    <w:rsid w:val="002A09EC"/>
    <w:rsid w:val="002A0D96"/>
    <w:rsid w:val="002A12E9"/>
    <w:rsid w:val="002A1CE8"/>
    <w:rsid w:val="002A330F"/>
    <w:rsid w:val="002A3BFE"/>
    <w:rsid w:val="002A3C10"/>
    <w:rsid w:val="002A3E38"/>
    <w:rsid w:val="002A6102"/>
    <w:rsid w:val="002A61CB"/>
    <w:rsid w:val="002A74ED"/>
    <w:rsid w:val="002A78D1"/>
    <w:rsid w:val="002B0098"/>
    <w:rsid w:val="002B06A3"/>
    <w:rsid w:val="002B111C"/>
    <w:rsid w:val="002B1380"/>
    <w:rsid w:val="002B1E6E"/>
    <w:rsid w:val="002B2206"/>
    <w:rsid w:val="002B2681"/>
    <w:rsid w:val="002B2CFD"/>
    <w:rsid w:val="002B2D1A"/>
    <w:rsid w:val="002B2DFB"/>
    <w:rsid w:val="002B3BEB"/>
    <w:rsid w:val="002B3D5D"/>
    <w:rsid w:val="002B4178"/>
    <w:rsid w:val="002B506D"/>
    <w:rsid w:val="002B53B3"/>
    <w:rsid w:val="002B5CCB"/>
    <w:rsid w:val="002B5F17"/>
    <w:rsid w:val="002B6D87"/>
    <w:rsid w:val="002B7CF9"/>
    <w:rsid w:val="002B7FAB"/>
    <w:rsid w:val="002C0043"/>
    <w:rsid w:val="002C095A"/>
    <w:rsid w:val="002C0A9E"/>
    <w:rsid w:val="002C0ACF"/>
    <w:rsid w:val="002C0CBE"/>
    <w:rsid w:val="002C14EC"/>
    <w:rsid w:val="002C1564"/>
    <w:rsid w:val="002C1B3A"/>
    <w:rsid w:val="002C1E48"/>
    <w:rsid w:val="002C1FAF"/>
    <w:rsid w:val="002C20AF"/>
    <w:rsid w:val="002C2FB8"/>
    <w:rsid w:val="002C3087"/>
    <w:rsid w:val="002C415B"/>
    <w:rsid w:val="002C5681"/>
    <w:rsid w:val="002C5884"/>
    <w:rsid w:val="002C5A07"/>
    <w:rsid w:val="002C5B33"/>
    <w:rsid w:val="002C6674"/>
    <w:rsid w:val="002C7627"/>
    <w:rsid w:val="002D044D"/>
    <w:rsid w:val="002D06EC"/>
    <w:rsid w:val="002D0921"/>
    <w:rsid w:val="002D1938"/>
    <w:rsid w:val="002D1E2F"/>
    <w:rsid w:val="002D1E9B"/>
    <w:rsid w:val="002D2187"/>
    <w:rsid w:val="002D238D"/>
    <w:rsid w:val="002D2A7F"/>
    <w:rsid w:val="002D2E4F"/>
    <w:rsid w:val="002D3B75"/>
    <w:rsid w:val="002D42A8"/>
    <w:rsid w:val="002D4AAF"/>
    <w:rsid w:val="002D4FDF"/>
    <w:rsid w:val="002D5020"/>
    <w:rsid w:val="002D5566"/>
    <w:rsid w:val="002D5D49"/>
    <w:rsid w:val="002D602E"/>
    <w:rsid w:val="002D65C3"/>
    <w:rsid w:val="002D6B70"/>
    <w:rsid w:val="002D6CE3"/>
    <w:rsid w:val="002D7063"/>
    <w:rsid w:val="002D731C"/>
    <w:rsid w:val="002D74BC"/>
    <w:rsid w:val="002D7A63"/>
    <w:rsid w:val="002D7CB1"/>
    <w:rsid w:val="002D7CE4"/>
    <w:rsid w:val="002D7F4E"/>
    <w:rsid w:val="002E050E"/>
    <w:rsid w:val="002E14E1"/>
    <w:rsid w:val="002E14FF"/>
    <w:rsid w:val="002E19CD"/>
    <w:rsid w:val="002E424A"/>
    <w:rsid w:val="002E4CFA"/>
    <w:rsid w:val="002E526E"/>
    <w:rsid w:val="002E550E"/>
    <w:rsid w:val="002E5811"/>
    <w:rsid w:val="002E636F"/>
    <w:rsid w:val="002E6761"/>
    <w:rsid w:val="002E765E"/>
    <w:rsid w:val="002E778F"/>
    <w:rsid w:val="002E7F15"/>
    <w:rsid w:val="002F02F0"/>
    <w:rsid w:val="002F0662"/>
    <w:rsid w:val="002F091D"/>
    <w:rsid w:val="002F0AA8"/>
    <w:rsid w:val="002F1075"/>
    <w:rsid w:val="002F1C00"/>
    <w:rsid w:val="002F239E"/>
    <w:rsid w:val="002F411A"/>
    <w:rsid w:val="002F414B"/>
    <w:rsid w:val="002F459B"/>
    <w:rsid w:val="002F51E7"/>
    <w:rsid w:val="002F523C"/>
    <w:rsid w:val="002F5B6D"/>
    <w:rsid w:val="002F6444"/>
    <w:rsid w:val="002F7E2C"/>
    <w:rsid w:val="003007F2"/>
    <w:rsid w:val="00300BD4"/>
    <w:rsid w:val="00301814"/>
    <w:rsid w:val="003020FA"/>
    <w:rsid w:val="00302600"/>
    <w:rsid w:val="0030324F"/>
    <w:rsid w:val="00303B03"/>
    <w:rsid w:val="00303BED"/>
    <w:rsid w:val="00303F73"/>
    <w:rsid w:val="00304F96"/>
    <w:rsid w:val="003056D7"/>
    <w:rsid w:val="00305B99"/>
    <w:rsid w:val="00305E08"/>
    <w:rsid w:val="003068AF"/>
    <w:rsid w:val="00307736"/>
    <w:rsid w:val="00307E3A"/>
    <w:rsid w:val="00310B36"/>
    <w:rsid w:val="00310B9A"/>
    <w:rsid w:val="00310D42"/>
    <w:rsid w:val="00311115"/>
    <w:rsid w:val="00311367"/>
    <w:rsid w:val="00312272"/>
    <w:rsid w:val="003127B7"/>
    <w:rsid w:val="0031329E"/>
    <w:rsid w:val="003132E7"/>
    <w:rsid w:val="00313E22"/>
    <w:rsid w:val="00313E78"/>
    <w:rsid w:val="00314618"/>
    <w:rsid w:val="003149D5"/>
    <w:rsid w:val="00314DBC"/>
    <w:rsid w:val="0031547A"/>
    <w:rsid w:val="0031550D"/>
    <w:rsid w:val="00315824"/>
    <w:rsid w:val="00315E29"/>
    <w:rsid w:val="003160E3"/>
    <w:rsid w:val="003161BB"/>
    <w:rsid w:val="003209C2"/>
    <w:rsid w:val="00320E0F"/>
    <w:rsid w:val="003213A4"/>
    <w:rsid w:val="0032260E"/>
    <w:rsid w:val="00322C31"/>
    <w:rsid w:val="00323389"/>
    <w:rsid w:val="003239D9"/>
    <w:rsid w:val="00324BE7"/>
    <w:rsid w:val="00324F17"/>
    <w:rsid w:val="00326534"/>
    <w:rsid w:val="0032798C"/>
    <w:rsid w:val="003279C4"/>
    <w:rsid w:val="00330059"/>
    <w:rsid w:val="0033007D"/>
    <w:rsid w:val="00330727"/>
    <w:rsid w:val="00330C2C"/>
    <w:rsid w:val="00330CC9"/>
    <w:rsid w:val="00332173"/>
    <w:rsid w:val="003322CD"/>
    <w:rsid w:val="003329DD"/>
    <w:rsid w:val="003330F6"/>
    <w:rsid w:val="003336B7"/>
    <w:rsid w:val="003336E9"/>
    <w:rsid w:val="00333A52"/>
    <w:rsid w:val="003341CD"/>
    <w:rsid w:val="003344FD"/>
    <w:rsid w:val="00334839"/>
    <w:rsid w:val="0033514E"/>
    <w:rsid w:val="00336D35"/>
    <w:rsid w:val="00337898"/>
    <w:rsid w:val="00340192"/>
    <w:rsid w:val="0034023A"/>
    <w:rsid w:val="00340315"/>
    <w:rsid w:val="0034106D"/>
    <w:rsid w:val="00341307"/>
    <w:rsid w:val="0034225E"/>
    <w:rsid w:val="00342320"/>
    <w:rsid w:val="003423CB"/>
    <w:rsid w:val="0034261A"/>
    <w:rsid w:val="003428B4"/>
    <w:rsid w:val="00342A11"/>
    <w:rsid w:val="00342C63"/>
    <w:rsid w:val="00342FA1"/>
    <w:rsid w:val="00345704"/>
    <w:rsid w:val="003463B2"/>
    <w:rsid w:val="00346906"/>
    <w:rsid w:val="0034747E"/>
    <w:rsid w:val="00347C55"/>
    <w:rsid w:val="00350158"/>
    <w:rsid w:val="0035098F"/>
    <w:rsid w:val="0035112B"/>
    <w:rsid w:val="0035146B"/>
    <w:rsid w:val="00351611"/>
    <w:rsid w:val="00353AD2"/>
    <w:rsid w:val="0035401A"/>
    <w:rsid w:val="003548C8"/>
    <w:rsid w:val="00354AF4"/>
    <w:rsid w:val="003555B9"/>
    <w:rsid w:val="0035584F"/>
    <w:rsid w:val="00355882"/>
    <w:rsid w:val="003558C3"/>
    <w:rsid w:val="00356177"/>
    <w:rsid w:val="003568B5"/>
    <w:rsid w:val="00356EF9"/>
    <w:rsid w:val="00360B50"/>
    <w:rsid w:val="0036119C"/>
    <w:rsid w:val="00361846"/>
    <w:rsid w:val="00361965"/>
    <w:rsid w:val="0036223A"/>
    <w:rsid w:val="00362BED"/>
    <w:rsid w:val="00362E43"/>
    <w:rsid w:val="00363087"/>
    <w:rsid w:val="00363431"/>
    <w:rsid w:val="0036378A"/>
    <w:rsid w:val="00363E27"/>
    <w:rsid w:val="00363ED5"/>
    <w:rsid w:val="003649D8"/>
    <w:rsid w:val="00364D53"/>
    <w:rsid w:val="0036512C"/>
    <w:rsid w:val="003652E2"/>
    <w:rsid w:val="00365B20"/>
    <w:rsid w:val="0036634F"/>
    <w:rsid w:val="00366A11"/>
    <w:rsid w:val="00366AAF"/>
    <w:rsid w:val="00366B67"/>
    <w:rsid w:val="00366D6C"/>
    <w:rsid w:val="0036722D"/>
    <w:rsid w:val="00367790"/>
    <w:rsid w:val="0036781B"/>
    <w:rsid w:val="00367C08"/>
    <w:rsid w:val="00367E27"/>
    <w:rsid w:val="00370023"/>
    <w:rsid w:val="0037131F"/>
    <w:rsid w:val="0037138D"/>
    <w:rsid w:val="00371743"/>
    <w:rsid w:val="00372675"/>
    <w:rsid w:val="003726C9"/>
    <w:rsid w:val="00372DD7"/>
    <w:rsid w:val="00373369"/>
    <w:rsid w:val="00374541"/>
    <w:rsid w:val="0037561F"/>
    <w:rsid w:val="00375705"/>
    <w:rsid w:val="003757F9"/>
    <w:rsid w:val="00375E87"/>
    <w:rsid w:val="00375EB7"/>
    <w:rsid w:val="00376405"/>
    <w:rsid w:val="00377919"/>
    <w:rsid w:val="00377B4E"/>
    <w:rsid w:val="00377EAE"/>
    <w:rsid w:val="00380031"/>
    <w:rsid w:val="00380827"/>
    <w:rsid w:val="00380A71"/>
    <w:rsid w:val="0038186A"/>
    <w:rsid w:val="00381BB7"/>
    <w:rsid w:val="00381E60"/>
    <w:rsid w:val="003821CC"/>
    <w:rsid w:val="00382681"/>
    <w:rsid w:val="00382AA4"/>
    <w:rsid w:val="00382C90"/>
    <w:rsid w:val="00382FDB"/>
    <w:rsid w:val="00384781"/>
    <w:rsid w:val="00384CC5"/>
    <w:rsid w:val="00384E60"/>
    <w:rsid w:val="00384E8A"/>
    <w:rsid w:val="003852AA"/>
    <w:rsid w:val="00385632"/>
    <w:rsid w:val="00385837"/>
    <w:rsid w:val="00385FE5"/>
    <w:rsid w:val="00386FFE"/>
    <w:rsid w:val="00390009"/>
    <w:rsid w:val="0039084A"/>
    <w:rsid w:val="003910A2"/>
    <w:rsid w:val="00391FF4"/>
    <w:rsid w:val="0039263F"/>
    <w:rsid w:val="0039269B"/>
    <w:rsid w:val="00392F4C"/>
    <w:rsid w:val="00393611"/>
    <w:rsid w:val="00394A31"/>
    <w:rsid w:val="003952F7"/>
    <w:rsid w:val="00395E3C"/>
    <w:rsid w:val="003964F6"/>
    <w:rsid w:val="00396D91"/>
    <w:rsid w:val="00396F7E"/>
    <w:rsid w:val="00397863"/>
    <w:rsid w:val="00397888"/>
    <w:rsid w:val="003A01AB"/>
    <w:rsid w:val="003A0676"/>
    <w:rsid w:val="003A06D1"/>
    <w:rsid w:val="003A0D19"/>
    <w:rsid w:val="003A18F8"/>
    <w:rsid w:val="003A23C6"/>
    <w:rsid w:val="003A326D"/>
    <w:rsid w:val="003A3331"/>
    <w:rsid w:val="003A35EA"/>
    <w:rsid w:val="003A4E5C"/>
    <w:rsid w:val="003A6336"/>
    <w:rsid w:val="003A66C1"/>
    <w:rsid w:val="003A6DA2"/>
    <w:rsid w:val="003A6EFF"/>
    <w:rsid w:val="003A7514"/>
    <w:rsid w:val="003A75CA"/>
    <w:rsid w:val="003B01C8"/>
    <w:rsid w:val="003B01FD"/>
    <w:rsid w:val="003B0B6B"/>
    <w:rsid w:val="003B0EBA"/>
    <w:rsid w:val="003B131A"/>
    <w:rsid w:val="003B13E2"/>
    <w:rsid w:val="003B17C9"/>
    <w:rsid w:val="003B1C87"/>
    <w:rsid w:val="003B29E8"/>
    <w:rsid w:val="003B2D3B"/>
    <w:rsid w:val="003B3049"/>
    <w:rsid w:val="003B50B9"/>
    <w:rsid w:val="003B5B04"/>
    <w:rsid w:val="003B661D"/>
    <w:rsid w:val="003B685B"/>
    <w:rsid w:val="003B716B"/>
    <w:rsid w:val="003B7C6F"/>
    <w:rsid w:val="003C07AA"/>
    <w:rsid w:val="003C09DF"/>
    <w:rsid w:val="003C0C40"/>
    <w:rsid w:val="003C0FA9"/>
    <w:rsid w:val="003C1079"/>
    <w:rsid w:val="003C156D"/>
    <w:rsid w:val="003C18A3"/>
    <w:rsid w:val="003C2BE2"/>
    <w:rsid w:val="003C38C6"/>
    <w:rsid w:val="003C3942"/>
    <w:rsid w:val="003C399E"/>
    <w:rsid w:val="003C410B"/>
    <w:rsid w:val="003C414E"/>
    <w:rsid w:val="003C4215"/>
    <w:rsid w:val="003C4A17"/>
    <w:rsid w:val="003C4A8F"/>
    <w:rsid w:val="003C4D48"/>
    <w:rsid w:val="003C58B5"/>
    <w:rsid w:val="003C67FD"/>
    <w:rsid w:val="003C7CD4"/>
    <w:rsid w:val="003D008A"/>
    <w:rsid w:val="003D183A"/>
    <w:rsid w:val="003D1A26"/>
    <w:rsid w:val="003D1C17"/>
    <w:rsid w:val="003D2BBF"/>
    <w:rsid w:val="003D2F29"/>
    <w:rsid w:val="003D358A"/>
    <w:rsid w:val="003D3C76"/>
    <w:rsid w:val="003D43E3"/>
    <w:rsid w:val="003D5694"/>
    <w:rsid w:val="003D6857"/>
    <w:rsid w:val="003D6878"/>
    <w:rsid w:val="003D6E43"/>
    <w:rsid w:val="003D6F1E"/>
    <w:rsid w:val="003D7159"/>
    <w:rsid w:val="003D764C"/>
    <w:rsid w:val="003E005E"/>
    <w:rsid w:val="003E02D8"/>
    <w:rsid w:val="003E0467"/>
    <w:rsid w:val="003E079D"/>
    <w:rsid w:val="003E0898"/>
    <w:rsid w:val="003E0B7E"/>
    <w:rsid w:val="003E0D62"/>
    <w:rsid w:val="003E1562"/>
    <w:rsid w:val="003E17CA"/>
    <w:rsid w:val="003E1B57"/>
    <w:rsid w:val="003E3279"/>
    <w:rsid w:val="003E38E2"/>
    <w:rsid w:val="003E3FF0"/>
    <w:rsid w:val="003E51D5"/>
    <w:rsid w:val="003E64AF"/>
    <w:rsid w:val="003E6B7F"/>
    <w:rsid w:val="003E6E75"/>
    <w:rsid w:val="003E77F7"/>
    <w:rsid w:val="003E79C0"/>
    <w:rsid w:val="003E79F3"/>
    <w:rsid w:val="003E7A49"/>
    <w:rsid w:val="003E7EB0"/>
    <w:rsid w:val="003F0172"/>
    <w:rsid w:val="003F060C"/>
    <w:rsid w:val="003F0EA8"/>
    <w:rsid w:val="003F1602"/>
    <w:rsid w:val="003F2B70"/>
    <w:rsid w:val="003F2EB6"/>
    <w:rsid w:val="003F3E32"/>
    <w:rsid w:val="003F51E4"/>
    <w:rsid w:val="003F58B1"/>
    <w:rsid w:val="003F7695"/>
    <w:rsid w:val="003F7EDA"/>
    <w:rsid w:val="00400075"/>
    <w:rsid w:val="0040083F"/>
    <w:rsid w:val="00402035"/>
    <w:rsid w:val="00402957"/>
    <w:rsid w:val="00402C11"/>
    <w:rsid w:val="004031FA"/>
    <w:rsid w:val="004037CB"/>
    <w:rsid w:val="00403843"/>
    <w:rsid w:val="0040451B"/>
    <w:rsid w:val="00404876"/>
    <w:rsid w:val="0040551B"/>
    <w:rsid w:val="0040561D"/>
    <w:rsid w:val="00405C15"/>
    <w:rsid w:val="00406AF9"/>
    <w:rsid w:val="00410BFA"/>
    <w:rsid w:val="00411316"/>
    <w:rsid w:val="00411438"/>
    <w:rsid w:val="0041231C"/>
    <w:rsid w:val="00413004"/>
    <w:rsid w:val="004132E9"/>
    <w:rsid w:val="00413F75"/>
    <w:rsid w:val="00414DDF"/>
    <w:rsid w:val="0041654E"/>
    <w:rsid w:val="00416874"/>
    <w:rsid w:val="0041689A"/>
    <w:rsid w:val="00416D2B"/>
    <w:rsid w:val="0041781C"/>
    <w:rsid w:val="00421042"/>
    <w:rsid w:val="0042144F"/>
    <w:rsid w:val="004220CE"/>
    <w:rsid w:val="0042214D"/>
    <w:rsid w:val="00422D64"/>
    <w:rsid w:val="00423620"/>
    <w:rsid w:val="00423B58"/>
    <w:rsid w:val="00423D1D"/>
    <w:rsid w:val="00423EBE"/>
    <w:rsid w:val="00425262"/>
    <w:rsid w:val="0042527A"/>
    <w:rsid w:val="004254A5"/>
    <w:rsid w:val="004257DF"/>
    <w:rsid w:val="0042580F"/>
    <w:rsid w:val="00425E61"/>
    <w:rsid w:val="00425F7C"/>
    <w:rsid w:val="004262CE"/>
    <w:rsid w:val="0042645B"/>
    <w:rsid w:val="00426F8F"/>
    <w:rsid w:val="00427471"/>
    <w:rsid w:val="00427928"/>
    <w:rsid w:val="004302F3"/>
    <w:rsid w:val="004308FB"/>
    <w:rsid w:val="00430A6D"/>
    <w:rsid w:val="00431C23"/>
    <w:rsid w:val="00432131"/>
    <w:rsid w:val="00432B88"/>
    <w:rsid w:val="00432E0D"/>
    <w:rsid w:val="00432E8F"/>
    <w:rsid w:val="00433B58"/>
    <w:rsid w:val="00435387"/>
    <w:rsid w:val="00435763"/>
    <w:rsid w:val="00435AA7"/>
    <w:rsid w:val="00436396"/>
    <w:rsid w:val="004367D1"/>
    <w:rsid w:val="00437451"/>
    <w:rsid w:val="0043783E"/>
    <w:rsid w:val="00437CAC"/>
    <w:rsid w:val="00440812"/>
    <w:rsid w:val="004416D2"/>
    <w:rsid w:val="00441D16"/>
    <w:rsid w:val="00442824"/>
    <w:rsid w:val="00443639"/>
    <w:rsid w:val="00443C93"/>
    <w:rsid w:val="00443E6D"/>
    <w:rsid w:val="00443E73"/>
    <w:rsid w:val="00443F1E"/>
    <w:rsid w:val="004457E4"/>
    <w:rsid w:val="00445D24"/>
    <w:rsid w:val="004472F2"/>
    <w:rsid w:val="00447A8D"/>
    <w:rsid w:val="004504B6"/>
    <w:rsid w:val="00450520"/>
    <w:rsid w:val="00450DA0"/>
    <w:rsid w:val="00450DDB"/>
    <w:rsid w:val="00452352"/>
    <w:rsid w:val="00453B00"/>
    <w:rsid w:val="00453F30"/>
    <w:rsid w:val="00455300"/>
    <w:rsid w:val="0045556D"/>
    <w:rsid w:val="00455FC3"/>
    <w:rsid w:val="00456FAE"/>
    <w:rsid w:val="0045746C"/>
    <w:rsid w:val="00460F5C"/>
    <w:rsid w:val="00460FC9"/>
    <w:rsid w:val="00461B7A"/>
    <w:rsid w:val="00462385"/>
    <w:rsid w:val="004623D2"/>
    <w:rsid w:val="004626C6"/>
    <w:rsid w:val="00462978"/>
    <w:rsid w:val="00462DB1"/>
    <w:rsid w:val="004632E3"/>
    <w:rsid w:val="00463755"/>
    <w:rsid w:val="004638DF"/>
    <w:rsid w:val="004639AB"/>
    <w:rsid w:val="00463BA2"/>
    <w:rsid w:val="00463D56"/>
    <w:rsid w:val="004646AE"/>
    <w:rsid w:val="00464B24"/>
    <w:rsid w:val="00464D8D"/>
    <w:rsid w:val="00465177"/>
    <w:rsid w:val="004653ED"/>
    <w:rsid w:val="004655F9"/>
    <w:rsid w:val="00465A62"/>
    <w:rsid w:val="00465C36"/>
    <w:rsid w:val="00466143"/>
    <w:rsid w:val="00466282"/>
    <w:rsid w:val="004678A1"/>
    <w:rsid w:val="00467A0D"/>
    <w:rsid w:val="00470042"/>
    <w:rsid w:val="00470186"/>
    <w:rsid w:val="004704A2"/>
    <w:rsid w:val="00470DE8"/>
    <w:rsid w:val="004716E2"/>
    <w:rsid w:val="00471973"/>
    <w:rsid w:val="0047198C"/>
    <w:rsid w:val="00471B93"/>
    <w:rsid w:val="00471FB0"/>
    <w:rsid w:val="00472007"/>
    <w:rsid w:val="00472AC4"/>
    <w:rsid w:val="004733B8"/>
    <w:rsid w:val="00473701"/>
    <w:rsid w:val="00473A15"/>
    <w:rsid w:val="004744F4"/>
    <w:rsid w:val="00474FBF"/>
    <w:rsid w:val="004750D7"/>
    <w:rsid w:val="0047553B"/>
    <w:rsid w:val="0047566A"/>
    <w:rsid w:val="00475A13"/>
    <w:rsid w:val="004760AF"/>
    <w:rsid w:val="00476CA9"/>
    <w:rsid w:val="00476FAD"/>
    <w:rsid w:val="0047713A"/>
    <w:rsid w:val="0047799F"/>
    <w:rsid w:val="00477BDB"/>
    <w:rsid w:val="00477F8F"/>
    <w:rsid w:val="00480187"/>
    <w:rsid w:val="004804A2"/>
    <w:rsid w:val="004817AB"/>
    <w:rsid w:val="00481C62"/>
    <w:rsid w:val="00482EE5"/>
    <w:rsid w:val="0048304A"/>
    <w:rsid w:val="00484287"/>
    <w:rsid w:val="00484357"/>
    <w:rsid w:val="00484CA5"/>
    <w:rsid w:val="00485787"/>
    <w:rsid w:val="00485A2D"/>
    <w:rsid w:val="0048632B"/>
    <w:rsid w:val="00486BCA"/>
    <w:rsid w:val="00487034"/>
    <w:rsid w:val="004876C2"/>
    <w:rsid w:val="004878B9"/>
    <w:rsid w:val="0049068A"/>
    <w:rsid w:val="00491DD8"/>
    <w:rsid w:val="00491F23"/>
    <w:rsid w:val="0049259F"/>
    <w:rsid w:val="004926D8"/>
    <w:rsid w:val="0049283D"/>
    <w:rsid w:val="0049285F"/>
    <w:rsid w:val="00492CD7"/>
    <w:rsid w:val="00492F40"/>
    <w:rsid w:val="00493BB7"/>
    <w:rsid w:val="00494037"/>
    <w:rsid w:val="004944D9"/>
    <w:rsid w:val="004948ED"/>
    <w:rsid w:val="00494C71"/>
    <w:rsid w:val="00494F27"/>
    <w:rsid w:val="00495F07"/>
    <w:rsid w:val="00495F17"/>
    <w:rsid w:val="0049696A"/>
    <w:rsid w:val="0049696B"/>
    <w:rsid w:val="004978B6"/>
    <w:rsid w:val="004A0027"/>
    <w:rsid w:val="004A0738"/>
    <w:rsid w:val="004A1CB0"/>
    <w:rsid w:val="004A216F"/>
    <w:rsid w:val="004A22D2"/>
    <w:rsid w:val="004A3135"/>
    <w:rsid w:val="004A318D"/>
    <w:rsid w:val="004A537F"/>
    <w:rsid w:val="004A5914"/>
    <w:rsid w:val="004A6D49"/>
    <w:rsid w:val="004A72F0"/>
    <w:rsid w:val="004A7FE9"/>
    <w:rsid w:val="004B0638"/>
    <w:rsid w:val="004B078D"/>
    <w:rsid w:val="004B0CB8"/>
    <w:rsid w:val="004B12A3"/>
    <w:rsid w:val="004B1835"/>
    <w:rsid w:val="004B18BB"/>
    <w:rsid w:val="004B1C54"/>
    <w:rsid w:val="004B346A"/>
    <w:rsid w:val="004B3999"/>
    <w:rsid w:val="004B3D7F"/>
    <w:rsid w:val="004B4460"/>
    <w:rsid w:val="004B6218"/>
    <w:rsid w:val="004B6CF7"/>
    <w:rsid w:val="004B6EC8"/>
    <w:rsid w:val="004B78C4"/>
    <w:rsid w:val="004C09CC"/>
    <w:rsid w:val="004C0C61"/>
    <w:rsid w:val="004C0E04"/>
    <w:rsid w:val="004C0EDD"/>
    <w:rsid w:val="004C1266"/>
    <w:rsid w:val="004C19CF"/>
    <w:rsid w:val="004C1EE7"/>
    <w:rsid w:val="004C2C87"/>
    <w:rsid w:val="004C32BC"/>
    <w:rsid w:val="004C38FA"/>
    <w:rsid w:val="004C3BF2"/>
    <w:rsid w:val="004C3FF3"/>
    <w:rsid w:val="004C4259"/>
    <w:rsid w:val="004C46FA"/>
    <w:rsid w:val="004C49CA"/>
    <w:rsid w:val="004C5659"/>
    <w:rsid w:val="004C5B0A"/>
    <w:rsid w:val="004C5BD6"/>
    <w:rsid w:val="004C5DD1"/>
    <w:rsid w:val="004C651E"/>
    <w:rsid w:val="004C68D2"/>
    <w:rsid w:val="004C71B4"/>
    <w:rsid w:val="004C79E8"/>
    <w:rsid w:val="004C7B35"/>
    <w:rsid w:val="004D0150"/>
    <w:rsid w:val="004D0CC4"/>
    <w:rsid w:val="004D0E62"/>
    <w:rsid w:val="004D18B6"/>
    <w:rsid w:val="004D224D"/>
    <w:rsid w:val="004D2713"/>
    <w:rsid w:val="004D2778"/>
    <w:rsid w:val="004D316D"/>
    <w:rsid w:val="004D31A2"/>
    <w:rsid w:val="004D31CD"/>
    <w:rsid w:val="004D31F8"/>
    <w:rsid w:val="004D35E0"/>
    <w:rsid w:val="004D4469"/>
    <w:rsid w:val="004D4580"/>
    <w:rsid w:val="004D45DB"/>
    <w:rsid w:val="004D47BA"/>
    <w:rsid w:val="004D490A"/>
    <w:rsid w:val="004D4F47"/>
    <w:rsid w:val="004D516A"/>
    <w:rsid w:val="004D5476"/>
    <w:rsid w:val="004D64F8"/>
    <w:rsid w:val="004D6A65"/>
    <w:rsid w:val="004D6A9D"/>
    <w:rsid w:val="004D6FB4"/>
    <w:rsid w:val="004D71B4"/>
    <w:rsid w:val="004D72AD"/>
    <w:rsid w:val="004D74B4"/>
    <w:rsid w:val="004D7C6D"/>
    <w:rsid w:val="004D7FB5"/>
    <w:rsid w:val="004E0536"/>
    <w:rsid w:val="004E069D"/>
    <w:rsid w:val="004E070D"/>
    <w:rsid w:val="004E073A"/>
    <w:rsid w:val="004E0A95"/>
    <w:rsid w:val="004E0DF7"/>
    <w:rsid w:val="004E0E90"/>
    <w:rsid w:val="004E191E"/>
    <w:rsid w:val="004E1B62"/>
    <w:rsid w:val="004E1D02"/>
    <w:rsid w:val="004E246A"/>
    <w:rsid w:val="004E30CD"/>
    <w:rsid w:val="004E381B"/>
    <w:rsid w:val="004E3C84"/>
    <w:rsid w:val="004E42F0"/>
    <w:rsid w:val="004E4C8D"/>
    <w:rsid w:val="004E7758"/>
    <w:rsid w:val="004F0BF0"/>
    <w:rsid w:val="004F2854"/>
    <w:rsid w:val="004F3D9D"/>
    <w:rsid w:val="004F3FE7"/>
    <w:rsid w:val="004F44D4"/>
    <w:rsid w:val="004F5004"/>
    <w:rsid w:val="004F5C6A"/>
    <w:rsid w:val="004F5EF2"/>
    <w:rsid w:val="004F6233"/>
    <w:rsid w:val="004F6C05"/>
    <w:rsid w:val="004F6E61"/>
    <w:rsid w:val="004F730B"/>
    <w:rsid w:val="004F7A0F"/>
    <w:rsid w:val="004F7CEF"/>
    <w:rsid w:val="00500103"/>
    <w:rsid w:val="005006E5"/>
    <w:rsid w:val="00500B4A"/>
    <w:rsid w:val="00501022"/>
    <w:rsid w:val="005016DE"/>
    <w:rsid w:val="00501C7A"/>
    <w:rsid w:val="00501F3F"/>
    <w:rsid w:val="00501F74"/>
    <w:rsid w:val="00502EC7"/>
    <w:rsid w:val="00503A68"/>
    <w:rsid w:val="00503BFC"/>
    <w:rsid w:val="00503F3D"/>
    <w:rsid w:val="0050436C"/>
    <w:rsid w:val="00504617"/>
    <w:rsid w:val="00505274"/>
    <w:rsid w:val="00506422"/>
    <w:rsid w:val="005068FE"/>
    <w:rsid w:val="005070F9"/>
    <w:rsid w:val="00507263"/>
    <w:rsid w:val="00507517"/>
    <w:rsid w:val="00507583"/>
    <w:rsid w:val="00507CA7"/>
    <w:rsid w:val="00507EFD"/>
    <w:rsid w:val="00510114"/>
    <w:rsid w:val="005103E8"/>
    <w:rsid w:val="0051067A"/>
    <w:rsid w:val="005107D2"/>
    <w:rsid w:val="005121BA"/>
    <w:rsid w:val="005138F7"/>
    <w:rsid w:val="005142A3"/>
    <w:rsid w:val="0051447A"/>
    <w:rsid w:val="00515980"/>
    <w:rsid w:val="00515A53"/>
    <w:rsid w:val="00515B9D"/>
    <w:rsid w:val="00515CE0"/>
    <w:rsid w:val="005160E5"/>
    <w:rsid w:val="00516F8D"/>
    <w:rsid w:val="0051720C"/>
    <w:rsid w:val="0051732E"/>
    <w:rsid w:val="00517649"/>
    <w:rsid w:val="00520CD4"/>
    <w:rsid w:val="0052180C"/>
    <w:rsid w:val="005219A0"/>
    <w:rsid w:val="005219C2"/>
    <w:rsid w:val="00521F28"/>
    <w:rsid w:val="005224EC"/>
    <w:rsid w:val="00522C68"/>
    <w:rsid w:val="00522DA0"/>
    <w:rsid w:val="00522F5C"/>
    <w:rsid w:val="0052301F"/>
    <w:rsid w:val="0052402B"/>
    <w:rsid w:val="005245E0"/>
    <w:rsid w:val="00525190"/>
    <w:rsid w:val="00525393"/>
    <w:rsid w:val="0052586D"/>
    <w:rsid w:val="005260CB"/>
    <w:rsid w:val="00526259"/>
    <w:rsid w:val="00527644"/>
    <w:rsid w:val="00527717"/>
    <w:rsid w:val="005278D9"/>
    <w:rsid w:val="00527A5B"/>
    <w:rsid w:val="00527AD0"/>
    <w:rsid w:val="00527CDE"/>
    <w:rsid w:val="005302C2"/>
    <w:rsid w:val="00530E8E"/>
    <w:rsid w:val="0053211E"/>
    <w:rsid w:val="0053255C"/>
    <w:rsid w:val="00532812"/>
    <w:rsid w:val="00533647"/>
    <w:rsid w:val="005339BE"/>
    <w:rsid w:val="005344E1"/>
    <w:rsid w:val="005345FA"/>
    <w:rsid w:val="00534668"/>
    <w:rsid w:val="00534934"/>
    <w:rsid w:val="00534EC9"/>
    <w:rsid w:val="005351AF"/>
    <w:rsid w:val="00535378"/>
    <w:rsid w:val="00536514"/>
    <w:rsid w:val="005365AA"/>
    <w:rsid w:val="005365C3"/>
    <w:rsid w:val="00537609"/>
    <w:rsid w:val="0053760C"/>
    <w:rsid w:val="00540034"/>
    <w:rsid w:val="00540443"/>
    <w:rsid w:val="005404DA"/>
    <w:rsid w:val="00540813"/>
    <w:rsid w:val="00540A5E"/>
    <w:rsid w:val="00540BB7"/>
    <w:rsid w:val="00541148"/>
    <w:rsid w:val="00541C2B"/>
    <w:rsid w:val="005427AE"/>
    <w:rsid w:val="00542B7D"/>
    <w:rsid w:val="00542D6C"/>
    <w:rsid w:val="00543965"/>
    <w:rsid w:val="00543B93"/>
    <w:rsid w:val="005440B2"/>
    <w:rsid w:val="005440CC"/>
    <w:rsid w:val="00545C60"/>
    <w:rsid w:val="00546A57"/>
    <w:rsid w:val="00547238"/>
    <w:rsid w:val="00547892"/>
    <w:rsid w:val="0055021A"/>
    <w:rsid w:val="00550445"/>
    <w:rsid w:val="0055066B"/>
    <w:rsid w:val="00551C5B"/>
    <w:rsid w:val="00551E68"/>
    <w:rsid w:val="005521AD"/>
    <w:rsid w:val="00552283"/>
    <w:rsid w:val="00552F90"/>
    <w:rsid w:val="005534E0"/>
    <w:rsid w:val="00553EC4"/>
    <w:rsid w:val="005543E9"/>
    <w:rsid w:val="00554707"/>
    <w:rsid w:val="00555C78"/>
    <w:rsid w:val="00555DAA"/>
    <w:rsid w:val="0055635F"/>
    <w:rsid w:val="00556CC0"/>
    <w:rsid w:val="00560942"/>
    <w:rsid w:val="00560B44"/>
    <w:rsid w:val="00561019"/>
    <w:rsid w:val="00562002"/>
    <w:rsid w:val="0056370F"/>
    <w:rsid w:val="00564834"/>
    <w:rsid w:val="005652AA"/>
    <w:rsid w:val="0056541D"/>
    <w:rsid w:val="00566ED5"/>
    <w:rsid w:val="005704B0"/>
    <w:rsid w:val="00570C61"/>
    <w:rsid w:val="00572869"/>
    <w:rsid w:val="00572965"/>
    <w:rsid w:val="00572B36"/>
    <w:rsid w:val="005735A9"/>
    <w:rsid w:val="00573652"/>
    <w:rsid w:val="00573935"/>
    <w:rsid w:val="00573C21"/>
    <w:rsid w:val="00573C6B"/>
    <w:rsid w:val="00574267"/>
    <w:rsid w:val="0057589B"/>
    <w:rsid w:val="005759F8"/>
    <w:rsid w:val="00575F56"/>
    <w:rsid w:val="00576DDB"/>
    <w:rsid w:val="005772AC"/>
    <w:rsid w:val="00577DA7"/>
    <w:rsid w:val="00577EDC"/>
    <w:rsid w:val="0058066E"/>
    <w:rsid w:val="005807D6"/>
    <w:rsid w:val="00581D21"/>
    <w:rsid w:val="0058210A"/>
    <w:rsid w:val="0058249B"/>
    <w:rsid w:val="005837F4"/>
    <w:rsid w:val="0058434A"/>
    <w:rsid w:val="00584C57"/>
    <w:rsid w:val="00585B15"/>
    <w:rsid w:val="00585D45"/>
    <w:rsid w:val="005864E5"/>
    <w:rsid w:val="00586FB9"/>
    <w:rsid w:val="00587425"/>
    <w:rsid w:val="0059022F"/>
    <w:rsid w:val="0059029A"/>
    <w:rsid w:val="005908C7"/>
    <w:rsid w:val="00590E08"/>
    <w:rsid w:val="0059104F"/>
    <w:rsid w:val="005914AC"/>
    <w:rsid w:val="005922D6"/>
    <w:rsid w:val="00592892"/>
    <w:rsid w:val="0059299C"/>
    <w:rsid w:val="00592DEB"/>
    <w:rsid w:val="00592E04"/>
    <w:rsid w:val="00593A3A"/>
    <w:rsid w:val="005946BD"/>
    <w:rsid w:val="005946C8"/>
    <w:rsid w:val="00595140"/>
    <w:rsid w:val="00595FF8"/>
    <w:rsid w:val="005973B0"/>
    <w:rsid w:val="00597572"/>
    <w:rsid w:val="00597A90"/>
    <w:rsid w:val="00597E4D"/>
    <w:rsid w:val="005A09AC"/>
    <w:rsid w:val="005A0AC3"/>
    <w:rsid w:val="005A10B6"/>
    <w:rsid w:val="005A1239"/>
    <w:rsid w:val="005A1306"/>
    <w:rsid w:val="005A14EC"/>
    <w:rsid w:val="005A224C"/>
    <w:rsid w:val="005A2697"/>
    <w:rsid w:val="005A2D48"/>
    <w:rsid w:val="005A4CB7"/>
    <w:rsid w:val="005A4F69"/>
    <w:rsid w:val="005A5490"/>
    <w:rsid w:val="005A5E8E"/>
    <w:rsid w:val="005A6213"/>
    <w:rsid w:val="005A621A"/>
    <w:rsid w:val="005A7268"/>
    <w:rsid w:val="005B141C"/>
    <w:rsid w:val="005B1E4B"/>
    <w:rsid w:val="005B296F"/>
    <w:rsid w:val="005B2EFE"/>
    <w:rsid w:val="005B3207"/>
    <w:rsid w:val="005B3594"/>
    <w:rsid w:val="005B3AC3"/>
    <w:rsid w:val="005B3BCA"/>
    <w:rsid w:val="005B3BD7"/>
    <w:rsid w:val="005B40F9"/>
    <w:rsid w:val="005B4175"/>
    <w:rsid w:val="005B477C"/>
    <w:rsid w:val="005B4BD8"/>
    <w:rsid w:val="005B4ECC"/>
    <w:rsid w:val="005B4FCB"/>
    <w:rsid w:val="005B4FDD"/>
    <w:rsid w:val="005B53FB"/>
    <w:rsid w:val="005B5F2A"/>
    <w:rsid w:val="005B62A9"/>
    <w:rsid w:val="005B69E4"/>
    <w:rsid w:val="005B6E95"/>
    <w:rsid w:val="005B7F11"/>
    <w:rsid w:val="005C077E"/>
    <w:rsid w:val="005C08C2"/>
    <w:rsid w:val="005C0FCD"/>
    <w:rsid w:val="005C1036"/>
    <w:rsid w:val="005C1569"/>
    <w:rsid w:val="005C1A1C"/>
    <w:rsid w:val="005C1C67"/>
    <w:rsid w:val="005C2147"/>
    <w:rsid w:val="005C2F1C"/>
    <w:rsid w:val="005C2F5A"/>
    <w:rsid w:val="005C4674"/>
    <w:rsid w:val="005C4743"/>
    <w:rsid w:val="005C47EF"/>
    <w:rsid w:val="005C4854"/>
    <w:rsid w:val="005C48DD"/>
    <w:rsid w:val="005C50C1"/>
    <w:rsid w:val="005C5A03"/>
    <w:rsid w:val="005C5A55"/>
    <w:rsid w:val="005C5AE8"/>
    <w:rsid w:val="005C5B85"/>
    <w:rsid w:val="005C6122"/>
    <w:rsid w:val="005C623B"/>
    <w:rsid w:val="005C65C2"/>
    <w:rsid w:val="005C66F5"/>
    <w:rsid w:val="005C6F1C"/>
    <w:rsid w:val="005C78A4"/>
    <w:rsid w:val="005D03AC"/>
    <w:rsid w:val="005D080C"/>
    <w:rsid w:val="005D0E22"/>
    <w:rsid w:val="005D1527"/>
    <w:rsid w:val="005D1E9D"/>
    <w:rsid w:val="005D285D"/>
    <w:rsid w:val="005D2A62"/>
    <w:rsid w:val="005D2A6B"/>
    <w:rsid w:val="005D32EF"/>
    <w:rsid w:val="005D3713"/>
    <w:rsid w:val="005D3816"/>
    <w:rsid w:val="005D3924"/>
    <w:rsid w:val="005D6D16"/>
    <w:rsid w:val="005D6F11"/>
    <w:rsid w:val="005D76B2"/>
    <w:rsid w:val="005E0643"/>
    <w:rsid w:val="005E0D84"/>
    <w:rsid w:val="005E14E4"/>
    <w:rsid w:val="005E1C33"/>
    <w:rsid w:val="005E1D5A"/>
    <w:rsid w:val="005E2D8A"/>
    <w:rsid w:val="005E2E66"/>
    <w:rsid w:val="005E3742"/>
    <w:rsid w:val="005E37D6"/>
    <w:rsid w:val="005E388C"/>
    <w:rsid w:val="005E38C8"/>
    <w:rsid w:val="005E416D"/>
    <w:rsid w:val="005E4308"/>
    <w:rsid w:val="005E491A"/>
    <w:rsid w:val="005E5809"/>
    <w:rsid w:val="005E5E1C"/>
    <w:rsid w:val="005E5E9B"/>
    <w:rsid w:val="005E66ED"/>
    <w:rsid w:val="005F0748"/>
    <w:rsid w:val="005F105B"/>
    <w:rsid w:val="005F10E6"/>
    <w:rsid w:val="005F209A"/>
    <w:rsid w:val="005F252B"/>
    <w:rsid w:val="005F2570"/>
    <w:rsid w:val="005F3282"/>
    <w:rsid w:val="005F3826"/>
    <w:rsid w:val="005F39C1"/>
    <w:rsid w:val="005F44F9"/>
    <w:rsid w:val="005F4D45"/>
    <w:rsid w:val="005F4ED6"/>
    <w:rsid w:val="005F5118"/>
    <w:rsid w:val="005F5B25"/>
    <w:rsid w:val="005F5B4F"/>
    <w:rsid w:val="005F7157"/>
    <w:rsid w:val="005F7277"/>
    <w:rsid w:val="005F73F7"/>
    <w:rsid w:val="005F7447"/>
    <w:rsid w:val="00600090"/>
    <w:rsid w:val="00600989"/>
    <w:rsid w:val="00600AC0"/>
    <w:rsid w:val="00602067"/>
    <w:rsid w:val="0060252A"/>
    <w:rsid w:val="006027C0"/>
    <w:rsid w:val="006027D5"/>
    <w:rsid w:val="0060288D"/>
    <w:rsid w:val="0060333C"/>
    <w:rsid w:val="0060348B"/>
    <w:rsid w:val="006037A7"/>
    <w:rsid w:val="00603A1E"/>
    <w:rsid w:val="00603C26"/>
    <w:rsid w:val="00603EEA"/>
    <w:rsid w:val="00604404"/>
    <w:rsid w:val="006045DB"/>
    <w:rsid w:val="00604EB7"/>
    <w:rsid w:val="00605919"/>
    <w:rsid w:val="006068AE"/>
    <w:rsid w:val="006073EE"/>
    <w:rsid w:val="0060748C"/>
    <w:rsid w:val="006100CB"/>
    <w:rsid w:val="0061056C"/>
    <w:rsid w:val="00610E40"/>
    <w:rsid w:val="00610F41"/>
    <w:rsid w:val="006112BB"/>
    <w:rsid w:val="006115A5"/>
    <w:rsid w:val="00611747"/>
    <w:rsid w:val="006128D6"/>
    <w:rsid w:val="00612919"/>
    <w:rsid w:val="00613C1D"/>
    <w:rsid w:val="00613F00"/>
    <w:rsid w:val="0061423B"/>
    <w:rsid w:val="00614721"/>
    <w:rsid w:val="00614799"/>
    <w:rsid w:val="0061582C"/>
    <w:rsid w:val="00615AD1"/>
    <w:rsid w:val="00616074"/>
    <w:rsid w:val="006166B1"/>
    <w:rsid w:val="006167CB"/>
    <w:rsid w:val="00616D70"/>
    <w:rsid w:val="0061796C"/>
    <w:rsid w:val="00620031"/>
    <w:rsid w:val="0062018A"/>
    <w:rsid w:val="00620423"/>
    <w:rsid w:val="00620685"/>
    <w:rsid w:val="00621083"/>
    <w:rsid w:val="006211CB"/>
    <w:rsid w:val="00621D10"/>
    <w:rsid w:val="00621E45"/>
    <w:rsid w:val="00621FBB"/>
    <w:rsid w:val="00622AAB"/>
    <w:rsid w:val="0062328C"/>
    <w:rsid w:val="00623C3F"/>
    <w:rsid w:val="006240CD"/>
    <w:rsid w:val="0062445C"/>
    <w:rsid w:val="006245F6"/>
    <w:rsid w:val="0062476B"/>
    <w:rsid w:val="00624C72"/>
    <w:rsid w:val="00624ECF"/>
    <w:rsid w:val="00624F72"/>
    <w:rsid w:val="00625149"/>
    <w:rsid w:val="006255E2"/>
    <w:rsid w:val="006255E3"/>
    <w:rsid w:val="006257E0"/>
    <w:rsid w:val="00626690"/>
    <w:rsid w:val="00626D27"/>
    <w:rsid w:val="00626F2D"/>
    <w:rsid w:val="0062706B"/>
    <w:rsid w:val="00627257"/>
    <w:rsid w:val="0062756C"/>
    <w:rsid w:val="006278F9"/>
    <w:rsid w:val="00627903"/>
    <w:rsid w:val="00627A49"/>
    <w:rsid w:val="00627D55"/>
    <w:rsid w:val="00627F12"/>
    <w:rsid w:val="00627FC5"/>
    <w:rsid w:val="006308D2"/>
    <w:rsid w:val="00631E12"/>
    <w:rsid w:val="006326B0"/>
    <w:rsid w:val="00632BEC"/>
    <w:rsid w:val="00632D89"/>
    <w:rsid w:val="00633736"/>
    <w:rsid w:val="00633A19"/>
    <w:rsid w:val="00633D99"/>
    <w:rsid w:val="006352C3"/>
    <w:rsid w:val="00635497"/>
    <w:rsid w:val="00636009"/>
    <w:rsid w:val="00636DF9"/>
    <w:rsid w:val="00637256"/>
    <w:rsid w:val="006372C3"/>
    <w:rsid w:val="006379FD"/>
    <w:rsid w:val="00637D20"/>
    <w:rsid w:val="00637EFF"/>
    <w:rsid w:val="0064007F"/>
    <w:rsid w:val="00640655"/>
    <w:rsid w:val="00640F57"/>
    <w:rsid w:val="006418EA"/>
    <w:rsid w:val="0064269F"/>
    <w:rsid w:val="00642789"/>
    <w:rsid w:val="00643228"/>
    <w:rsid w:val="00643E60"/>
    <w:rsid w:val="00643EF1"/>
    <w:rsid w:val="006455BD"/>
    <w:rsid w:val="00645649"/>
    <w:rsid w:val="00645722"/>
    <w:rsid w:val="006457FE"/>
    <w:rsid w:val="00645C90"/>
    <w:rsid w:val="006465E6"/>
    <w:rsid w:val="00647287"/>
    <w:rsid w:val="00647500"/>
    <w:rsid w:val="00647E15"/>
    <w:rsid w:val="006501A8"/>
    <w:rsid w:val="00650F99"/>
    <w:rsid w:val="00651063"/>
    <w:rsid w:val="00651951"/>
    <w:rsid w:val="00652634"/>
    <w:rsid w:val="00652635"/>
    <w:rsid w:val="00652AA7"/>
    <w:rsid w:val="006532C8"/>
    <w:rsid w:val="00653A6D"/>
    <w:rsid w:val="00653EE2"/>
    <w:rsid w:val="00654482"/>
    <w:rsid w:val="0065469F"/>
    <w:rsid w:val="006547E0"/>
    <w:rsid w:val="00655A25"/>
    <w:rsid w:val="0065652D"/>
    <w:rsid w:val="006568E3"/>
    <w:rsid w:val="0065697A"/>
    <w:rsid w:val="00656CB8"/>
    <w:rsid w:val="0065719D"/>
    <w:rsid w:val="0065761C"/>
    <w:rsid w:val="00657704"/>
    <w:rsid w:val="00657FB6"/>
    <w:rsid w:val="00660E72"/>
    <w:rsid w:val="0066108E"/>
    <w:rsid w:val="00661F1C"/>
    <w:rsid w:val="00662079"/>
    <w:rsid w:val="00662107"/>
    <w:rsid w:val="0066361F"/>
    <w:rsid w:val="00663A46"/>
    <w:rsid w:val="00663C7D"/>
    <w:rsid w:val="0066416D"/>
    <w:rsid w:val="00665E76"/>
    <w:rsid w:val="0066614C"/>
    <w:rsid w:val="006664D2"/>
    <w:rsid w:val="00666D77"/>
    <w:rsid w:val="00667818"/>
    <w:rsid w:val="00670231"/>
    <w:rsid w:val="006705BB"/>
    <w:rsid w:val="0067093E"/>
    <w:rsid w:val="00671599"/>
    <w:rsid w:val="0067171C"/>
    <w:rsid w:val="00671BB2"/>
    <w:rsid w:val="00672034"/>
    <w:rsid w:val="00672064"/>
    <w:rsid w:val="0067210E"/>
    <w:rsid w:val="00672453"/>
    <w:rsid w:val="006725CA"/>
    <w:rsid w:val="0067320E"/>
    <w:rsid w:val="0067361B"/>
    <w:rsid w:val="00673C8A"/>
    <w:rsid w:val="006741F5"/>
    <w:rsid w:val="00674D9A"/>
    <w:rsid w:val="00675588"/>
    <w:rsid w:val="0067609C"/>
    <w:rsid w:val="00676D33"/>
    <w:rsid w:val="00676F69"/>
    <w:rsid w:val="00677D16"/>
    <w:rsid w:val="0068027C"/>
    <w:rsid w:val="00680725"/>
    <w:rsid w:val="00680AEF"/>
    <w:rsid w:val="0068106E"/>
    <w:rsid w:val="006811F7"/>
    <w:rsid w:val="00681658"/>
    <w:rsid w:val="006825B3"/>
    <w:rsid w:val="00682A24"/>
    <w:rsid w:val="00682B6A"/>
    <w:rsid w:val="006834D0"/>
    <w:rsid w:val="0068372E"/>
    <w:rsid w:val="006860DC"/>
    <w:rsid w:val="006866AD"/>
    <w:rsid w:val="00687427"/>
    <w:rsid w:val="00687717"/>
    <w:rsid w:val="00687B81"/>
    <w:rsid w:val="006900E0"/>
    <w:rsid w:val="0069078A"/>
    <w:rsid w:val="006908AA"/>
    <w:rsid w:val="00690939"/>
    <w:rsid w:val="00690A00"/>
    <w:rsid w:val="006913A4"/>
    <w:rsid w:val="0069146E"/>
    <w:rsid w:val="00691E6B"/>
    <w:rsid w:val="00692170"/>
    <w:rsid w:val="006923A9"/>
    <w:rsid w:val="00692803"/>
    <w:rsid w:val="0069326A"/>
    <w:rsid w:val="00693322"/>
    <w:rsid w:val="006937CD"/>
    <w:rsid w:val="00693830"/>
    <w:rsid w:val="006946AC"/>
    <w:rsid w:val="00694A43"/>
    <w:rsid w:val="00694C38"/>
    <w:rsid w:val="00694EC4"/>
    <w:rsid w:val="006956DA"/>
    <w:rsid w:val="00695F16"/>
    <w:rsid w:val="006976E3"/>
    <w:rsid w:val="006A01B3"/>
    <w:rsid w:val="006A0531"/>
    <w:rsid w:val="006A1D43"/>
    <w:rsid w:val="006A20C0"/>
    <w:rsid w:val="006A21C5"/>
    <w:rsid w:val="006A263F"/>
    <w:rsid w:val="006A26D0"/>
    <w:rsid w:val="006A2839"/>
    <w:rsid w:val="006A2C0A"/>
    <w:rsid w:val="006A2F5D"/>
    <w:rsid w:val="006A3004"/>
    <w:rsid w:val="006A3083"/>
    <w:rsid w:val="006A3371"/>
    <w:rsid w:val="006A5495"/>
    <w:rsid w:val="006A56B6"/>
    <w:rsid w:val="006A5C0C"/>
    <w:rsid w:val="006A6094"/>
    <w:rsid w:val="006A6577"/>
    <w:rsid w:val="006A750F"/>
    <w:rsid w:val="006A7E8C"/>
    <w:rsid w:val="006B04AD"/>
    <w:rsid w:val="006B0A3E"/>
    <w:rsid w:val="006B0ACB"/>
    <w:rsid w:val="006B0D19"/>
    <w:rsid w:val="006B1A8D"/>
    <w:rsid w:val="006B1E53"/>
    <w:rsid w:val="006B2AAB"/>
    <w:rsid w:val="006B33C8"/>
    <w:rsid w:val="006B384B"/>
    <w:rsid w:val="006B39B8"/>
    <w:rsid w:val="006B434E"/>
    <w:rsid w:val="006B4392"/>
    <w:rsid w:val="006B6211"/>
    <w:rsid w:val="006B6BAC"/>
    <w:rsid w:val="006B6DE2"/>
    <w:rsid w:val="006B6EBC"/>
    <w:rsid w:val="006B79DC"/>
    <w:rsid w:val="006C0029"/>
    <w:rsid w:val="006C087F"/>
    <w:rsid w:val="006C0A77"/>
    <w:rsid w:val="006C14B6"/>
    <w:rsid w:val="006C1502"/>
    <w:rsid w:val="006C162D"/>
    <w:rsid w:val="006C1868"/>
    <w:rsid w:val="006C244E"/>
    <w:rsid w:val="006C263F"/>
    <w:rsid w:val="006C3DB6"/>
    <w:rsid w:val="006C3E5A"/>
    <w:rsid w:val="006C3ED5"/>
    <w:rsid w:val="006C3FE5"/>
    <w:rsid w:val="006C4493"/>
    <w:rsid w:val="006C5330"/>
    <w:rsid w:val="006C539B"/>
    <w:rsid w:val="006C58C5"/>
    <w:rsid w:val="006C5D94"/>
    <w:rsid w:val="006C61BF"/>
    <w:rsid w:val="006C73DC"/>
    <w:rsid w:val="006C77F8"/>
    <w:rsid w:val="006D0018"/>
    <w:rsid w:val="006D0569"/>
    <w:rsid w:val="006D0AB1"/>
    <w:rsid w:val="006D19A3"/>
    <w:rsid w:val="006D1E48"/>
    <w:rsid w:val="006D2B34"/>
    <w:rsid w:val="006D2DD7"/>
    <w:rsid w:val="006D35D4"/>
    <w:rsid w:val="006D3C8C"/>
    <w:rsid w:val="006D46EF"/>
    <w:rsid w:val="006D5495"/>
    <w:rsid w:val="006D5F7B"/>
    <w:rsid w:val="006D68F7"/>
    <w:rsid w:val="006D7D82"/>
    <w:rsid w:val="006D7E94"/>
    <w:rsid w:val="006D7F20"/>
    <w:rsid w:val="006E05A9"/>
    <w:rsid w:val="006E076D"/>
    <w:rsid w:val="006E2061"/>
    <w:rsid w:val="006E24D2"/>
    <w:rsid w:val="006E360F"/>
    <w:rsid w:val="006E4214"/>
    <w:rsid w:val="006E428B"/>
    <w:rsid w:val="006E43C1"/>
    <w:rsid w:val="006E4C0F"/>
    <w:rsid w:val="006E4C10"/>
    <w:rsid w:val="006E4D7B"/>
    <w:rsid w:val="006E5299"/>
    <w:rsid w:val="006E55A6"/>
    <w:rsid w:val="006E5E14"/>
    <w:rsid w:val="006E6804"/>
    <w:rsid w:val="006E683B"/>
    <w:rsid w:val="006E6CFB"/>
    <w:rsid w:val="006E7B46"/>
    <w:rsid w:val="006F0CD1"/>
    <w:rsid w:val="006F0EF7"/>
    <w:rsid w:val="006F1EAC"/>
    <w:rsid w:val="006F257E"/>
    <w:rsid w:val="006F2652"/>
    <w:rsid w:val="006F2FF0"/>
    <w:rsid w:val="006F3682"/>
    <w:rsid w:val="006F3A21"/>
    <w:rsid w:val="006F3C9D"/>
    <w:rsid w:val="006F49BE"/>
    <w:rsid w:val="006F50F3"/>
    <w:rsid w:val="006F56C6"/>
    <w:rsid w:val="006F6A6E"/>
    <w:rsid w:val="006F6A7A"/>
    <w:rsid w:val="006F7582"/>
    <w:rsid w:val="006F7BF6"/>
    <w:rsid w:val="0070016A"/>
    <w:rsid w:val="007006C9"/>
    <w:rsid w:val="0070083D"/>
    <w:rsid w:val="00700ACE"/>
    <w:rsid w:val="00700B80"/>
    <w:rsid w:val="00700F41"/>
    <w:rsid w:val="007011B2"/>
    <w:rsid w:val="00701320"/>
    <w:rsid w:val="00701467"/>
    <w:rsid w:val="00703631"/>
    <w:rsid w:val="00703BC0"/>
    <w:rsid w:val="007043D4"/>
    <w:rsid w:val="00704B77"/>
    <w:rsid w:val="00704D0B"/>
    <w:rsid w:val="00705051"/>
    <w:rsid w:val="0070533F"/>
    <w:rsid w:val="0070570B"/>
    <w:rsid w:val="00705861"/>
    <w:rsid w:val="00705F79"/>
    <w:rsid w:val="00706382"/>
    <w:rsid w:val="007072A9"/>
    <w:rsid w:val="00710238"/>
    <w:rsid w:val="00710B18"/>
    <w:rsid w:val="007122FD"/>
    <w:rsid w:val="0071230F"/>
    <w:rsid w:val="007124A7"/>
    <w:rsid w:val="0071364A"/>
    <w:rsid w:val="00713D20"/>
    <w:rsid w:val="00713DC9"/>
    <w:rsid w:val="007148D3"/>
    <w:rsid w:val="00714F77"/>
    <w:rsid w:val="00714FAE"/>
    <w:rsid w:val="00715DA9"/>
    <w:rsid w:val="00716062"/>
    <w:rsid w:val="00716401"/>
    <w:rsid w:val="00716472"/>
    <w:rsid w:val="007172D1"/>
    <w:rsid w:val="007205D2"/>
    <w:rsid w:val="00720845"/>
    <w:rsid w:val="00720C54"/>
    <w:rsid w:val="007217CD"/>
    <w:rsid w:val="0072189B"/>
    <w:rsid w:val="00721AB6"/>
    <w:rsid w:val="00721D3A"/>
    <w:rsid w:val="00722070"/>
    <w:rsid w:val="007228A9"/>
    <w:rsid w:val="00722B14"/>
    <w:rsid w:val="00722D10"/>
    <w:rsid w:val="00724564"/>
    <w:rsid w:val="00725047"/>
    <w:rsid w:val="00725C9F"/>
    <w:rsid w:val="00726084"/>
    <w:rsid w:val="007262B5"/>
    <w:rsid w:val="00726339"/>
    <w:rsid w:val="0072748A"/>
    <w:rsid w:val="00727D42"/>
    <w:rsid w:val="00727FA6"/>
    <w:rsid w:val="00731091"/>
    <w:rsid w:val="0073143C"/>
    <w:rsid w:val="00732A9D"/>
    <w:rsid w:val="007338AD"/>
    <w:rsid w:val="00734427"/>
    <w:rsid w:val="007347CE"/>
    <w:rsid w:val="00735388"/>
    <w:rsid w:val="0073547A"/>
    <w:rsid w:val="007357E8"/>
    <w:rsid w:val="00735C48"/>
    <w:rsid w:val="00735C49"/>
    <w:rsid w:val="00736A15"/>
    <w:rsid w:val="00736E40"/>
    <w:rsid w:val="007370CD"/>
    <w:rsid w:val="00740736"/>
    <w:rsid w:val="007410DE"/>
    <w:rsid w:val="00741360"/>
    <w:rsid w:val="00741CEC"/>
    <w:rsid w:val="00742281"/>
    <w:rsid w:val="007427C4"/>
    <w:rsid w:val="00742B6F"/>
    <w:rsid w:val="00744214"/>
    <w:rsid w:val="007449B0"/>
    <w:rsid w:val="00744C47"/>
    <w:rsid w:val="00744F96"/>
    <w:rsid w:val="007454E7"/>
    <w:rsid w:val="00745613"/>
    <w:rsid w:val="007457BA"/>
    <w:rsid w:val="00745A3F"/>
    <w:rsid w:val="00745A85"/>
    <w:rsid w:val="00745E4A"/>
    <w:rsid w:val="00746929"/>
    <w:rsid w:val="007469C8"/>
    <w:rsid w:val="00746E95"/>
    <w:rsid w:val="007477C9"/>
    <w:rsid w:val="00747EF8"/>
    <w:rsid w:val="007510CC"/>
    <w:rsid w:val="007512A1"/>
    <w:rsid w:val="007512ED"/>
    <w:rsid w:val="007515AA"/>
    <w:rsid w:val="00751CC7"/>
    <w:rsid w:val="007520D5"/>
    <w:rsid w:val="00753060"/>
    <w:rsid w:val="00753126"/>
    <w:rsid w:val="00753AFD"/>
    <w:rsid w:val="0075429C"/>
    <w:rsid w:val="00754380"/>
    <w:rsid w:val="007546E5"/>
    <w:rsid w:val="0075582E"/>
    <w:rsid w:val="00755A78"/>
    <w:rsid w:val="00755F1A"/>
    <w:rsid w:val="007564E1"/>
    <w:rsid w:val="00756B49"/>
    <w:rsid w:val="00756D60"/>
    <w:rsid w:val="00757303"/>
    <w:rsid w:val="007574CD"/>
    <w:rsid w:val="00757863"/>
    <w:rsid w:val="007578D8"/>
    <w:rsid w:val="007603E0"/>
    <w:rsid w:val="00760839"/>
    <w:rsid w:val="00760846"/>
    <w:rsid w:val="00760917"/>
    <w:rsid w:val="0076099E"/>
    <w:rsid w:val="007609CF"/>
    <w:rsid w:val="00761A27"/>
    <w:rsid w:val="00761E6D"/>
    <w:rsid w:val="00761EA9"/>
    <w:rsid w:val="00761F53"/>
    <w:rsid w:val="00763A77"/>
    <w:rsid w:val="007640F0"/>
    <w:rsid w:val="00765B8C"/>
    <w:rsid w:val="00765CDF"/>
    <w:rsid w:val="00765F83"/>
    <w:rsid w:val="00766077"/>
    <w:rsid w:val="0076706C"/>
    <w:rsid w:val="00770464"/>
    <w:rsid w:val="00770A0D"/>
    <w:rsid w:val="00770C94"/>
    <w:rsid w:val="00772296"/>
    <w:rsid w:val="00773163"/>
    <w:rsid w:val="0077342E"/>
    <w:rsid w:val="007743AB"/>
    <w:rsid w:val="00774599"/>
    <w:rsid w:val="007748AE"/>
    <w:rsid w:val="007750D0"/>
    <w:rsid w:val="00777FD8"/>
    <w:rsid w:val="0078003E"/>
    <w:rsid w:val="007802B8"/>
    <w:rsid w:val="007806A4"/>
    <w:rsid w:val="00780997"/>
    <w:rsid w:val="00780B1E"/>
    <w:rsid w:val="00781317"/>
    <w:rsid w:val="00781503"/>
    <w:rsid w:val="00781B8D"/>
    <w:rsid w:val="00781FB2"/>
    <w:rsid w:val="007824BE"/>
    <w:rsid w:val="00782B7C"/>
    <w:rsid w:val="0078413D"/>
    <w:rsid w:val="0078416B"/>
    <w:rsid w:val="007849DA"/>
    <w:rsid w:val="007850BB"/>
    <w:rsid w:val="0078603A"/>
    <w:rsid w:val="007871CA"/>
    <w:rsid w:val="007877A0"/>
    <w:rsid w:val="00787AD3"/>
    <w:rsid w:val="00787B5D"/>
    <w:rsid w:val="0079056B"/>
    <w:rsid w:val="0079217B"/>
    <w:rsid w:val="007927A2"/>
    <w:rsid w:val="00792EF1"/>
    <w:rsid w:val="00793405"/>
    <w:rsid w:val="007936AA"/>
    <w:rsid w:val="00794435"/>
    <w:rsid w:val="0079454D"/>
    <w:rsid w:val="00794597"/>
    <w:rsid w:val="0079462D"/>
    <w:rsid w:val="0079534B"/>
    <w:rsid w:val="00795587"/>
    <w:rsid w:val="00795CCC"/>
    <w:rsid w:val="00796028"/>
    <w:rsid w:val="00796D5A"/>
    <w:rsid w:val="00796E0D"/>
    <w:rsid w:val="007A070C"/>
    <w:rsid w:val="007A12B5"/>
    <w:rsid w:val="007A12D0"/>
    <w:rsid w:val="007A1DE4"/>
    <w:rsid w:val="007A23AE"/>
    <w:rsid w:val="007A3116"/>
    <w:rsid w:val="007A334C"/>
    <w:rsid w:val="007A3A42"/>
    <w:rsid w:val="007A3F3F"/>
    <w:rsid w:val="007A4091"/>
    <w:rsid w:val="007A42C0"/>
    <w:rsid w:val="007A49A1"/>
    <w:rsid w:val="007A4C5C"/>
    <w:rsid w:val="007A6576"/>
    <w:rsid w:val="007A6A15"/>
    <w:rsid w:val="007A6E65"/>
    <w:rsid w:val="007A73FF"/>
    <w:rsid w:val="007A7425"/>
    <w:rsid w:val="007A77A1"/>
    <w:rsid w:val="007B017B"/>
    <w:rsid w:val="007B0B34"/>
    <w:rsid w:val="007B10D7"/>
    <w:rsid w:val="007B194A"/>
    <w:rsid w:val="007B1A06"/>
    <w:rsid w:val="007B2385"/>
    <w:rsid w:val="007B2A00"/>
    <w:rsid w:val="007B2D0C"/>
    <w:rsid w:val="007B2FA3"/>
    <w:rsid w:val="007B30EE"/>
    <w:rsid w:val="007B312B"/>
    <w:rsid w:val="007B352A"/>
    <w:rsid w:val="007B3888"/>
    <w:rsid w:val="007B43BF"/>
    <w:rsid w:val="007B4D57"/>
    <w:rsid w:val="007B546A"/>
    <w:rsid w:val="007B55F1"/>
    <w:rsid w:val="007B5D0B"/>
    <w:rsid w:val="007B5DCC"/>
    <w:rsid w:val="007B6104"/>
    <w:rsid w:val="007B62BD"/>
    <w:rsid w:val="007B6620"/>
    <w:rsid w:val="007B75D9"/>
    <w:rsid w:val="007B7921"/>
    <w:rsid w:val="007B7DE5"/>
    <w:rsid w:val="007C03AA"/>
    <w:rsid w:val="007C05A0"/>
    <w:rsid w:val="007C0B99"/>
    <w:rsid w:val="007C0D30"/>
    <w:rsid w:val="007C152E"/>
    <w:rsid w:val="007C1706"/>
    <w:rsid w:val="007C1933"/>
    <w:rsid w:val="007C1A2B"/>
    <w:rsid w:val="007C2029"/>
    <w:rsid w:val="007C2312"/>
    <w:rsid w:val="007C2A9D"/>
    <w:rsid w:val="007C332C"/>
    <w:rsid w:val="007C3D27"/>
    <w:rsid w:val="007C3DF0"/>
    <w:rsid w:val="007C41E7"/>
    <w:rsid w:val="007C4831"/>
    <w:rsid w:val="007C4A54"/>
    <w:rsid w:val="007C5A49"/>
    <w:rsid w:val="007C5BFF"/>
    <w:rsid w:val="007C6D32"/>
    <w:rsid w:val="007C6F1E"/>
    <w:rsid w:val="007C704D"/>
    <w:rsid w:val="007D039D"/>
    <w:rsid w:val="007D062C"/>
    <w:rsid w:val="007D083F"/>
    <w:rsid w:val="007D0964"/>
    <w:rsid w:val="007D117E"/>
    <w:rsid w:val="007D128A"/>
    <w:rsid w:val="007D1385"/>
    <w:rsid w:val="007D2218"/>
    <w:rsid w:val="007D260D"/>
    <w:rsid w:val="007D358B"/>
    <w:rsid w:val="007D3C4E"/>
    <w:rsid w:val="007D4E7E"/>
    <w:rsid w:val="007D53B3"/>
    <w:rsid w:val="007D57D1"/>
    <w:rsid w:val="007D6D94"/>
    <w:rsid w:val="007D6ED2"/>
    <w:rsid w:val="007D76CC"/>
    <w:rsid w:val="007D7AA4"/>
    <w:rsid w:val="007D7C82"/>
    <w:rsid w:val="007D7D5B"/>
    <w:rsid w:val="007E009C"/>
    <w:rsid w:val="007E07B3"/>
    <w:rsid w:val="007E0C92"/>
    <w:rsid w:val="007E13F2"/>
    <w:rsid w:val="007E15AB"/>
    <w:rsid w:val="007E1B28"/>
    <w:rsid w:val="007E1BA4"/>
    <w:rsid w:val="007E1E0C"/>
    <w:rsid w:val="007E23F3"/>
    <w:rsid w:val="007E3487"/>
    <w:rsid w:val="007E3682"/>
    <w:rsid w:val="007E3690"/>
    <w:rsid w:val="007E3D6B"/>
    <w:rsid w:val="007E3DF2"/>
    <w:rsid w:val="007E4463"/>
    <w:rsid w:val="007E507D"/>
    <w:rsid w:val="007E5248"/>
    <w:rsid w:val="007E646B"/>
    <w:rsid w:val="007E67D0"/>
    <w:rsid w:val="007E6B46"/>
    <w:rsid w:val="007E7735"/>
    <w:rsid w:val="007F01BB"/>
    <w:rsid w:val="007F01E4"/>
    <w:rsid w:val="007F030A"/>
    <w:rsid w:val="007F0453"/>
    <w:rsid w:val="007F06C7"/>
    <w:rsid w:val="007F0A7A"/>
    <w:rsid w:val="007F0B28"/>
    <w:rsid w:val="007F1187"/>
    <w:rsid w:val="007F174E"/>
    <w:rsid w:val="007F1A07"/>
    <w:rsid w:val="007F1A94"/>
    <w:rsid w:val="007F2885"/>
    <w:rsid w:val="007F4368"/>
    <w:rsid w:val="007F4849"/>
    <w:rsid w:val="007F637A"/>
    <w:rsid w:val="007F792E"/>
    <w:rsid w:val="007F7D4D"/>
    <w:rsid w:val="00800CEC"/>
    <w:rsid w:val="00801675"/>
    <w:rsid w:val="00801FFD"/>
    <w:rsid w:val="00802AF7"/>
    <w:rsid w:val="00803101"/>
    <w:rsid w:val="00803159"/>
    <w:rsid w:val="00803295"/>
    <w:rsid w:val="008048EE"/>
    <w:rsid w:val="00805312"/>
    <w:rsid w:val="008058BF"/>
    <w:rsid w:val="008067F4"/>
    <w:rsid w:val="0080682F"/>
    <w:rsid w:val="008069E5"/>
    <w:rsid w:val="00806CB8"/>
    <w:rsid w:val="00807FE6"/>
    <w:rsid w:val="008109A9"/>
    <w:rsid w:val="00810D30"/>
    <w:rsid w:val="00812609"/>
    <w:rsid w:val="0081393F"/>
    <w:rsid w:val="008139CD"/>
    <w:rsid w:val="00813C99"/>
    <w:rsid w:val="0081422A"/>
    <w:rsid w:val="0081499E"/>
    <w:rsid w:val="00815B11"/>
    <w:rsid w:val="00815D07"/>
    <w:rsid w:val="00815E7B"/>
    <w:rsid w:val="00817251"/>
    <w:rsid w:val="00817418"/>
    <w:rsid w:val="00817476"/>
    <w:rsid w:val="00820171"/>
    <w:rsid w:val="008203B8"/>
    <w:rsid w:val="008207C0"/>
    <w:rsid w:val="008209EC"/>
    <w:rsid w:val="00820DA3"/>
    <w:rsid w:val="00821D0B"/>
    <w:rsid w:val="00821F7B"/>
    <w:rsid w:val="0082252B"/>
    <w:rsid w:val="008225FD"/>
    <w:rsid w:val="008236B1"/>
    <w:rsid w:val="008236DF"/>
    <w:rsid w:val="00823C6B"/>
    <w:rsid w:val="0082498D"/>
    <w:rsid w:val="00825175"/>
    <w:rsid w:val="0082561E"/>
    <w:rsid w:val="00826538"/>
    <w:rsid w:val="0082675A"/>
    <w:rsid w:val="0082704B"/>
    <w:rsid w:val="00830A5E"/>
    <w:rsid w:val="00830BF2"/>
    <w:rsid w:val="00830C65"/>
    <w:rsid w:val="00830F17"/>
    <w:rsid w:val="008316D3"/>
    <w:rsid w:val="00832137"/>
    <w:rsid w:val="008322B9"/>
    <w:rsid w:val="008323C0"/>
    <w:rsid w:val="00832F57"/>
    <w:rsid w:val="00833037"/>
    <w:rsid w:val="008339F3"/>
    <w:rsid w:val="00833E60"/>
    <w:rsid w:val="0083407D"/>
    <w:rsid w:val="00834209"/>
    <w:rsid w:val="0083460F"/>
    <w:rsid w:val="0083462A"/>
    <w:rsid w:val="008354BD"/>
    <w:rsid w:val="0083582D"/>
    <w:rsid w:val="00835B34"/>
    <w:rsid w:val="00835D8A"/>
    <w:rsid w:val="00835E1D"/>
    <w:rsid w:val="008365C1"/>
    <w:rsid w:val="00836C28"/>
    <w:rsid w:val="00836CE0"/>
    <w:rsid w:val="00836FE8"/>
    <w:rsid w:val="00837CAB"/>
    <w:rsid w:val="00840323"/>
    <w:rsid w:val="00841170"/>
    <w:rsid w:val="0084245B"/>
    <w:rsid w:val="00842D35"/>
    <w:rsid w:val="00842D4D"/>
    <w:rsid w:val="00843917"/>
    <w:rsid w:val="00843D43"/>
    <w:rsid w:val="00844667"/>
    <w:rsid w:val="0084561E"/>
    <w:rsid w:val="00845D01"/>
    <w:rsid w:val="0084660B"/>
    <w:rsid w:val="008467C8"/>
    <w:rsid w:val="00846843"/>
    <w:rsid w:val="00846B07"/>
    <w:rsid w:val="00846CF1"/>
    <w:rsid w:val="00846E57"/>
    <w:rsid w:val="0085096A"/>
    <w:rsid w:val="00850CB6"/>
    <w:rsid w:val="008515ED"/>
    <w:rsid w:val="00851879"/>
    <w:rsid w:val="0085252E"/>
    <w:rsid w:val="00852D48"/>
    <w:rsid w:val="008530F9"/>
    <w:rsid w:val="008533B9"/>
    <w:rsid w:val="00854952"/>
    <w:rsid w:val="00854B67"/>
    <w:rsid w:val="00854E59"/>
    <w:rsid w:val="00855F80"/>
    <w:rsid w:val="008565E6"/>
    <w:rsid w:val="008568CD"/>
    <w:rsid w:val="0085746D"/>
    <w:rsid w:val="0085747C"/>
    <w:rsid w:val="008579DF"/>
    <w:rsid w:val="0086030B"/>
    <w:rsid w:val="00860352"/>
    <w:rsid w:val="00860597"/>
    <w:rsid w:val="00860A56"/>
    <w:rsid w:val="0086189C"/>
    <w:rsid w:val="0086215A"/>
    <w:rsid w:val="0086294C"/>
    <w:rsid w:val="00863573"/>
    <w:rsid w:val="008635E4"/>
    <w:rsid w:val="00863964"/>
    <w:rsid w:val="00863A35"/>
    <w:rsid w:val="00863BA3"/>
    <w:rsid w:val="00863C0A"/>
    <w:rsid w:val="008641BA"/>
    <w:rsid w:val="0086462C"/>
    <w:rsid w:val="00864AE9"/>
    <w:rsid w:val="00864E88"/>
    <w:rsid w:val="0086553B"/>
    <w:rsid w:val="00865CCE"/>
    <w:rsid w:val="00866755"/>
    <w:rsid w:val="00866945"/>
    <w:rsid w:val="00866B9F"/>
    <w:rsid w:val="0086768B"/>
    <w:rsid w:val="00867B16"/>
    <w:rsid w:val="00867E6C"/>
    <w:rsid w:val="00870140"/>
    <w:rsid w:val="00870331"/>
    <w:rsid w:val="00870992"/>
    <w:rsid w:val="008713E8"/>
    <w:rsid w:val="00871F8F"/>
    <w:rsid w:val="00871FCA"/>
    <w:rsid w:val="00872044"/>
    <w:rsid w:val="00872BF9"/>
    <w:rsid w:val="00872C26"/>
    <w:rsid w:val="008746BE"/>
    <w:rsid w:val="00874CC1"/>
    <w:rsid w:val="00874F9A"/>
    <w:rsid w:val="0087575C"/>
    <w:rsid w:val="0087660B"/>
    <w:rsid w:val="008768DF"/>
    <w:rsid w:val="00876D5F"/>
    <w:rsid w:val="008771F6"/>
    <w:rsid w:val="00877AB1"/>
    <w:rsid w:val="00877C5B"/>
    <w:rsid w:val="00880BCD"/>
    <w:rsid w:val="00881127"/>
    <w:rsid w:val="00881141"/>
    <w:rsid w:val="00881235"/>
    <w:rsid w:val="00881866"/>
    <w:rsid w:val="00882301"/>
    <w:rsid w:val="00882D3C"/>
    <w:rsid w:val="008837CC"/>
    <w:rsid w:val="00883840"/>
    <w:rsid w:val="0088390C"/>
    <w:rsid w:val="00883AE0"/>
    <w:rsid w:val="00883BF3"/>
    <w:rsid w:val="008843A2"/>
    <w:rsid w:val="00884FE9"/>
    <w:rsid w:val="00885584"/>
    <w:rsid w:val="00885B86"/>
    <w:rsid w:val="00885CE7"/>
    <w:rsid w:val="00885D7F"/>
    <w:rsid w:val="008865AD"/>
    <w:rsid w:val="00886EC0"/>
    <w:rsid w:val="00887808"/>
    <w:rsid w:val="0088799C"/>
    <w:rsid w:val="00887C7A"/>
    <w:rsid w:val="008902E3"/>
    <w:rsid w:val="0089032A"/>
    <w:rsid w:val="0089124F"/>
    <w:rsid w:val="0089138C"/>
    <w:rsid w:val="0089158F"/>
    <w:rsid w:val="00891DD0"/>
    <w:rsid w:val="00892264"/>
    <w:rsid w:val="00892528"/>
    <w:rsid w:val="00892BE3"/>
    <w:rsid w:val="00893E90"/>
    <w:rsid w:val="008940CA"/>
    <w:rsid w:val="008942DE"/>
    <w:rsid w:val="008944BD"/>
    <w:rsid w:val="00894768"/>
    <w:rsid w:val="0089500B"/>
    <w:rsid w:val="0089564A"/>
    <w:rsid w:val="00895B25"/>
    <w:rsid w:val="008962F5"/>
    <w:rsid w:val="00896C92"/>
    <w:rsid w:val="0089707D"/>
    <w:rsid w:val="008A00EF"/>
    <w:rsid w:val="008A0104"/>
    <w:rsid w:val="008A115A"/>
    <w:rsid w:val="008A1551"/>
    <w:rsid w:val="008A1B98"/>
    <w:rsid w:val="008A1E20"/>
    <w:rsid w:val="008A29DF"/>
    <w:rsid w:val="008A2C6E"/>
    <w:rsid w:val="008A3BFA"/>
    <w:rsid w:val="008A3F85"/>
    <w:rsid w:val="008A413F"/>
    <w:rsid w:val="008A42AC"/>
    <w:rsid w:val="008A42E7"/>
    <w:rsid w:val="008A4471"/>
    <w:rsid w:val="008A4D59"/>
    <w:rsid w:val="008A5014"/>
    <w:rsid w:val="008A565F"/>
    <w:rsid w:val="008A56EB"/>
    <w:rsid w:val="008A5E10"/>
    <w:rsid w:val="008A6976"/>
    <w:rsid w:val="008A70F3"/>
    <w:rsid w:val="008A71E9"/>
    <w:rsid w:val="008A7271"/>
    <w:rsid w:val="008A7310"/>
    <w:rsid w:val="008B15DA"/>
    <w:rsid w:val="008B1AA3"/>
    <w:rsid w:val="008B20EF"/>
    <w:rsid w:val="008B23DC"/>
    <w:rsid w:val="008B2838"/>
    <w:rsid w:val="008B312B"/>
    <w:rsid w:val="008B3D45"/>
    <w:rsid w:val="008B3F2B"/>
    <w:rsid w:val="008B3F6D"/>
    <w:rsid w:val="008B4B62"/>
    <w:rsid w:val="008B59D5"/>
    <w:rsid w:val="008B6072"/>
    <w:rsid w:val="008B632E"/>
    <w:rsid w:val="008B77C4"/>
    <w:rsid w:val="008B7E7D"/>
    <w:rsid w:val="008C0640"/>
    <w:rsid w:val="008C0D96"/>
    <w:rsid w:val="008C14A0"/>
    <w:rsid w:val="008C196A"/>
    <w:rsid w:val="008C1ABE"/>
    <w:rsid w:val="008C2370"/>
    <w:rsid w:val="008C2B8A"/>
    <w:rsid w:val="008C34BA"/>
    <w:rsid w:val="008C3B4B"/>
    <w:rsid w:val="008C3F35"/>
    <w:rsid w:val="008C65ED"/>
    <w:rsid w:val="008C6B5F"/>
    <w:rsid w:val="008C7214"/>
    <w:rsid w:val="008C7553"/>
    <w:rsid w:val="008C7CC1"/>
    <w:rsid w:val="008C7D8E"/>
    <w:rsid w:val="008D0219"/>
    <w:rsid w:val="008D0B00"/>
    <w:rsid w:val="008D12DB"/>
    <w:rsid w:val="008D1876"/>
    <w:rsid w:val="008D1920"/>
    <w:rsid w:val="008D1D08"/>
    <w:rsid w:val="008D1F91"/>
    <w:rsid w:val="008D22CD"/>
    <w:rsid w:val="008D2771"/>
    <w:rsid w:val="008D2FC7"/>
    <w:rsid w:val="008D3196"/>
    <w:rsid w:val="008D393E"/>
    <w:rsid w:val="008D3ABF"/>
    <w:rsid w:val="008D3CAB"/>
    <w:rsid w:val="008D3E9F"/>
    <w:rsid w:val="008D4713"/>
    <w:rsid w:val="008D4BC5"/>
    <w:rsid w:val="008D5300"/>
    <w:rsid w:val="008D596B"/>
    <w:rsid w:val="008D5B48"/>
    <w:rsid w:val="008D6034"/>
    <w:rsid w:val="008D628E"/>
    <w:rsid w:val="008D67B8"/>
    <w:rsid w:val="008D6B3A"/>
    <w:rsid w:val="008D7B5E"/>
    <w:rsid w:val="008E108F"/>
    <w:rsid w:val="008E132F"/>
    <w:rsid w:val="008E15A1"/>
    <w:rsid w:val="008E30C1"/>
    <w:rsid w:val="008E3872"/>
    <w:rsid w:val="008E3A22"/>
    <w:rsid w:val="008E40C9"/>
    <w:rsid w:val="008E49F1"/>
    <w:rsid w:val="008E532C"/>
    <w:rsid w:val="008E5763"/>
    <w:rsid w:val="008E585F"/>
    <w:rsid w:val="008E5D04"/>
    <w:rsid w:val="008E62B9"/>
    <w:rsid w:val="008E661F"/>
    <w:rsid w:val="008E6984"/>
    <w:rsid w:val="008E6E7D"/>
    <w:rsid w:val="008E722F"/>
    <w:rsid w:val="008F04DC"/>
    <w:rsid w:val="008F070A"/>
    <w:rsid w:val="008F14AF"/>
    <w:rsid w:val="008F1860"/>
    <w:rsid w:val="008F24E7"/>
    <w:rsid w:val="008F25AA"/>
    <w:rsid w:val="008F268A"/>
    <w:rsid w:val="008F40C2"/>
    <w:rsid w:val="008F4219"/>
    <w:rsid w:val="008F4CB0"/>
    <w:rsid w:val="008F628B"/>
    <w:rsid w:val="008F658D"/>
    <w:rsid w:val="008F664F"/>
    <w:rsid w:val="008F66F0"/>
    <w:rsid w:val="008F6A10"/>
    <w:rsid w:val="008F71FA"/>
    <w:rsid w:val="008F7890"/>
    <w:rsid w:val="00900246"/>
    <w:rsid w:val="009004DC"/>
    <w:rsid w:val="00900E1D"/>
    <w:rsid w:val="00901731"/>
    <w:rsid w:val="00901780"/>
    <w:rsid w:val="00901FD2"/>
    <w:rsid w:val="009021F4"/>
    <w:rsid w:val="009027C1"/>
    <w:rsid w:val="00902808"/>
    <w:rsid w:val="00902C1E"/>
    <w:rsid w:val="009043AE"/>
    <w:rsid w:val="0090441B"/>
    <w:rsid w:val="00904D37"/>
    <w:rsid w:val="0090538C"/>
    <w:rsid w:val="009054BA"/>
    <w:rsid w:val="00905651"/>
    <w:rsid w:val="0090643B"/>
    <w:rsid w:val="00906862"/>
    <w:rsid w:val="00907057"/>
    <w:rsid w:val="0090728B"/>
    <w:rsid w:val="0091053E"/>
    <w:rsid w:val="00910540"/>
    <w:rsid w:val="009105FB"/>
    <w:rsid w:val="00911105"/>
    <w:rsid w:val="009114C1"/>
    <w:rsid w:val="00911AC3"/>
    <w:rsid w:val="00911D34"/>
    <w:rsid w:val="00911DB8"/>
    <w:rsid w:val="00912B0B"/>
    <w:rsid w:val="00912CFE"/>
    <w:rsid w:val="00912D47"/>
    <w:rsid w:val="00912DF9"/>
    <w:rsid w:val="00912F41"/>
    <w:rsid w:val="00913049"/>
    <w:rsid w:val="0091330D"/>
    <w:rsid w:val="00913513"/>
    <w:rsid w:val="00914112"/>
    <w:rsid w:val="0091412B"/>
    <w:rsid w:val="00914D3E"/>
    <w:rsid w:val="009152EF"/>
    <w:rsid w:val="009152F9"/>
    <w:rsid w:val="00915813"/>
    <w:rsid w:val="00915B94"/>
    <w:rsid w:val="00915CAE"/>
    <w:rsid w:val="009162A9"/>
    <w:rsid w:val="009164E8"/>
    <w:rsid w:val="00916E21"/>
    <w:rsid w:val="00920BB2"/>
    <w:rsid w:val="00921941"/>
    <w:rsid w:val="00921A04"/>
    <w:rsid w:val="00921C3F"/>
    <w:rsid w:val="00921D03"/>
    <w:rsid w:val="009223D3"/>
    <w:rsid w:val="009226B2"/>
    <w:rsid w:val="00922D3F"/>
    <w:rsid w:val="00922DA4"/>
    <w:rsid w:val="0092338B"/>
    <w:rsid w:val="00923788"/>
    <w:rsid w:val="00923EA6"/>
    <w:rsid w:val="00924085"/>
    <w:rsid w:val="009241B9"/>
    <w:rsid w:val="00925B02"/>
    <w:rsid w:val="0092603D"/>
    <w:rsid w:val="009264B2"/>
    <w:rsid w:val="00926E27"/>
    <w:rsid w:val="00926E60"/>
    <w:rsid w:val="00927B84"/>
    <w:rsid w:val="00927BCC"/>
    <w:rsid w:val="0093040B"/>
    <w:rsid w:val="009306F6"/>
    <w:rsid w:val="00930B45"/>
    <w:rsid w:val="00930DF0"/>
    <w:rsid w:val="00930E91"/>
    <w:rsid w:val="00931671"/>
    <w:rsid w:val="009318AA"/>
    <w:rsid w:val="00931D4D"/>
    <w:rsid w:val="009323A9"/>
    <w:rsid w:val="0093259E"/>
    <w:rsid w:val="009327A8"/>
    <w:rsid w:val="00935FEF"/>
    <w:rsid w:val="009378F1"/>
    <w:rsid w:val="00937EA0"/>
    <w:rsid w:val="009405B4"/>
    <w:rsid w:val="009408C0"/>
    <w:rsid w:val="00940B1B"/>
    <w:rsid w:val="00941501"/>
    <w:rsid w:val="00942273"/>
    <w:rsid w:val="0094232F"/>
    <w:rsid w:val="00942A45"/>
    <w:rsid w:val="009435F1"/>
    <w:rsid w:val="009444CC"/>
    <w:rsid w:val="00944A02"/>
    <w:rsid w:val="00944E00"/>
    <w:rsid w:val="00944E89"/>
    <w:rsid w:val="00944F05"/>
    <w:rsid w:val="00945538"/>
    <w:rsid w:val="00945842"/>
    <w:rsid w:val="00945992"/>
    <w:rsid w:val="00945E9F"/>
    <w:rsid w:val="00945F51"/>
    <w:rsid w:val="0094629B"/>
    <w:rsid w:val="00946DAB"/>
    <w:rsid w:val="00946DC2"/>
    <w:rsid w:val="00946EA4"/>
    <w:rsid w:val="00947A45"/>
    <w:rsid w:val="0095044B"/>
    <w:rsid w:val="009507F3"/>
    <w:rsid w:val="00951129"/>
    <w:rsid w:val="00951576"/>
    <w:rsid w:val="0095464B"/>
    <w:rsid w:val="0095476E"/>
    <w:rsid w:val="00955C32"/>
    <w:rsid w:val="009560E9"/>
    <w:rsid w:val="00956143"/>
    <w:rsid w:val="00956478"/>
    <w:rsid w:val="00956988"/>
    <w:rsid w:val="00956A73"/>
    <w:rsid w:val="00956B2F"/>
    <w:rsid w:val="0095729C"/>
    <w:rsid w:val="0095762E"/>
    <w:rsid w:val="00957796"/>
    <w:rsid w:val="00957D87"/>
    <w:rsid w:val="0096033E"/>
    <w:rsid w:val="00961206"/>
    <w:rsid w:val="00961265"/>
    <w:rsid w:val="009615B8"/>
    <w:rsid w:val="009618D5"/>
    <w:rsid w:val="00962766"/>
    <w:rsid w:val="00962D99"/>
    <w:rsid w:val="00963621"/>
    <w:rsid w:val="009639F8"/>
    <w:rsid w:val="00963A81"/>
    <w:rsid w:val="009641DA"/>
    <w:rsid w:val="009641E7"/>
    <w:rsid w:val="009642F7"/>
    <w:rsid w:val="0096449A"/>
    <w:rsid w:val="00964908"/>
    <w:rsid w:val="00964AE1"/>
    <w:rsid w:val="009663E0"/>
    <w:rsid w:val="009663F6"/>
    <w:rsid w:val="00966F3A"/>
    <w:rsid w:val="009671AC"/>
    <w:rsid w:val="009673B1"/>
    <w:rsid w:val="00967A59"/>
    <w:rsid w:val="00967BBD"/>
    <w:rsid w:val="00967BE2"/>
    <w:rsid w:val="00967BEA"/>
    <w:rsid w:val="00967D04"/>
    <w:rsid w:val="00967EAF"/>
    <w:rsid w:val="00970D7B"/>
    <w:rsid w:val="00970DE6"/>
    <w:rsid w:val="009710D0"/>
    <w:rsid w:val="00971199"/>
    <w:rsid w:val="00971417"/>
    <w:rsid w:val="0097193A"/>
    <w:rsid w:val="00971F03"/>
    <w:rsid w:val="0097404D"/>
    <w:rsid w:val="00974EE2"/>
    <w:rsid w:val="00975247"/>
    <w:rsid w:val="00975E42"/>
    <w:rsid w:val="009765B6"/>
    <w:rsid w:val="009766EB"/>
    <w:rsid w:val="0097723B"/>
    <w:rsid w:val="009772FE"/>
    <w:rsid w:val="009773E9"/>
    <w:rsid w:val="00977A85"/>
    <w:rsid w:val="00977C07"/>
    <w:rsid w:val="00980224"/>
    <w:rsid w:val="009805B8"/>
    <w:rsid w:val="00980CC1"/>
    <w:rsid w:val="00980F69"/>
    <w:rsid w:val="0098225E"/>
    <w:rsid w:val="009831BA"/>
    <w:rsid w:val="0098322D"/>
    <w:rsid w:val="009851FC"/>
    <w:rsid w:val="009853B3"/>
    <w:rsid w:val="009855AF"/>
    <w:rsid w:val="00985BF6"/>
    <w:rsid w:val="00985D52"/>
    <w:rsid w:val="00986813"/>
    <w:rsid w:val="009906DA"/>
    <w:rsid w:val="00990A9C"/>
    <w:rsid w:val="00990D93"/>
    <w:rsid w:val="00991C07"/>
    <w:rsid w:val="00991D62"/>
    <w:rsid w:val="0099219E"/>
    <w:rsid w:val="009947A7"/>
    <w:rsid w:val="00994EBC"/>
    <w:rsid w:val="00994FF7"/>
    <w:rsid w:val="00995A7E"/>
    <w:rsid w:val="00996621"/>
    <w:rsid w:val="00996C99"/>
    <w:rsid w:val="00996EFC"/>
    <w:rsid w:val="0099730E"/>
    <w:rsid w:val="009977E9"/>
    <w:rsid w:val="0099780A"/>
    <w:rsid w:val="009A1E5A"/>
    <w:rsid w:val="009A21F1"/>
    <w:rsid w:val="009A2904"/>
    <w:rsid w:val="009A2E74"/>
    <w:rsid w:val="009A3049"/>
    <w:rsid w:val="009A31E6"/>
    <w:rsid w:val="009A37FA"/>
    <w:rsid w:val="009A3948"/>
    <w:rsid w:val="009A3B0D"/>
    <w:rsid w:val="009A46AB"/>
    <w:rsid w:val="009A4C79"/>
    <w:rsid w:val="009A50C4"/>
    <w:rsid w:val="009A55F5"/>
    <w:rsid w:val="009A5B5F"/>
    <w:rsid w:val="009A73ED"/>
    <w:rsid w:val="009A7473"/>
    <w:rsid w:val="009A7E3F"/>
    <w:rsid w:val="009B060F"/>
    <w:rsid w:val="009B0779"/>
    <w:rsid w:val="009B0A90"/>
    <w:rsid w:val="009B0BE6"/>
    <w:rsid w:val="009B2D12"/>
    <w:rsid w:val="009B339D"/>
    <w:rsid w:val="009B3ADD"/>
    <w:rsid w:val="009B3AFD"/>
    <w:rsid w:val="009B3D25"/>
    <w:rsid w:val="009B4049"/>
    <w:rsid w:val="009B441A"/>
    <w:rsid w:val="009B540A"/>
    <w:rsid w:val="009B5C27"/>
    <w:rsid w:val="009B6127"/>
    <w:rsid w:val="009B62F2"/>
    <w:rsid w:val="009B66CB"/>
    <w:rsid w:val="009B6DE0"/>
    <w:rsid w:val="009B6F6E"/>
    <w:rsid w:val="009B793B"/>
    <w:rsid w:val="009B7BEF"/>
    <w:rsid w:val="009B7D13"/>
    <w:rsid w:val="009C13D5"/>
    <w:rsid w:val="009C15A5"/>
    <w:rsid w:val="009C18B5"/>
    <w:rsid w:val="009C1A04"/>
    <w:rsid w:val="009C1D44"/>
    <w:rsid w:val="009C1D6C"/>
    <w:rsid w:val="009C2036"/>
    <w:rsid w:val="009C26E5"/>
    <w:rsid w:val="009C2E08"/>
    <w:rsid w:val="009C32B2"/>
    <w:rsid w:val="009C33F7"/>
    <w:rsid w:val="009C3682"/>
    <w:rsid w:val="009C436B"/>
    <w:rsid w:val="009C4594"/>
    <w:rsid w:val="009C4F5E"/>
    <w:rsid w:val="009C58BF"/>
    <w:rsid w:val="009C5A00"/>
    <w:rsid w:val="009C5CD5"/>
    <w:rsid w:val="009C5E99"/>
    <w:rsid w:val="009C5F2B"/>
    <w:rsid w:val="009C6C7B"/>
    <w:rsid w:val="009C77B3"/>
    <w:rsid w:val="009D0560"/>
    <w:rsid w:val="009D068A"/>
    <w:rsid w:val="009D086D"/>
    <w:rsid w:val="009D17B4"/>
    <w:rsid w:val="009D2155"/>
    <w:rsid w:val="009D2172"/>
    <w:rsid w:val="009D2293"/>
    <w:rsid w:val="009D241A"/>
    <w:rsid w:val="009D293F"/>
    <w:rsid w:val="009D2A79"/>
    <w:rsid w:val="009D2C55"/>
    <w:rsid w:val="009D2E57"/>
    <w:rsid w:val="009D303F"/>
    <w:rsid w:val="009D3591"/>
    <w:rsid w:val="009D3820"/>
    <w:rsid w:val="009D45B6"/>
    <w:rsid w:val="009D4C33"/>
    <w:rsid w:val="009D4FA4"/>
    <w:rsid w:val="009D5DC8"/>
    <w:rsid w:val="009D60D0"/>
    <w:rsid w:val="009D6E64"/>
    <w:rsid w:val="009D7389"/>
    <w:rsid w:val="009E1C79"/>
    <w:rsid w:val="009E1EAD"/>
    <w:rsid w:val="009E2C8C"/>
    <w:rsid w:val="009E338F"/>
    <w:rsid w:val="009E33D9"/>
    <w:rsid w:val="009E362C"/>
    <w:rsid w:val="009E3F91"/>
    <w:rsid w:val="009E587C"/>
    <w:rsid w:val="009E59CC"/>
    <w:rsid w:val="009E726C"/>
    <w:rsid w:val="009E75DB"/>
    <w:rsid w:val="009F00B9"/>
    <w:rsid w:val="009F0443"/>
    <w:rsid w:val="009F114F"/>
    <w:rsid w:val="009F125D"/>
    <w:rsid w:val="009F1B42"/>
    <w:rsid w:val="009F2193"/>
    <w:rsid w:val="009F26E4"/>
    <w:rsid w:val="009F4072"/>
    <w:rsid w:val="009F4582"/>
    <w:rsid w:val="009F45DC"/>
    <w:rsid w:val="009F51CC"/>
    <w:rsid w:val="009F66CD"/>
    <w:rsid w:val="009F6970"/>
    <w:rsid w:val="009F69EB"/>
    <w:rsid w:val="00A00546"/>
    <w:rsid w:val="00A01A40"/>
    <w:rsid w:val="00A01DA1"/>
    <w:rsid w:val="00A042B2"/>
    <w:rsid w:val="00A043B8"/>
    <w:rsid w:val="00A0480A"/>
    <w:rsid w:val="00A049B4"/>
    <w:rsid w:val="00A055F4"/>
    <w:rsid w:val="00A05AC3"/>
    <w:rsid w:val="00A05CCD"/>
    <w:rsid w:val="00A060CA"/>
    <w:rsid w:val="00A064DD"/>
    <w:rsid w:val="00A06AB4"/>
    <w:rsid w:val="00A074F5"/>
    <w:rsid w:val="00A10B3D"/>
    <w:rsid w:val="00A1116A"/>
    <w:rsid w:val="00A114D4"/>
    <w:rsid w:val="00A116C9"/>
    <w:rsid w:val="00A1171A"/>
    <w:rsid w:val="00A117B0"/>
    <w:rsid w:val="00A12434"/>
    <w:rsid w:val="00A12A6C"/>
    <w:rsid w:val="00A13476"/>
    <w:rsid w:val="00A134E0"/>
    <w:rsid w:val="00A140B5"/>
    <w:rsid w:val="00A159B7"/>
    <w:rsid w:val="00A15EAA"/>
    <w:rsid w:val="00A16252"/>
    <w:rsid w:val="00A1702C"/>
    <w:rsid w:val="00A204AD"/>
    <w:rsid w:val="00A2129D"/>
    <w:rsid w:val="00A217DE"/>
    <w:rsid w:val="00A21B14"/>
    <w:rsid w:val="00A2217C"/>
    <w:rsid w:val="00A22F7B"/>
    <w:rsid w:val="00A230D5"/>
    <w:rsid w:val="00A232EC"/>
    <w:rsid w:val="00A23DDD"/>
    <w:rsid w:val="00A23E65"/>
    <w:rsid w:val="00A251A5"/>
    <w:rsid w:val="00A2586B"/>
    <w:rsid w:val="00A25984"/>
    <w:rsid w:val="00A25A88"/>
    <w:rsid w:val="00A25D8D"/>
    <w:rsid w:val="00A26F87"/>
    <w:rsid w:val="00A27143"/>
    <w:rsid w:val="00A27995"/>
    <w:rsid w:val="00A30F70"/>
    <w:rsid w:val="00A321C8"/>
    <w:rsid w:val="00A33A0D"/>
    <w:rsid w:val="00A33CAE"/>
    <w:rsid w:val="00A341AD"/>
    <w:rsid w:val="00A3477B"/>
    <w:rsid w:val="00A35759"/>
    <w:rsid w:val="00A35880"/>
    <w:rsid w:val="00A36329"/>
    <w:rsid w:val="00A363B2"/>
    <w:rsid w:val="00A3698B"/>
    <w:rsid w:val="00A369AC"/>
    <w:rsid w:val="00A369C9"/>
    <w:rsid w:val="00A374DD"/>
    <w:rsid w:val="00A37ADC"/>
    <w:rsid w:val="00A4026B"/>
    <w:rsid w:val="00A4035E"/>
    <w:rsid w:val="00A40A6A"/>
    <w:rsid w:val="00A40D7A"/>
    <w:rsid w:val="00A411B1"/>
    <w:rsid w:val="00A41763"/>
    <w:rsid w:val="00A41BDC"/>
    <w:rsid w:val="00A41C33"/>
    <w:rsid w:val="00A41E35"/>
    <w:rsid w:val="00A41F4E"/>
    <w:rsid w:val="00A42B60"/>
    <w:rsid w:val="00A42BA2"/>
    <w:rsid w:val="00A43B94"/>
    <w:rsid w:val="00A442BA"/>
    <w:rsid w:val="00A44ADE"/>
    <w:rsid w:val="00A44BA7"/>
    <w:rsid w:val="00A46209"/>
    <w:rsid w:val="00A4620C"/>
    <w:rsid w:val="00A46223"/>
    <w:rsid w:val="00A4674F"/>
    <w:rsid w:val="00A47698"/>
    <w:rsid w:val="00A47719"/>
    <w:rsid w:val="00A502F0"/>
    <w:rsid w:val="00A50672"/>
    <w:rsid w:val="00A508A6"/>
    <w:rsid w:val="00A50C15"/>
    <w:rsid w:val="00A514CC"/>
    <w:rsid w:val="00A51AEC"/>
    <w:rsid w:val="00A5203D"/>
    <w:rsid w:val="00A5226C"/>
    <w:rsid w:val="00A5252F"/>
    <w:rsid w:val="00A53A42"/>
    <w:rsid w:val="00A542C2"/>
    <w:rsid w:val="00A55467"/>
    <w:rsid w:val="00A562AB"/>
    <w:rsid w:val="00A56A33"/>
    <w:rsid w:val="00A57EF2"/>
    <w:rsid w:val="00A6026F"/>
    <w:rsid w:val="00A613CD"/>
    <w:rsid w:val="00A61474"/>
    <w:rsid w:val="00A623D3"/>
    <w:rsid w:val="00A6292D"/>
    <w:rsid w:val="00A62EAD"/>
    <w:rsid w:val="00A63346"/>
    <w:rsid w:val="00A63866"/>
    <w:rsid w:val="00A63FB3"/>
    <w:rsid w:val="00A644AB"/>
    <w:rsid w:val="00A65763"/>
    <w:rsid w:val="00A65AB2"/>
    <w:rsid w:val="00A66709"/>
    <w:rsid w:val="00A66867"/>
    <w:rsid w:val="00A66AE2"/>
    <w:rsid w:val="00A670BE"/>
    <w:rsid w:val="00A6779A"/>
    <w:rsid w:val="00A67875"/>
    <w:rsid w:val="00A67A16"/>
    <w:rsid w:val="00A67F66"/>
    <w:rsid w:val="00A70B9E"/>
    <w:rsid w:val="00A70C6B"/>
    <w:rsid w:val="00A70C72"/>
    <w:rsid w:val="00A7148C"/>
    <w:rsid w:val="00A71B43"/>
    <w:rsid w:val="00A7234A"/>
    <w:rsid w:val="00A726CA"/>
    <w:rsid w:val="00A72FEB"/>
    <w:rsid w:val="00A732A1"/>
    <w:rsid w:val="00A7386C"/>
    <w:rsid w:val="00A74EAD"/>
    <w:rsid w:val="00A74F79"/>
    <w:rsid w:val="00A758F8"/>
    <w:rsid w:val="00A75990"/>
    <w:rsid w:val="00A759F5"/>
    <w:rsid w:val="00A75C6F"/>
    <w:rsid w:val="00A75CA9"/>
    <w:rsid w:val="00A75F3D"/>
    <w:rsid w:val="00A76A19"/>
    <w:rsid w:val="00A76AA9"/>
    <w:rsid w:val="00A76F52"/>
    <w:rsid w:val="00A770A3"/>
    <w:rsid w:val="00A77A23"/>
    <w:rsid w:val="00A77DCD"/>
    <w:rsid w:val="00A77FB5"/>
    <w:rsid w:val="00A80E2D"/>
    <w:rsid w:val="00A82373"/>
    <w:rsid w:val="00A83184"/>
    <w:rsid w:val="00A83759"/>
    <w:rsid w:val="00A83CF8"/>
    <w:rsid w:val="00A83F94"/>
    <w:rsid w:val="00A853EF"/>
    <w:rsid w:val="00A85586"/>
    <w:rsid w:val="00A85B92"/>
    <w:rsid w:val="00A85BC6"/>
    <w:rsid w:val="00A85E0E"/>
    <w:rsid w:val="00A86F9C"/>
    <w:rsid w:val="00A86FF0"/>
    <w:rsid w:val="00A87109"/>
    <w:rsid w:val="00A87183"/>
    <w:rsid w:val="00A87CED"/>
    <w:rsid w:val="00A87DA8"/>
    <w:rsid w:val="00A87F78"/>
    <w:rsid w:val="00A90149"/>
    <w:rsid w:val="00A91062"/>
    <w:rsid w:val="00A91099"/>
    <w:rsid w:val="00A9129B"/>
    <w:rsid w:val="00A912B4"/>
    <w:rsid w:val="00A91472"/>
    <w:rsid w:val="00A917BE"/>
    <w:rsid w:val="00A91BD7"/>
    <w:rsid w:val="00A91FAD"/>
    <w:rsid w:val="00A92176"/>
    <w:rsid w:val="00A92255"/>
    <w:rsid w:val="00A927AF"/>
    <w:rsid w:val="00A9361D"/>
    <w:rsid w:val="00A93D0F"/>
    <w:rsid w:val="00A94137"/>
    <w:rsid w:val="00A94663"/>
    <w:rsid w:val="00A94DBB"/>
    <w:rsid w:val="00A94FD0"/>
    <w:rsid w:val="00A95487"/>
    <w:rsid w:val="00A95A73"/>
    <w:rsid w:val="00A9697A"/>
    <w:rsid w:val="00A96B4D"/>
    <w:rsid w:val="00A96D08"/>
    <w:rsid w:val="00A96E9C"/>
    <w:rsid w:val="00A9713A"/>
    <w:rsid w:val="00A97712"/>
    <w:rsid w:val="00A97D18"/>
    <w:rsid w:val="00A97D6B"/>
    <w:rsid w:val="00A97DC9"/>
    <w:rsid w:val="00AA0B65"/>
    <w:rsid w:val="00AA0BAB"/>
    <w:rsid w:val="00AA128F"/>
    <w:rsid w:val="00AA1C12"/>
    <w:rsid w:val="00AA25B9"/>
    <w:rsid w:val="00AA2647"/>
    <w:rsid w:val="00AA275F"/>
    <w:rsid w:val="00AA2B6E"/>
    <w:rsid w:val="00AA2EC9"/>
    <w:rsid w:val="00AA3D8A"/>
    <w:rsid w:val="00AA4A15"/>
    <w:rsid w:val="00AA4EAA"/>
    <w:rsid w:val="00AA5CB2"/>
    <w:rsid w:val="00AA5EBE"/>
    <w:rsid w:val="00AA643F"/>
    <w:rsid w:val="00AA65C3"/>
    <w:rsid w:val="00AA7312"/>
    <w:rsid w:val="00AA79DB"/>
    <w:rsid w:val="00AB1169"/>
    <w:rsid w:val="00AB1364"/>
    <w:rsid w:val="00AB1E47"/>
    <w:rsid w:val="00AB2775"/>
    <w:rsid w:val="00AB2E63"/>
    <w:rsid w:val="00AB366A"/>
    <w:rsid w:val="00AB4B6A"/>
    <w:rsid w:val="00AB52C6"/>
    <w:rsid w:val="00AB562C"/>
    <w:rsid w:val="00AB5D09"/>
    <w:rsid w:val="00AB5FEA"/>
    <w:rsid w:val="00AB6A93"/>
    <w:rsid w:val="00AB6E6D"/>
    <w:rsid w:val="00AC0038"/>
    <w:rsid w:val="00AC057C"/>
    <w:rsid w:val="00AC0890"/>
    <w:rsid w:val="00AC16AE"/>
    <w:rsid w:val="00AC1A78"/>
    <w:rsid w:val="00AC21E0"/>
    <w:rsid w:val="00AC2365"/>
    <w:rsid w:val="00AC2B3D"/>
    <w:rsid w:val="00AC2E48"/>
    <w:rsid w:val="00AC2E6D"/>
    <w:rsid w:val="00AC35FC"/>
    <w:rsid w:val="00AC3ECD"/>
    <w:rsid w:val="00AC4B56"/>
    <w:rsid w:val="00AC4DAF"/>
    <w:rsid w:val="00AC5064"/>
    <w:rsid w:val="00AC509A"/>
    <w:rsid w:val="00AC5A9A"/>
    <w:rsid w:val="00AC5A9B"/>
    <w:rsid w:val="00AC5C94"/>
    <w:rsid w:val="00AC5D00"/>
    <w:rsid w:val="00AC662E"/>
    <w:rsid w:val="00AC663B"/>
    <w:rsid w:val="00AC6CC1"/>
    <w:rsid w:val="00AC7677"/>
    <w:rsid w:val="00AC78BB"/>
    <w:rsid w:val="00AC7BBA"/>
    <w:rsid w:val="00AD08E9"/>
    <w:rsid w:val="00AD0D30"/>
    <w:rsid w:val="00AD225C"/>
    <w:rsid w:val="00AD2929"/>
    <w:rsid w:val="00AD2E97"/>
    <w:rsid w:val="00AD3219"/>
    <w:rsid w:val="00AD3B08"/>
    <w:rsid w:val="00AD3BF1"/>
    <w:rsid w:val="00AD476B"/>
    <w:rsid w:val="00AD485B"/>
    <w:rsid w:val="00AD58FC"/>
    <w:rsid w:val="00AD5F3D"/>
    <w:rsid w:val="00AD6CF9"/>
    <w:rsid w:val="00AD7BB1"/>
    <w:rsid w:val="00AD7C40"/>
    <w:rsid w:val="00AD7EBB"/>
    <w:rsid w:val="00AE0274"/>
    <w:rsid w:val="00AE038A"/>
    <w:rsid w:val="00AE10D9"/>
    <w:rsid w:val="00AE13F0"/>
    <w:rsid w:val="00AE232B"/>
    <w:rsid w:val="00AE23D8"/>
    <w:rsid w:val="00AE266A"/>
    <w:rsid w:val="00AE2ACE"/>
    <w:rsid w:val="00AE3144"/>
    <w:rsid w:val="00AE32CA"/>
    <w:rsid w:val="00AE366D"/>
    <w:rsid w:val="00AE4D68"/>
    <w:rsid w:val="00AE5422"/>
    <w:rsid w:val="00AE5B4B"/>
    <w:rsid w:val="00AE612D"/>
    <w:rsid w:val="00AE694A"/>
    <w:rsid w:val="00AF0545"/>
    <w:rsid w:val="00AF077B"/>
    <w:rsid w:val="00AF0B42"/>
    <w:rsid w:val="00AF1E09"/>
    <w:rsid w:val="00AF22FA"/>
    <w:rsid w:val="00AF2493"/>
    <w:rsid w:val="00AF2715"/>
    <w:rsid w:val="00AF32A0"/>
    <w:rsid w:val="00AF3684"/>
    <w:rsid w:val="00AF4419"/>
    <w:rsid w:val="00AF48C5"/>
    <w:rsid w:val="00AF4FA6"/>
    <w:rsid w:val="00AF53CC"/>
    <w:rsid w:val="00AF610E"/>
    <w:rsid w:val="00AF70C3"/>
    <w:rsid w:val="00AF7C66"/>
    <w:rsid w:val="00AF7C6D"/>
    <w:rsid w:val="00B0063F"/>
    <w:rsid w:val="00B012AD"/>
    <w:rsid w:val="00B013EA"/>
    <w:rsid w:val="00B019F5"/>
    <w:rsid w:val="00B01D9F"/>
    <w:rsid w:val="00B02D13"/>
    <w:rsid w:val="00B03AFF"/>
    <w:rsid w:val="00B044EA"/>
    <w:rsid w:val="00B047EE"/>
    <w:rsid w:val="00B04CDF"/>
    <w:rsid w:val="00B05663"/>
    <w:rsid w:val="00B06157"/>
    <w:rsid w:val="00B1008B"/>
    <w:rsid w:val="00B1143B"/>
    <w:rsid w:val="00B120E4"/>
    <w:rsid w:val="00B1213F"/>
    <w:rsid w:val="00B12282"/>
    <w:rsid w:val="00B13879"/>
    <w:rsid w:val="00B139B7"/>
    <w:rsid w:val="00B13B19"/>
    <w:rsid w:val="00B13D34"/>
    <w:rsid w:val="00B13DA5"/>
    <w:rsid w:val="00B13E8A"/>
    <w:rsid w:val="00B152EA"/>
    <w:rsid w:val="00B15EA4"/>
    <w:rsid w:val="00B164BD"/>
    <w:rsid w:val="00B16A4A"/>
    <w:rsid w:val="00B16FD1"/>
    <w:rsid w:val="00B17233"/>
    <w:rsid w:val="00B1778C"/>
    <w:rsid w:val="00B179AB"/>
    <w:rsid w:val="00B17C6A"/>
    <w:rsid w:val="00B17F6C"/>
    <w:rsid w:val="00B20BCC"/>
    <w:rsid w:val="00B22245"/>
    <w:rsid w:val="00B22890"/>
    <w:rsid w:val="00B228DE"/>
    <w:rsid w:val="00B22A74"/>
    <w:rsid w:val="00B23306"/>
    <w:rsid w:val="00B237DD"/>
    <w:rsid w:val="00B239E9"/>
    <w:rsid w:val="00B2451F"/>
    <w:rsid w:val="00B245F5"/>
    <w:rsid w:val="00B2476D"/>
    <w:rsid w:val="00B24D29"/>
    <w:rsid w:val="00B24E6F"/>
    <w:rsid w:val="00B25D51"/>
    <w:rsid w:val="00B2682B"/>
    <w:rsid w:val="00B268EF"/>
    <w:rsid w:val="00B26941"/>
    <w:rsid w:val="00B26A53"/>
    <w:rsid w:val="00B301E9"/>
    <w:rsid w:val="00B317B2"/>
    <w:rsid w:val="00B31BE5"/>
    <w:rsid w:val="00B320F2"/>
    <w:rsid w:val="00B32443"/>
    <w:rsid w:val="00B32671"/>
    <w:rsid w:val="00B3281C"/>
    <w:rsid w:val="00B334A2"/>
    <w:rsid w:val="00B34932"/>
    <w:rsid w:val="00B35558"/>
    <w:rsid w:val="00B35783"/>
    <w:rsid w:val="00B35938"/>
    <w:rsid w:val="00B363F7"/>
    <w:rsid w:val="00B36557"/>
    <w:rsid w:val="00B36620"/>
    <w:rsid w:val="00B373F4"/>
    <w:rsid w:val="00B377E0"/>
    <w:rsid w:val="00B37D79"/>
    <w:rsid w:val="00B40771"/>
    <w:rsid w:val="00B40C8F"/>
    <w:rsid w:val="00B40D81"/>
    <w:rsid w:val="00B41294"/>
    <w:rsid w:val="00B418AB"/>
    <w:rsid w:val="00B41F6F"/>
    <w:rsid w:val="00B41FEC"/>
    <w:rsid w:val="00B4219F"/>
    <w:rsid w:val="00B422C4"/>
    <w:rsid w:val="00B425FB"/>
    <w:rsid w:val="00B42BA5"/>
    <w:rsid w:val="00B42CE1"/>
    <w:rsid w:val="00B43D97"/>
    <w:rsid w:val="00B43FF9"/>
    <w:rsid w:val="00B445D0"/>
    <w:rsid w:val="00B4540B"/>
    <w:rsid w:val="00B45606"/>
    <w:rsid w:val="00B458BA"/>
    <w:rsid w:val="00B4603B"/>
    <w:rsid w:val="00B46987"/>
    <w:rsid w:val="00B47804"/>
    <w:rsid w:val="00B47A6C"/>
    <w:rsid w:val="00B50AD8"/>
    <w:rsid w:val="00B50B2A"/>
    <w:rsid w:val="00B518B7"/>
    <w:rsid w:val="00B530B5"/>
    <w:rsid w:val="00B5390B"/>
    <w:rsid w:val="00B539B7"/>
    <w:rsid w:val="00B53E1E"/>
    <w:rsid w:val="00B5433C"/>
    <w:rsid w:val="00B54B10"/>
    <w:rsid w:val="00B5563D"/>
    <w:rsid w:val="00B55EDF"/>
    <w:rsid w:val="00B55FD7"/>
    <w:rsid w:val="00B561C9"/>
    <w:rsid w:val="00B564B2"/>
    <w:rsid w:val="00B56545"/>
    <w:rsid w:val="00B56608"/>
    <w:rsid w:val="00B566FD"/>
    <w:rsid w:val="00B56A02"/>
    <w:rsid w:val="00B5710B"/>
    <w:rsid w:val="00B57EAA"/>
    <w:rsid w:val="00B60DB0"/>
    <w:rsid w:val="00B62015"/>
    <w:rsid w:val="00B62164"/>
    <w:rsid w:val="00B62466"/>
    <w:rsid w:val="00B62764"/>
    <w:rsid w:val="00B6282C"/>
    <w:rsid w:val="00B62968"/>
    <w:rsid w:val="00B63455"/>
    <w:rsid w:val="00B63895"/>
    <w:rsid w:val="00B63C9D"/>
    <w:rsid w:val="00B63F45"/>
    <w:rsid w:val="00B63FCB"/>
    <w:rsid w:val="00B6485C"/>
    <w:rsid w:val="00B6756F"/>
    <w:rsid w:val="00B67936"/>
    <w:rsid w:val="00B708A3"/>
    <w:rsid w:val="00B7188D"/>
    <w:rsid w:val="00B71CBA"/>
    <w:rsid w:val="00B72E87"/>
    <w:rsid w:val="00B734B3"/>
    <w:rsid w:val="00B73726"/>
    <w:rsid w:val="00B73962"/>
    <w:rsid w:val="00B739E0"/>
    <w:rsid w:val="00B73BF3"/>
    <w:rsid w:val="00B73C35"/>
    <w:rsid w:val="00B74CF3"/>
    <w:rsid w:val="00B75376"/>
    <w:rsid w:val="00B7538B"/>
    <w:rsid w:val="00B75919"/>
    <w:rsid w:val="00B75BCC"/>
    <w:rsid w:val="00B75C6B"/>
    <w:rsid w:val="00B75E28"/>
    <w:rsid w:val="00B7675A"/>
    <w:rsid w:val="00B778F9"/>
    <w:rsid w:val="00B8014B"/>
    <w:rsid w:val="00B8015C"/>
    <w:rsid w:val="00B8035B"/>
    <w:rsid w:val="00B80746"/>
    <w:rsid w:val="00B811F5"/>
    <w:rsid w:val="00B81E6D"/>
    <w:rsid w:val="00B81EAA"/>
    <w:rsid w:val="00B8265E"/>
    <w:rsid w:val="00B834A9"/>
    <w:rsid w:val="00B8462C"/>
    <w:rsid w:val="00B8497C"/>
    <w:rsid w:val="00B85B88"/>
    <w:rsid w:val="00B8612A"/>
    <w:rsid w:val="00B86219"/>
    <w:rsid w:val="00B867BF"/>
    <w:rsid w:val="00B86D0F"/>
    <w:rsid w:val="00B87A6C"/>
    <w:rsid w:val="00B87A85"/>
    <w:rsid w:val="00B87EBD"/>
    <w:rsid w:val="00B87EF0"/>
    <w:rsid w:val="00B87FE5"/>
    <w:rsid w:val="00B90392"/>
    <w:rsid w:val="00B910B7"/>
    <w:rsid w:val="00B92025"/>
    <w:rsid w:val="00B93F34"/>
    <w:rsid w:val="00B94141"/>
    <w:rsid w:val="00B9483C"/>
    <w:rsid w:val="00B95138"/>
    <w:rsid w:val="00B96059"/>
    <w:rsid w:val="00B9636B"/>
    <w:rsid w:val="00B970D5"/>
    <w:rsid w:val="00B9757F"/>
    <w:rsid w:val="00B97B25"/>
    <w:rsid w:val="00BA05E9"/>
    <w:rsid w:val="00BA0DA5"/>
    <w:rsid w:val="00BA12D0"/>
    <w:rsid w:val="00BA18A1"/>
    <w:rsid w:val="00BA1A5F"/>
    <w:rsid w:val="00BA1ED4"/>
    <w:rsid w:val="00BA2B85"/>
    <w:rsid w:val="00BA3117"/>
    <w:rsid w:val="00BA3455"/>
    <w:rsid w:val="00BA3FDC"/>
    <w:rsid w:val="00BA416E"/>
    <w:rsid w:val="00BA424F"/>
    <w:rsid w:val="00BA4978"/>
    <w:rsid w:val="00BA4ACA"/>
    <w:rsid w:val="00BA4D05"/>
    <w:rsid w:val="00BA4D54"/>
    <w:rsid w:val="00BA4F14"/>
    <w:rsid w:val="00BA553B"/>
    <w:rsid w:val="00BA595B"/>
    <w:rsid w:val="00BA649F"/>
    <w:rsid w:val="00BA65AC"/>
    <w:rsid w:val="00BA66E1"/>
    <w:rsid w:val="00BA6E7B"/>
    <w:rsid w:val="00BA7BBA"/>
    <w:rsid w:val="00BB1AD8"/>
    <w:rsid w:val="00BB2420"/>
    <w:rsid w:val="00BB2D41"/>
    <w:rsid w:val="00BB2F1F"/>
    <w:rsid w:val="00BB3965"/>
    <w:rsid w:val="00BB3BB8"/>
    <w:rsid w:val="00BB4369"/>
    <w:rsid w:val="00BB4B26"/>
    <w:rsid w:val="00BB4D81"/>
    <w:rsid w:val="00BB509D"/>
    <w:rsid w:val="00BB52E0"/>
    <w:rsid w:val="00BB5537"/>
    <w:rsid w:val="00BB587E"/>
    <w:rsid w:val="00BB58A2"/>
    <w:rsid w:val="00BB5C1A"/>
    <w:rsid w:val="00BB5F1E"/>
    <w:rsid w:val="00BC0D3A"/>
    <w:rsid w:val="00BC13D0"/>
    <w:rsid w:val="00BC1714"/>
    <w:rsid w:val="00BC1A77"/>
    <w:rsid w:val="00BC1EFA"/>
    <w:rsid w:val="00BC2234"/>
    <w:rsid w:val="00BC280E"/>
    <w:rsid w:val="00BC2F92"/>
    <w:rsid w:val="00BC30C4"/>
    <w:rsid w:val="00BC3A96"/>
    <w:rsid w:val="00BC402A"/>
    <w:rsid w:val="00BC42BF"/>
    <w:rsid w:val="00BC45FA"/>
    <w:rsid w:val="00BC483D"/>
    <w:rsid w:val="00BC4955"/>
    <w:rsid w:val="00BC4DAF"/>
    <w:rsid w:val="00BC5081"/>
    <w:rsid w:val="00BC576C"/>
    <w:rsid w:val="00BC57EB"/>
    <w:rsid w:val="00BC5A34"/>
    <w:rsid w:val="00BC5A65"/>
    <w:rsid w:val="00BC5B76"/>
    <w:rsid w:val="00BC6701"/>
    <w:rsid w:val="00BC68AC"/>
    <w:rsid w:val="00BC6D6C"/>
    <w:rsid w:val="00BC6E73"/>
    <w:rsid w:val="00BC71F0"/>
    <w:rsid w:val="00BC75A0"/>
    <w:rsid w:val="00BC7705"/>
    <w:rsid w:val="00BC793F"/>
    <w:rsid w:val="00BC7A06"/>
    <w:rsid w:val="00BD0139"/>
    <w:rsid w:val="00BD0D1B"/>
    <w:rsid w:val="00BD10BC"/>
    <w:rsid w:val="00BD1B55"/>
    <w:rsid w:val="00BD1C4E"/>
    <w:rsid w:val="00BD1FD0"/>
    <w:rsid w:val="00BD2275"/>
    <w:rsid w:val="00BD2EBA"/>
    <w:rsid w:val="00BD3086"/>
    <w:rsid w:val="00BD39AB"/>
    <w:rsid w:val="00BD3C22"/>
    <w:rsid w:val="00BD3C8C"/>
    <w:rsid w:val="00BD3E36"/>
    <w:rsid w:val="00BD5444"/>
    <w:rsid w:val="00BD5ACB"/>
    <w:rsid w:val="00BD6062"/>
    <w:rsid w:val="00BD6360"/>
    <w:rsid w:val="00BD66F0"/>
    <w:rsid w:val="00BD67D6"/>
    <w:rsid w:val="00BD6C96"/>
    <w:rsid w:val="00BD6D8B"/>
    <w:rsid w:val="00BD71ED"/>
    <w:rsid w:val="00BD74CC"/>
    <w:rsid w:val="00BD75BF"/>
    <w:rsid w:val="00BD7A3B"/>
    <w:rsid w:val="00BD7ECE"/>
    <w:rsid w:val="00BE00B8"/>
    <w:rsid w:val="00BE0DBB"/>
    <w:rsid w:val="00BE1DF5"/>
    <w:rsid w:val="00BE20D3"/>
    <w:rsid w:val="00BE2711"/>
    <w:rsid w:val="00BE2E5A"/>
    <w:rsid w:val="00BE2F8D"/>
    <w:rsid w:val="00BE3813"/>
    <w:rsid w:val="00BE3C94"/>
    <w:rsid w:val="00BE475F"/>
    <w:rsid w:val="00BE5682"/>
    <w:rsid w:val="00BE6683"/>
    <w:rsid w:val="00BE7D47"/>
    <w:rsid w:val="00BF001C"/>
    <w:rsid w:val="00BF0284"/>
    <w:rsid w:val="00BF102E"/>
    <w:rsid w:val="00BF106B"/>
    <w:rsid w:val="00BF136D"/>
    <w:rsid w:val="00BF1790"/>
    <w:rsid w:val="00BF18C0"/>
    <w:rsid w:val="00BF1BE0"/>
    <w:rsid w:val="00BF1D75"/>
    <w:rsid w:val="00BF1F2F"/>
    <w:rsid w:val="00BF2333"/>
    <w:rsid w:val="00BF33E2"/>
    <w:rsid w:val="00BF376B"/>
    <w:rsid w:val="00BF38E4"/>
    <w:rsid w:val="00BF3B53"/>
    <w:rsid w:val="00BF3CCD"/>
    <w:rsid w:val="00BF3EBF"/>
    <w:rsid w:val="00BF467C"/>
    <w:rsid w:val="00BF57D6"/>
    <w:rsid w:val="00BF5B8C"/>
    <w:rsid w:val="00BF6153"/>
    <w:rsid w:val="00BF6CC2"/>
    <w:rsid w:val="00BF6E7B"/>
    <w:rsid w:val="00BF75A8"/>
    <w:rsid w:val="00BF761D"/>
    <w:rsid w:val="00C00435"/>
    <w:rsid w:val="00C0063F"/>
    <w:rsid w:val="00C00F27"/>
    <w:rsid w:val="00C01331"/>
    <w:rsid w:val="00C02112"/>
    <w:rsid w:val="00C02941"/>
    <w:rsid w:val="00C02B04"/>
    <w:rsid w:val="00C03247"/>
    <w:rsid w:val="00C03850"/>
    <w:rsid w:val="00C03B50"/>
    <w:rsid w:val="00C04537"/>
    <w:rsid w:val="00C0476D"/>
    <w:rsid w:val="00C04CF3"/>
    <w:rsid w:val="00C04E6B"/>
    <w:rsid w:val="00C05CDC"/>
    <w:rsid w:val="00C06263"/>
    <w:rsid w:val="00C100DB"/>
    <w:rsid w:val="00C10F86"/>
    <w:rsid w:val="00C12572"/>
    <w:rsid w:val="00C13622"/>
    <w:rsid w:val="00C144D1"/>
    <w:rsid w:val="00C15205"/>
    <w:rsid w:val="00C15508"/>
    <w:rsid w:val="00C15B8F"/>
    <w:rsid w:val="00C15EBB"/>
    <w:rsid w:val="00C15F25"/>
    <w:rsid w:val="00C167EE"/>
    <w:rsid w:val="00C170F2"/>
    <w:rsid w:val="00C17399"/>
    <w:rsid w:val="00C205BD"/>
    <w:rsid w:val="00C21879"/>
    <w:rsid w:val="00C2190C"/>
    <w:rsid w:val="00C21B52"/>
    <w:rsid w:val="00C21BBF"/>
    <w:rsid w:val="00C22423"/>
    <w:rsid w:val="00C2300E"/>
    <w:rsid w:val="00C24FDE"/>
    <w:rsid w:val="00C25F68"/>
    <w:rsid w:val="00C26E49"/>
    <w:rsid w:val="00C30130"/>
    <w:rsid w:val="00C30C4D"/>
    <w:rsid w:val="00C30E96"/>
    <w:rsid w:val="00C312E8"/>
    <w:rsid w:val="00C31C9D"/>
    <w:rsid w:val="00C321F3"/>
    <w:rsid w:val="00C329E8"/>
    <w:rsid w:val="00C32ADA"/>
    <w:rsid w:val="00C333FC"/>
    <w:rsid w:val="00C33EE5"/>
    <w:rsid w:val="00C33EF5"/>
    <w:rsid w:val="00C34B19"/>
    <w:rsid w:val="00C35838"/>
    <w:rsid w:val="00C364A6"/>
    <w:rsid w:val="00C3656E"/>
    <w:rsid w:val="00C3675E"/>
    <w:rsid w:val="00C36D2B"/>
    <w:rsid w:val="00C37C5E"/>
    <w:rsid w:val="00C403BD"/>
    <w:rsid w:val="00C40526"/>
    <w:rsid w:val="00C41377"/>
    <w:rsid w:val="00C42FBE"/>
    <w:rsid w:val="00C431BA"/>
    <w:rsid w:val="00C43335"/>
    <w:rsid w:val="00C448CA"/>
    <w:rsid w:val="00C44B43"/>
    <w:rsid w:val="00C4506D"/>
    <w:rsid w:val="00C45617"/>
    <w:rsid w:val="00C471EC"/>
    <w:rsid w:val="00C4798A"/>
    <w:rsid w:val="00C47C47"/>
    <w:rsid w:val="00C47E79"/>
    <w:rsid w:val="00C50CC1"/>
    <w:rsid w:val="00C50D38"/>
    <w:rsid w:val="00C5260A"/>
    <w:rsid w:val="00C52B93"/>
    <w:rsid w:val="00C5381D"/>
    <w:rsid w:val="00C538A5"/>
    <w:rsid w:val="00C54747"/>
    <w:rsid w:val="00C54A8D"/>
    <w:rsid w:val="00C553FE"/>
    <w:rsid w:val="00C5578F"/>
    <w:rsid w:val="00C55BCD"/>
    <w:rsid w:val="00C565E1"/>
    <w:rsid w:val="00C56E7D"/>
    <w:rsid w:val="00C5755F"/>
    <w:rsid w:val="00C604F0"/>
    <w:rsid w:val="00C60793"/>
    <w:rsid w:val="00C60DC4"/>
    <w:rsid w:val="00C61609"/>
    <w:rsid w:val="00C620A0"/>
    <w:rsid w:val="00C62559"/>
    <w:rsid w:val="00C6272C"/>
    <w:rsid w:val="00C628B9"/>
    <w:rsid w:val="00C62FD1"/>
    <w:rsid w:val="00C63726"/>
    <w:rsid w:val="00C63A2D"/>
    <w:rsid w:val="00C63E8D"/>
    <w:rsid w:val="00C64294"/>
    <w:rsid w:val="00C644B3"/>
    <w:rsid w:val="00C64E70"/>
    <w:rsid w:val="00C656A6"/>
    <w:rsid w:val="00C658AF"/>
    <w:rsid w:val="00C665AA"/>
    <w:rsid w:val="00C667DD"/>
    <w:rsid w:val="00C66A08"/>
    <w:rsid w:val="00C66B87"/>
    <w:rsid w:val="00C670B6"/>
    <w:rsid w:val="00C67455"/>
    <w:rsid w:val="00C67524"/>
    <w:rsid w:val="00C67759"/>
    <w:rsid w:val="00C67890"/>
    <w:rsid w:val="00C67992"/>
    <w:rsid w:val="00C67C79"/>
    <w:rsid w:val="00C70FA0"/>
    <w:rsid w:val="00C71A3D"/>
    <w:rsid w:val="00C72165"/>
    <w:rsid w:val="00C7247B"/>
    <w:rsid w:val="00C72BE7"/>
    <w:rsid w:val="00C72D9F"/>
    <w:rsid w:val="00C7317F"/>
    <w:rsid w:val="00C7318E"/>
    <w:rsid w:val="00C733E8"/>
    <w:rsid w:val="00C73480"/>
    <w:rsid w:val="00C738C9"/>
    <w:rsid w:val="00C74702"/>
    <w:rsid w:val="00C74759"/>
    <w:rsid w:val="00C74B2E"/>
    <w:rsid w:val="00C75BE6"/>
    <w:rsid w:val="00C763BA"/>
    <w:rsid w:val="00C76FBD"/>
    <w:rsid w:val="00C7758C"/>
    <w:rsid w:val="00C77748"/>
    <w:rsid w:val="00C81AA1"/>
    <w:rsid w:val="00C823DC"/>
    <w:rsid w:val="00C82E4E"/>
    <w:rsid w:val="00C8363F"/>
    <w:rsid w:val="00C83B08"/>
    <w:rsid w:val="00C83F15"/>
    <w:rsid w:val="00C841E5"/>
    <w:rsid w:val="00C845CC"/>
    <w:rsid w:val="00C84A04"/>
    <w:rsid w:val="00C85330"/>
    <w:rsid w:val="00C855F1"/>
    <w:rsid w:val="00C859D1"/>
    <w:rsid w:val="00C85A68"/>
    <w:rsid w:val="00C8622F"/>
    <w:rsid w:val="00C869B6"/>
    <w:rsid w:val="00C87481"/>
    <w:rsid w:val="00C87922"/>
    <w:rsid w:val="00C905E5"/>
    <w:rsid w:val="00C907BF"/>
    <w:rsid w:val="00C90C7F"/>
    <w:rsid w:val="00C91401"/>
    <w:rsid w:val="00C9158E"/>
    <w:rsid w:val="00C91B81"/>
    <w:rsid w:val="00C9277E"/>
    <w:rsid w:val="00C936CB"/>
    <w:rsid w:val="00C93828"/>
    <w:rsid w:val="00C95316"/>
    <w:rsid w:val="00C961B1"/>
    <w:rsid w:val="00C96B50"/>
    <w:rsid w:val="00C973C1"/>
    <w:rsid w:val="00C979E4"/>
    <w:rsid w:val="00CA0705"/>
    <w:rsid w:val="00CA0D2F"/>
    <w:rsid w:val="00CA0F29"/>
    <w:rsid w:val="00CA26A9"/>
    <w:rsid w:val="00CA3668"/>
    <w:rsid w:val="00CA37D2"/>
    <w:rsid w:val="00CA6A2B"/>
    <w:rsid w:val="00CA6BE0"/>
    <w:rsid w:val="00CA72AF"/>
    <w:rsid w:val="00CA7BE8"/>
    <w:rsid w:val="00CB00C1"/>
    <w:rsid w:val="00CB041F"/>
    <w:rsid w:val="00CB049E"/>
    <w:rsid w:val="00CB0ABA"/>
    <w:rsid w:val="00CB0C50"/>
    <w:rsid w:val="00CB11DE"/>
    <w:rsid w:val="00CB12C8"/>
    <w:rsid w:val="00CB1F7D"/>
    <w:rsid w:val="00CB1FAF"/>
    <w:rsid w:val="00CB268E"/>
    <w:rsid w:val="00CB3358"/>
    <w:rsid w:val="00CB3F3C"/>
    <w:rsid w:val="00CB47B1"/>
    <w:rsid w:val="00CB4A1A"/>
    <w:rsid w:val="00CB6C35"/>
    <w:rsid w:val="00CB6D78"/>
    <w:rsid w:val="00CB7A87"/>
    <w:rsid w:val="00CC0085"/>
    <w:rsid w:val="00CC0496"/>
    <w:rsid w:val="00CC0D88"/>
    <w:rsid w:val="00CC0FDD"/>
    <w:rsid w:val="00CC12DB"/>
    <w:rsid w:val="00CC170E"/>
    <w:rsid w:val="00CC2A3D"/>
    <w:rsid w:val="00CC2F96"/>
    <w:rsid w:val="00CC42A5"/>
    <w:rsid w:val="00CC42AC"/>
    <w:rsid w:val="00CC4D09"/>
    <w:rsid w:val="00CC4FF9"/>
    <w:rsid w:val="00CC50A5"/>
    <w:rsid w:val="00CC5652"/>
    <w:rsid w:val="00CC6433"/>
    <w:rsid w:val="00CC7849"/>
    <w:rsid w:val="00CC7B6F"/>
    <w:rsid w:val="00CC7D7F"/>
    <w:rsid w:val="00CD024C"/>
    <w:rsid w:val="00CD0C0C"/>
    <w:rsid w:val="00CD0EE7"/>
    <w:rsid w:val="00CD0FC6"/>
    <w:rsid w:val="00CD17F7"/>
    <w:rsid w:val="00CD1E7D"/>
    <w:rsid w:val="00CD26F1"/>
    <w:rsid w:val="00CD2B44"/>
    <w:rsid w:val="00CD303D"/>
    <w:rsid w:val="00CD3042"/>
    <w:rsid w:val="00CD324A"/>
    <w:rsid w:val="00CD32B4"/>
    <w:rsid w:val="00CD3787"/>
    <w:rsid w:val="00CD3B64"/>
    <w:rsid w:val="00CD3E15"/>
    <w:rsid w:val="00CD4166"/>
    <w:rsid w:val="00CD45FA"/>
    <w:rsid w:val="00CD4635"/>
    <w:rsid w:val="00CD46CA"/>
    <w:rsid w:val="00CD52D2"/>
    <w:rsid w:val="00CD5366"/>
    <w:rsid w:val="00CD5599"/>
    <w:rsid w:val="00CD56C1"/>
    <w:rsid w:val="00CD577F"/>
    <w:rsid w:val="00CD5A76"/>
    <w:rsid w:val="00CD6270"/>
    <w:rsid w:val="00CD68BB"/>
    <w:rsid w:val="00CD6EF1"/>
    <w:rsid w:val="00CD7769"/>
    <w:rsid w:val="00CD7FA3"/>
    <w:rsid w:val="00CE02F7"/>
    <w:rsid w:val="00CE0A3E"/>
    <w:rsid w:val="00CE0C78"/>
    <w:rsid w:val="00CE1637"/>
    <w:rsid w:val="00CE3B24"/>
    <w:rsid w:val="00CE467B"/>
    <w:rsid w:val="00CE4A4E"/>
    <w:rsid w:val="00CE5999"/>
    <w:rsid w:val="00CE63C6"/>
    <w:rsid w:val="00CE657C"/>
    <w:rsid w:val="00CE6738"/>
    <w:rsid w:val="00CE7296"/>
    <w:rsid w:val="00CE7682"/>
    <w:rsid w:val="00CE7B9E"/>
    <w:rsid w:val="00CE7FA0"/>
    <w:rsid w:val="00CF0D87"/>
    <w:rsid w:val="00CF11C4"/>
    <w:rsid w:val="00CF121E"/>
    <w:rsid w:val="00CF17AB"/>
    <w:rsid w:val="00CF18C2"/>
    <w:rsid w:val="00CF1B57"/>
    <w:rsid w:val="00CF1F2B"/>
    <w:rsid w:val="00CF2828"/>
    <w:rsid w:val="00CF3525"/>
    <w:rsid w:val="00CF4030"/>
    <w:rsid w:val="00CF48D5"/>
    <w:rsid w:val="00CF5001"/>
    <w:rsid w:val="00CF55E3"/>
    <w:rsid w:val="00CF563C"/>
    <w:rsid w:val="00CF6209"/>
    <w:rsid w:val="00D001CD"/>
    <w:rsid w:val="00D00E52"/>
    <w:rsid w:val="00D01168"/>
    <w:rsid w:val="00D03192"/>
    <w:rsid w:val="00D0330E"/>
    <w:rsid w:val="00D03DBB"/>
    <w:rsid w:val="00D04B9F"/>
    <w:rsid w:val="00D04E95"/>
    <w:rsid w:val="00D062E7"/>
    <w:rsid w:val="00D06A26"/>
    <w:rsid w:val="00D07AB2"/>
    <w:rsid w:val="00D102B4"/>
    <w:rsid w:val="00D10C47"/>
    <w:rsid w:val="00D113D9"/>
    <w:rsid w:val="00D1142B"/>
    <w:rsid w:val="00D122C6"/>
    <w:rsid w:val="00D125B2"/>
    <w:rsid w:val="00D131F8"/>
    <w:rsid w:val="00D14348"/>
    <w:rsid w:val="00D146CE"/>
    <w:rsid w:val="00D150E8"/>
    <w:rsid w:val="00D15336"/>
    <w:rsid w:val="00D15D9B"/>
    <w:rsid w:val="00D164AF"/>
    <w:rsid w:val="00D16715"/>
    <w:rsid w:val="00D16D02"/>
    <w:rsid w:val="00D17A7A"/>
    <w:rsid w:val="00D17D90"/>
    <w:rsid w:val="00D20882"/>
    <w:rsid w:val="00D209AD"/>
    <w:rsid w:val="00D20E99"/>
    <w:rsid w:val="00D20FD8"/>
    <w:rsid w:val="00D210AC"/>
    <w:rsid w:val="00D21998"/>
    <w:rsid w:val="00D229DF"/>
    <w:rsid w:val="00D22CBA"/>
    <w:rsid w:val="00D22D2D"/>
    <w:rsid w:val="00D22D8C"/>
    <w:rsid w:val="00D22E4E"/>
    <w:rsid w:val="00D230A1"/>
    <w:rsid w:val="00D23119"/>
    <w:rsid w:val="00D23A5B"/>
    <w:rsid w:val="00D23C99"/>
    <w:rsid w:val="00D23D58"/>
    <w:rsid w:val="00D241D0"/>
    <w:rsid w:val="00D2493C"/>
    <w:rsid w:val="00D24C29"/>
    <w:rsid w:val="00D2510B"/>
    <w:rsid w:val="00D25B47"/>
    <w:rsid w:val="00D25F67"/>
    <w:rsid w:val="00D26B80"/>
    <w:rsid w:val="00D27D38"/>
    <w:rsid w:val="00D27D48"/>
    <w:rsid w:val="00D300E2"/>
    <w:rsid w:val="00D309B3"/>
    <w:rsid w:val="00D30D05"/>
    <w:rsid w:val="00D30F5A"/>
    <w:rsid w:val="00D31DA9"/>
    <w:rsid w:val="00D31E7E"/>
    <w:rsid w:val="00D32108"/>
    <w:rsid w:val="00D32734"/>
    <w:rsid w:val="00D3278E"/>
    <w:rsid w:val="00D335AD"/>
    <w:rsid w:val="00D33B93"/>
    <w:rsid w:val="00D33C9F"/>
    <w:rsid w:val="00D3474E"/>
    <w:rsid w:val="00D35170"/>
    <w:rsid w:val="00D35199"/>
    <w:rsid w:val="00D35516"/>
    <w:rsid w:val="00D357C9"/>
    <w:rsid w:val="00D35898"/>
    <w:rsid w:val="00D35D1E"/>
    <w:rsid w:val="00D35D9C"/>
    <w:rsid w:val="00D37BBB"/>
    <w:rsid w:val="00D4075B"/>
    <w:rsid w:val="00D4092D"/>
    <w:rsid w:val="00D415AB"/>
    <w:rsid w:val="00D41FEF"/>
    <w:rsid w:val="00D420E5"/>
    <w:rsid w:val="00D42312"/>
    <w:rsid w:val="00D4245C"/>
    <w:rsid w:val="00D433EA"/>
    <w:rsid w:val="00D4479B"/>
    <w:rsid w:val="00D447C2"/>
    <w:rsid w:val="00D449CD"/>
    <w:rsid w:val="00D44C46"/>
    <w:rsid w:val="00D45F3A"/>
    <w:rsid w:val="00D46B8A"/>
    <w:rsid w:val="00D46CC0"/>
    <w:rsid w:val="00D46F4F"/>
    <w:rsid w:val="00D479B7"/>
    <w:rsid w:val="00D50927"/>
    <w:rsid w:val="00D50D77"/>
    <w:rsid w:val="00D512C9"/>
    <w:rsid w:val="00D51C0E"/>
    <w:rsid w:val="00D51EF2"/>
    <w:rsid w:val="00D51F5C"/>
    <w:rsid w:val="00D5294C"/>
    <w:rsid w:val="00D5295C"/>
    <w:rsid w:val="00D52AD6"/>
    <w:rsid w:val="00D537D8"/>
    <w:rsid w:val="00D5384D"/>
    <w:rsid w:val="00D53CED"/>
    <w:rsid w:val="00D53DAA"/>
    <w:rsid w:val="00D53DC6"/>
    <w:rsid w:val="00D542A4"/>
    <w:rsid w:val="00D5441E"/>
    <w:rsid w:val="00D5489A"/>
    <w:rsid w:val="00D56976"/>
    <w:rsid w:val="00D576D9"/>
    <w:rsid w:val="00D57A17"/>
    <w:rsid w:val="00D61403"/>
    <w:rsid w:val="00D614E3"/>
    <w:rsid w:val="00D618B4"/>
    <w:rsid w:val="00D61971"/>
    <w:rsid w:val="00D61B2D"/>
    <w:rsid w:val="00D61B4B"/>
    <w:rsid w:val="00D61BE0"/>
    <w:rsid w:val="00D62035"/>
    <w:rsid w:val="00D624D5"/>
    <w:rsid w:val="00D62556"/>
    <w:rsid w:val="00D6277D"/>
    <w:rsid w:val="00D62879"/>
    <w:rsid w:val="00D629D7"/>
    <w:rsid w:val="00D62AF5"/>
    <w:rsid w:val="00D63BEA"/>
    <w:rsid w:val="00D641DA"/>
    <w:rsid w:val="00D64200"/>
    <w:rsid w:val="00D647C1"/>
    <w:rsid w:val="00D64C21"/>
    <w:rsid w:val="00D64D99"/>
    <w:rsid w:val="00D6531E"/>
    <w:rsid w:val="00D6569E"/>
    <w:rsid w:val="00D65C31"/>
    <w:rsid w:val="00D65EC0"/>
    <w:rsid w:val="00D65FDD"/>
    <w:rsid w:val="00D66303"/>
    <w:rsid w:val="00D67CFB"/>
    <w:rsid w:val="00D703D0"/>
    <w:rsid w:val="00D708BB"/>
    <w:rsid w:val="00D7190A"/>
    <w:rsid w:val="00D7248E"/>
    <w:rsid w:val="00D72F2E"/>
    <w:rsid w:val="00D7342E"/>
    <w:rsid w:val="00D7368E"/>
    <w:rsid w:val="00D7376F"/>
    <w:rsid w:val="00D7394A"/>
    <w:rsid w:val="00D73BC2"/>
    <w:rsid w:val="00D74BDE"/>
    <w:rsid w:val="00D750F8"/>
    <w:rsid w:val="00D75780"/>
    <w:rsid w:val="00D75B33"/>
    <w:rsid w:val="00D75DAD"/>
    <w:rsid w:val="00D774B5"/>
    <w:rsid w:val="00D7786E"/>
    <w:rsid w:val="00D77984"/>
    <w:rsid w:val="00D77A09"/>
    <w:rsid w:val="00D77AF0"/>
    <w:rsid w:val="00D77E08"/>
    <w:rsid w:val="00D8053E"/>
    <w:rsid w:val="00D80788"/>
    <w:rsid w:val="00D80B03"/>
    <w:rsid w:val="00D81680"/>
    <w:rsid w:val="00D81A40"/>
    <w:rsid w:val="00D81EBA"/>
    <w:rsid w:val="00D83817"/>
    <w:rsid w:val="00D83905"/>
    <w:rsid w:val="00D8390B"/>
    <w:rsid w:val="00D83EBE"/>
    <w:rsid w:val="00D844D4"/>
    <w:rsid w:val="00D84D29"/>
    <w:rsid w:val="00D852FF"/>
    <w:rsid w:val="00D85474"/>
    <w:rsid w:val="00D85E4F"/>
    <w:rsid w:val="00D86545"/>
    <w:rsid w:val="00D868DF"/>
    <w:rsid w:val="00D86A2F"/>
    <w:rsid w:val="00D86DC3"/>
    <w:rsid w:val="00D870F1"/>
    <w:rsid w:val="00D87417"/>
    <w:rsid w:val="00D8763C"/>
    <w:rsid w:val="00D878FA"/>
    <w:rsid w:val="00D879AA"/>
    <w:rsid w:val="00D87A9B"/>
    <w:rsid w:val="00D90A16"/>
    <w:rsid w:val="00D90D23"/>
    <w:rsid w:val="00D9110E"/>
    <w:rsid w:val="00D92BD2"/>
    <w:rsid w:val="00D92D66"/>
    <w:rsid w:val="00D93667"/>
    <w:rsid w:val="00D93B1A"/>
    <w:rsid w:val="00D95D37"/>
    <w:rsid w:val="00D95D61"/>
    <w:rsid w:val="00D95D8A"/>
    <w:rsid w:val="00D974E2"/>
    <w:rsid w:val="00DA0B09"/>
    <w:rsid w:val="00DA19EC"/>
    <w:rsid w:val="00DA2207"/>
    <w:rsid w:val="00DA233D"/>
    <w:rsid w:val="00DA256A"/>
    <w:rsid w:val="00DA2B2C"/>
    <w:rsid w:val="00DA2ECC"/>
    <w:rsid w:val="00DA4548"/>
    <w:rsid w:val="00DA4877"/>
    <w:rsid w:val="00DA60B2"/>
    <w:rsid w:val="00DA635C"/>
    <w:rsid w:val="00DA763D"/>
    <w:rsid w:val="00DB0374"/>
    <w:rsid w:val="00DB0E9A"/>
    <w:rsid w:val="00DB0FFA"/>
    <w:rsid w:val="00DB15CB"/>
    <w:rsid w:val="00DB1AA0"/>
    <w:rsid w:val="00DB2FEA"/>
    <w:rsid w:val="00DB3062"/>
    <w:rsid w:val="00DB37F0"/>
    <w:rsid w:val="00DB3C17"/>
    <w:rsid w:val="00DB40A8"/>
    <w:rsid w:val="00DB49DD"/>
    <w:rsid w:val="00DB5EF2"/>
    <w:rsid w:val="00DB622E"/>
    <w:rsid w:val="00DB6505"/>
    <w:rsid w:val="00DB6B64"/>
    <w:rsid w:val="00DB6BCA"/>
    <w:rsid w:val="00DB71B5"/>
    <w:rsid w:val="00DC0146"/>
    <w:rsid w:val="00DC170C"/>
    <w:rsid w:val="00DC186C"/>
    <w:rsid w:val="00DC1F38"/>
    <w:rsid w:val="00DC1FD8"/>
    <w:rsid w:val="00DC21CF"/>
    <w:rsid w:val="00DC2CAB"/>
    <w:rsid w:val="00DC3472"/>
    <w:rsid w:val="00DC3763"/>
    <w:rsid w:val="00DC42B8"/>
    <w:rsid w:val="00DC4370"/>
    <w:rsid w:val="00DC4E1D"/>
    <w:rsid w:val="00DC5136"/>
    <w:rsid w:val="00DC5EBF"/>
    <w:rsid w:val="00DC6554"/>
    <w:rsid w:val="00DC7351"/>
    <w:rsid w:val="00DC775E"/>
    <w:rsid w:val="00DD043E"/>
    <w:rsid w:val="00DD0889"/>
    <w:rsid w:val="00DD14C0"/>
    <w:rsid w:val="00DD2746"/>
    <w:rsid w:val="00DD2CA1"/>
    <w:rsid w:val="00DD3699"/>
    <w:rsid w:val="00DD37D2"/>
    <w:rsid w:val="00DD3D02"/>
    <w:rsid w:val="00DD4131"/>
    <w:rsid w:val="00DD4991"/>
    <w:rsid w:val="00DD4F6B"/>
    <w:rsid w:val="00DD6321"/>
    <w:rsid w:val="00DD6C51"/>
    <w:rsid w:val="00DD7177"/>
    <w:rsid w:val="00DD7C8F"/>
    <w:rsid w:val="00DE072C"/>
    <w:rsid w:val="00DE1738"/>
    <w:rsid w:val="00DE21E1"/>
    <w:rsid w:val="00DE22F3"/>
    <w:rsid w:val="00DE2306"/>
    <w:rsid w:val="00DE2EA9"/>
    <w:rsid w:val="00DE3753"/>
    <w:rsid w:val="00DE3990"/>
    <w:rsid w:val="00DE39C7"/>
    <w:rsid w:val="00DE39DB"/>
    <w:rsid w:val="00DE3A76"/>
    <w:rsid w:val="00DE3BA5"/>
    <w:rsid w:val="00DE3C8E"/>
    <w:rsid w:val="00DE4997"/>
    <w:rsid w:val="00DE51E3"/>
    <w:rsid w:val="00DE7F20"/>
    <w:rsid w:val="00DF04B7"/>
    <w:rsid w:val="00DF0751"/>
    <w:rsid w:val="00DF0974"/>
    <w:rsid w:val="00DF0E19"/>
    <w:rsid w:val="00DF0F6D"/>
    <w:rsid w:val="00DF1052"/>
    <w:rsid w:val="00DF122A"/>
    <w:rsid w:val="00DF1469"/>
    <w:rsid w:val="00DF1B7D"/>
    <w:rsid w:val="00DF25DE"/>
    <w:rsid w:val="00DF287A"/>
    <w:rsid w:val="00DF2A06"/>
    <w:rsid w:val="00DF3019"/>
    <w:rsid w:val="00DF30E0"/>
    <w:rsid w:val="00DF3B6F"/>
    <w:rsid w:val="00DF4E48"/>
    <w:rsid w:val="00DF65CA"/>
    <w:rsid w:val="00DF6DC2"/>
    <w:rsid w:val="00DF7303"/>
    <w:rsid w:val="00DF7EAF"/>
    <w:rsid w:val="00E00713"/>
    <w:rsid w:val="00E01098"/>
    <w:rsid w:val="00E01117"/>
    <w:rsid w:val="00E01F56"/>
    <w:rsid w:val="00E02E4F"/>
    <w:rsid w:val="00E03010"/>
    <w:rsid w:val="00E040B5"/>
    <w:rsid w:val="00E04700"/>
    <w:rsid w:val="00E04B3E"/>
    <w:rsid w:val="00E057FE"/>
    <w:rsid w:val="00E0691B"/>
    <w:rsid w:val="00E06E2A"/>
    <w:rsid w:val="00E07023"/>
    <w:rsid w:val="00E12015"/>
    <w:rsid w:val="00E12858"/>
    <w:rsid w:val="00E128F9"/>
    <w:rsid w:val="00E1298F"/>
    <w:rsid w:val="00E129BE"/>
    <w:rsid w:val="00E1334B"/>
    <w:rsid w:val="00E14B3B"/>
    <w:rsid w:val="00E14F65"/>
    <w:rsid w:val="00E1533A"/>
    <w:rsid w:val="00E155E8"/>
    <w:rsid w:val="00E15644"/>
    <w:rsid w:val="00E163F1"/>
    <w:rsid w:val="00E16B8A"/>
    <w:rsid w:val="00E16D54"/>
    <w:rsid w:val="00E175BC"/>
    <w:rsid w:val="00E203F9"/>
    <w:rsid w:val="00E2081A"/>
    <w:rsid w:val="00E212F3"/>
    <w:rsid w:val="00E2134D"/>
    <w:rsid w:val="00E2207F"/>
    <w:rsid w:val="00E2259B"/>
    <w:rsid w:val="00E22757"/>
    <w:rsid w:val="00E227AC"/>
    <w:rsid w:val="00E228B2"/>
    <w:rsid w:val="00E22FE5"/>
    <w:rsid w:val="00E230FC"/>
    <w:rsid w:val="00E23723"/>
    <w:rsid w:val="00E23FE6"/>
    <w:rsid w:val="00E241B7"/>
    <w:rsid w:val="00E2436B"/>
    <w:rsid w:val="00E24402"/>
    <w:rsid w:val="00E244F5"/>
    <w:rsid w:val="00E249C5"/>
    <w:rsid w:val="00E251B8"/>
    <w:rsid w:val="00E25BBF"/>
    <w:rsid w:val="00E25D82"/>
    <w:rsid w:val="00E26283"/>
    <w:rsid w:val="00E271EB"/>
    <w:rsid w:val="00E272E1"/>
    <w:rsid w:val="00E307CA"/>
    <w:rsid w:val="00E307F8"/>
    <w:rsid w:val="00E3191A"/>
    <w:rsid w:val="00E31A7A"/>
    <w:rsid w:val="00E32106"/>
    <w:rsid w:val="00E3241C"/>
    <w:rsid w:val="00E3319D"/>
    <w:rsid w:val="00E33ABE"/>
    <w:rsid w:val="00E33C64"/>
    <w:rsid w:val="00E33D11"/>
    <w:rsid w:val="00E33E44"/>
    <w:rsid w:val="00E340A5"/>
    <w:rsid w:val="00E34184"/>
    <w:rsid w:val="00E3434F"/>
    <w:rsid w:val="00E349FF"/>
    <w:rsid w:val="00E354AF"/>
    <w:rsid w:val="00E35CC7"/>
    <w:rsid w:val="00E36E39"/>
    <w:rsid w:val="00E36FF0"/>
    <w:rsid w:val="00E373E8"/>
    <w:rsid w:val="00E3797A"/>
    <w:rsid w:val="00E4011C"/>
    <w:rsid w:val="00E40550"/>
    <w:rsid w:val="00E4072B"/>
    <w:rsid w:val="00E407EB"/>
    <w:rsid w:val="00E410C8"/>
    <w:rsid w:val="00E41BAD"/>
    <w:rsid w:val="00E41D6E"/>
    <w:rsid w:val="00E42031"/>
    <w:rsid w:val="00E42172"/>
    <w:rsid w:val="00E4218B"/>
    <w:rsid w:val="00E42A69"/>
    <w:rsid w:val="00E42E49"/>
    <w:rsid w:val="00E435B5"/>
    <w:rsid w:val="00E4369B"/>
    <w:rsid w:val="00E43DC8"/>
    <w:rsid w:val="00E43E5C"/>
    <w:rsid w:val="00E449CB"/>
    <w:rsid w:val="00E44FE7"/>
    <w:rsid w:val="00E452FA"/>
    <w:rsid w:val="00E45AD8"/>
    <w:rsid w:val="00E4611F"/>
    <w:rsid w:val="00E46844"/>
    <w:rsid w:val="00E46850"/>
    <w:rsid w:val="00E46BB7"/>
    <w:rsid w:val="00E474CA"/>
    <w:rsid w:val="00E47E67"/>
    <w:rsid w:val="00E50AAB"/>
    <w:rsid w:val="00E510A1"/>
    <w:rsid w:val="00E51328"/>
    <w:rsid w:val="00E516BE"/>
    <w:rsid w:val="00E51B37"/>
    <w:rsid w:val="00E51FF6"/>
    <w:rsid w:val="00E52A97"/>
    <w:rsid w:val="00E533CB"/>
    <w:rsid w:val="00E5347A"/>
    <w:rsid w:val="00E53BE2"/>
    <w:rsid w:val="00E53FDF"/>
    <w:rsid w:val="00E541E8"/>
    <w:rsid w:val="00E54552"/>
    <w:rsid w:val="00E5548C"/>
    <w:rsid w:val="00E55F08"/>
    <w:rsid w:val="00E56231"/>
    <w:rsid w:val="00E57808"/>
    <w:rsid w:val="00E57D16"/>
    <w:rsid w:val="00E57EBB"/>
    <w:rsid w:val="00E6016D"/>
    <w:rsid w:val="00E6156E"/>
    <w:rsid w:val="00E61CAA"/>
    <w:rsid w:val="00E63120"/>
    <w:rsid w:val="00E63967"/>
    <w:rsid w:val="00E6442F"/>
    <w:rsid w:val="00E6458F"/>
    <w:rsid w:val="00E649CE"/>
    <w:rsid w:val="00E649D6"/>
    <w:rsid w:val="00E65420"/>
    <w:rsid w:val="00E65A3C"/>
    <w:rsid w:val="00E67136"/>
    <w:rsid w:val="00E7065B"/>
    <w:rsid w:val="00E71336"/>
    <w:rsid w:val="00E71B48"/>
    <w:rsid w:val="00E7204A"/>
    <w:rsid w:val="00E72384"/>
    <w:rsid w:val="00E72861"/>
    <w:rsid w:val="00E73096"/>
    <w:rsid w:val="00E735CA"/>
    <w:rsid w:val="00E73A88"/>
    <w:rsid w:val="00E7537A"/>
    <w:rsid w:val="00E7545E"/>
    <w:rsid w:val="00E75767"/>
    <w:rsid w:val="00E75B90"/>
    <w:rsid w:val="00E760BF"/>
    <w:rsid w:val="00E76C30"/>
    <w:rsid w:val="00E7726C"/>
    <w:rsid w:val="00E8042C"/>
    <w:rsid w:val="00E80599"/>
    <w:rsid w:val="00E81378"/>
    <w:rsid w:val="00E81398"/>
    <w:rsid w:val="00E82D6E"/>
    <w:rsid w:val="00E82EFA"/>
    <w:rsid w:val="00E833D1"/>
    <w:rsid w:val="00E839B5"/>
    <w:rsid w:val="00E85C03"/>
    <w:rsid w:val="00E86AD7"/>
    <w:rsid w:val="00E86CDD"/>
    <w:rsid w:val="00E8729A"/>
    <w:rsid w:val="00E87B11"/>
    <w:rsid w:val="00E918DE"/>
    <w:rsid w:val="00E93093"/>
    <w:rsid w:val="00E931F1"/>
    <w:rsid w:val="00E93491"/>
    <w:rsid w:val="00E93D6E"/>
    <w:rsid w:val="00E93DEE"/>
    <w:rsid w:val="00E94565"/>
    <w:rsid w:val="00E95A36"/>
    <w:rsid w:val="00E96B54"/>
    <w:rsid w:val="00E97085"/>
    <w:rsid w:val="00E97A13"/>
    <w:rsid w:val="00E97EB2"/>
    <w:rsid w:val="00EA041A"/>
    <w:rsid w:val="00EA0B2C"/>
    <w:rsid w:val="00EA18C7"/>
    <w:rsid w:val="00EA303E"/>
    <w:rsid w:val="00EA30EF"/>
    <w:rsid w:val="00EA384A"/>
    <w:rsid w:val="00EA386F"/>
    <w:rsid w:val="00EA3956"/>
    <w:rsid w:val="00EA3A64"/>
    <w:rsid w:val="00EA3BDB"/>
    <w:rsid w:val="00EA468F"/>
    <w:rsid w:val="00EA4753"/>
    <w:rsid w:val="00EA4BA6"/>
    <w:rsid w:val="00EA5898"/>
    <w:rsid w:val="00EA5A69"/>
    <w:rsid w:val="00EA5EC4"/>
    <w:rsid w:val="00EA610E"/>
    <w:rsid w:val="00EA61FE"/>
    <w:rsid w:val="00EB108D"/>
    <w:rsid w:val="00EB1789"/>
    <w:rsid w:val="00EB2106"/>
    <w:rsid w:val="00EB230B"/>
    <w:rsid w:val="00EB25B8"/>
    <w:rsid w:val="00EB2630"/>
    <w:rsid w:val="00EB29A1"/>
    <w:rsid w:val="00EB2B54"/>
    <w:rsid w:val="00EB388F"/>
    <w:rsid w:val="00EB3D2B"/>
    <w:rsid w:val="00EB422C"/>
    <w:rsid w:val="00EB4BA1"/>
    <w:rsid w:val="00EB5F9A"/>
    <w:rsid w:val="00EB6266"/>
    <w:rsid w:val="00EB62F8"/>
    <w:rsid w:val="00EB7665"/>
    <w:rsid w:val="00EB79F0"/>
    <w:rsid w:val="00EB7C10"/>
    <w:rsid w:val="00EC0297"/>
    <w:rsid w:val="00EC0375"/>
    <w:rsid w:val="00EC0D9A"/>
    <w:rsid w:val="00EC0E69"/>
    <w:rsid w:val="00EC170C"/>
    <w:rsid w:val="00EC1895"/>
    <w:rsid w:val="00EC2570"/>
    <w:rsid w:val="00EC29CF"/>
    <w:rsid w:val="00EC388E"/>
    <w:rsid w:val="00EC5EC7"/>
    <w:rsid w:val="00EC6112"/>
    <w:rsid w:val="00EC67B8"/>
    <w:rsid w:val="00EC6C30"/>
    <w:rsid w:val="00EC7131"/>
    <w:rsid w:val="00EC7567"/>
    <w:rsid w:val="00EC7A36"/>
    <w:rsid w:val="00ED00A5"/>
    <w:rsid w:val="00ED0C02"/>
    <w:rsid w:val="00ED1726"/>
    <w:rsid w:val="00ED189D"/>
    <w:rsid w:val="00ED1DC6"/>
    <w:rsid w:val="00ED2A4E"/>
    <w:rsid w:val="00ED328F"/>
    <w:rsid w:val="00ED341B"/>
    <w:rsid w:val="00ED39AE"/>
    <w:rsid w:val="00ED39FE"/>
    <w:rsid w:val="00ED42F4"/>
    <w:rsid w:val="00ED524C"/>
    <w:rsid w:val="00ED5280"/>
    <w:rsid w:val="00ED63C2"/>
    <w:rsid w:val="00ED66AD"/>
    <w:rsid w:val="00ED6701"/>
    <w:rsid w:val="00ED6AE6"/>
    <w:rsid w:val="00EE0387"/>
    <w:rsid w:val="00EE07A0"/>
    <w:rsid w:val="00EE15D4"/>
    <w:rsid w:val="00EE1BB3"/>
    <w:rsid w:val="00EE20CD"/>
    <w:rsid w:val="00EE27B2"/>
    <w:rsid w:val="00EE37D3"/>
    <w:rsid w:val="00EE3B79"/>
    <w:rsid w:val="00EE4293"/>
    <w:rsid w:val="00EE46E3"/>
    <w:rsid w:val="00EE4A0F"/>
    <w:rsid w:val="00EE4C7B"/>
    <w:rsid w:val="00EE5D93"/>
    <w:rsid w:val="00EE6D1E"/>
    <w:rsid w:val="00EE753F"/>
    <w:rsid w:val="00EE7667"/>
    <w:rsid w:val="00EF05C7"/>
    <w:rsid w:val="00EF0852"/>
    <w:rsid w:val="00EF1177"/>
    <w:rsid w:val="00EF1296"/>
    <w:rsid w:val="00EF1816"/>
    <w:rsid w:val="00EF1D8D"/>
    <w:rsid w:val="00EF2088"/>
    <w:rsid w:val="00EF2326"/>
    <w:rsid w:val="00EF2732"/>
    <w:rsid w:val="00EF2773"/>
    <w:rsid w:val="00EF3BA1"/>
    <w:rsid w:val="00EF43F1"/>
    <w:rsid w:val="00EF556B"/>
    <w:rsid w:val="00EF5699"/>
    <w:rsid w:val="00EF620F"/>
    <w:rsid w:val="00EF62F8"/>
    <w:rsid w:val="00EF63A4"/>
    <w:rsid w:val="00EF691D"/>
    <w:rsid w:val="00EF6B99"/>
    <w:rsid w:val="00F007CF"/>
    <w:rsid w:val="00F00946"/>
    <w:rsid w:val="00F01A25"/>
    <w:rsid w:val="00F0222C"/>
    <w:rsid w:val="00F022F4"/>
    <w:rsid w:val="00F02534"/>
    <w:rsid w:val="00F0287B"/>
    <w:rsid w:val="00F02929"/>
    <w:rsid w:val="00F02958"/>
    <w:rsid w:val="00F02F7C"/>
    <w:rsid w:val="00F032F5"/>
    <w:rsid w:val="00F03814"/>
    <w:rsid w:val="00F03BBF"/>
    <w:rsid w:val="00F044CF"/>
    <w:rsid w:val="00F047CB"/>
    <w:rsid w:val="00F06716"/>
    <w:rsid w:val="00F0681B"/>
    <w:rsid w:val="00F07202"/>
    <w:rsid w:val="00F07A52"/>
    <w:rsid w:val="00F07E3D"/>
    <w:rsid w:val="00F07FB2"/>
    <w:rsid w:val="00F10121"/>
    <w:rsid w:val="00F10C33"/>
    <w:rsid w:val="00F10CA3"/>
    <w:rsid w:val="00F10F22"/>
    <w:rsid w:val="00F11628"/>
    <w:rsid w:val="00F12126"/>
    <w:rsid w:val="00F12B64"/>
    <w:rsid w:val="00F12C34"/>
    <w:rsid w:val="00F13143"/>
    <w:rsid w:val="00F13827"/>
    <w:rsid w:val="00F14DD7"/>
    <w:rsid w:val="00F154C9"/>
    <w:rsid w:val="00F15F6E"/>
    <w:rsid w:val="00F16352"/>
    <w:rsid w:val="00F174D8"/>
    <w:rsid w:val="00F176E6"/>
    <w:rsid w:val="00F177C2"/>
    <w:rsid w:val="00F17B23"/>
    <w:rsid w:val="00F2084C"/>
    <w:rsid w:val="00F20AF7"/>
    <w:rsid w:val="00F2101A"/>
    <w:rsid w:val="00F213A6"/>
    <w:rsid w:val="00F21652"/>
    <w:rsid w:val="00F21AA3"/>
    <w:rsid w:val="00F21D1E"/>
    <w:rsid w:val="00F224A3"/>
    <w:rsid w:val="00F2264E"/>
    <w:rsid w:val="00F23586"/>
    <w:rsid w:val="00F23E78"/>
    <w:rsid w:val="00F24C36"/>
    <w:rsid w:val="00F2526E"/>
    <w:rsid w:val="00F2551B"/>
    <w:rsid w:val="00F25FBB"/>
    <w:rsid w:val="00F26027"/>
    <w:rsid w:val="00F264E9"/>
    <w:rsid w:val="00F273A7"/>
    <w:rsid w:val="00F279F7"/>
    <w:rsid w:val="00F27A40"/>
    <w:rsid w:val="00F30050"/>
    <w:rsid w:val="00F303B6"/>
    <w:rsid w:val="00F30474"/>
    <w:rsid w:val="00F30697"/>
    <w:rsid w:val="00F30A0A"/>
    <w:rsid w:val="00F30B65"/>
    <w:rsid w:val="00F30C76"/>
    <w:rsid w:val="00F311C0"/>
    <w:rsid w:val="00F31388"/>
    <w:rsid w:val="00F318AF"/>
    <w:rsid w:val="00F31F8C"/>
    <w:rsid w:val="00F323B2"/>
    <w:rsid w:val="00F32411"/>
    <w:rsid w:val="00F33BC7"/>
    <w:rsid w:val="00F34988"/>
    <w:rsid w:val="00F3560D"/>
    <w:rsid w:val="00F359C6"/>
    <w:rsid w:val="00F3683A"/>
    <w:rsid w:val="00F3696A"/>
    <w:rsid w:val="00F36C14"/>
    <w:rsid w:val="00F36E08"/>
    <w:rsid w:val="00F37519"/>
    <w:rsid w:val="00F37638"/>
    <w:rsid w:val="00F3776A"/>
    <w:rsid w:val="00F40D47"/>
    <w:rsid w:val="00F41443"/>
    <w:rsid w:val="00F417F0"/>
    <w:rsid w:val="00F41D05"/>
    <w:rsid w:val="00F41E37"/>
    <w:rsid w:val="00F41E72"/>
    <w:rsid w:val="00F41F8A"/>
    <w:rsid w:val="00F43448"/>
    <w:rsid w:val="00F43DCB"/>
    <w:rsid w:val="00F442C5"/>
    <w:rsid w:val="00F44815"/>
    <w:rsid w:val="00F44889"/>
    <w:rsid w:val="00F4506D"/>
    <w:rsid w:val="00F45306"/>
    <w:rsid w:val="00F45941"/>
    <w:rsid w:val="00F45E4B"/>
    <w:rsid w:val="00F46557"/>
    <w:rsid w:val="00F50008"/>
    <w:rsid w:val="00F506BA"/>
    <w:rsid w:val="00F50E64"/>
    <w:rsid w:val="00F510BD"/>
    <w:rsid w:val="00F515D2"/>
    <w:rsid w:val="00F51A43"/>
    <w:rsid w:val="00F52A8E"/>
    <w:rsid w:val="00F53627"/>
    <w:rsid w:val="00F5397B"/>
    <w:rsid w:val="00F54BC9"/>
    <w:rsid w:val="00F551C9"/>
    <w:rsid w:val="00F552DE"/>
    <w:rsid w:val="00F554C7"/>
    <w:rsid w:val="00F555B0"/>
    <w:rsid w:val="00F555C9"/>
    <w:rsid w:val="00F55F4E"/>
    <w:rsid w:val="00F56268"/>
    <w:rsid w:val="00F57300"/>
    <w:rsid w:val="00F57D15"/>
    <w:rsid w:val="00F601A6"/>
    <w:rsid w:val="00F601B3"/>
    <w:rsid w:val="00F6062D"/>
    <w:rsid w:val="00F6076E"/>
    <w:rsid w:val="00F61543"/>
    <w:rsid w:val="00F61E88"/>
    <w:rsid w:val="00F62A0B"/>
    <w:rsid w:val="00F62E9B"/>
    <w:rsid w:val="00F63B9C"/>
    <w:rsid w:val="00F64075"/>
    <w:rsid w:val="00F64453"/>
    <w:rsid w:val="00F65987"/>
    <w:rsid w:val="00F663F5"/>
    <w:rsid w:val="00F665E3"/>
    <w:rsid w:val="00F66B4E"/>
    <w:rsid w:val="00F66DF8"/>
    <w:rsid w:val="00F67B3B"/>
    <w:rsid w:val="00F70766"/>
    <w:rsid w:val="00F7076D"/>
    <w:rsid w:val="00F70A88"/>
    <w:rsid w:val="00F71223"/>
    <w:rsid w:val="00F712CD"/>
    <w:rsid w:val="00F71E2D"/>
    <w:rsid w:val="00F72873"/>
    <w:rsid w:val="00F72BE7"/>
    <w:rsid w:val="00F73043"/>
    <w:rsid w:val="00F73E2D"/>
    <w:rsid w:val="00F7448B"/>
    <w:rsid w:val="00F7488B"/>
    <w:rsid w:val="00F75DDC"/>
    <w:rsid w:val="00F763B1"/>
    <w:rsid w:val="00F7655F"/>
    <w:rsid w:val="00F76A3D"/>
    <w:rsid w:val="00F76D1F"/>
    <w:rsid w:val="00F76DB2"/>
    <w:rsid w:val="00F76FE1"/>
    <w:rsid w:val="00F77B7F"/>
    <w:rsid w:val="00F77C62"/>
    <w:rsid w:val="00F80056"/>
    <w:rsid w:val="00F81695"/>
    <w:rsid w:val="00F8185E"/>
    <w:rsid w:val="00F81914"/>
    <w:rsid w:val="00F8281F"/>
    <w:rsid w:val="00F83994"/>
    <w:rsid w:val="00F84164"/>
    <w:rsid w:val="00F841B0"/>
    <w:rsid w:val="00F85351"/>
    <w:rsid w:val="00F853B4"/>
    <w:rsid w:val="00F85D7A"/>
    <w:rsid w:val="00F85D89"/>
    <w:rsid w:val="00F86BDB"/>
    <w:rsid w:val="00F87B68"/>
    <w:rsid w:val="00F87F26"/>
    <w:rsid w:val="00F909D6"/>
    <w:rsid w:val="00F90D48"/>
    <w:rsid w:val="00F916EE"/>
    <w:rsid w:val="00F91891"/>
    <w:rsid w:val="00F9230D"/>
    <w:rsid w:val="00F92D41"/>
    <w:rsid w:val="00F93349"/>
    <w:rsid w:val="00F94729"/>
    <w:rsid w:val="00F94783"/>
    <w:rsid w:val="00F949F8"/>
    <w:rsid w:val="00F95E4B"/>
    <w:rsid w:val="00F960A6"/>
    <w:rsid w:val="00F9669E"/>
    <w:rsid w:val="00F96CBE"/>
    <w:rsid w:val="00F97451"/>
    <w:rsid w:val="00F978C8"/>
    <w:rsid w:val="00F97966"/>
    <w:rsid w:val="00F97DDD"/>
    <w:rsid w:val="00FA0638"/>
    <w:rsid w:val="00FA1277"/>
    <w:rsid w:val="00FA15D2"/>
    <w:rsid w:val="00FA1A86"/>
    <w:rsid w:val="00FA266A"/>
    <w:rsid w:val="00FA379B"/>
    <w:rsid w:val="00FA3824"/>
    <w:rsid w:val="00FA399A"/>
    <w:rsid w:val="00FA4062"/>
    <w:rsid w:val="00FA447B"/>
    <w:rsid w:val="00FA478E"/>
    <w:rsid w:val="00FA4ABF"/>
    <w:rsid w:val="00FA4E44"/>
    <w:rsid w:val="00FA516C"/>
    <w:rsid w:val="00FA6624"/>
    <w:rsid w:val="00FA6F71"/>
    <w:rsid w:val="00FA7636"/>
    <w:rsid w:val="00FA789A"/>
    <w:rsid w:val="00FB0DC1"/>
    <w:rsid w:val="00FB1174"/>
    <w:rsid w:val="00FB1339"/>
    <w:rsid w:val="00FB1BCF"/>
    <w:rsid w:val="00FB2237"/>
    <w:rsid w:val="00FB2ADA"/>
    <w:rsid w:val="00FB2AFC"/>
    <w:rsid w:val="00FB3380"/>
    <w:rsid w:val="00FB341C"/>
    <w:rsid w:val="00FB383D"/>
    <w:rsid w:val="00FB4890"/>
    <w:rsid w:val="00FB5179"/>
    <w:rsid w:val="00FB59A5"/>
    <w:rsid w:val="00FB6EC7"/>
    <w:rsid w:val="00FB7080"/>
    <w:rsid w:val="00FC00A7"/>
    <w:rsid w:val="00FC00CA"/>
    <w:rsid w:val="00FC0747"/>
    <w:rsid w:val="00FC0888"/>
    <w:rsid w:val="00FC08F4"/>
    <w:rsid w:val="00FC0C96"/>
    <w:rsid w:val="00FC0D95"/>
    <w:rsid w:val="00FC1C01"/>
    <w:rsid w:val="00FC1C80"/>
    <w:rsid w:val="00FC298D"/>
    <w:rsid w:val="00FC2CC5"/>
    <w:rsid w:val="00FC3776"/>
    <w:rsid w:val="00FC41D7"/>
    <w:rsid w:val="00FC4B31"/>
    <w:rsid w:val="00FC5C7B"/>
    <w:rsid w:val="00FC63AD"/>
    <w:rsid w:val="00FC6B23"/>
    <w:rsid w:val="00FC6E71"/>
    <w:rsid w:val="00FC740C"/>
    <w:rsid w:val="00FC7414"/>
    <w:rsid w:val="00FC77B8"/>
    <w:rsid w:val="00FD0170"/>
    <w:rsid w:val="00FD025E"/>
    <w:rsid w:val="00FD0394"/>
    <w:rsid w:val="00FD15B7"/>
    <w:rsid w:val="00FD162E"/>
    <w:rsid w:val="00FD18BB"/>
    <w:rsid w:val="00FD2730"/>
    <w:rsid w:val="00FD2DAF"/>
    <w:rsid w:val="00FD2E63"/>
    <w:rsid w:val="00FD33C2"/>
    <w:rsid w:val="00FD3FDC"/>
    <w:rsid w:val="00FD4A1A"/>
    <w:rsid w:val="00FD580E"/>
    <w:rsid w:val="00FD6901"/>
    <w:rsid w:val="00FD7923"/>
    <w:rsid w:val="00FE03DC"/>
    <w:rsid w:val="00FE04FD"/>
    <w:rsid w:val="00FE0730"/>
    <w:rsid w:val="00FE0825"/>
    <w:rsid w:val="00FE0CF8"/>
    <w:rsid w:val="00FE2886"/>
    <w:rsid w:val="00FE2E83"/>
    <w:rsid w:val="00FE33B7"/>
    <w:rsid w:val="00FE3F08"/>
    <w:rsid w:val="00FE4E05"/>
    <w:rsid w:val="00FE5823"/>
    <w:rsid w:val="00FE5933"/>
    <w:rsid w:val="00FE6032"/>
    <w:rsid w:val="00FE6372"/>
    <w:rsid w:val="00FE6D5F"/>
    <w:rsid w:val="00FE773A"/>
    <w:rsid w:val="00FE77F3"/>
    <w:rsid w:val="00FE7943"/>
    <w:rsid w:val="00FE7C86"/>
    <w:rsid w:val="00FF0154"/>
    <w:rsid w:val="00FF0DFE"/>
    <w:rsid w:val="00FF0E85"/>
    <w:rsid w:val="00FF0EDB"/>
    <w:rsid w:val="00FF1003"/>
    <w:rsid w:val="00FF1A43"/>
    <w:rsid w:val="00FF2C65"/>
    <w:rsid w:val="00FF2EB9"/>
    <w:rsid w:val="00FF39F0"/>
    <w:rsid w:val="00FF3CAE"/>
    <w:rsid w:val="00FF3D0A"/>
    <w:rsid w:val="00FF4087"/>
    <w:rsid w:val="00FF4CE9"/>
    <w:rsid w:val="00FF5309"/>
    <w:rsid w:val="00FF53AC"/>
    <w:rsid w:val="00FF546E"/>
    <w:rsid w:val="00FF5AC4"/>
    <w:rsid w:val="00FF5BA3"/>
    <w:rsid w:val="00FF60B9"/>
    <w:rsid w:val="00FF6D65"/>
    <w:rsid w:val="00FF7AAE"/>
    <w:rsid w:val="00FF7AC9"/>
    <w:rsid w:val="00FF7EB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nhideWhenUsed="0"/>
    <w:lsdException w:name="toc 4" w:semiHidden="0" w:unhideWhenUsed="0"/>
    <w:lsdException w:name="toc 5" w:semiHidden="0" w:unhideWhenUsed="0"/>
    <w:lsdException w:name="toc 6" w:semiHidden="0" w:unhideWhenUsed="0"/>
    <w:lsdException w:name="toc 7" w:semiHidden="0" w:uiPriority="39" w:unhideWhenUsed="0"/>
    <w:lsdException w:name="toc 8" w:semiHidden="0" w:unhideWhenUsed="0"/>
    <w:lsdException w:name="toc 9" w:semiHidden="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35" w:unhideWhenUsed="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2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39" w:unhideWhenUsed="0"/>
    <w:lsdException w:name="Table Theme" w:locked="1"/>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nhideWhenUsed="0" w:qFormat="1"/>
  </w:latentStyles>
  <w:style w:type="paragraph" w:default="1" w:styleId="a">
    <w:name w:val="Normal"/>
    <w:qFormat/>
    <w:rsid w:val="00ED63C2"/>
    <w:pPr>
      <w:widowControl w:val="0"/>
    </w:pPr>
    <w:rPr>
      <w:szCs w:val="24"/>
    </w:rPr>
  </w:style>
  <w:style w:type="paragraph" w:styleId="1">
    <w:name w:val="heading 1"/>
    <w:aliases w:val="-壹,標題 1一、"/>
    <w:basedOn w:val="a"/>
    <w:next w:val="a"/>
    <w:link w:val="10"/>
    <w:autoRedefine/>
    <w:uiPriority w:val="99"/>
    <w:qFormat/>
    <w:rsid w:val="00402957"/>
    <w:pPr>
      <w:keepNext/>
      <w:spacing w:afterLines="100" w:after="240" w:line="480" w:lineRule="exact"/>
      <w:jc w:val="center"/>
      <w:outlineLvl w:val="0"/>
    </w:pPr>
    <w:rPr>
      <w:rFonts w:eastAsia="標楷體" w:hAnsi="Arial"/>
      <w:b/>
      <w:kern w:val="52"/>
      <w:sz w:val="48"/>
      <w:szCs w:val="20"/>
    </w:rPr>
  </w:style>
  <w:style w:type="paragraph" w:styleId="2">
    <w:name w:val="heading 2"/>
    <w:aliases w:val="-一,標題 2(一)"/>
    <w:basedOn w:val="a"/>
    <w:next w:val="a"/>
    <w:link w:val="20"/>
    <w:uiPriority w:val="99"/>
    <w:qFormat/>
    <w:rsid w:val="00D61BE0"/>
    <w:pPr>
      <w:keepNext/>
      <w:spacing w:beforeLines="30" w:afterLines="30" w:line="520" w:lineRule="exact"/>
      <w:outlineLvl w:val="1"/>
    </w:pPr>
    <w:rPr>
      <w:rFonts w:ascii="Arial" w:eastAsia="標楷體" w:hAnsi="Arial"/>
      <w:b/>
      <w:sz w:val="48"/>
      <w:szCs w:val="20"/>
    </w:rPr>
  </w:style>
  <w:style w:type="paragraph" w:styleId="3">
    <w:name w:val="heading 3"/>
    <w:aliases w:val="(一)"/>
    <w:basedOn w:val="a"/>
    <w:next w:val="a0"/>
    <w:link w:val="30"/>
    <w:uiPriority w:val="9"/>
    <w:qFormat/>
    <w:rsid w:val="003E51D5"/>
    <w:pPr>
      <w:keepNext/>
      <w:spacing w:line="520" w:lineRule="exact"/>
      <w:outlineLvl w:val="2"/>
    </w:pPr>
    <w:rPr>
      <w:rFonts w:ascii="Arial" w:eastAsia="標楷體" w:hAnsi="Arial"/>
      <w:b/>
      <w:sz w:val="36"/>
      <w:szCs w:val="20"/>
    </w:rPr>
  </w:style>
  <w:style w:type="paragraph" w:styleId="4">
    <w:name w:val="heading 4"/>
    <w:aliases w:val="標題 4-1."/>
    <w:basedOn w:val="a"/>
    <w:next w:val="a"/>
    <w:link w:val="40"/>
    <w:uiPriority w:val="99"/>
    <w:qFormat/>
    <w:rsid w:val="00860597"/>
    <w:pPr>
      <w:keepNext/>
      <w:spacing w:beforeLines="30" w:line="520" w:lineRule="exact"/>
      <w:outlineLvl w:val="3"/>
    </w:pPr>
    <w:rPr>
      <w:rFonts w:ascii="Arial" w:eastAsia="標楷體" w:hAnsi="Arial"/>
      <w:b/>
      <w:sz w:val="36"/>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1Char">
    <w:name w:val="Heading 1 Char"/>
    <w:aliases w:val="-壹 Char,標題 1一、 Char"/>
    <w:basedOn w:val="a1"/>
    <w:uiPriority w:val="99"/>
    <w:locked/>
    <w:rsid w:val="00640655"/>
    <w:rPr>
      <w:rFonts w:ascii="Arial" w:eastAsia="標楷體" w:hAnsi="Arial" w:cs="Times New Roman"/>
      <w:b/>
      <w:kern w:val="52"/>
      <w:sz w:val="52"/>
      <w:lang w:val="en-US" w:eastAsia="zh-TW"/>
    </w:rPr>
  </w:style>
  <w:style w:type="character" w:customStyle="1" w:styleId="20">
    <w:name w:val="標題 2 字元"/>
    <w:aliases w:val="-一 字元,標題 2(一) 字元1"/>
    <w:basedOn w:val="a1"/>
    <w:link w:val="2"/>
    <w:locked/>
    <w:rsid w:val="00D61BE0"/>
    <w:rPr>
      <w:rFonts w:ascii="Arial" w:eastAsia="標楷體" w:hAnsi="Arial" w:cs="Times New Roman"/>
      <w:b/>
      <w:kern w:val="2"/>
      <w:sz w:val="48"/>
    </w:rPr>
  </w:style>
  <w:style w:type="character" w:customStyle="1" w:styleId="30">
    <w:name w:val="標題 3 字元"/>
    <w:aliases w:val="(一) 字元"/>
    <w:basedOn w:val="a1"/>
    <w:link w:val="3"/>
    <w:uiPriority w:val="9"/>
    <w:locked/>
    <w:rsid w:val="003E7EB0"/>
    <w:rPr>
      <w:rFonts w:ascii="Arial" w:eastAsia="標楷體" w:hAnsi="Arial" w:cs="Times New Roman"/>
      <w:b/>
      <w:kern w:val="2"/>
      <w:sz w:val="36"/>
      <w:lang w:val="en-US" w:eastAsia="zh-TW"/>
    </w:rPr>
  </w:style>
  <w:style w:type="character" w:customStyle="1" w:styleId="40">
    <w:name w:val="標題 4 字元"/>
    <w:aliases w:val="標題 4-1. 字元"/>
    <w:basedOn w:val="a1"/>
    <w:link w:val="4"/>
    <w:uiPriority w:val="99"/>
    <w:locked/>
    <w:rsid w:val="00860597"/>
    <w:rPr>
      <w:rFonts w:ascii="Arial" w:eastAsia="標楷體" w:hAnsi="Arial" w:cs="Times New Roman"/>
      <w:b/>
      <w:kern w:val="2"/>
      <w:sz w:val="36"/>
    </w:rPr>
  </w:style>
  <w:style w:type="character" w:customStyle="1" w:styleId="10">
    <w:name w:val="標題 1 字元"/>
    <w:aliases w:val="-壹 字元,標題 1一、 字元"/>
    <w:link w:val="1"/>
    <w:uiPriority w:val="99"/>
    <w:locked/>
    <w:rsid w:val="00402957"/>
    <w:rPr>
      <w:rFonts w:eastAsia="標楷體" w:hAnsi="Arial"/>
      <w:b/>
      <w:kern w:val="52"/>
      <w:sz w:val="48"/>
      <w:szCs w:val="20"/>
    </w:rPr>
  </w:style>
  <w:style w:type="paragraph" w:styleId="a0">
    <w:name w:val="Normal Indent"/>
    <w:basedOn w:val="a"/>
    <w:link w:val="a4"/>
    <w:uiPriority w:val="99"/>
    <w:rsid w:val="003E7EB0"/>
    <w:pPr>
      <w:ind w:leftChars="200" w:left="480"/>
    </w:pPr>
  </w:style>
  <w:style w:type="character" w:customStyle="1" w:styleId="9">
    <w:name w:val="字元 字元9"/>
    <w:uiPriority w:val="99"/>
    <w:locked/>
    <w:rsid w:val="003E7EB0"/>
    <w:rPr>
      <w:rFonts w:ascii="Arial" w:eastAsia="新細明體" w:hAnsi="Arial"/>
      <w:b/>
      <w:kern w:val="52"/>
      <w:sz w:val="52"/>
      <w:lang w:val="en-US" w:eastAsia="zh-TW"/>
    </w:rPr>
  </w:style>
  <w:style w:type="character" w:customStyle="1" w:styleId="8">
    <w:name w:val="字元 字元8"/>
    <w:uiPriority w:val="99"/>
    <w:semiHidden/>
    <w:locked/>
    <w:rsid w:val="003E7EB0"/>
    <w:rPr>
      <w:rFonts w:ascii="Arial" w:eastAsia="標楷體" w:hAnsi="Arial"/>
      <w:b/>
      <w:kern w:val="2"/>
      <w:sz w:val="36"/>
      <w:lang w:val="en-US" w:eastAsia="zh-TW"/>
    </w:rPr>
  </w:style>
  <w:style w:type="paragraph" w:styleId="a5">
    <w:name w:val="Body Text"/>
    <w:aliases w:val="本文1"/>
    <w:basedOn w:val="a"/>
    <w:next w:val="a"/>
    <w:link w:val="a6"/>
    <w:autoRedefine/>
    <w:uiPriority w:val="99"/>
    <w:rsid w:val="005224EC"/>
    <w:pPr>
      <w:snapToGrid w:val="0"/>
      <w:jc w:val="both"/>
    </w:pPr>
    <w:rPr>
      <w:kern w:val="0"/>
      <w:szCs w:val="20"/>
    </w:rPr>
  </w:style>
  <w:style w:type="character" w:customStyle="1" w:styleId="a6">
    <w:name w:val="本文 字元"/>
    <w:aliases w:val="本文1 字元"/>
    <w:basedOn w:val="a1"/>
    <w:link w:val="a5"/>
    <w:uiPriority w:val="99"/>
    <w:locked/>
    <w:rsid w:val="00096101"/>
    <w:rPr>
      <w:rFonts w:cs="Times New Roman"/>
      <w:sz w:val="24"/>
    </w:rPr>
  </w:style>
  <w:style w:type="character" w:customStyle="1" w:styleId="11">
    <w:name w:val="本文1 字元 字元"/>
    <w:uiPriority w:val="99"/>
    <w:semiHidden/>
    <w:locked/>
    <w:rsid w:val="003E7EB0"/>
    <w:rPr>
      <w:rFonts w:eastAsia="標楷體"/>
      <w:sz w:val="28"/>
      <w:lang w:val="en-US" w:eastAsia="zh-TW"/>
    </w:rPr>
  </w:style>
  <w:style w:type="paragraph" w:customStyle="1" w:styleId="21">
    <w:name w:val="本文2"/>
    <w:uiPriority w:val="99"/>
    <w:rsid w:val="003E7EB0"/>
    <w:pPr>
      <w:ind w:leftChars="50" w:left="50" w:firstLineChars="200" w:firstLine="200"/>
    </w:pPr>
    <w:rPr>
      <w:rFonts w:eastAsia="標楷體"/>
      <w:kern w:val="0"/>
      <w:sz w:val="28"/>
      <w:szCs w:val="28"/>
    </w:rPr>
  </w:style>
  <w:style w:type="paragraph" w:styleId="22">
    <w:name w:val="toc 2"/>
    <w:basedOn w:val="a"/>
    <w:next w:val="a"/>
    <w:autoRedefine/>
    <w:uiPriority w:val="39"/>
    <w:rsid w:val="0079056B"/>
    <w:pPr>
      <w:tabs>
        <w:tab w:val="right" w:leader="dot" w:pos="9072"/>
      </w:tabs>
      <w:spacing w:line="560" w:lineRule="exact"/>
      <w:ind w:leftChars="200" w:left="480"/>
      <w:jc w:val="center"/>
    </w:pPr>
    <w:rPr>
      <w:rFonts w:eastAsia="標楷體"/>
      <w:bCs/>
      <w:noProof/>
      <w:sz w:val="28"/>
      <w:szCs w:val="32"/>
    </w:rPr>
  </w:style>
  <w:style w:type="paragraph" w:styleId="a7">
    <w:name w:val="header"/>
    <w:basedOn w:val="a"/>
    <w:link w:val="a8"/>
    <w:uiPriority w:val="99"/>
    <w:rsid w:val="003E7EB0"/>
    <w:pPr>
      <w:tabs>
        <w:tab w:val="center" w:pos="4153"/>
        <w:tab w:val="right" w:pos="8306"/>
      </w:tabs>
      <w:snapToGrid w:val="0"/>
    </w:pPr>
    <w:rPr>
      <w:rFonts w:eastAsia="標楷體"/>
      <w:sz w:val="20"/>
      <w:szCs w:val="20"/>
    </w:rPr>
  </w:style>
  <w:style w:type="character" w:customStyle="1" w:styleId="a8">
    <w:name w:val="頁首 字元"/>
    <w:basedOn w:val="a1"/>
    <w:link w:val="a7"/>
    <w:uiPriority w:val="99"/>
    <w:locked/>
    <w:rsid w:val="006068AE"/>
    <w:rPr>
      <w:rFonts w:eastAsia="標楷體" w:cs="Times New Roman"/>
      <w:kern w:val="2"/>
    </w:rPr>
  </w:style>
  <w:style w:type="character" w:customStyle="1" w:styleId="7">
    <w:name w:val="字元 字元7"/>
    <w:uiPriority w:val="99"/>
    <w:semiHidden/>
    <w:locked/>
    <w:rsid w:val="003E7EB0"/>
    <w:rPr>
      <w:rFonts w:eastAsia="標楷體"/>
      <w:kern w:val="2"/>
      <w:lang w:val="en-US" w:eastAsia="zh-TW"/>
    </w:rPr>
  </w:style>
  <w:style w:type="paragraph" w:styleId="a9">
    <w:name w:val="footer"/>
    <w:basedOn w:val="a"/>
    <w:link w:val="aa"/>
    <w:uiPriority w:val="99"/>
    <w:rsid w:val="003E7EB0"/>
    <w:pPr>
      <w:tabs>
        <w:tab w:val="center" w:pos="4153"/>
        <w:tab w:val="right" w:pos="8306"/>
      </w:tabs>
      <w:snapToGrid w:val="0"/>
    </w:pPr>
    <w:rPr>
      <w:rFonts w:eastAsia="標楷體"/>
      <w:sz w:val="20"/>
      <w:szCs w:val="20"/>
    </w:rPr>
  </w:style>
  <w:style w:type="character" w:customStyle="1" w:styleId="FooterChar">
    <w:name w:val="Footer Char"/>
    <w:basedOn w:val="a1"/>
    <w:uiPriority w:val="99"/>
    <w:locked/>
    <w:rsid w:val="003E7EB0"/>
    <w:rPr>
      <w:rFonts w:eastAsia="標楷體" w:cs="Times New Roman"/>
      <w:kern w:val="2"/>
      <w:lang w:val="en-US" w:eastAsia="zh-TW"/>
    </w:rPr>
  </w:style>
  <w:style w:type="character" w:customStyle="1" w:styleId="aa">
    <w:name w:val="頁尾 字元"/>
    <w:link w:val="a9"/>
    <w:uiPriority w:val="99"/>
    <w:locked/>
    <w:rsid w:val="006068AE"/>
    <w:rPr>
      <w:rFonts w:eastAsia="標楷體"/>
      <w:kern w:val="2"/>
    </w:rPr>
  </w:style>
  <w:style w:type="character" w:customStyle="1" w:styleId="6">
    <w:name w:val="字元 字元6"/>
    <w:uiPriority w:val="99"/>
    <w:semiHidden/>
    <w:locked/>
    <w:rsid w:val="003E7EB0"/>
    <w:rPr>
      <w:rFonts w:eastAsia="標楷體"/>
      <w:kern w:val="2"/>
      <w:lang w:val="en-US" w:eastAsia="zh-TW"/>
    </w:rPr>
  </w:style>
  <w:style w:type="paragraph" w:styleId="ab">
    <w:name w:val="Body Text Indent"/>
    <w:basedOn w:val="a"/>
    <w:link w:val="ac"/>
    <w:uiPriority w:val="99"/>
    <w:rsid w:val="003E7EB0"/>
    <w:pPr>
      <w:spacing w:line="360" w:lineRule="exact"/>
      <w:ind w:firstLineChars="200" w:firstLine="480"/>
    </w:pPr>
    <w:rPr>
      <w:kern w:val="0"/>
      <w:szCs w:val="20"/>
    </w:rPr>
  </w:style>
  <w:style w:type="character" w:customStyle="1" w:styleId="ac">
    <w:name w:val="本文縮排 字元"/>
    <w:basedOn w:val="a1"/>
    <w:link w:val="ab"/>
    <w:uiPriority w:val="99"/>
    <w:locked/>
    <w:rsid w:val="00096101"/>
    <w:rPr>
      <w:rFonts w:cs="Times New Roman"/>
      <w:sz w:val="24"/>
    </w:rPr>
  </w:style>
  <w:style w:type="character" w:customStyle="1" w:styleId="5">
    <w:name w:val="字元 字元5"/>
    <w:uiPriority w:val="99"/>
    <w:semiHidden/>
    <w:locked/>
    <w:rsid w:val="003E7EB0"/>
    <w:rPr>
      <w:rFonts w:ascii="標楷體" w:eastAsia="標楷體" w:hAnsi="標楷體"/>
      <w:kern w:val="2"/>
      <w:sz w:val="32"/>
      <w:lang w:val="en-US" w:eastAsia="zh-TW"/>
    </w:rPr>
  </w:style>
  <w:style w:type="paragraph" w:styleId="23">
    <w:name w:val="Body Text Indent 2"/>
    <w:basedOn w:val="a"/>
    <w:link w:val="24"/>
    <w:uiPriority w:val="99"/>
    <w:rsid w:val="003E7EB0"/>
    <w:pPr>
      <w:snapToGrid w:val="0"/>
      <w:spacing w:line="360" w:lineRule="exact"/>
      <w:ind w:firstLineChars="200" w:firstLine="480"/>
      <w:jc w:val="both"/>
    </w:pPr>
    <w:rPr>
      <w:kern w:val="0"/>
      <w:szCs w:val="20"/>
    </w:rPr>
  </w:style>
  <w:style w:type="character" w:customStyle="1" w:styleId="24">
    <w:name w:val="本文縮排 2 字元"/>
    <w:basedOn w:val="a1"/>
    <w:link w:val="23"/>
    <w:uiPriority w:val="99"/>
    <w:locked/>
    <w:rsid w:val="00096101"/>
    <w:rPr>
      <w:rFonts w:cs="Times New Roman"/>
      <w:sz w:val="24"/>
    </w:rPr>
  </w:style>
  <w:style w:type="character" w:customStyle="1" w:styleId="41">
    <w:name w:val="字元 字元4"/>
    <w:uiPriority w:val="99"/>
    <w:semiHidden/>
    <w:locked/>
    <w:rsid w:val="003E7EB0"/>
    <w:rPr>
      <w:rFonts w:ascii="標楷體" w:eastAsia="標楷體" w:hAnsi="標楷體"/>
      <w:kern w:val="2"/>
      <w:sz w:val="24"/>
      <w:lang w:val="en-US" w:eastAsia="zh-TW"/>
    </w:rPr>
  </w:style>
  <w:style w:type="paragraph" w:styleId="31">
    <w:name w:val="Body Text Indent 3"/>
    <w:basedOn w:val="a"/>
    <w:link w:val="32"/>
    <w:uiPriority w:val="99"/>
    <w:rsid w:val="003E7EB0"/>
    <w:pPr>
      <w:snapToGrid w:val="0"/>
      <w:spacing w:line="360" w:lineRule="exact"/>
      <w:ind w:leftChars="200" w:left="480" w:firstLineChars="200" w:firstLine="480"/>
    </w:pPr>
    <w:rPr>
      <w:kern w:val="0"/>
      <w:sz w:val="16"/>
      <w:szCs w:val="20"/>
    </w:rPr>
  </w:style>
  <w:style w:type="character" w:customStyle="1" w:styleId="32">
    <w:name w:val="本文縮排 3 字元"/>
    <w:basedOn w:val="a1"/>
    <w:link w:val="31"/>
    <w:uiPriority w:val="99"/>
    <w:locked/>
    <w:rsid w:val="00096101"/>
    <w:rPr>
      <w:rFonts w:cs="Times New Roman"/>
      <w:sz w:val="16"/>
    </w:rPr>
  </w:style>
  <w:style w:type="character" w:customStyle="1" w:styleId="33">
    <w:name w:val="字元 字元3"/>
    <w:uiPriority w:val="99"/>
    <w:semiHidden/>
    <w:locked/>
    <w:rsid w:val="003E7EB0"/>
    <w:rPr>
      <w:rFonts w:ascii="標楷體" w:eastAsia="標楷體" w:hAnsi="標楷體"/>
      <w:kern w:val="2"/>
      <w:sz w:val="24"/>
      <w:lang w:val="en-US" w:eastAsia="zh-TW"/>
    </w:rPr>
  </w:style>
  <w:style w:type="paragraph" w:styleId="ad">
    <w:name w:val="Salutation"/>
    <w:basedOn w:val="a"/>
    <w:next w:val="a"/>
    <w:link w:val="ae"/>
    <w:uiPriority w:val="99"/>
    <w:rsid w:val="003E7EB0"/>
    <w:pPr>
      <w:adjustRightInd w:val="0"/>
      <w:ind w:firstLine="488"/>
      <w:jc w:val="both"/>
      <w:textAlignment w:val="baseline"/>
    </w:pPr>
    <w:rPr>
      <w:kern w:val="0"/>
      <w:szCs w:val="20"/>
    </w:rPr>
  </w:style>
  <w:style w:type="character" w:customStyle="1" w:styleId="ae">
    <w:name w:val="問候 字元"/>
    <w:basedOn w:val="a1"/>
    <w:link w:val="ad"/>
    <w:uiPriority w:val="99"/>
    <w:locked/>
    <w:rsid w:val="00096101"/>
    <w:rPr>
      <w:rFonts w:cs="Times New Roman"/>
      <w:sz w:val="24"/>
    </w:rPr>
  </w:style>
  <w:style w:type="character" w:customStyle="1" w:styleId="25">
    <w:name w:val="字元 字元2"/>
    <w:uiPriority w:val="99"/>
    <w:semiHidden/>
    <w:locked/>
    <w:rsid w:val="003E7EB0"/>
    <w:rPr>
      <w:rFonts w:eastAsia="華康中明體"/>
      <w:kern w:val="2"/>
      <w:sz w:val="22"/>
      <w:lang w:val="en-US" w:eastAsia="zh-TW"/>
    </w:rPr>
  </w:style>
  <w:style w:type="paragraph" w:styleId="26">
    <w:name w:val="Body Text 2"/>
    <w:basedOn w:val="a"/>
    <w:link w:val="27"/>
    <w:uiPriority w:val="99"/>
    <w:rsid w:val="003E7EB0"/>
    <w:pPr>
      <w:spacing w:line="200" w:lineRule="exact"/>
    </w:pPr>
    <w:rPr>
      <w:kern w:val="0"/>
      <w:szCs w:val="20"/>
    </w:rPr>
  </w:style>
  <w:style w:type="character" w:customStyle="1" w:styleId="27">
    <w:name w:val="本文 2 字元"/>
    <w:basedOn w:val="a1"/>
    <w:link w:val="26"/>
    <w:uiPriority w:val="99"/>
    <w:locked/>
    <w:rsid w:val="00096101"/>
    <w:rPr>
      <w:rFonts w:cs="Times New Roman"/>
      <w:sz w:val="24"/>
    </w:rPr>
  </w:style>
  <w:style w:type="character" w:customStyle="1" w:styleId="12">
    <w:name w:val="字元 字元1"/>
    <w:uiPriority w:val="99"/>
    <w:semiHidden/>
    <w:locked/>
    <w:rsid w:val="003E7EB0"/>
    <w:rPr>
      <w:rFonts w:eastAsia="新細明體"/>
      <w:kern w:val="2"/>
      <w:sz w:val="24"/>
      <w:lang w:val="en-US" w:eastAsia="zh-TW"/>
    </w:rPr>
  </w:style>
  <w:style w:type="paragraph" w:customStyle="1" w:styleId="af">
    <w:name w:val="資料來源"/>
    <w:basedOn w:val="a"/>
    <w:uiPriority w:val="99"/>
    <w:rsid w:val="003E7EB0"/>
    <w:pPr>
      <w:widowControl/>
      <w:spacing w:afterLines="80" w:line="260" w:lineRule="exact"/>
      <w:ind w:left="500" w:hangingChars="500" w:hanging="500"/>
      <w:jc w:val="both"/>
    </w:pPr>
    <w:rPr>
      <w:rFonts w:ascii="標楷體" w:eastAsia="標楷體" w:hAnsi="標楷體"/>
      <w:sz w:val="16"/>
      <w:szCs w:val="16"/>
    </w:rPr>
  </w:style>
  <w:style w:type="character" w:customStyle="1" w:styleId="af0">
    <w:name w:val="資料來源 字元"/>
    <w:uiPriority w:val="99"/>
    <w:locked/>
    <w:rsid w:val="003E7EB0"/>
    <w:rPr>
      <w:rFonts w:ascii="標楷體" w:eastAsia="標楷體" w:hAnsi="標楷體"/>
      <w:kern w:val="2"/>
      <w:sz w:val="16"/>
      <w:lang w:val="en-US" w:eastAsia="zh-TW"/>
    </w:rPr>
  </w:style>
  <w:style w:type="paragraph" w:styleId="af1">
    <w:name w:val="footnote text"/>
    <w:basedOn w:val="a"/>
    <w:link w:val="af2"/>
    <w:uiPriority w:val="99"/>
    <w:rsid w:val="003E7EB0"/>
    <w:pPr>
      <w:snapToGrid w:val="0"/>
    </w:pPr>
    <w:rPr>
      <w:kern w:val="0"/>
      <w:sz w:val="20"/>
      <w:szCs w:val="20"/>
    </w:rPr>
  </w:style>
  <w:style w:type="character" w:customStyle="1" w:styleId="af2">
    <w:name w:val="註腳文字 字元"/>
    <w:basedOn w:val="a1"/>
    <w:link w:val="af1"/>
    <w:uiPriority w:val="99"/>
    <w:locked/>
    <w:rsid w:val="00096101"/>
    <w:rPr>
      <w:rFonts w:cs="Times New Roman"/>
      <w:sz w:val="20"/>
    </w:rPr>
  </w:style>
  <w:style w:type="character" w:customStyle="1" w:styleId="af3">
    <w:name w:val="字元 字元"/>
    <w:uiPriority w:val="99"/>
    <w:semiHidden/>
    <w:locked/>
    <w:rsid w:val="003E7EB0"/>
    <w:rPr>
      <w:rFonts w:eastAsia="標楷體"/>
      <w:kern w:val="2"/>
      <w:lang w:val="en-US" w:eastAsia="zh-TW"/>
    </w:rPr>
  </w:style>
  <w:style w:type="character" w:styleId="af4">
    <w:name w:val="page number"/>
    <w:basedOn w:val="a1"/>
    <w:uiPriority w:val="99"/>
    <w:rsid w:val="003E7EB0"/>
    <w:rPr>
      <w:rFonts w:cs="Times New Roman"/>
    </w:rPr>
  </w:style>
  <w:style w:type="character" w:styleId="af5">
    <w:name w:val="annotation reference"/>
    <w:basedOn w:val="a1"/>
    <w:uiPriority w:val="99"/>
    <w:semiHidden/>
    <w:rsid w:val="003E7EB0"/>
    <w:rPr>
      <w:rFonts w:cs="Times New Roman"/>
      <w:sz w:val="18"/>
    </w:rPr>
  </w:style>
  <w:style w:type="paragraph" w:styleId="af6">
    <w:name w:val="annotation text"/>
    <w:basedOn w:val="a"/>
    <w:link w:val="af7"/>
    <w:uiPriority w:val="99"/>
    <w:semiHidden/>
    <w:rsid w:val="003E7EB0"/>
    <w:rPr>
      <w:kern w:val="0"/>
      <w:szCs w:val="20"/>
    </w:rPr>
  </w:style>
  <w:style w:type="character" w:customStyle="1" w:styleId="af7">
    <w:name w:val="註解文字 字元"/>
    <w:basedOn w:val="a1"/>
    <w:link w:val="af6"/>
    <w:uiPriority w:val="99"/>
    <w:semiHidden/>
    <w:locked/>
    <w:rsid w:val="00096101"/>
    <w:rPr>
      <w:rFonts w:cs="Times New Roman"/>
      <w:sz w:val="24"/>
    </w:rPr>
  </w:style>
  <w:style w:type="paragraph" w:styleId="af8">
    <w:name w:val="annotation subject"/>
    <w:basedOn w:val="af6"/>
    <w:next w:val="af6"/>
    <w:link w:val="af9"/>
    <w:uiPriority w:val="99"/>
    <w:semiHidden/>
    <w:rsid w:val="003E7EB0"/>
    <w:rPr>
      <w:b/>
    </w:rPr>
  </w:style>
  <w:style w:type="character" w:customStyle="1" w:styleId="af9">
    <w:name w:val="註解主旨 字元"/>
    <w:basedOn w:val="af7"/>
    <w:link w:val="af8"/>
    <w:uiPriority w:val="99"/>
    <w:semiHidden/>
    <w:locked/>
    <w:rsid w:val="00096101"/>
    <w:rPr>
      <w:rFonts w:cs="Times New Roman"/>
      <w:b/>
      <w:sz w:val="24"/>
    </w:rPr>
  </w:style>
  <w:style w:type="paragraph" w:styleId="afa">
    <w:name w:val="Balloon Text"/>
    <w:basedOn w:val="a"/>
    <w:link w:val="afb"/>
    <w:uiPriority w:val="99"/>
    <w:semiHidden/>
    <w:rsid w:val="003E7EB0"/>
    <w:rPr>
      <w:rFonts w:ascii="Arial" w:hAnsi="Arial"/>
      <w:sz w:val="18"/>
      <w:szCs w:val="20"/>
    </w:rPr>
  </w:style>
  <w:style w:type="character" w:customStyle="1" w:styleId="afb">
    <w:name w:val="註解方塊文字 字元"/>
    <w:basedOn w:val="a1"/>
    <w:link w:val="afa"/>
    <w:uiPriority w:val="99"/>
    <w:semiHidden/>
    <w:locked/>
    <w:rsid w:val="004A22D2"/>
    <w:rPr>
      <w:rFonts w:ascii="Arial" w:hAnsi="Arial" w:cs="Times New Roman"/>
      <w:kern w:val="2"/>
      <w:sz w:val="18"/>
    </w:rPr>
  </w:style>
  <w:style w:type="character" w:styleId="afc">
    <w:name w:val="footnote reference"/>
    <w:basedOn w:val="a1"/>
    <w:uiPriority w:val="99"/>
    <w:semiHidden/>
    <w:rsid w:val="003E7EB0"/>
    <w:rPr>
      <w:rFonts w:cs="Times New Roman"/>
      <w:vertAlign w:val="superscript"/>
    </w:rPr>
  </w:style>
  <w:style w:type="character" w:styleId="afd">
    <w:name w:val="Emphasis"/>
    <w:basedOn w:val="a1"/>
    <w:uiPriority w:val="20"/>
    <w:qFormat/>
    <w:rsid w:val="003E7EB0"/>
    <w:rPr>
      <w:rFonts w:cs="Times New Roman"/>
      <w:color w:val="CC0033"/>
    </w:rPr>
  </w:style>
  <w:style w:type="character" w:styleId="afe">
    <w:name w:val="Hyperlink"/>
    <w:basedOn w:val="a1"/>
    <w:uiPriority w:val="99"/>
    <w:rsid w:val="000112E8"/>
    <w:rPr>
      <w:rFonts w:cs="Times New Roman"/>
      <w:color w:val="0000FF"/>
      <w:u w:val="single"/>
    </w:rPr>
  </w:style>
  <w:style w:type="paragraph" w:customStyle="1" w:styleId="Default">
    <w:name w:val="Default"/>
    <w:uiPriority w:val="99"/>
    <w:rsid w:val="00E7065B"/>
    <w:pPr>
      <w:widowControl w:val="0"/>
      <w:autoSpaceDE w:val="0"/>
      <w:autoSpaceDN w:val="0"/>
      <w:adjustRightInd w:val="0"/>
    </w:pPr>
    <w:rPr>
      <w:rFonts w:ascii="微軟正黑體" w:eastAsia="微軟正黑體" w:cs="微軟正黑體"/>
      <w:color w:val="000000"/>
      <w:kern w:val="0"/>
      <w:szCs w:val="24"/>
    </w:rPr>
  </w:style>
  <w:style w:type="paragraph" w:styleId="Web">
    <w:name w:val="Normal (Web)"/>
    <w:basedOn w:val="a"/>
    <w:uiPriority w:val="99"/>
    <w:rsid w:val="00440812"/>
    <w:pPr>
      <w:widowControl/>
      <w:spacing w:before="100" w:beforeAutospacing="1" w:after="100" w:afterAutospacing="1"/>
    </w:pPr>
    <w:rPr>
      <w:rFonts w:ascii="新細明體" w:hAnsi="新細明體" w:cs="新細明體"/>
      <w:kern w:val="0"/>
    </w:rPr>
  </w:style>
  <w:style w:type="character" w:customStyle="1" w:styleId="googqs-tidbitgoogqs-tidbit-0">
    <w:name w:val="goog_qs-tidbit goog_qs-tidbit-0"/>
    <w:uiPriority w:val="99"/>
    <w:rsid w:val="002B0098"/>
  </w:style>
  <w:style w:type="character" w:customStyle="1" w:styleId="blacknews1">
    <w:name w:val="black_news1"/>
    <w:uiPriority w:val="99"/>
    <w:rsid w:val="00242F7C"/>
    <w:rPr>
      <w:color w:val="333333"/>
      <w:spacing w:val="15"/>
      <w:sz w:val="27"/>
      <w:u w:val="none"/>
      <w:effect w:val="none"/>
    </w:rPr>
  </w:style>
  <w:style w:type="paragraph" w:customStyle="1" w:styleId="-1">
    <w:name w:val="題-1"/>
    <w:basedOn w:val="a"/>
    <w:uiPriority w:val="99"/>
    <w:rsid w:val="00C87481"/>
    <w:pPr>
      <w:keepNext/>
      <w:spacing w:line="720" w:lineRule="auto"/>
      <w:jc w:val="center"/>
      <w:outlineLvl w:val="2"/>
    </w:pPr>
    <w:rPr>
      <w:rFonts w:ascii="Arial" w:eastAsia="標楷體" w:hAnsi="Arial"/>
      <w:b/>
      <w:bCs/>
      <w:sz w:val="36"/>
      <w:szCs w:val="36"/>
    </w:rPr>
  </w:style>
  <w:style w:type="paragraph" w:customStyle="1" w:styleId="-2">
    <w:name w:val="題-2"/>
    <w:basedOn w:val="-1"/>
    <w:uiPriority w:val="99"/>
    <w:rsid w:val="00C87481"/>
    <w:pPr>
      <w:spacing w:line="240" w:lineRule="auto"/>
    </w:pPr>
    <w:rPr>
      <w:sz w:val="32"/>
    </w:rPr>
  </w:style>
  <w:style w:type="paragraph" w:customStyle="1" w:styleId="aff">
    <w:name w:val="圖次"/>
    <w:basedOn w:val="a"/>
    <w:link w:val="aff0"/>
    <w:uiPriority w:val="99"/>
    <w:rsid w:val="003E51D5"/>
    <w:pPr>
      <w:adjustRightInd w:val="0"/>
      <w:snapToGrid w:val="0"/>
      <w:spacing w:line="480" w:lineRule="exact"/>
      <w:jc w:val="center"/>
    </w:pPr>
    <w:rPr>
      <w:rFonts w:eastAsia="標楷體"/>
      <w:b/>
      <w:sz w:val="28"/>
      <w:szCs w:val="20"/>
    </w:rPr>
  </w:style>
  <w:style w:type="character" w:customStyle="1" w:styleId="aff0">
    <w:name w:val="圖次 字元"/>
    <w:link w:val="aff"/>
    <w:uiPriority w:val="99"/>
    <w:locked/>
    <w:rsid w:val="00F44889"/>
    <w:rPr>
      <w:rFonts w:eastAsia="標楷體"/>
      <w:b/>
      <w:kern w:val="2"/>
      <w:sz w:val="28"/>
      <w:lang w:val="en-US" w:eastAsia="zh-TW"/>
    </w:rPr>
  </w:style>
  <w:style w:type="paragraph" w:customStyle="1" w:styleId="aff1">
    <w:name w:val="表次"/>
    <w:basedOn w:val="aff"/>
    <w:link w:val="aff2"/>
    <w:uiPriority w:val="99"/>
    <w:rsid w:val="00C87481"/>
  </w:style>
  <w:style w:type="character" w:customStyle="1" w:styleId="aff2">
    <w:name w:val="表次 字元"/>
    <w:link w:val="aff1"/>
    <w:uiPriority w:val="99"/>
    <w:locked/>
    <w:rsid w:val="00F44889"/>
    <w:rPr>
      <w:rFonts w:eastAsia="標楷體"/>
      <w:b/>
      <w:kern w:val="2"/>
      <w:sz w:val="28"/>
      <w:lang w:val="en-US" w:eastAsia="zh-TW"/>
    </w:rPr>
  </w:style>
  <w:style w:type="paragraph" w:customStyle="1" w:styleId="-">
    <w:name w:val="內文-正"/>
    <w:basedOn w:val="a"/>
    <w:uiPriority w:val="99"/>
    <w:rsid w:val="00A074F5"/>
    <w:pPr>
      <w:adjustRightInd w:val="0"/>
      <w:snapToGrid w:val="0"/>
      <w:spacing w:beforeLines="20" w:afterLines="20" w:line="480" w:lineRule="exact"/>
      <w:ind w:firstLineChars="200" w:firstLine="200"/>
      <w:jc w:val="both"/>
    </w:pPr>
    <w:rPr>
      <w:rFonts w:eastAsia="標楷體"/>
      <w:sz w:val="28"/>
      <w:szCs w:val="28"/>
    </w:rPr>
  </w:style>
  <w:style w:type="paragraph" w:styleId="34">
    <w:name w:val="toc 3"/>
    <w:basedOn w:val="a"/>
    <w:next w:val="a"/>
    <w:autoRedefine/>
    <w:uiPriority w:val="99"/>
    <w:rsid w:val="00BD66F0"/>
    <w:pPr>
      <w:tabs>
        <w:tab w:val="right" w:leader="dot" w:pos="9060"/>
      </w:tabs>
      <w:spacing w:line="520" w:lineRule="exact"/>
      <w:ind w:left="958" w:hangingChars="342" w:hanging="958"/>
    </w:pPr>
    <w:rPr>
      <w:rFonts w:eastAsia="標楷體"/>
      <w:noProof/>
      <w:sz w:val="28"/>
    </w:rPr>
  </w:style>
  <w:style w:type="paragraph" w:styleId="13">
    <w:name w:val="toc 1"/>
    <w:basedOn w:val="a"/>
    <w:next w:val="a"/>
    <w:autoRedefine/>
    <w:uiPriority w:val="39"/>
    <w:rsid w:val="00F37519"/>
    <w:pPr>
      <w:tabs>
        <w:tab w:val="right" w:leader="dot" w:pos="9060"/>
      </w:tabs>
      <w:spacing w:beforeLines="50" w:afterLines="50" w:line="440" w:lineRule="exact"/>
      <w:ind w:left="1134" w:hanging="1134"/>
      <w:jc w:val="both"/>
    </w:pPr>
    <w:rPr>
      <w:rFonts w:eastAsia="標楷體" w:cs="新細明體"/>
      <w:b/>
      <w:noProof/>
      <w:sz w:val="28"/>
      <w:szCs w:val="28"/>
    </w:rPr>
  </w:style>
  <w:style w:type="character" w:customStyle="1" w:styleId="apple-converted-space">
    <w:name w:val="apple-converted-space"/>
    <w:rsid w:val="00D852FF"/>
  </w:style>
  <w:style w:type="paragraph" w:customStyle="1" w:styleId="-0">
    <w:name w:val="內文-不內縮"/>
    <w:basedOn w:val="a"/>
    <w:uiPriority w:val="99"/>
    <w:rsid w:val="0034106D"/>
    <w:pPr>
      <w:adjustRightInd w:val="0"/>
      <w:snapToGrid w:val="0"/>
      <w:spacing w:beforeLines="50" w:afterLines="50" w:line="520" w:lineRule="exact"/>
      <w:ind w:firstLineChars="200" w:firstLine="200"/>
      <w:jc w:val="both"/>
    </w:pPr>
    <w:rPr>
      <w:rFonts w:eastAsia="標楷體"/>
      <w:sz w:val="28"/>
      <w:szCs w:val="28"/>
    </w:rPr>
  </w:style>
  <w:style w:type="paragraph" w:customStyle="1" w:styleId="xl65">
    <w:name w:val="xl65"/>
    <w:basedOn w:val="a"/>
    <w:uiPriority w:val="99"/>
    <w:rsid w:val="00870140"/>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Ansi="新細明體" w:cs="新細明體"/>
      <w:kern w:val="0"/>
      <w:sz w:val="18"/>
      <w:szCs w:val="18"/>
    </w:rPr>
  </w:style>
  <w:style w:type="character" w:customStyle="1" w:styleId="txt24rb1">
    <w:name w:val="txt24rb1"/>
    <w:uiPriority w:val="99"/>
    <w:rsid w:val="00382681"/>
    <w:rPr>
      <w:b/>
      <w:color w:val="E5180D"/>
      <w:spacing w:val="450"/>
      <w:sz w:val="36"/>
    </w:rPr>
  </w:style>
  <w:style w:type="paragraph" w:styleId="aff3">
    <w:name w:val="Date"/>
    <w:basedOn w:val="a"/>
    <w:next w:val="a"/>
    <w:link w:val="aff4"/>
    <w:uiPriority w:val="99"/>
    <w:rsid w:val="00382681"/>
    <w:pPr>
      <w:jc w:val="right"/>
    </w:pPr>
    <w:rPr>
      <w:szCs w:val="20"/>
    </w:rPr>
  </w:style>
  <w:style w:type="character" w:customStyle="1" w:styleId="aff4">
    <w:name w:val="日期 字元"/>
    <w:basedOn w:val="a1"/>
    <w:link w:val="aff3"/>
    <w:uiPriority w:val="99"/>
    <w:locked/>
    <w:rsid w:val="00382681"/>
    <w:rPr>
      <w:rFonts w:cs="Times New Roman"/>
      <w:kern w:val="2"/>
      <w:sz w:val="24"/>
    </w:rPr>
  </w:style>
  <w:style w:type="paragraph" w:styleId="HTML">
    <w:name w:val="HTML Preformatted"/>
    <w:basedOn w:val="a"/>
    <w:link w:val="HTML0"/>
    <w:uiPriority w:val="99"/>
    <w:rsid w:val="0038268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szCs w:val="20"/>
    </w:rPr>
  </w:style>
  <w:style w:type="character" w:customStyle="1" w:styleId="HTMLPreformattedChar">
    <w:name w:val="HTML Preformatted Char"/>
    <w:basedOn w:val="a1"/>
    <w:uiPriority w:val="99"/>
    <w:locked/>
    <w:rsid w:val="00AC21E0"/>
    <w:rPr>
      <w:rFonts w:ascii="細明體" w:eastAsia="細明體" w:hAnsi="細明體" w:cs="Times New Roman"/>
      <w:kern w:val="0"/>
      <w:sz w:val="24"/>
    </w:rPr>
  </w:style>
  <w:style w:type="character" w:customStyle="1" w:styleId="HTML0">
    <w:name w:val="HTML 預設格式 字元"/>
    <w:link w:val="HTML"/>
    <w:uiPriority w:val="99"/>
    <w:locked/>
    <w:rsid w:val="00382681"/>
    <w:rPr>
      <w:rFonts w:ascii="細明體" w:eastAsia="細明體" w:hAnsi="細明體"/>
      <w:sz w:val="24"/>
    </w:rPr>
  </w:style>
  <w:style w:type="table" w:styleId="aff5">
    <w:name w:val="Table Grid"/>
    <w:basedOn w:val="a2"/>
    <w:uiPriority w:val="39"/>
    <w:rsid w:val="00382681"/>
    <w:pPr>
      <w:widowControl w:val="0"/>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6">
    <w:name w:val="Strong"/>
    <w:basedOn w:val="a1"/>
    <w:uiPriority w:val="99"/>
    <w:qFormat/>
    <w:rsid w:val="00382681"/>
    <w:rPr>
      <w:rFonts w:cs="Times New Roman"/>
      <w:b/>
    </w:rPr>
  </w:style>
  <w:style w:type="paragraph" w:customStyle="1" w:styleId="font5">
    <w:name w:val="font5"/>
    <w:basedOn w:val="a"/>
    <w:uiPriority w:val="99"/>
    <w:rsid w:val="00382681"/>
    <w:pPr>
      <w:widowControl/>
      <w:spacing w:before="100" w:beforeAutospacing="1" w:after="100" w:afterAutospacing="1"/>
    </w:pPr>
    <w:rPr>
      <w:rFonts w:ascii="新細明體" w:hAnsi="新細明體" w:cs="新細明體"/>
      <w:kern w:val="0"/>
      <w:sz w:val="18"/>
      <w:szCs w:val="18"/>
    </w:rPr>
  </w:style>
  <w:style w:type="paragraph" w:customStyle="1" w:styleId="xl24">
    <w:name w:val="xl24"/>
    <w:basedOn w:val="a"/>
    <w:uiPriority w:val="99"/>
    <w:rsid w:val="00382681"/>
    <w:pPr>
      <w:widowControl/>
      <w:pBdr>
        <w:bottom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25">
    <w:name w:val="xl25"/>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26">
    <w:name w:val="xl26"/>
    <w:basedOn w:val="a"/>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27">
    <w:name w:val="xl27"/>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28">
    <w:name w:val="xl28"/>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29">
    <w:name w:val="xl29"/>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kern w:val="0"/>
      <w:sz w:val="18"/>
      <w:szCs w:val="18"/>
    </w:rPr>
  </w:style>
  <w:style w:type="paragraph" w:customStyle="1" w:styleId="xl30">
    <w:name w:val="xl30"/>
    <w:basedOn w:val="a"/>
    <w:uiPriority w:val="99"/>
    <w:rsid w:val="00382681"/>
    <w:pPr>
      <w:widowControl/>
      <w:pBdr>
        <w:left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31">
    <w:name w:val="xl31"/>
    <w:basedOn w:val="a"/>
    <w:uiPriority w:val="99"/>
    <w:rsid w:val="00382681"/>
    <w:pPr>
      <w:widowControl/>
      <w:pBdr>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32">
    <w:name w:val="xl32"/>
    <w:basedOn w:val="a"/>
    <w:uiPriority w:val="99"/>
    <w:rsid w:val="00382681"/>
    <w:pPr>
      <w:widowControl/>
      <w:pBdr>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33">
    <w:name w:val="xl33"/>
    <w:basedOn w:val="a"/>
    <w:uiPriority w:val="99"/>
    <w:rsid w:val="00382681"/>
    <w:pPr>
      <w:widowControl/>
      <w:pBdr>
        <w:bottom w:val="double" w:sz="6" w:space="0" w:color="auto"/>
        <w:right w:val="single" w:sz="8"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34">
    <w:name w:val="xl34"/>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35">
    <w:name w:val="xl35"/>
    <w:basedOn w:val="a"/>
    <w:uiPriority w:val="99"/>
    <w:rsid w:val="00382681"/>
    <w:pPr>
      <w:widowControl/>
      <w:pBdr>
        <w:left w:val="single" w:sz="8" w:space="0" w:color="auto"/>
        <w:bottom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36">
    <w:name w:val="xl36"/>
    <w:basedOn w:val="a"/>
    <w:uiPriority w:val="99"/>
    <w:rsid w:val="00382681"/>
    <w:pPr>
      <w:widowControl/>
      <w:pBdr>
        <w:bottom w:val="single" w:sz="8" w:space="0" w:color="auto"/>
        <w:right w:val="single" w:sz="8" w:space="0" w:color="auto"/>
      </w:pBdr>
      <w:spacing w:before="100" w:beforeAutospacing="1" w:after="100" w:afterAutospacing="1"/>
      <w:jc w:val="right"/>
    </w:pPr>
    <w:rPr>
      <w:kern w:val="0"/>
      <w:sz w:val="18"/>
      <w:szCs w:val="18"/>
    </w:rPr>
  </w:style>
  <w:style w:type="paragraph" w:customStyle="1" w:styleId="xl37">
    <w:name w:val="xl37"/>
    <w:basedOn w:val="a"/>
    <w:uiPriority w:val="99"/>
    <w:rsid w:val="00382681"/>
    <w:pPr>
      <w:widowControl/>
      <w:pBdr>
        <w:bottom w:val="single" w:sz="8" w:space="0" w:color="auto"/>
      </w:pBdr>
      <w:spacing w:before="100" w:beforeAutospacing="1" w:after="100" w:afterAutospacing="1"/>
    </w:pPr>
    <w:rPr>
      <w:rFonts w:ascii="新細明體" w:hAnsi="新細明體" w:cs="新細明體"/>
      <w:kern w:val="0"/>
    </w:rPr>
  </w:style>
  <w:style w:type="paragraph" w:customStyle="1" w:styleId="xl38">
    <w:name w:val="xl38"/>
    <w:basedOn w:val="a"/>
    <w:uiPriority w:val="99"/>
    <w:rsid w:val="00382681"/>
    <w:pPr>
      <w:widowControl/>
      <w:pBdr>
        <w:top w:val="double" w:sz="6" w:space="0" w:color="auto"/>
        <w:left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39">
    <w:name w:val="xl39"/>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0">
    <w:name w:val="xl40"/>
    <w:basedOn w:val="a"/>
    <w:uiPriority w:val="99"/>
    <w:rsid w:val="00382681"/>
    <w:pPr>
      <w:widowControl/>
      <w:pBdr>
        <w:top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41">
    <w:name w:val="xl41"/>
    <w:basedOn w:val="a"/>
    <w:uiPriority w:val="99"/>
    <w:rsid w:val="00382681"/>
    <w:pPr>
      <w:widowControl/>
      <w:pBdr>
        <w:top w:val="single" w:sz="8" w:space="0" w:color="auto"/>
        <w:left w:val="single" w:sz="8" w:space="0" w:color="auto"/>
        <w:bottom w:val="single" w:sz="8" w:space="0" w:color="auto"/>
      </w:pBdr>
      <w:spacing w:before="100" w:beforeAutospacing="1" w:after="100" w:afterAutospacing="1"/>
    </w:pPr>
    <w:rPr>
      <w:rFonts w:ascii="新細明體" w:hAnsi="新細明體" w:cs="新細明體"/>
      <w:kern w:val="0"/>
      <w:sz w:val="18"/>
      <w:szCs w:val="18"/>
    </w:rPr>
  </w:style>
  <w:style w:type="paragraph" w:customStyle="1" w:styleId="xl42">
    <w:name w:val="xl42"/>
    <w:basedOn w:val="a"/>
    <w:uiPriority w:val="99"/>
    <w:rsid w:val="00382681"/>
    <w:pPr>
      <w:widowControl/>
      <w:pBdr>
        <w:top w:val="single" w:sz="8" w:space="0" w:color="auto"/>
        <w:bottom w:val="single" w:sz="8" w:space="0" w:color="auto"/>
      </w:pBdr>
      <w:spacing w:before="100" w:beforeAutospacing="1" w:after="100" w:afterAutospacing="1"/>
    </w:pPr>
    <w:rPr>
      <w:rFonts w:ascii="新細明體" w:hAnsi="新細明體" w:cs="新細明體"/>
      <w:kern w:val="0"/>
      <w:sz w:val="18"/>
      <w:szCs w:val="18"/>
    </w:rPr>
  </w:style>
  <w:style w:type="paragraph" w:customStyle="1" w:styleId="xl43">
    <w:name w:val="xl43"/>
    <w:basedOn w:val="a"/>
    <w:uiPriority w:val="99"/>
    <w:rsid w:val="00382681"/>
    <w:pPr>
      <w:widowControl/>
      <w:pBdr>
        <w:top w:val="single" w:sz="8" w:space="0" w:color="auto"/>
        <w:bottom w:val="single" w:sz="8" w:space="0" w:color="auto"/>
        <w:right w:val="single" w:sz="8" w:space="0" w:color="000000"/>
      </w:pBdr>
      <w:spacing w:before="100" w:beforeAutospacing="1" w:after="100" w:afterAutospacing="1"/>
    </w:pPr>
    <w:rPr>
      <w:rFonts w:ascii="新細明體" w:hAnsi="新細明體" w:cs="新細明體"/>
      <w:kern w:val="0"/>
      <w:sz w:val="18"/>
      <w:szCs w:val="18"/>
    </w:rPr>
  </w:style>
  <w:style w:type="paragraph" w:customStyle="1" w:styleId="xl44">
    <w:name w:val="xl44"/>
    <w:basedOn w:val="a"/>
    <w:uiPriority w:val="99"/>
    <w:rsid w:val="00382681"/>
    <w:pPr>
      <w:widowControl/>
      <w:pBdr>
        <w:bottom w:val="single" w:sz="8" w:space="0" w:color="auto"/>
      </w:pBdr>
      <w:spacing w:before="100" w:beforeAutospacing="1" w:after="100" w:afterAutospacing="1"/>
    </w:pPr>
    <w:rPr>
      <w:rFonts w:ascii="新細明體" w:hAnsi="新細明體" w:cs="新細明體"/>
      <w:b/>
      <w:bCs/>
      <w:kern w:val="0"/>
    </w:rPr>
  </w:style>
  <w:style w:type="paragraph" w:customStyle="1" w:styleId="xl45">
    <w:name w:val="xl45"/>
    <w:basedOn w:val="a"/>
    <w:uiPriority w:val="99"/>
    <w:rsid w:val="00382681"/>
    <w:pPr>
      <w:widowControl/>
      <w:pBdr>
        <w:top w:val="double" w:sz="6" w:space="0" w:color="auto"/>
        <w:left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6">
    <w:name w:val="xl46"/>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7">
    <w:name w:val="xl47"/>
    <w:basedOn w:val="a"/>
    <w:uiPriority w:val="99"/>
    <w:rsid w:val="00382681"/>
    <w:pPr>
      <w:widowControl/>
      <w:pBdr>
        <w:top w:val="single" w:sz="8" w:space="0" w:color="auto"/>
        <w:bottom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8">
    <w:name w:val="xl48"/>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9">
    <w:name w:val="xl49"/>
    <w:basedOn w:val="a"/>
    <w:uiPriority w:val="99"/>
    <w:rsid w:val="00382681"/>
    <w:pPr>
      <w:widowControl/>
      <w:pBdr>
        <w:bottom w:val="single" w:sz="8" w:space="0" w:color="auto"/>
        <w:right w:val="single" w:sz="8" w:space="0" w:color="auto"/>
      </w:pBdr>
      <w:spacing w:before="100" w:beforeAutospacing="1" w:after="100" w:afterAutospacing="1"/>
      <w:jc w:val="right"/>
    </w:pPr>
    <w:rPr>
      <w:color w:val="FF0000"/>
      <w:kern w:val="0"/>
      <w:sz w:val="18"/>
      <w:szCs w:val="18"/>
    </w:rPr>
  </w:style>
  <w:style w:type="paragraph" w:customStyle="1" w:styleId="xl50">
    <w:name w:val="xl50"/>
    <w:basedOn w:val="a"/>
    <w:uiPriority w:val="99"/>
    <w:rsid w:val="00382681"/>
    <w:pPr>
      <w:widowControl/>
      <w:pBdr>
        <w:bottom w:val="single" w:sz="8" w:space="0" w:color="auto"/>
        <w:right w:val="single" w:sz="8" w:space="0" w:color="auto"/>
      </w:pBdr>
      <w:spacing w:before="100" w:beforeAutospacing="1" w:after="100" w:afterAutospacing="1"/>
      <w:jc w:val="right"/>
    </w:pPr>
    <w:rPr>
      <w:color w:val="008000"/>
      <w:kern w:val="0"/>
      <w:sz w:val="18"/>
      <w:szCs w:val="18"/>
    </w:rPr>
  </w:style>
  <w:style w:type="paragraph" w:customStyle="1" w:styleId="xl51">
    <w:name w:val="xl51"/>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color w:val="FF0000"/>
      <w:kern w:val="0"/>
      <w:sz w:val="18"/>
      <w:szCs w:val="18"/>
    </w:rPr>
  </w:style>
  <w:style w:type="paragraph" w:customStyle="1" w:styleId="xl52">
    <w:name w:val="xl52"/>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color w:val="008000"/>
      <w:kern w:val="0"/>
      <w:sz w:val="18"/>
      <w:szCs w:val="18"/>
    </w:rPr>
  </w:style>
  <w:style w:type="paragraph" w:customStyle="1" w:styleId="xl53">
    <w:name w:val="xl53"/>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b/>
      <w:bCs/>
      <w:color w:val="FF0000"/>
      <w:kern w:val="0"/>
      <w:sz w:val="18"/>
      <w:szCs w:val="18"/>
    </w:rPr>
  </w:style>
  <w:style w:type="paragraph" w:customStyle="1" w:styleId="xl66">
    <w:name w:val="xl66"/>
    <w:basedOn w:val="a"/>
    <w:uiPriority w:val="99"/>
    <w:rsid w:val="00382681"/>
    <w:pPr>
      <w:widowControl/>
      <w:pBdr>
        <w:bottom w:val="single" w:sz="8" w:space="0" w:color="auto"/>
      </w:pBdr>
      <w:spacing w:before="100" w:beforeAutospacing="1" w:after="100" w:afterAutospacing="1"/>
    </w:pPr>
    <w:rPr>
      <w:rFonts w:ascii="新細明體" w:hAnsi="新細明體" w:cs="新細明體"/>
      <w:kern w:val="0"/>
    </w:rPr>
  </w:style>
  <w:style w:type="paragraph" w:customStyle="1" w:styleId="xl67">
    <w:name w:val="xl67"/>
    <w:basedOn w:val="a"/>
    <w:uiPriority w:val="99"/>
    <w:rsid w:val="00382681"/>
    <w:pPr>
      <w:widowControl/>
      <w:pBdr>
        <w:bottom w:val="single" w:sz="8" w:space="0" w:color="auto"/>
      </w:pBdr>
      <w:spacing w:before="100" w:beforeAutospacing="1" w:after="100" w:afterAutospacing="1"/>
      <w:jc w:val="center"/>
    </w:pPr>
    <w:rPr>
      <w:rFonts w:ascii="新細明體" w:hAnsi="新細明體" w:cs="新細明體"/>
      <w:kern w:val="0"/>
    </w:rPr>
  </w:style>
  <w:style w:type="paragraph" w:customStyle="1" w:styleId="xl68">
    <w:name w:val="xl68"/>
    <w:basedOn w:val="a"/>
    <w:uiPriority w:val="99"/>
    <w:rsid w:val="00382681"/>
    <w:pPr>
      <w:widowControl/>
      <w:pBdr>
        <w:lef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69">
    <w:name w:val="xl69"/>
    <w:basedOn w:val="a"/>
    <w:uiPriority w:val="99"/>
    <w:rsid w:val="00382681"/>
    <w:pPr>
      <w:widowControl/>
      <w:spacing w:before="100" w:beforeAutospacing="1" w:after="100" w:afterAutospacing="1"/>
      <w:jc w:val="center"/>
    </w:pPr>
    <w:rPr>
      <w:rFonts w:ascii="新細明體" w:hAnsi="新細明體" w:cs="新細明體"/>
      <w:kern w:val="0"/>
      <w:sz w:val="18"/>
      <w:szCs w:val="18"/>
    </w:rPr>
  </w:style>
  <w:style w:type="paragraph" w:customStyle="1" w:styleId="xl70">
    <w:name w:val="xl70"/>
    <w:basedOn w:val="a"/>
    <w:uiPriority w:val="99"/>
    <w:rsid w:val="00382681"/>
    <w:pPr>
      <w:widowControl/>
      <w:pBdr>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71">
    <w:name w:val="xl71"/>
    <w:basedOn w:val="a"/>
    <w:uiPriority w:val="99"/>
    <w:rsid w:val="00382681"/>
    <w:pPr>
      <w:widowControl/>
      <w:pBdr>
        <w:top w:val="double" w:sz="6" w:space="0" w:color="auto"/>
        <w:left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2">
    <w:name w:val="xl72"/>
    <w:basedOn w:val="a"/>
    <w:uiPriority w:val="99"/>
    <w:rsid w:val="00382681"/>
    <w:pPr>
      <w:widowControl/>
      <w:pBdr>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3">
    <w:name w:val="xl73"/>
    <w:basedOn w:val="a"/>
    <w:uiPriority w:val="99"/>
    <w:rsid w:val="00382681"/>
    <w:pPr>
      <w:widowControl/>
      <w:pBdr>
        <w:top w:val="double" w:sz="6"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4">
    <w:name w:val="xl74"/>
    <w:basedOn w:val="a"/>
    <w:uiPriority w:val="99"/>
    <w:rsid w:val="00382681"/>
    <w:pPr>
      <w:widowControl/>
      <w:pBdr>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5">
    <w:name w:val="xl75"/>
    <w:basedOn w:val="a"/>
    <w:uiPriority w:val="99"/>
    <w:rsid w:val="00382681"/>
    <w:pPr>
      <w:widowControl/>
      <w:pBdr>
        <w:top w:val="double" w:sz="6" w:space="0" w:color="auto"/>
        <w:bottom w:val="double" w:sz="6" w:space="0" w:color="auto"/>
        <w:right w:val="single" w:sz="8"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6">
    <w:name w:val="xl76"/>
    <w:basedOn w:val="a"/>
    <w:uiPriority w:val="99"/>
    <w:rsid w:val="00382681"/>
    <w:pPr>
      <w:widowControl/>
      <w:pBdr>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77">
    <w:name w:val="xl77"/>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78">
    <w:name w:val="xl78"/>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79">
    <w:name w:val="xl79"/>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80">
    <w:name w:val="xl80"/>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81">
    <w:name w:val="xl81"/>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82">
    <w:name w:val="xl82"/>
    <w:basedOn w:val="a"/>
    <w:uiPriority w:val="99"/>
    <w:rsid w:val="00382681"/>
    <w:pPr>
      <w:widowControl/>
      <w:pBdr>
        <w:left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83">
    <w:name w:val="xl83"/>
    <w:basedOn w:val="a"/>
    <w:uiPriority w:val="99"/>
    <w:rsid w:val="00382681"/>
    <w:pPr>
      <w:widowControl/>
      <w:pBdr>
        <w:bottom w:val="double" w:sz="6" w:space="0" w:color="auto"/>
      </w:pBdr>
      <w:shd w:val="clear" w:color="auto" w:fill="CCFFFF"/>
      <w:spacing w:before="100" w:beforeAutospacing="1" w:after="100" w:afterAutospacing="1"/>
      <w:jc w:val="right"/>
    </w:pPr>
    <w:rPr>
      <w:rFonts w:ascii="新細明體" w:hAnsi="新細明體" w:cs="新細明體"/>
      <w:kern w:val="0"/>
      <w:sz w:val="18"/>
      <w:szCs w:val="18"/>
    </w:rPr>
  </w:style>
  <w:style w:type="paragraph" w:customStyle="1" w:styleId="xl84">
    <w:name w:val="xl84"/>
    <w:basedOn w:val="a"/>
    <w:uiPriority w:val="99"/>
    <w:rsid w:val="00382681"/>
    <w:pPr>
      <w:widowControl/>
      <w:pBdr>
        <w:bottom w:val="double" w:sz="6" w:space="0" w:color="auto"/>
        <w:right w:val="single" w:sz="8" w:space="0" w:color="auto"/>
      </w:pBdr>
      <w:shd w:val="clear" w:color="auto" w:fill="CCFFFF"/>
      <w:spacing w:before="100" w:beforeAutospacing="1" w:after="100" w:afterAutospacing="1"/>
    </w:pPr>
    <w:rPr>
      <w:rFonts w:ascii="新細明體" w:hAnsi="新細明體" w:cs="新細明體"/>
      <w:kern w:val="0"/>
      <w:sz w:val="18"/>
      <w:szCs w:val="18"/>
    </w:rPr>
  </w:style>
  <w:style w:type="paragraph" w:customStyle="1" w:styleId="xl85">
    <w:name w:val="xl85"/>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b/>
      <w:bCs/>
      <w:color w:val="FF0000"/>
      <w:kern w:val="0"/>
      <w:sz w:val="18"/>
      <w:szCs w:val="18"/>
    </w:rPr>
  </w:style>
  <w:style w:type="paragraph" w:customStyle="1" w:styleId="xl86">
    <w:name w:val="xl86"/>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b/>
      <w:bCs/>
      <w:kern w:val="0"/>
      <w:sz w:val="18"/>
      <w:szCs w:val="18"/>
    </w:rPr>
  </w:style>
  <w:style w:type="paragraph" w:customStyle="1" w:styleId="xl87">
    <w:name w:val="xl87"/>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color w:val="FF0000"/>
      <w:kern w:val="0"/>
      <w:sz w:val="18"/>
      <w:szCs w:val="18"/>
    </w:rPr>
  </w:style>
  <w:style w:type="paragraph" w:customStyle="1" w:styleId="xl88">
    <w:name w:val="xl88"/>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b/>
      <w:bCs/>
      <w:color w:val="008000"/>
      <w:kern w:val="0"/>
      <w:sz w:val="18"/>
      <w:szCs w:val="18"/>
    </w:rPr>
  </w:style>
  <w:style w:type="paragraph" w:customStyle="1" w:styleId="xl89">
    <w:name w:val="xl89"/>
    <w:basedOn w:val="a"/>
    <w:uiPriority w:val="99"/>
    <w:rsid w:val="00382681"/>
    <w:pPr>
      <w:widowControl/>
      <w:pBdr>
        <w:bottom w:val="single" w:sz="8" w:space="0" w:color="auto"/>
        <w:right w:val="single" w:sz="8" w:space="0" w:color="auto"/>
      </w:pBdr>
      <w:spacing w:before="100" w:beforeAutospacing="1" w:after="100" w:afterAutospacing="1"/>
      <w:textAlignment w:val="top"/>
    </w:pPr>
    <w:rPr>
      <w:rFonts w:ascii="新細明體" w:hAnsi="新細明體" w:cs="新細明體"/>
      <w:b/>
      <w:bCs/>
      <w:color w:val="FF0000"/>
      <w:kern w:val="0"/>
      <w:sz w:val="18"/>
      <w:szCs w:val="18"/>
    </w:rPr>
  </w:style>
  <w:style w:type="paragraph" w:customStyle="1" w:styleId="xl90">
    <w:name w:val="xl90"/>
    <w:basedOn w:val="a"/>
    <w:uiPriority w:val="99"/>
    <w:rsid w:val="00382681"/>
    <w:pPr>
      <w:widowControl/>
      <w:pBdr>
        <w:bottom w:val="single" w:sz="8" w:space="0" w:color="auto"/>
        <w:right w:val="single" w:sz="8" w:space="0" w:color="auto"/>
      </w:pBdr>
      <w:spacing w:before="100" w:beforeAutospacing="1" w:after="100" w:afterAutospacing="1"/>
      <w:jc w:val="both"/>
    </w:pPr>
    <w:rPr>
      <w:rFonts w:ascii="新細明體" w:hAnsi="新細明體" w:cs="新細明體"/>
      <w:b/>
      <w:bCs/>
      <w:color w:val="FF0000"/>
      <w:kern w:val="0"/>
      <w:sz w:val="18"/>
      <w:szCs w:val="18"/>
    </w:rPr>
  </w:style>
  <w:style w:type="paragraph" w:customStyle="1" w:styleId="xl91">
    <w:name w:val="xl91"/>
    <w:basedOn w:val="a"/>
    <w:uiPriority w:val="99"/>
    <w:rsid w:val="00382681"/>
    <w:pPr>
      <w:widowControl/>
      <w:pBdr>
        <w:bottom w:val="single" w:sz="8" w:space="0" w:color="auto"/>
        <w:right w:val="single" w:sz="8" w:space="0" w:color="auto"/>
      </w:pBdr>
      <w:spacing w:before="100" w:beforeAutospacing="1" w:after="100" w:afterAutospacing="1"/>
      <w:jc w:val="both"/>
    </w:pPr>
    <w:rPr>
      <w:rFonts w:ascii="新細明體" w:hAnsi="新細明體" w:cs="新細明體"/>
      <w:kern w:val="0"/>
      <w:sz w:val="18"/>
      <w:szCs w:val="18"/>
    </w:rPr>
  </w:style>
  <w:style w:type="paragraph" w:customStyle="1" w:styleId="xl92">
    <w:name w:val="xl92"/>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93">
    <w:name w:val="xl93"/>
    <w:basedOn w:val="a"/>
    <w:uiPriority w:val="99"/>
    <w:rsid w:val="00382681"/>
    <w:pPr>
      <w:widowControl/>
      <w:pBdr>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94">
    <w:name w:val="xl94"/>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jc w:val="both"/>
    </w:pPr>
    <w:rPr>
      <w:rFonts w:ascii="新細明體" w:hAnsi="新細明體" w:cs="新細明體"/>
      <w:kern w:val="0"/>
      <w:sz w:val="18"/>
      <w:szCs w:val="18"/>
    </w:rPr>
  </w:style>
  <w:style w:type="paragraph" w:customStyle="1" w:styleId="xl95">
    <w:name w:val="xl95"/>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kern w:val="0"/>
      <w:sz w:val="18"/>
      <w:szCs w:val="18"/>
    </w:rPr>
  </w:style>
  <w:style w:type="paragraph" w:customStyle="1" w:styleId="xl96">
    <w:name w:val="xl96"/>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b/>
      <w:bCs/>
      <w:color w:val="008000"/>
      <w:kern w:val="0"/>
      <w:sz w:val="18"/>
      <w:szCs w:val="18"/>
    </w:rPr>
  </w:style>
  <w:style w:type="paragraph" w:customStyle="1" w:styleId="xl97">
    <w:name w:val="xl97"/>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b/>
      <w:bCs/>
      <w:color w:val="FF0000"/>
      <w:kern w:val="0"/>
      <w:sz w:val="18"/>
      <w:szCs w:val="18"/>
    </w:rPr>
  </w:style>
  <w:style w:type="paragraph" w:customStyle="1" w:styleId="xl98">
    <w:name w:val="xl98"/>
    <w:basedOn w:val="a"/>
    <w:uiPriority w:val="99"/>
    <w:rsid w:val="00382681"/>
    <w:pPr>
      <w:widowControl/>
      <w:spacing w:before="100" w:beforeAutospacing="1" w:after="100" w:afterAutospacing="1"/>
    </w:pPr>
    <w:rPr>
      <w:rFonts w:ascii="新細明體" w:hAnsi="新細明體" w:cs="新細明體"/>
      <w:kern w:val="0"/>
    </w:rPr>
  </w:style>
  <w:style w:type="paragraph" w:customStyle="1" w:styleId="xl99">
    <w:name w:val="xl99"/>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color w:val="FF0000"/>
      <w:kern w:val="0"/>
      <w:sz w:val="18"/>
      <w:szCs w:val="18"/>
    </w:rPr>
  </w:style>
  <w:style w:type="paragraph" w:customStyle="1" w:styleId="xl100">
    <w:name w:val="xl100"/>
    <w:basedOn w:val="a"/>
    <w:uiPriority w:val="99"/>
    <w:rsid w:val="00382681"/>
    <w:pPr>
      <w:widowControl/>
      <w:pBdr>
        <w:bottom w:val="single" w:sz="8" w:space="0" w:color="auto"/>
        <w:right w:val="single" w:sz="8" w:space="0" w:color="auto"/>
      </w:pBdr>
      <w:spacing w:before="100" w:beforeAutospacing="1" w:after="100" w:afterAutospacing="1"/>
      <w:jc w:val="both"/>
    </w:pPr>
    <w:rPr>
      <w:rFonts w:ascii="新細明體" w:hAnsi="新細明體" w:cs="新細明體"/>
      <w:kern w:val="0"/>
      <w:sz w:val="18"/>
      <w:szCs w:val="18"/>
    </w:rPr>
  </w:style>
  <w:style w:type="paragraph" w:customStyle="1" w:styleId="xl101">
    <w:name w:val="xl101"/>
    <w:basedOn w:val="a"/>
    <w:uiPriority w:val="99"/>
    <w:rsid w:val="00382681"/>
    <w:pPr>
      <w:widowControl/>
      <w:pBdr>
        <w:bottom w:val="single" w:sz="8" w:space="0" w:color="auto"/>
      </w:pBdr>
      <w:spacing w:before="100" w:beforeAutospacing="1" w:after="100" w:afterAutospacing="1"/>
    </w:pPr>
    <w:rPr>
      <w:rFonts w:ascii="新細明體" w:hAnsi="新細明體" w:cs="新細明體"/>
      <w:b/>
      <w:bCs/>
      <w:kern w:val="0"/>
    </w:rPr>
  </w:style>
  <w:style w:type="paragraph" w:customStyle="1" w:styleId="xl102">
    <w:name w:val="xl102"/>
    <w:basedOn w:val="a"/>
    <w:uiPriority w:val="99"/>
    <w:rsid w:val="00382681"/>
    <w:pPr>
      <w:widowControl/>
      <w:pBdr>
        <w:top w:val="single" w:sz="8" w:space="0" w:color="auto"/>
        <w:bottom w:val="double" w:sz="6" w:space="0" w:color="auto"/>
      </w:pBdr>
      <w:spacing w:before="100" w:beforeAutospacing="1" w:after="100" w:afterAutospacing="1"/>
      <w:jc w:val="center"/>
    </w:pPr>
    <w:rPr>
      <w:rFonts w:ascii="新細明體" w:hAnsi="新細明體" w:cs="新細明體"/>
      <w:kern w:val="0"/>
      <w:sz w:val="18"/>
      <w:szCs w:val="18"/>
    </w:rPr>
  </w:style>
  <w:style w:type="paragraph" w:customStyle="1" w:styleId="xl103">
    <w:name w:val="xl103"/>
    <w:basedOn w:val="a"/>
    <w:uiPriority w:val="99"/>
    <w:rsid w:val="00382681"/>
    <w:pPr>
      <w:widowControl/>
      <w:pBdr>
        <w:top w:val="double" w:sz="6" w:space="0" w:color="auto"/>
        <w:left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104">
    <w:name w:val="xl104"/>
    <w:basedOn w:val="a"/>
    <w:uiPriority w:val="99"/>
    <w:rsid w:val="00382681"/>
    <w:pPr>
      <w:widowControl/>
      <w:pBdr>
        <w:left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105">
    <w:name w:val="xl105"/>
    <w:basedOn w:val="a"/>
    <w:uiPriority w:val="99"/>
    <w:rsid w:val="00382681"/>
    <w:pPr>
      <w:widowControl/>
      <w:pBdr>
        <w:left w:val="single" w:sz="8" w:space="0" w:color="auto"/>
        <w:bottom w:val="single" w:sz="8" w:space="0" w:color="000000"/>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106">
    <w:name w:val="xl106"/>
    <w:basedOn w:val="a"/>
    <w:uiPriority w:val="99"/>
    <w:rsid w:val="00382681"/>
    <w:pPr>
      <w:widowControl/>
      <w:pBdr>
        <w:top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14082cm24p">
    <w:name w:val="樣式 (拉丁) 標楷體 (中文) 標楷體 14 點 左右對齊 第一行:  0.82 cm 行距:  最小行高 24 p..."/>
    <w:basedOn w:val="a"/>
    <w:autoRedefine/>
    <w:uiPriority w:val="99"/>
    <w:rsid w:val="00382681"/>
    <w:pPr>
      <w:spacing w:line="480" w:lineRule="atLeast"/>
      <w:ind w:firstLine="465"/>
      <w:jc w:val="both"/>
    </w:pPr>
    <w:rPr>
      <w:rFonts w:ascii="標楷體" w:eastAsia="標楷體" w:hAnsi="標楷體"/>
      <w:sz w:val="28"/>
      <w:szCs w:val="28"/>
    </w:rPr>
  </w:style>
  <w:style w:type="paragraph" w:customStyle="1" w:styleId="14">
    <w:name w:val="1.標"/>
    <w:basedOn w:val="a"/>
    <w:uiPriority w:val="99"/>
    <w:rsid w:val="00382681"/>
    <w:pPr>
      <w:adjustRightInd w:val="0"/>
      <w:snapToGrid w:val="0"/>
      <w:spacing w:beforeLines="50" w:afterLines="50" w:line="520" w:lineRule="exact"/>
      <w:jc w:val="both"/>
    </w:pPr>
    <w:rPr>
      <w:rFonts w:eastAsia="標楷體"/>
      <w:b/>
      <w:bCs/>
      <w:spacing w:val="4"/>
      <w:sz w:val="30"/>
      <w:szCs w:val="28"/>
    </w:rPr>
  </w:style>
  <w:style w:type="paragraph" w:customStyle="1" w:styleId="-3">
    <w:name w:val="內文-突排"/>
    <w:basedOn w:val="-0"/>
    <w:uiPriority w:val="99"/>
    <w:rsid w:val="00382681"/>
    <w:pPr>
      <w:spacing w:beforeLines="20" w:afterLines="20"/>
      <w:ind w:leftChars="150" w:left="350" w:hangingChars="200" w:hanging="200"/>
    </w:pPr>
  </w:style>
  <w:style w:type="paragraph" w:customStyle="1" w:styleId="-11">
    <w:name w:val="彩色清單 - 輔色 11"/>
    <w:basedOn w:val="a"/>
    <w:uiPriority w:val="99"/>
    <w:rsid w:val="00382681"/>
    <w:pPr>
      <w:widowControl/>
      <w:ind w:leftChars="200" w:left="480"/>
    </w:pPr>
    <w:rPr>
      <w:rFonts w:ascii="新細明體" w:hAnsi="新細明體" w:cs="新細明體"/>
      <w:kern w:val="0"/>
    </w:rPr>
  </w:style>
  <w:style w:type="paragraph" w:customStyle="1" w:styleId="15">
    <w:name w:val="清單段落1"/>
    <w:basedOn w:val="a"/>
    <w:uiPriority w:val="99"/>
    <w:rsid w:val="00382681"/>
    <w:pPr>
      <w:widowControl/>
      <w:ind w:leftChars="200" w:left="480"/>
    </w:pPr>
    <w:rPr>
      <w:rFonts w:ascii="新細明體" w:hAnsi="新細明體" w:cs="新細明體"/>
      <w:kern w:val="0"/>
    </w:rPr>
  </w:style>
  <w:style w:type="paragraph" w:customStyle="1" w:styleId="aff7">
    <w:name w:val="計畫題目"/>
    <w:basedOn w:val="a"/>
    <w:uiPriority w:val="99"/>
    <w:rsid w:val="00627257"/>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8">
    <w:name w:val="研究題目"/>
    <w:basedOn w:val="a"/>
    <w:uiPriority w:val="99"/>
    <w:rsid w:val="00627257"/>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customStyle="1" w:styleId="-4">
    <w:name w:val="壹-中"/>
    <w:uiPriority w:val="99"/>
    <w:rsid w:val="00627257"/>
    <w:pPr>
      <w:jc w:val="center"/>
    </w:pPr>
    <w:rPr>
      <w:rFonts w:eastAsia="標楷體"/>
      <w:spacing w:val="10"/>
      <w:sz w:val="36"/>
      <w:szCs w:val="40"/>
    </w:rPr>
  </w:style>
  <w:style w:type="paragraph" w:customStyle="1" w:styleId="16">
    <w:name w:val="1."/>
    <w:uiPriority w:val="99"/>
    <w:rsid w:val="00E129BE"/>
    <w:pPr>
      <w:spacing w:beforeLines="50" w:afterLines="50" w:line="480" w:lineRule="exact"/>
      <w:ind w:leftChars="200" w:left="275" w:hangingChars="75" w:hanging="75"/>
      <w:jc w:val="both"/>
    </w:pPr>
    <w:rPr>
      <w:rFonts w:eastAsia="標楷體"/>
      <w:spacing w:val="10"/>
      <w:sz w:val="28"/>
      <w:szCs w:val="40"/>
    </w:rPr>
  </w:style>
  <w:style w:type="paragraph" w:customStyle="1" w:styleId="-12">
    <w:name w:val="彩色清單 - 輔色 12"/>
    <w:basedOn w:val="a"/>
    <w:uiPriority w:val="99"/>
    <w:rsid w:val="003E51D5"/>
    <w:pPr>
      <w:widowControl/>
      <w:ind w:leftChars="200" w:left="480"/>
    </w:pPr>
    <w:rPr>
      <w:rFonts w:ascii="新細明體" w:hAnsi="新細明體" w:cs="新細明體"/>
      <w:kern w:val="0"/>
    </w:rPr>
  </w:style>
  <w:style w:type="paragraph" w:customStyle="1" w:styleId="aff9">
    <w:name w:val="（一）"/>
    <w:basedOn w:val="a"/>
    <w:uiPriority w:val="99"/>
    <w:rsid w:val="003E51D5"/>
    <w:pPr>
      <w:tabs>
        <w:tab w:val="left" w:pos="567"/>
      </w:tabs>
      <w:adjustRightInd w:val="0"/>
      <w:snapToGrid w:val="0"/>
      <w:spacing w:before="240" w:line="520" w:lineRule="atLeast"/>
      <w:ind w:left="851" w:hanging="851"/>
      <w:jc w:val="both"/>
      <w:textAlignment w:val="baseline"/>
    </w:pPr>
    <w:rPr>
      <w:rFonts w:eastAsia="標楷體"/>
      <w:spacing w:val="10"/>
      <w:sz w:val="28"/>
      <w:szCs w:val="28"/>
    </w:rPr>
  </w:style>
  <w:style w:type="paragraph" w:styleId="42">
    <w:name w:val="toc 4"/>
    <w:basedOn w:val="a"/>
    <w:next w:val="a"/>
    <w:autoRedefine/>
    <w:uiPriority w:val="99"/>
    <w:rsid w:val="003C38C6"/>
    <w:pPr>
      <w:ind w:leftChars="600" w:left="1440"/>
    </w:pPr>
    <w:rPr>
      <w:rFonts w:ascii="Calibri" w:hAnsi="Calibri"/>
      <w:szCs w:val="22"/>
    </w:rPr>
  </w:style>
  <w:style w:type="paragraph" w:styleId="50">
    <w:name w:val="toc 5"/>
    <w:basedOn w:val="a"/>
    <w:next w:val="a"/>
    <w:autoRedefine/>
    <w:uiPriority w:val="99"/>
    <w:rsid w:val="003C38C6"/>
    <w:pPr>
      <w:ind w:leftChars="800" w:left="1920"/>
    </w:pPr>
    <w:rPr>
      <w:rFonts w:ascii="Calibri" w:hAnsi="Calibri"/>
      <w:szCs w:val="22"/>
    </w:rPr>
  </w:style>
  <w:style w:type="paragraph" w:styleId="60">
    <w:name w:val="toc 6"/>
    <w:basedOn w:val="a"/>
    <w:next w:val="a"/>
    <w:autoRedefine/>
    <w:uiPriority w:val="99"/>
    <w:rsid w:val="003C38C6"/>
    <w:pPr>
      <w:ind w:leftChars="1000" w:left="2400"/>
    </w:pPr>
    <w:rPr>
      <w:rFonts w:ascii="Calibri" w:hAnsi="Calibri"/>
      <w:szCs w:val="22"/>
    </w:rPr>
  </w:style>
  <w:style w:type="paragraph" w:styleId="70">
    <w:name w:val="toc 7"/>
    <w:basedOn w:val="a"/>
    <w:next w:val="a"/>
    <w:autoRedefine/>
    <w:uiPriority w:val="39"/>
    <w:rsid w:val="003C38C6"/>
    <w:pPr>
      <w:ind w:leftChars="1200" w:left="2880"/>
    </w:pPr>
    <w:rPr>
      <w:rFonts w:ascii="Calibri" w:hAnsi="Calibri"/>
      <w:szCs w:val="22"/>
    </w:rPr>
  </w:style>
  <w:style w:type="paragraph" w:styleId="80">
    <w:name w:val="toc 8"/>
    <w:basedOn w:val="a"/>
    <w:next w:val="a"/>
    <w:autoRedefine/>
    <w:uiPriority w:val="99"/>
    <w:rsid w:val="003C38C6"/>
    <w:pPr>
      <w:ind w:leftChars="1400" w:left="3360"/>
    </w:pPr>
    <w:rPr>
      <w:rFonts w:ascii="Calibri" w:hAnsi="Calibri"/>
      <w:szCs w:val="22"/>
    </w:rPr>
  </w:style>
  <w:style w:type="paragraph" w:styleId="90">
    <w:name w:val="toc 9"/>
    <w:basedOn w:val="a"/>
    <w:next w:val="a"/>
    <w:autoRedefine/>
    <w:uiPriority w:val="99"/>
    <w:rsid w:val="003C38C6"/>
    <w:pPr>
      <w:ind w:leftChars="1600" w:left="3840"/>
    </w:pPr>
    <w:rPr>
      <w:rFonts w:ascii="Calibri" w:hAnsi="Calibri"/>
      <w:szCs w:val="22"/>
    </w:rPr>
  </w:style>
  <w:style w:type="paragraph" w:customStyle="1" w:styleId="17">
    <w:name w:val="目錄標題1"/>
    <w:basedOn w:val="1"/>
    <w:next w:val="a"/>
    <w:uiPriority w:val="99"/>
    <w:semiHidden/>
    <w:rsid w:val="006E6CFB"/>
    <w:pPr>
      <w:keepLines/>
      <w:widowControl/>
      <w:spacing w:before="480" w:line="276" w:lineRule="auto"/>
      <w:outlineLvl w:val="9"/>
    </w:pPr>
    <w:rPr>
      <w:rFonts w:ascii="Cambria" w:eastAsia="新細明體" w:hAnsi="Cambria"/>
      <w:color w:val="365F91"/>
      <w:kern w:val="0"/>
      <w:sz w:val="28"/>
      <w:szCs w:val="28"/>
    </w:rPr>
  </w:style>
  <w:style w:type="paragraph" w:customStyle="1" w:styleId="-13">
    <w:name w:val="彩色清單 - 輔色 13"/>
    <w:basedOn w:val="a"/>
    <w:uiPriority w:val="99"/>
    <w:rsid w:val="00894768"/>
    <w:pPr>
      <w:ind w:leftChars="200" w:left="480"/>
    </w:pPr>
    <w:rPr>
      <w:rFonts w:ascii="Calibri" w:hAnsi="Calibri"/>
      <w:szCs w:val="22"/>
    </w:rPr>
  </w:style>
  <w:style w:type="table" w:customStyle="1" w:styleId="LightShading1">
    <w:name w:val="Light Shading1"/>
    <w:uiPriority w:val="99"/>
    <w:rsid w:val="00894768"/>
    <w:rPr>
      <w:rFonts w:ascii="Calibri" w:hAnsi="Calibri"/>
      <w:color w:val="000000"/>
      <w:kern w:val="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120">
    <w:name w:val="表文字-左12"/>
    <w:link w:val="-121"/>
    <w:uiPriority w:val="99"/>
    <w:rsid w:val="00894768"/>
    <w:pPr>
      <w:spacing w:before="40" w:after="40" w:line="280" w:lineRule="exact"/>
      <w:jc w:val="both"/>
    </w:pPr>
    <w:rPr>
      <w:rFonts w:eastAsia="標楷體"/>
      <w:spacing w:val="10"/>
      <w:sz w:val="22"/>
    </w:rPr>
  </w:style>
  <w:style w:type="character" w:customStyle="1" w:styleId="-121">
    <w:name w:val="表文字-左12 字元"/>
    <w:link w:val="-120"/>
    <w:uiPriority w:val="99"/>
    <w:locked/>
    <w:rsid w:val="00894768"/>
    <w:rPr>
      <w:rFonts w:eastAsia="標楷體"/>
      <w:spacing w:val="10"/>
      <w:kern w:val="2"/>
      <w:sz w:val="22"/>
    </w:rPr>
  </w:style>
  <w:style w:type="paragraph" w:customStyle="1" w:styleId="affa">
    <w:name w:val="表標題"/>
    <w:basedOn w:val="a"/>
    <w:link w:val="affb"/>
    <w:uiPriority w:val="99"/>
    <w:rsid w:val="00894768"/>
    <w:pPr>
      <w:adjustRightInd w:val="0"/>
      <w:snapToGrid w:val="0"/>
      <w:spacing w:afterLines="50" w:line="520" w:lineRule="exact"/>
      <w:jc w:val="center"/>
      <w:textAlignment w:val="baseline"/>
    </w:pPr>
    <w:rPr>
      <w:rFonts w:eastAsia="標楷體"/>
      <w:b/>
      <w:kern w:val="0"/>
      <w:sz w:val="28"/>
      <w:szCs w:val="20"/>
    </w:rPr>
  </w:style>
  <w:style w:type="character" w:customStyle="1" w:styleId="affb">
    <w:name w:val="表標題 字元"/>
    <w:link w:val="affa"/>
    <w:uiPriority w:val="99"/>
    <w:locked/>
    <w:rsid w:val="00A116C9"/>
    <w:rPr>
      <w:rFonts w:eastAsia="標楷體"/>
      <w:b/>
      <w:sz w:val="28"/>
      <w:lang w:val="en-US" w:eastAsia="zh-TW"/>
    </w:rPr>
  </w:style>
  <w:style w:type="character" w:styleId="affc">
    <w:name w:val="FollowedHyperlink"/>
    <w:basedOn w:val="a1"/>
    <w:uiPriority w:val="99"/>
    <w:semiHidden/>
    <w:rsid w:val="00672453"/>
    <w:rPr>
      <w:rFonts w:cs="Times New Roman"/>
      <w:color w:val="800080"/>
      <w:u w:val="single"/>
    </w:rPr>
  </w:style>
  <w:style w:type="paragraph" w:customStyle="1" w:styleId="font6">
    <w:name w:val="font6"/>
    <w:basedOn w:val="a"/>
    <w:uiPriority w:val="99"/>
    <w:rsid w:val="00672453"/>
    <w:pPr>
      <w:widowControl/>
      <w:spacing w:before="100" w:beforeAutospacing="1" w:after="100" w:afterAutospacing="1"/>
    </w:pPr>
    <w:rPr>
      <w:rFonts w:ascii="標楷體" w:eastAsia="標楷體" w:hAnsi="標楷體" w:cs="新細明體"/>
      <w:color w:val="000000"/>
      <w:kern w:val="0"/>
      <w:sz w:val="18"/>
      <w:szCs w:val="18"/>
    </w:rPr>
  </w:style>
  <w:style w:type="paragraph" w:customStyle="1" w:styleId="font7">
    <w:name w:val="font7"/>
    <w:basedOn w:val="a"/>
    <w:uiPriority w:val="99"/>
    <w:rsid w:val="00672453"/>
    <w:pPr>
      <w:widowControl/>
      <w:spacing w:before="100" w:beforeAutospacing="1" w:after="100" w:afterAutospacing="1"/>
    </w:pPr>
    <w:rPr>
      <w:rFonts w:ascii="新細明體" w:hAnsi="新細明體" w:cs="新細明體"/>
      <w:kern w:val="0"/>
      <w:sz w:val="18"/>
      <w:szCs w:val="18"/>
    </w:rPr>
  </w:style>
  <w:style w:type="paragraph" w:customStyle="1" w:styleId="font8">
    <w:name w:val="font8"/>
    <w:basedOn w:val="a"/>
    <w:uiPriority w:val="99"/>
    <w:rsid w:val="00672453"/>
    <w:pPr>
      <w:widowControl/>
      <w:spacing w:before="100" w:beforeAutospacing="1" w:after="100" w:afterAutospacing="1"/>
    </w:pPr>
    <w:rPr>
      <w:b/>
      <w:bCs/>
      <w:color w:val="000000"/>
      <w:kern w:val="0"/>
    </w:rPr>
  </w:style>
  <w:style w:type="paragraph" w:customStyle="1" w:styleId="font9">
    <w:name w:val="font9"/>
    <w:basedOn w:val="a"/>
    <w:uiPriority w:val="99"/>
    <w:rsid w:val="00672453"/>
    <w:pPr>
      <w:widowControl/>
      <w:spacing w:before="100" w:beforeAutospacing="1" w:after="100" w:afterAutospacing="1"/>
    </w:pPr>
    <w:rPr>
      <w:rFonts w:ascii="標楷體" w:eastAsia="標楷體" w:hAnsi="標楷體" w:cs="新細明體"/>
      <w:b/>
      <w:bCs/>
      <w:color w:val="000000"/>
      <w:kern w:val="0"/>
    </w:rPr>
  </w:style>
  <w:style w:type="paragraph" w:customStyle="1" w:styleId="font10">
    <w:name w:val="font10"/>
    <w:basedOn w:val="a"/>
    <w:uiPriority w:val="99"/>
    <w:rsid w:val="00672453"/>
    <w:pPr>
      <w:widowControl/>
      <w:spacing w:before="100" w:beforeAutospacing="1" w:after="100" w:afterAutospacing="1"/>
    </w:pPr>
    <w:rPr>
      <w:rFonts w:ascii="標楷體" w:eastAsia="標楷體" w:hAnsi="標楷體" w:cs="新細明體"/>
      <w:color w:val="000000"/>
      <w:kern w:val="0"/>
      <w:sz w:val="16"/>
      <w:szCs w:val="16"/>
    </w:rPr>
  </w:style>
  <w:style w:type="paragraph" w:customStyle="1" w:styleId="xl63">
    <w:name w:val="xl63"/>
    <w:basedOn w:val="a"/>
    <w:uiPriority w:val="99"/>
    <w:rsid w:val="00672453"/>
    <w:pPr>
      <w:widowControl/>
      <w:pBdr>
        <w:left w:val="single" w:sz="8" w:space="0" w:color="auto"/>
        <w:bottom w:val="single" w:sz="8" w:space="0" w:color="auto"/>
        <w:right w:val="single" w:sz="8" w:space="0" w:color="auto"/>
      </w:pBdr>
      <w:spacing w:before="100" w:beforeAutospacing="1" w:after="100" w:afterAutospacing="1"/>
      <w:jc w:val="center"/>
    </w:pPr>
    <w:rPr>
      <w:kern w:val="0"/>
      <w:sz w:val="18"/>
      <w:szCs w:val="18"/>
    </w:rPr>
  </w:style>
  <w:style w:type="paragraph" w:customStyle="1" w:styleId="xl64">
    <w:name w:val="xl64"/>
    <w:basedOn w:val="a"/>
    <w:uiPriority w:val="99"/>
    <w:rsid w:val="00672453"/>
    <w:pPr>
      <w:widowControl/>
      <w:pBdr>
        <w:bottom w:val="single" w:sz="8" w:space="0" w:color="auto"/>
        <w:right w:val="single" w:sz="8" w:space="0" w:color="auto"/>
      </w:pBdr>
      <w:spacing w:before="100" w:beforeAutospacing="1" w:after="100" w:afterAutospacing="1"/>
      <w:jc w:val="center"/>
    </w:pPr>
    <w:rPr>
      <w:kern w:val="0"/>
      <w:sz w:val="18"/>
      <w:szCs w:val="18"/>
    </w:rPr>
  </w:style>
  <w:style w:type="paragraph" w:customStyle="1" w:styleId="-14">
    <w:name w:val="彩色清單 - 輔色 14"/>
    <w:basedOn w:val="a"/>
    <w:uiPriority w:val="99"/>
    <w:rsid w:val="003056D7"/>
    <w:pPr>
      <w:ind w:leftChars="200" w:left="480"/>
    </w:pPr>
    <w:rPr>
      <w:rFonts w:ascii="Calibri" w:hAnsi="Calibri"/>
      <w:szCs w:val="22"/>
    </w:rPr>
  </w:style>
  <w:style w:type="paragraph" w:customStyle="1" w:styleId="affd">
    <w:name w:val="一"/>
    <w:basedOn w:val="a"/>
    <w:uiPriority w:val="99"/>
    <w:rsid w:val="003A0676"/>
    <w:pPr>
      <w:autoSpaceDN w:val="0"/>
      <w:spacing w:before="60" w:after="60"/>
      <w:ind w:left="403" w:hanging="403"/>
    </w:pPr>
    <w:rPr>
      <w:rFonts w:eastAsia="華康中黑體"/>
      <w:b/>
      <w:sz w:val="20"/>
      <w:szCs w:val="20"/>
    </w:rPr>
  </w:style>
  <w:style w:type="paragraph" w:customStyle="1" w:styleId="Pa6">
    <w:name w:val="Pa6"/>
    <w:basedOn w:val="a"/>
    <w:next w:val="a"/>
    <w:uiPriority w:val="99"/>
    <w:rsid w:val="00176FFA"/>
    <w:pPr>
      <w:autoSpaceDE w:val="0"/>
      <w:autoSpaceDN w:val="0"/>
      <w:adjustRightInd w:val="0"/>
      <w:spacing w:line="221" w:lineRule="atLeast"/>
    </w:pPr>
    <w:rPr>
      <w:kern w:val="0"/>
    </w:rPr>
  </w:style>
  <w:style w:type="paragraph" w:styleId="affe">
    <w:name w:val="List Paragraph"/>
    <w:basedOn w:val="a"/>
    <w:uiPriority w:val="99"/>
    <w:qFormat/>
    <w:rsid w:val="00416874"/>
    <w:pPr>
      <w:widowControl/>
      <w:ind w:leftChars="200" w:left="480"/>
    </w:pPr>
    <w:rPr>
      <w:rFonts w:ascii="新細明體" w:hAnsi="新細明體" w:cs="新細明體"/>
      <w:kern w:val="0"/>
    </w:rPr>
  </w:style>
  <w:style w:type="paragraph" w:styleId="afff">
    <w:name w:val="Document Map"/>
    <w:basedOn w:val="a"/>
    <w:link w:val="afff0"/>
    <w:uiPriority w:val="99"/>
    <w:semiHidden/>
    <w:rsid w:val="00416874"/>
    <w:rPr>
      <w:rFonts w:ascii="新細明體"/>
      <w:sz w:val="18"/>
      <w:szCs w:val="20"/>
    </w:rPr>
  </w:style>
  <w:style w:type="character" w:customStyle="1" w:styleId="afff0">
    <w:name w:val="文件引導模式 字元"/>
    <w:basedOn w:val="a1"/>
    <w:link w:val="afff"/>
    <w:uiPriority w:val="99"/>
    <w:semiHidden/>
    <w:locked/>
    <w:rsid w:val="00416874"/>
    <w:rPr>
      <w:rFonts w:ascii="新細明體" w:cs="Times New Roman"/>
      <w:kern w:val="2"/>
      <w:sz w:val="18"/>
    </w:rPr>
  </w:style>
  <w:style w:type="paragraph" w:styleId="afff1">
    <w:name w:val="Title"/>
    <w:basedOn w:val="a"/>
    <w:next w:val="a"/>
    <w:link w:val="afff2"/>
    <w:uiPriority w:val="99"/>
    <w:qFormat/>
    <w:rsid w:val="00416874"/>
    <w:pPr>
      <w:pBdr>
        <w:bottom w:val="single" w:sz="8" w:space="4" w:color="4F81BD"/>
      </w:pBdr>
      <w:spacing w:after="300"/>
      <w:contextualSpacing/>
    </w:pPr>
    <w:rPr>
      <w:rFonts w:ascii="Cambria" w:hAnsi="Cambria"/>
      <w:color w:val="17365D"/>
      <w:spacing w:val="5"/>
      <w:kern w:val="28"/>
      <w:sz w:val="52"/>
      <w:szCs w:val="20"/>
    </w:rPr>
  </w:style>
  <w:style w:type="character" w:customStyle="1" w:styleId="afff2">
    <w:name w:val="標題 字元"/>
    <w:basedOn w:val="a1"/>
    <w:link w:val="afff1"/>
    <w:uiPriority w:val="99"/>
    <w:locked/>
    <w:rsid w:val="00416874"/>
    <w:rPr>
      <w:rFonts w:ascii="Cambria" w:hAnsi="Cambria" w:cs="Times New Roman"/>
      <w:color w:val="17365D"/>
      <w:spacing w:val="5"/>
      <w:kern w:val="28"/>
      <w:sz w:val="52"/>
    </w:rPr>
  </w:style>
  <w:style w:type="paragraph" w:styleId="afff3">
    <w:name w:val="No Spacing"/>
    <w:link w:val="afff4"/>
    <w:uiPriority w:val="99"/>
    <w:qFormat/>
    <w:rsid w:val="00416874"/>
    <w:pPr>
      <w:widowControl w:val="0"/>
    </w:pPr>
    <w:rPr>
      <w:rFonts w:ascii="Calibri" w:hAnsi="Calibri"/>
      <w:sz w:val="22"/>
    </w:rPr>
  </w:style>
  <w:style w:type="character" w:customStyle="1" w:styleId="afff4">
    <w:name w:val="無間距 字元"/>
    <w:link w:val="afff3"/>
    <w:uiPriority w:val="99"/>
    <w:locked/>
    <w:rsid w:val="004F7CEF"/>
    <w:rPr>
      <w:rFonts w:ascii="Calibri" w:hAnsi="Calibri"/>
      <w:kern w:val="2"/>
      <w:sz w:val="22"/>
    </w:rPr>
  </w:style>
  <w:style w:type="paragraph" w:styleId="z-">
    <w:name w:val="HTML Top of Form"/>
    <w:basedOn w:val="a"/>
    <w:next w:val="a"/>
    <w:link w:val="z-0"/>
    <w:hidden/>
    <w:uiPriority w:val="99"/>
    <w:semiHidden/>
    <w:rsid w:val="00416874"/>
    <w:pPr>
      <w:widowControl/>
      <w:pBdr>
        <w:bottom w:val="single" w:sz="6" w:space="1" w:color="auto"/>
      </w:pBdr>
      <w:jc w:val="center"/>
    </w:pPr>
    <w:rPr>
      <w:rFonts w:ascii="Arial" w:hAnsi="Arial"/>
      <w:vanish/>
      <w:kern w:val="0"/>
      <w:sz w:val="16"/>
      <w:szCs w:val="20"/>
    </w:rPr>
  </w:style>
  <w:style w:type="character" w:customStyle="1" w:styleId="z-0">
    <w:name w:val="z-表單的頂端 字元"/>
    <w:basedOn w:val="a1"/>
    <w:link w:val="z-"/>
    <w:uiPriority w:val="99"/>
    <w:semiHidden/>
    <w:locked/>
    <w:rsid w:val="00416874"/>
    <w:rPr>
      <w:rFonts w:ascii="Arial" w:hAnsi="Arial" w:cs="Times New Roman"/>
      <w:vanish/>
      <w:sz w:val="16"/>
    </w:rPr>
  </w:style>
  <w:style w:type="paragraph" w:styleId="z-1">
    <w:name w:val="HTML Bottom of Form"/>
    <w:basedOn w:val="a"/>
    <w:next w:val="a"/>
    <w:link w:val="z-2"/>
    <w:hidden/>
    <w:uiPriority w:val="99"/>
    <w:rsid w:val="00416874"/>
    <w:pPr>
      <w:widowControl/>
      <w:pBdr>
        <w:top w:val="single" w:sz="6" w:space="1" w:color="auto"/>
      </w:pBdr>
      <w:jc w:val="center"/>
    </w:pPr>
    <w:rPr>
      <w:rFonts w:ascii="Arial" w:hAnsi="Arial"/>
      <w:vanish/>
      <w:kern w:val="0"/>
      <w:sz w:val="16"/>
      <w:szCs w:val="20"/>
    </w:rPr>
  </w:style>
  <w:style w:type="character" w:customStyle="1" w:styleId="z-2">
    <w:name w:val="z-表單的底部 字元"/>
    <w:basedOn w:val="a1"/>
    <w:link w:val="z-1"/>
    <w:uiPriority w:val="99"/>
    <w:locked/>
    <w:rsid w:val="00416874"/>
    <w:rPr>
      <w:rFonts w:ascii="Arial" w:hAnsi="Arial" w:cs="Times New Roman"/>
      <w:vanish/>
      <w:sz w:val="16"/>
    </w:rPr>
  </w:style>
  <w:style w:type="character" w:customStyle="1" w:styleId="para-041">
    <w:name w:val="para-041"/>
    <w:uiPriority w:val="99"/>
    <w:rsid w:val="00416874"/>
    <w:rPr>
      <w:color w:val="009900"/>
      <w:sz w:val="16"/>
    </w:rPr>
  </w:style>
  <w:style w:type="paragraph" w:styleId="afff5">
    <w:name w:val="caption"/>
    <w:basedOn w:val="a"/>
    <w:next w:val="a"/>
    <w:uiPriority w:val="35"/>
    <w:qFormat/>
    <w:rsid w:val="00413004"/>
    <w:rPr>
      <w:sz w:val="20"/>
      <w:szCs w:val="20"/>
    </w:rPr>
  </w:style>
  <w:style w:type="paragraph" w:styleId="afff6">
    <w:name w:val="table of figures"/>
    <w:basedOn w:val="a"/>
    <w:next w:val="a"/>
    <w:uiPriority w:val="99"/>
    <w:rsid w:val="00413004"/>
    <w:pPr>
      <w:ind w:leftChars="400" w:left="400" w:hangingChars="200" w:hanging="200"/>
    </w:pPr>
  </w:style>
  <w:style w:type="character" w:customStyle="1" w:styleId="floatright">
    <w:name w:val="float_right"/>
    <w:uiPriority w:val="99"/>
    <w:rsid w:val="00C5260A"/>
  </w:style>
  <w:style w:type="character" w:customStyle="1" w:styleId="viewcount">
    <w:name w:val="viewcount"/>
    <w:uiPriority w:val="99"/>
    <w:rsid w:val="00C5260A"/>
  </w:style>
  <w:style w:type="paragraph" w:customStyle="1" w:styleId="28">
    <w:name w:val="清單段落2"/>
    <w:basedOn w:val="a"/>
    <w:uiPriority w:val="99"/>
    <w:rsid w:val="00C83F15"/>
    <w:pPr>
      <w:ind w:leftChars="200" w:left="480"/>
    </w:pPr>
    <w:rPr>
      <w:rFonts w:ascii="Calibri" w:hAnsi="Calibri"/>
      <w:szCs w:val="22"/>
    </w:rPr>
  </w:style>
  <w:style w:type="paragraph" w:customStyle="1" w:styleId="font11">
    <w:name w:val="font11"/>
    <w:basedOn w:val="a"/>
    <w:uiPriority w:val="99"/>
    <w:rsid w:val="004A22D2"/>
    <w:pPr>
      <w:widowControl/>
      <w:spacing w:before="100" w:beforeAutospacing="1" w:after="100" w:afterAutospacing="1"/>
    </w:pPr>
    <w:rPr>
      <w:color w:val="000000"/>
      <w:kern w:val="0"/>
      <w:sz w:val="18"/>
      <w:szCs w:val="18"/>
    </w:rPr>
  </w:style>
  <w:style w:type="paragraph" w:customStyle="1" w:styleId="font12">
    <w:name w:val="font12"/>
    <w:basedOn w:val="a"/>
    <w:uiPriority w:val="99"/>
    <w:rsid w:val="004A22D2"/>
    <w:pPr>
      <w:widowControl/>
      <w:spacing w:before="100" w:beforeAutospacing="1" w:after="100" w:afterAutospacing="1"/>
    </w:pPr>
    <w:rPr>
      <w:rFonts w:ascii="標楷體" w:eastAsia="標楷體" w:hAnsi="標楷體" w:cs="新細明體"/>
      <w:b/>
      <w:bCs/>
      <w:color w:val="000000"/>
      <w:kern w:val="0"/>
    </w:rPr>
  </w:style>
  <w:style w:type="paragraph" w:customStyle="1" w:styleId="font13">
    <w:name w:val="font13"/>
    <w:basedOn w:val="a"/>
    <w:uiPriority w:val="99"/>
    <w:rsid w:val="004A22D2"/>
    <w:pPr>
      <w:widowControl/>
      <w:spacing w:before="100" w:beforeAutospacing="1" w:after="100" w:afterAutospacing="1"/>
    </w:pPr>
    <w:rPr>
      <w:rFonts w:ascii="新細明體" w:hAnsi="新細明體" w:cs="新細明體"/>
      <w:kern w:val="0"/>
      <w:sz w:val="18"/>
      <w:szCs w:val="18"/>
    </w:rPr>
  </w:style>
  <w:style w:type="paragraph" w:customStyle="1" w:styleId="xl107">
    <w:name w:val="xl107"/>
    <w:basedOn w:val="a"/>
    <w:uiPriority w:val="99"/>
    <w:rsid w:val="004A22D2"/>
    <w:pPr>
      <w:widowControl/>
      <w:pBdr>
        <w:top w:val="single" w:sz="8" w:space="0" w:color="auto"/>
      </w:pBdr>
      <w:spacing w:before="100" w:beforeAutospacing="1" w:after="100" w:afterAutospacing="1"/>
      <w:jc w:val="center"/>
      <w:textAlignment w:val="top"/>
    </w:pPr>
    <w:rPr>
      <w:kern w:val="0"/>
      <w:sz w:val="18"/>
      <w:szCs w:val="18"/>
    </w:rPr>
  </w:style>
  <w:style w:type="paragraph" w:customStyle="1" w:styleId="xl108">
    <w:name w:val="xl108"/>
    <w:basedOn w:val="a"/>
    <w:uiPriority w:val="99"/>
    <w:rsid w:val="004A22D2"/>
    <w:pPr>
      <w:widowControl/>
      <w:pBdr>
        <w:top w:val="single" w:sz="8" w:space="0" w:color="auto"/>
        <w:right w:val="single" w:sz="8" w:space="0" w:color="auto"/>
      </w:pBdr>
      <w:spacing w:before="100" w:beforeAutospacing="1" w:after="100" w:afterAutospacing="1"/>
      <w:jc w:val="center"/>
      <w:textAlignment w:val="top"/>
    </w:pPr>
    <w:rPr>
      <w:kern w:val="0"/>
      <w:sz w:val="18"/>
      <w:szCs w:val="18"/>
    </w:rPr>
  </w:style>
  <w:style w:type="paragraph" w:customStyle="1" w:styleId="xl109">
    <w:name w:val="xl109"/>
    <w:basedOn w:val="a"/>
    <w:uiPriority w:val="99"/>
    <w:rsid w:val="004A22D2"/>
    <w:pPr>
      <w:widowControl/>
      <w:pBdr>
        <w:bottom w:val="single" w:sz="8" w:space="0" w:color="auto"/>
      </w:pBdr>
      <w:spacing w:before="100" w:beforeAutospacing="1" w:after="100" w:afterAutospacing="1"/>
      <w:jc w:val="center"/>
      <w:textAlignment w:val="top"/>
    </w:pPr>
    <w:rPr>
      <w:kern w:val="0"/>
      <w:sz w:val="18"/>
      <w:szCs w:val="18"/>
    </w:rPr>
  </w:style>
  <w:style w:type="paragraph" w:customStyle="1" w:styleId="xl110">
    <w:name w:val="xl110"/>
    <w:basedOn w:val="a"/>
    <w:uiPriority w:val="99"/>
    <w:rsid w:val="004A22D2"/>
    <w:pPr>
      <w:widowControl/>
      <w:pBdr>
        <w:left w:val="single" w:sz="8" w:space="0" w:color="auto"/>
        <w:bottom w:val="single" w:sz="8" w:space="0" w:color="auto"/>
      </w:pBdr>
      <w:spacing w:before="100" w:beforeAutospacing="1" w:after="100" w:afterAutospacing="1"/>
      <w:jc w:val="center"/>
      <w:textAlignment w:val="top"/>
    </w:pPr>
    <w:rPr>
      <w:kern w:val="0"/>
      <w:sz w:val="18"/>
      <w:szCs w:val="18"/>
    </w:rPr>
  </w:style>
  <w:style w:type="paragraph" w:customStyle="1" w:styleId="xl111">
    <w:name w:val="xl111"/>
    <w:basedOn w:val="a"/>
    <w:uiPriority w:val="99"/>
    <w:rsid w:val="004A22D2"/>
    <w:pPr>
      <w:widowControl/>
      <w:pBdr>
        <w:bottom w:val="single" w:sz="8" w:space="0" w:color="auto"/>
        <w:right w:val="single" w:sz="8" w:space="0" w:color="auto"/>
      </w:pBdr>
      <w:spacing w:before="100" w:beforeAutospacing="1" w:after="100" w:afterAutospacing="1"/>
      <w:jc w:val="center"/>
      <w:textAlignment w:val="top"/>
    </w:pPr>
    <w:rPr>
      <w:kern w:val="0"/>
      <w:sz w:val="18"/>
      <w:szCs w:val="18"/>
    </w:rPr>
  </w:style>
  <w:style w:type="paragraph" w:customStyle="1" w:styleId="xl112">
    <w:name w:val="xl112"/>
    <w:basedOn w:val="a"/>
    <w:uiPriority w:val="99"/>
    <w:rsid w:val="004A22D2"/>
    <w:pPr>
      <w:widowControl/>
      <w:pBdr>
        <w:top w:val="single" w:sz="8" w:space="0" w:color="auto"/>
        <w:left w:val="single" w:sz="8" w:space="0" w:color="auto"/>
        <w:bottom w:val="double" w:sz="6" w:space="0" w:color="auto"/>
      </w:pBdr>
      <w:shd w:val="clear" w:color="000000" w:fill="CCFFFF"/>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13">
    <w:name w:val="xl113"/>
    <w:basedOn w:val="a"/>
    <w:uiPriority w:val="99"/>
    <w:rsid w:val="004A22D2"/>
    <w:pPr>
      <w:widowControl/>
      <w:pBdr>
        <w:top w:val="single" w:sz="8" w:space="0" w:color="auto"/>
        <w:bottom w:val="double" w:sz="6" w:space="0" w:color="auto"/>
      </w:pBdr>
      <w:shd w:val="clear" w:color="000000" w:fill="CCFFFF"/>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14">
    <w:name w:val="xl114"/>
    <w:basedOn w:val="a"/>
    <w:uiPriority w:val="99"/>
    <w:rsid w:val="004A22D2"/>
    <w:pPr>
      <w:widowControl/>
      <w:pBdr>
        <w:top w:val="single" w:sz="8" w:space="0" w:color="auto"/>
        <w:bottom w:val="double" w:sz="6" w:space="0" w:color="auto"/>
        <w:right w:val="single" w:sz="8" w:space="0" w:color="000000"/>
      </w:pBdr>
      <w:shd w:val="clear" w:color="000000" w:fill="CCFFFF"/>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15">
    <w:name w:val="xl115"/>
    <w:basedOn w:val="a"/>
    <w:uiPriority w:val="99"/>
    <w:rsid w:val="004A22D2"/>
    <w:pPr>
      <w:widowControl/>
      <w:pBdr>
        <w:top w:val="single" w:sz="8" w:space="0" w:color="auto"/>
      </w:pBdr>
      <w:spacing w:before="100" w:beforeAutospacing="1" w:after="100" w:afterAutospacing="1"/>
    </w:pPr>
    <w:rPr>
      <w:rFonts w:ascii="Calibri" w:hAnsi="Calibri" w:cs="新細明體"/>
      <w:kern w:val="0"/>
    </w:rPr>
  </w:style>
  <w:style w:type="paragraph" w:customStyle="1" w:styleId="xl116">
    <w:name w:val="xl116"/>
    <w:basedOn w:val="a"/>
    <w:uiPriority w:val="99"/>
    <w:rsid w:val="004A22D2"/>
    <w:pPr>
      <w:widowControl/>
      <w:pBdr>
        <w:top w:val="single" w:sz="8" w:space="0" w:color="auto"/>
      </w:pBdr>
      <w:spacing w:before="100" w:beforeAutospacing="1" w:after="100" w:afterAutospacing="1"/>
      <w:textAlignment w:val="top"/>
    </w:pPr>
    <w:rPr>
      <w:b/>
      <w:bCs/>
      <w:color w:val="000000"/>
      <w:kern w:val="0"/>
    </w:rPr>
  </w:style>
  <w:style w:type="paragraph" w:customStyle="1" w:styleId="xl117">
    <w:name w:val="xl117"/>
    <w:basedOn w:val="a"/>
    <w:uiPriority w:val="99"/>
    <w:rsid w:val="004A22D2"/>
    <w:pPr>
      <w:widowControl/>
      <w:pBdr>
        <w:top w:val="single" w:sz="8" w:space="0" w:color="auto"/>
      </w:pBdr>
      <w:spacing w:before="100" w:beforeAutospacing="1" w:after="100" w:afterAutospacing="1"/>
      <w:textAlignment w:val="top"/>
    </w:pPr>
    <w:rPr>
      <w:color w:val="FF0000"/>
      <w:kern w:val="0"/>
      <w:sz w:val="18"/>
      <w:szCs w:val="18"/>
    </w:rPr>
  </w:style>
  <w:style w:type="paragraph" w:customStyle="1" w:styleId="xl118">
    <w:name w:val="xl118"/>
    <w:basedOn w:val="a"/>
    <w:uiPriority w:val="99"/>
    <w:rsid w:val="004A22D2"/>
    <w:pPr>
      <w:widowControl/>
      <w:pBdr>
        <w:bottom w:val="single" w:sz="8" w:space="0" w:color="auto"/>
      </w:pBdr>
      <w:spacing w:before="100" w:beforeAutospacing="1" w:after="100" w:afterAutospacing="1"/>
      <w:textAlignment w:val="top"/>
    </w:pPr>
    <w:rPr>
      <w:b/>
      <w:bCs/>
      <w:color w:val="FF0000"/>
      <w:kern w:val="0"/>
    </w:rPr>
  </w:style>
  <w:style w:type="paragraph" w:customStyle="1" w:styleId="xl119">
    <w:name w:val="xl119"/>
    <w:basedOn w:val="a"/>
    <w:uiPriority w:val="99"/>
    <w:rsid w:val="004A22D2"/>
    <w:pPr>
      <w:widowControl/>
      <w:pBdr>
        <w:top w:val="single" w:sz="8" w:space="0" w:color="auto"/>
      </w:pBdr>
      <w:spacing w:before="100" w:beforeAutospacing="1" w:after="100" w:afterAutospacing="1"/>
      <w:textAlignment w:val="top"/>
    </w:pPr>
    <w:rPr>
      <w:color w:val="000000"/>
      <w:kern w:val="0"/>
      <w:sz w:val="18"/>
      <w:szCs w:val="18"/>
    </w:rPr>
  </w:style>
  <w:style w:type="paragraph" w:customStyle="1" w:styleId="xl120">
    <w:name w:val="xl120"/>
    <w:basedOn w:val="a"/>
    <w:uiPriority w:val="99"/>
    <w:rsid w:val="004A22D2"/>
    <w:pPr>
      <w:widowControl/>
      <w:pBdr>
        <w:top w:val="double" w:sz="6" w:space="0" w:color="auto"/>
        <w:left w:val="single" w:sz="8" w:space="0" w:color="auto"/>
        <w:bottom w:val="single" w:sz="8" w:space="0" w:color="auto"/>
      </w:pBdr>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21">
    <w:name w:val="xl121"/>
    <w:basedOn w:val="a"/>
    <w:uiPriority w:val="99"/>
    <w:rsid w:val="004A22D2"/>
    <w:pPr>
      <w:widowControl/>
      <w:pBdr>
        <w:top w:val="double" w:sz="6" w:space="0" w:color="auto"/>
        <w:bottom w:val="single" w:sz="8" w:space="0" w:color="auto"/>
      </w:pBdr>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22">
    <w:name w:val="xl122"/>
    <w:basedOn w:val="a"/>
    <w:uiPriority w:val="99"/>
    <w:rsid w:val="004A22D2"/>
    <w:pPr>
      <w:widowControl/>
      <w:pBdr>
        <w:top w:val="double" w:sz="6" w:space="0" w:color="auto"/>
        <w:bottom w:val="single" w:sz="8" w:space="0" w:color="auto"/>
        <w:right w:val="single" w:sz="8" w:space="0" w:color="000000"/>
      </w:pBdr>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23">
    <w:name w:val="xl123"/>
    <w:basedOn w:val="a"/>
    <w:uiPriority w:val="99"/>
    <w:rsid w:val="004A22D2"/>
    <w:pPr>
      <w:widowControl/>
      <w:pBdr>
        <w:top w:val="single" w:sz="8" w:space="0" w:color="auto"/>
        <w:bottom w:val="double" w:sz="6" w:space="0" w:color="auto"/>
        <w:right w:val="single" w:sz="8" w:space="0" w:color="auto"/>
      </w:pBdr>
      <w:shd w:val="clear" w:color="000000" w:fill="CCFFFF"/>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24">
    <w:name w:val="xl124"/>
    <w:basedOn w:val="a"/>
    <w:uiPriority w:val="99"/>
    <w:rsid w:val="004A22D2"/>
    <w:pPr>
      <w:widowControl/>
      <w:pBdr>
        <w:top w:val="single" w:sz="8" w:space="0" w:color="auto"/>
      </w:pBdr>
      <w:spacing w:before="100" w:beforeAutospacing="1" w:after="100" w:afterAutospacing="1"/>
    </w:pPr>
    <w:rPr>
      <w:b/>
      <w:bCs/>
      <w:color w:val="000000"/>
      <w:kern w:val="0"/>
    </w:rPr>
  </w:style>
  <w:style w:type="paragraph" w:customStyle="1" w:styleId="xl125">
    <w:name w:val="xl125"/>
    <w:basedOn w:val="a"/>
    <w:uiPriority w:val="99"/>
    <w:rsid w:val="004A22D2"/>
    <w:pPr>
      <w:widowControl/>
      <w:pBdr>
        <w:left w:val="single" w:sz="8" w:space="0" w:color="auto"/>
        <w:right w:val="single" w:sz="8" w:space="0" w:color="auto"/>
      </w:pBdr>
      <w:spacing w:before="100" w:beforeAutospacing="1" w:after="100" w:afterAutospacing="1"/>
    </w:pPr>
    <w:rPr>
      <w:rFonts w:ascii="新細明體" w:hAnsi="新細明體" w:cs="新細明體"/>
      <w:kern w:val="0"/>
    </w:rPr>
  </w:style>
  <w:style w:type="paragraph" w:customStyle="1" w:styleId="xl126">
    <w:name w:val="xl126"/>
    <w:basedOn w:val="a"/>
    <w:uiPriority w:val="99"/>
    <w:rsid w:val="004A22D2"/>
    <w:pPr>
      <w:widowControl/>
      <w:pBdr>
        <w:left w:val="single" w:sz="8" w:space="0" w:color="auto"/>
        <w:bottom w:val="single" w:sz="8" w:space="0" w:color="auto"/>
        <w:right w:val="single" w:sz="8" w:space="0" w:color="auto"/>
      </w:pBdr>
      <w:spacing w:before="100" w:beforeAutospacing="1" w:after="100" w:afterAutospacing="1"/>
    </w:pPr>
    <w:rPr>
      <w:rFonts w:ascii="新細明體" w:hAnsi="新細明體" w:cs="新細明體"/>
      <w:kern w:val="0"/>
    </w:rPr>
  </w:style>
  <w:style w:type="paragraph" w:customStyle="1" w:styleId="afff7">
    <w:name w:val="附件題"/>
    <w:basedOn w:val="2"/>
    <w:uiPriority w:val="99"/>
    <w:rsid w:val="00D61BE0"/>
    <w:pPr>
      <w:jc w:val="center"/>
      <w:outlineLvl w:val="2"/>
    </w:pPr>
    <w:rPr>
      <w:rFonts w:ascii="Times New Roman" w:hAnsi="Times New Roman"/>
    </w:rPr>
  </w:style>
  <w:style w:type="paragraph" w:styleId="afff8">
    <w:name w:val="TOC Heading"/>
    <w:basedOn w:val="1"/>
    <w:next w:val="a"/>
    <w:uiPriority w:val="99"/>
    <w:qFormat/>
    <w:rsid w:val="00D61BE0"/>
    <w:pPr>
      <w:keepLines/>
      <w:widowControl/>
      <w:spacing w:before="480" w:line="276" w:lineRule="auto"/>
      <w:outlineLvl w:val="9"/>
    </w:pPr>
    <w:rPr>
      <w:rFonts w:ascii="Cambria" w:eastAsia="新細明體" w:hAnsi="Cambria"/>
      <w:color w:val="365F91"/>
      <w:kern w:val="0"/>
      <w:sz w:val="28"/>
      <w:szCs w:val="28"/>
    </w:rPr>
  </w:style>
  <w:style w:type="character" w:customStyle="1" w:styleId="yiv9798275750yui3130ym11138720728242514042yiv9798275750yui3130ym11138720728242519644">
    <w:name w:val="yiv9798275750yui_3_13_0_ym1_1_1387207282425_14042 yiv9798275750yui_3_13_0_ym1_1_1387207282425_19644"/>
    <w:uiPriority w:val="99"/>
    <w:rsid w:val="00945992"/>
  </w:style>
  <w:style w:type="character" w:customStyle="1" w:styleId="29">
    <w:name w:val="標題 2(一) 字元"/>
    <w:aliases w:val="-一 字元 字元"/>
    <w:uiPriority w:val="99"/>
    <w:rsid w:val="0031547A"/>
    <w:rPr>
      <w:rFonts w:ascii="Arial" w:eastAsia="標楷體" w:hAnsi="Arial"/>
      <w:b/>
      <w:kern w:val="2"/>
      <w:sz w:val="48"/>
      <w:lang w:val="en-US" w:eastAsia="zh-TW"/>
    </w:rPr>
  </w:style>
  <w:style w:type="paragraph" w:customStyle="1" w:styleId="afff9">
    <w:name w:val="表內大字"/>
    <w:basedOn w:val="a"/>
    <w:uiPriority w:val="99"/>
    <w:rsid w:val="00A114D4"/>
    <w:pPr>
      <w:spacing w:line="720" w:lineRule="exact"/>
    </w:pPr>
    <w:rPr>
      <w:rFonts w:eastAsia="標楷體"/>
      <w:sz w:val="36"/>
    </w:rPr>
  </w:style>
  <w:style w:type="character" w:customStyle="1" w:styleId="kword">
    <w:name w:val="kword"/>
    <w:uiPriority w:val="99"/>
    <w:rsid w:val="00AC21E0"/>
  </w:style>
  <w:style w:type="paragraph" w:customStyle="1" w:styleId="35">
    <w:name w:val="清單段落3"/>
    <w:basedOn w:val="a"/>
    <w:uiPriority w:val="99"/>
    <w:rsid w:val="00AC21E0"/>
    <w:pPr>
      <w:widowControl/>
      <w:ind w:leftChars="200" w:left="480"/>
    </w:pPr>
    <w:rPr>
      <w:rFonts w:ascii="新細明體" w:hAnsi="新細明體" w:cs="新細明體"/>
      <w:kern w:val="0"/>
    </w:rPr>
  </w:style>
  <w:style w:type="character" w:customStyle="1" w:styleId="st1">
    <w:name w:val="st1"/>
    <w:uiPriority w:val="99"/>
    <w:rsid w:val="00AC21E0"/>
  </w:style>
  <w:style w:type="paragraph" w:styleId="afffa">
    <w:name w:val="Note Heading"/>
    <w:basedOn w:val="a"/>
    <w:next w:val="a"/>
    <w:link w:val="afffb"/>
    <w:uiPriority w:val="99"/>
    <w:unhideWhenUsed/>
    <w:locked/>
    <w:rsid w:val="00160E34"/>
    <w:pPr>
      <w:jc w:val="center"/>
    </w:pPr>
    <w:rPr>
      <w:color w:val="000000"/>
      <w:kern w:val="0"/>
      <w:sz w:val="20"/>
      <w:szCs w:val="20"/>
    </w:rPr>
  </w:style>
  <w:style w:type="character" w:customStyle="1" w:styleId="afffb">
    <w:name w:val="註釋標題 字元"/>
    <w:basedOn w:val="a1"/>
    <w:link w:val="afffa"/>
    <w:uiPriority w:val="99"/>
    <w:rsid w:val="00160E34"/>
    <w:rPr>
      <w:color w:val="000000"/>
      <w:kern w:val="0"/>
      <w:sz w:val="20"/>
      <w:szCs w:val="20"/>
    </w:rPr>
  </w:style>
  <w:style w:type="paragraph" w:styleId="afffc">
    <w:name w:val="Closing"/>
    <w:basedOn w:val="a"/>
    <w:link w:val="afffd"/>
    <w:uiPriority w:val="99"/>
    <w:unhideWhenUsed/>
    <w:locked/>
    <w:rsid w:val="00160E34"/>
    <w:pPr>
      <w:ind w:leftChars="1800" w:left="100"/>
    </w:pPr>
    <w:rPr>
      <w:color w:val="000000"/>
      <w:kern w:val="0"/>
      <w:sz w:val="20"/>
      <w:szCs w:val="20"/>
    </w:rPr>
  </w:style>
  <w:style w:type="character" w:customStyle="1" w:styleId="afffd">
    <w:name w:val="結語 字元"/>
    <w:basedOn w:val="a1"/>
    <w:link w:val="afffc"/>
    <w:uiPriority w:val="99"/>
    <w:rsid w:val="00160E34"/>
    <w:rPr>
      <w:color w:val="000000"/>
      <w:kern w:val="0"/>
      <w:sz w:val="20"/>
      <w:szCs w:val="20"/>
    </w:rPr>
  </w:style>
  <w:style w:type="paragraph" w:customStyle="1" w:styleId="afffe">
    <w:name w:val="章名"/>
    <w:uiPriority w:val="99"/>
    <w:rsid w:val="00701467"/>
    <w:pPr>
      <w:spacing w:beforeLines="50" w:afterLines="50"/>
      <w:jc w:val="center"/>
    </w:pPr>
    <w:rPr>
      <w:rFonts w:eastAsia="標楷體"/>
      <w:spacing w:val="10"/>
      <w:sz w:val="48"/>
      <w:szCs w:val="44"/>
    </w:rPr>
  </w:style>
  <w:style w:type="paragraph" w:customStyle="1" w:styleId="affff">
    <w:name w:val="節名"/>
    <w:uiPriority w:val="99"/>
    <w:rsid w:val="00701467"/>
    <w:pPr>
      <w:spacing w:beforeLines="50" w:afterLines="50"/>
      <w:jc w:val="center"/>
    </w:pPr>
    <w:rPr>
      <w:rFonts w:eastAsia="標楷體"/>
      <w:spacing w:val="10"/>
      <w:sz w:val="40"/>
      <w:szCs w:val="40"/>
    </w:rPr>
  </w:style>
  <w:style w:type="paragraph" w:customStyle="1" w:styleId="affff0">
    <w:name w:val="文章"/>
    <w:link w:val="affff1"/>
    <w:uiPriority w:val="99"/>
    <w:rsid w:val="00701467"/>
    <w:pPr>
      <w:spacing w:beforeLines="50" w:afterLines="50" w:line="520" w:lineRule="exact"/>
      <w:ind w:firstLineChars="200" w:firstLine="200"/>
      <w:jc w:val="both"/>
    </w:pPr>
    <w:rPr>
      <w:rFonts w:eastAsia="標楷體"/>
      <w:spacing w:val="10"/>
      <w:kern w:val="0"/>
      <w:sz w:val="22"/>
    </w:rPr>
  </w:style>
  <w:style w:type="character" w:customStyle="1" w:styleId="affff1">
    <w:name w:val="文章 字元"/>
    <w:link w:val="affff0"/>
    <w:uiPriority w:val="99"/>
    <w:locked/>
    <w:rsid w:val="00701467"/>
    <w:rPr>
      <w:rFonts w:eastAsia="標楷體"/>
      <w:spacing w:val="10"/>
      <w:kern w:val="0"/>
      <w:sz w:val="22"/>
    </w:rPr>
  </w:style>
  <w:style w:type="character" w:customStyle="1" w:styleId="a4">
    <w:name w:val="內文縮排 字元"/>
    <w:link w:val="a0"/>
    <w:rsid w:val="002E550E"/>
    <w:rPr>
      <w:szCs w:val="24"/>
    </w:rPr>
  </w:style>
  <w:style w:type="numbering" w:customStyle="1" w:styleId="18">
    <w:name w:val="無清單1"/>
    <w:next w:val="a3"/>
    <w:uiPriority w:val="99"/>
    <w:semiHidden/>
    <w:unhideWhenUsed/>
    <w:rsid w:val="009B0779"/>
  </w:style>
  <w:style w:type="table" w:customStyle="1" w:styleId="19">
    <w:name w:val="表格格線1"/>
    <w:basedOn w:val="a2"/>
    <w:next w:val="aff5"/>
    <w:uiPriority w:val="59"/>
    <w:rsid w:val="009B0779"/>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iPriority="9" w:unhideWhenUsed="0" w:qFormat="1"/>
    <w:lsdException w:name="heading 4" w:semiHidden="0" w:unhideWhenUsed="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unhideWhenUsed="0"/>
    <w:lsdException w:name="toc 2" w:semiHidden="0" w:uiPriority="39" w:unhideWhenUsed="0"/>
    <w:lsdException w:name="toc 3" w:semiHidden="0" w:unhideWhenUsed="0"/>
    <w:lsdException w:name="toc 4" w:semiHidden="0" w:unhideWhenUsed="0"/>
    <w:lsdException w:name="toc 5" w:semiHidden="0" w:unhideWhenUsed="0"/>
    <w:lsdException w:name="toc 6" w:semiHidden="0" w:unhideWhenUsed="0"/>
    <w:lsdException w:name="toc 7" w:semiHidden="0" w:uiPriority="39" w:unhideWhenUsed="0"/>
    <w:lsdException w:name="toc 8" w:semiHidden="0" w:unhideWhenUsed="0"/>
    <w:lsdException w:name="toc 9" w:semiHidden="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35" w:unhideWhenUsed="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2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39" w:unhideWhenUsed="0"/>
    <w:lsdException w:name="Table Theme" w:locked="1"/>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nhideWhenUsed="0" w:qFormat="1"/>
  </w:latentStyles>
  <w:style w:type="paragraph" w:default="1" w:styleId="a">
    <w:name w:val="Normal"/>
    <w:qFormat/>
    <w:rsid w:val="00ED63C2"/>
    <w:pPr>
      <w:widowControl w:val="0"/>
    </w:pPr>
    <w:rPr>
      <w:szCs w:val="24"/>
    </w:rPr>
  </w:style>
  <w:style w:type="paragraph" w:styleId="1">
    <w:name w:val="heading 1"/>
    <w:aliases w:val="-壹,標題 1一、"/>
    <w:basedOn w:val="a"/>
    <w:next w:val="a"/>
    <w:link w:val="10"/>
    <w:autoRedefine/>
    <w:uiPriority w:val="99"/>
    <w:qFormat/>
    <w:rsid w:val="00402957"/>
    <w:pPr>
      <w:keepNext/>
      <w:spacing w:afterLines="100" w:after="240" w:line="480" w:lineRule="exact"/>
      <w:jc w:val="center"/>
      <w:outlineLvl w:val="0"/>
    </w:pPr>
    <w:rPr>
      <w:rFonts w:eastAsia="標楷體" w:hAnsi="Arial"/>
      <w:b/>
      <w:kern w:val="52"/>
      <w:sz w:val="48"/>
      <w:szCs w:val="20"/>
    </w:rPr>
  </w:style>
  <w:style w:type="paragraph" w:styleId="2">
    <w:name w:val="heading 2"/>
    <w:aliases w:val="-一,標題 2(一)"/>
    <w:basedOn w:val="a"/>
    <w:next w:val="a"/>
    <w:link w:val="20"/>
    <w:uiPriority w:val="99"/>
    <w:qFormat/>
    <w:rsid w:val="00D61BE0"/>
    <w:pPr>
      <w:keepNext/>
      <w:spacing w:beforeLines="30" w:afterLines="30" w:line="520" w:lineRule="exact"/>
      <w:outlineLvl w:val="1"/>
    </w:pPr>
    <w:rPr>
      <w:rFonts w:ascii="Arial" w:eastAsia="標楷體" w:hAnsi="Arial"/>
      <w:b/>
      <w:sz w:val="48"/>
      <w:szCs w:val="20"/>
    </w:rPr>
  </w:style>
  <w:style w:type="paragraph" w:styleId="3">
    <w:name w:val="heading 3"/>
    <w:aliases w:val="(一)"/>
    <w:basedOn w:val="a"/>
    <w:next w:val="a0"/>
    <w:link w:val="30"/>
    <w:uiPriority w:val="9"/>
    <w:qFormat/>
    <w:rsid w:val="003E51D5"/>
    <w:pPr>
      <w:keepNext/>
      <w:spacing w:line="520" w:lineRule="exact"/>
      <w:outlineLvl w:val="2"/>
    </w:pPr>
    <w:rPr>
      <w:rFonts w:ascii="Arial" w:eastAsia="標楷體" w:hAnsi="Arial"/>
      <w:b/>
      <w:sz w:val="36"/>
      <w:szCs w:val="20"/>
    </w:rPr>
  </w:style>
  <w:style w:type="paragraph" w:styleId="4">
    <w:name w:val="heading 4"/>
    <w:aliases w:val="標題 4-1."/>
    <w:basedOn w:val="a"/>
    <w:next w:val="a"/>
    <w:link w:val="40"/>
    <w:uiPriority w:val="99"/>
    <w:qFormat/>
    <w:rsid w:val="00860597"/>
    <w:pPr>
      <w:keepNext/>
      <w:spacing w:beforeLines="30" w:line="520" w:lineRule="exact"/>
      <w:outlineLvl w:val="3"/>
    </w:pPr>
    <w:rPr>
      <w:rFonts w:ascii="Arial" w:eastAsia="標楷體" w:hAnsi="Arial"/>
      <w:b/>
      <w:sz w:val="36"/>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Heading1Char">
    <w:name w:val="Heading 1 Char"/>
    <w:aliases w:val="-壹 Char,標題 1一、 Char"/>
    <w:basedOn w:val="a1"/>
    <w:uiPriority w:val="99"/>
    <w:locked/>
    <w:rsid w:val="00640655"/>
    <w:rPr>
      <w:rFonts w:ascii="Arial" w:eastAsia="標楷體" w:hAnsi="Arial" w:cs="Times New Roman"/>
      <w:b/>
      <w:kern w:val="52"/>
      <w:sz w:val="52"/>
      <w:lang w:val="en-US" w:eastAsia="zh-TW"/>
    </w:rPr>
  </w:style>
  <w:style w:type="character" w:customStyle="1" w:styleId="20">
    <w:name w:val="標題 2 字元"/>
    <w:aliases w:val="-一 字元,標題 2(一) 字元1"/>
    <w:basedOn w:val="a1"/>
    <w:link w:val="2"/>
    <w:locked/>
    <w:rsid w:val="00D61BE0"/>
    <w:rPr>
      <w:rFonts w:ascii="Arial" w:eastAsia="標楷體" w:hAnsi="Arial" w:cs="Times New Roman"/>
      <w:b/>
      <w:kern w:val="2"/>
      <w:sz w:val="48"/>
    </w:rPr>
  </w:style>
  <w:style w:type="character" w:customStyle="1" w:styleId="30">
    <w:name w:val="標題 3 字元"/>
    <w:aliases w:val="(一) 字元"/>
    <w:basedOn w:val="a1"/>
    <w:link w:val="3"/>
    <w:uiPriority w:val="9"/>
    <w:locked/>
    <w:rsid w:val="003E7EB0"/>
    <w:rPr>
      <w:rFonts w:ascii="Arial" w:eastAsia="標楷體" w:hAnsi="Arial" w:cs="Times New Roman"/>
      <w:b/>
      <w:kern w:val="2"/>
      <w:sz w:val="36"/>
      <w:lang w:val="en-US" w:eastAsia="zh-TW"/>
    </w:rPr>
  </w:style>
  <w:style w:type="character" w:customStyle="1" w:styleId="40">
    <w:name w:val="標題 4 字元"/>
    <w:aliases w:val="標題 4-1. 字元"/>
    <w:basedOn w:val="a1"/>
    <w:link w:val="4"/>
    <w:uiPriority w:val="99"/>
    <w:locked/>
    <w:rsid w:val="00860597"/>
    <w:rPr>
      <w:rFonts w:ascii="Arial" w:eastAsia="標楷體" w:hAnsi="Arial" w:cs="Times New Roman"/>
      <w:b/>
      <w:kern w:val="2"/>
      <w:sz w:val="36"/>
    </w:rPr>
  </w:style>
  <w:style w:type="character" w:customStyle="1" w:styleId="10">
    <w:name w:val="標題 1 字元"/>
    <w:aliases w:val="-壹 字元,標題 1一、 字元"/>
    <w:link w:val="1"/>
    <w:uiPriority w:val="99"/>
    <w:locked/>
    <w:rsid w:val="00402957"/>
    <w:rPr>
      <w:rFonts w:eastAsia="標楷體" w:hAnsi="Arial"/>
      <w:b/>
      <w:kern w:val="52"/>
      <w:sz w:val="48"/>
      <w:szCs w:val="20"/>
    </w:rPr>
  </w:style>
  <w:style w:type="paragraph" w:styleId="a0">
    <w:name w:val="Normal Indent"/>
    <w:basedOn w:val="a"/>
    <w:link w:val="a4"/>
    <w:uiPriority w:val="99"/>
    <w:rsid w:val="003E7EB0"/>
    <w:pPr>
      <w:ind w:leftChars="200" w:left="480"/>
    </w:pPr>
  </w:style>
  <w:style w:type="character" w:customStyle="1" w:styleId="9">
    <w:name w:val="字元 字元9"/>
    <w:uiPriority w:val="99"/>
    <w:locked/>
    <w:rsid w:val="003E7EB0"/>
    <w:rPr>
      <w:rFonts w:ascii="Arial" w:eastAsia="新細明體" w:hAnsi="Arial"/>
      <w:b/>
      <w:kern w:val="52"/>
      <w:sz w:val="52"/>
      <w:lang w:val="en-US" w:eastAsia="zh-TW"/>
    </w:rPr>
  </w:style>
  <w:style w:type="character" w:customStyle="1" w:styleId="8">
    <w:name w:val="字元 字元8"/>
    <w:uiPriority w:val="99"/>
    <w:semiHidden/>
    <w:locked/>
    <w:rsid w:val="003E7EB0"/>
    <w:rPr>
      <w:rFonts w:ascii="Arial" w:eastAsia="標楷體" w:hAnsi="Arial"/>
      <w:b/>
      <w:kern w:val="2"/>
      <w:sz w:val="36"/>
      <w:lang w:val="en-US" w:eastAsia="zh-TW"/>
    </w:rPr>
  </w:style>
  <w:style w:type="paragraph" w:styleId="a5">
    <w:name w:val="Body Text"/>
    <w:aliases w:val="本文1"/>
    <w:basedOn w:val="a"/>
    <w:next w:val="a"/>
    <w:link w:val="a6"/>
    <w:autoRedefine/>
    <w:uiPriority w:val="99"/>
    <w:rsid w:val="005224EC"/>
    <w:pPr>
      <w:snapToGrid w:val="0"/>
      <w:jc w:val="both"/>
    </w:pPr>
    <w:rPr>
      <w:kern w:val="0"/>
      <w:szCs w:val="20"/>
    </w:rPr>
  </w:style>
  <w:style w:type="character" w:customStyle="1" w:styleId="a6">
    <w:name w:val="本文 字元"/>
    <w:aliases w:val="本文1 字元"/>
    <w:basedOn w:val="a1"/>
    <w:link w:val="a5"/>
    <w:uiPriority w:val="99"/>
    <w:locked/>
    <w:rsid w:val="00096101"/>
    <w:rPr>
      <w:rFonts w:cs="Times New Roman"/>
      <w:sz w:val="24"/>
    </w:rPr>
  </w:style>
  <w:style w:type="character" w:customStyle="1" w:styleId="11">
    <w:name w:val="本文1 字元 字元"/>
    <w:uiPriority w:val="99"/>
    <w:semiHidden/>
    <w:locked/>
    <w:rsid w:val="003E7EB0"/>
    <w:rPr>
      <w:rFonts w:eastAsia="標楷體"/>
      <w:sz w:val="28"/>
      <w:lang w:val="en-US" w:eastAsia="zh-TW"/>
    </w:rPr>
  </w:style>
  <w:style w:type="paragraph" w:customStyle="1" w:styleId="21">
    <w:name w:val="本文2"/>
    <w:uiPriority w:val="99"/>
    <w:rsid w:val="003E7EB0"/>
    <w:pPr>
      <w:ind w:leftChars="50" w:left="50" w:firstLineChars="200" w:firstLine="200"/>
    </w:pPr>
    <w:rPr>
      <w:rFonts w:eastAsia="標楷體"/>
      <w:kern w:val="0"/>
      <w:sz w:val="28"/>
      <w:szCs w:val="28"/>
    </w:rPr>
  </w:style>
  <w:style w:type="paragraph" w:styleId="22">
    <w:name w:val="toc 2"/>
    <w:basedOn w:val="a"/>
    <w:next w:val="a"/>
    <w:autoRedefine/>
    <w:uiPriority w:val="39"/>
    <w:rsid w:val="0079056B"/>
    <w:pPr>
      <w:tabs>
        <w:tab w:val="right" w:leader="dot" w:pos="9072"/>
      </w:tabs>
      <w:spacing w:line="560" w:lineRule="exact"/>
      <w:ind w:leftChars="200" w:left="480"/>
      <w:jc w:val="center"/>
    </w:pPr>
    <w:rPr>
      <w:rFonts w:eastAsia="標楷體"/>
      <w:bCs/>
      <w:noProof/>
      <w:sz w:val="28"/>
      <w:szCs w:val="32"/>
    </w:rPr>
  </w:style>
  <w:style w:type="paragraph" w:styleId="a7">
    <w:name w:val="header"/>
    <w:basedOn w:val="a"/>
    <w:link w:val="a8"/>
    <w:uiPriority w:val="99"/>
    <w:rsid w:val="003E7EB0"/>
    <w:pPr>
      <w:tabs>
        <w:tab w:val="center" w:pos="4153"/>
        <w:tab w:val="right" w:pos="8306"/>
      </w:tabs>
      <w:snapToGrid w:val="0"/>
    </w:pPr>
    <w:rPr>
      <w:rFonts w:eastAsia="標楷體"/>
      <w:sz w:val="20"/>
      <w:szCs w:val="20"/>
    </w:rPr>
  </w:style>
  <w:style w:type="character" w:customStyle="1" w:styleId="a8">
    <w:name w:val="頁首 字元"/>
    <w:basedOn w:val="a1"/>
    <w:link w:val="a7"/>
    <w:uiPriority w:val="99"/>
    <w:locked/>
    <w:rsid w:val="006068AE"/>
    <w:rPr>
      <w:rFonts w:eastAsia="標楷體" w:cs="Times New Roman"/>
      <w:kern w:val="2"/>
    </w:rPr>
  </w:style>
  <w:style w:type="character" w:customStyle="1" w:styleId="7">
    <w:name w:val="字元 字元7"/>
    <w:uiPriority w:val="99"/>
    <w:semiHidden/>
    <w:locked/>
    <w:rsid w:val="003E7EB0"/>
    <w:rPr>
      <w:rFonts w:eastAsia="標楷體"/>
      <w:kern w:val="2"/>
      <w:lang w:val="en-US" w:eastAsia="zh-TW"/>
    </w:rPr>
  </w:style>
  <w:style w:type="paragraph" w:styleId="a9">
    <w:name w:val="footer"/>
    <w:basedOn w:val="a"/>
    <w:link w:val="aa"/>
    <w:uiPriority w:val="99"/>
    <w:rsid w:val="003E7EB0"/>
    <w:pPr>
      <w:tabs>
        <w:tab w:val="center" w:pos="4153"/>
        <w:tab w:val="right" w:pos="8306"/>
      </w:tabs>
      <w:snapToGrid w:val="0"/>
    </w:pPr>
    <w:rPr>
      <w:rFonts w:eastAsia="標楷體"/>
      <w:sz w:val="20"/>
      <w:szCs w:val="20"/>
    </w:rPr>
  </w:style>
  <w:style w:type="character" w:customStyle="1" w:styleId="FooterChar">
    <w:name w:val="Footer Char"/>
    <w:basedOn w:val="a1"/>
    <w:uiPriority w:val="99"/>
    <w:locked/>
    <w:rsid w:val="003E7EB0"/>
    <w:rPr>
      <w:rFonts w:eastAsia="標楷體" w:cs="Times New Roman"/>
      <w:kern w:val="2"/>
      <w:lang w:val="en-US" w:eastAsia="zh-TW"/>
    </w:rPr>
  </w:style>
  <w:style w:type="character" w:customStyle="1" w:styleId="aa">
    <w:name w:val="頁尾 字元"/>
    <w:link w:val="a9"/>
    <w:uiPriority w:val="99"/>
    <w:locked/>
    <w:rsid w:val="006068AE"/>
    <w:rPr>
      <w:rFonts w:eastAsia="標楷體"/>
      <w:kern w:val="2"/>
    </w:rPr>
  </w:style>
  <w:style w:type="character" w:customStyle="1" w:styleId="6">
    <w:name w:val="字元 字元6"/>
    <w:uiPriority w:val="99"/>
    <w:semiHidden/>
    <w:locked/>
    <w:rsid w:val="003E7EB0"/>
    <w:rPr>
      <w:rFonts w:eastAsia="標楷體"/>
      <w:kern w:val="2"/>
      <w:lang w:val="en-US" w:eastAsia="zh-TW"/>
    </w:rPr>
  </w:style>
  <w:style w:type="paragraph" w:styleId="ab">
    <w:name w:val="Body Text Indent"/>
    <w:basedOn w:val="a"/>
    <w:link w:val="ac"/>
    <w:uiPriority w:val="99"/>
    <w:rsid w:val="003E7EB0"/>
    <w:pPr>
      <w:spacing w:line="360" w:lineRule="exact"/>
      <w:ind w:firstLineChars="200" w:firstLine="480"/>
    </w:pPr>
    <w:rPr>
      <w:kern w:val="0"/>
      <w:szCs w:val="20"/>
    </w:rPr>
  </w:style>
  <w:style w:type="character" w:customStyle="1" w:styleId="ac">
    <w:name w:val="本文縮排 字元"/>
    <w:basedOn w:val="a1"/>
    <w:link w:val="ab"/>
    <w:uiPriority w:val="99"/>
    <w:locked/>
    <w:rsid w:val="00096101"/>
    <w:rPr>
      <w:rFonts w:cs="Times New Roman"/>
      <w:sz w:val="24"/>
    </w:rPr>
  </w:style>
  <w:style w:type="character" w:customStyle="1" w:styleId="5">
    <w:name w:val="字元 字元5"/>
    <w:uiPriority w:val="99"/>
    <w:semiHidden/>
    <w:locked/>
    <w:rsid w:val="003E7EB0"/>
    <w:rPr>
      <w:rFonts w:ascii="標楷體" w:eastAsia="標楷體" w:hAnsi="標楷體"/>
      <w:kern w:val="2"/>
      <w:sz w:val="32"/>
      <w:lang w:val="en-US" w:eastAsia="zh-TW"/>
    </w:rPr>
  </w:style>
  <w:style w:type="paragraph" w:styleId="23">
    <w:name w:val="Body Text Indent 2"/>
    <w:basedOn w:val="a"/>
    <w:link w:val="24"/>
    <w:uiPriority w:val="99"/>
    <w:rsid w:val="003E7EB0"/>
    <w:pPr>
      <w:snapToGrid w:val="0"/>
      <w:spacing w:line="360" w:lineRule="exact"/>
      <w:ind w:firstLineChars="200" w:firstLine="480"/>
      <w:jc w:val="both"/>
    </w:pPr>
    <w:rPr>
      <w:kern w:val="0"/>
      <w:szCs w:val="20"/>
    </w:rPr>
  </w:style>
  <w:style w:type="character" w:customStyle="1" w:styleId="24">
    <w:name w:val="本文縮排 2 字元"/>
    <w:basedOn w:val="a1"/>
    <w:link w:val="23"/>
    <w:uiPriority w:val="99"/>
    <w:locked/>
    <w:rsid w:val="00096101"/>
    <w:rPr>
      <w:rFonts w:cs="Times New Roman"/>
      <w:sz w:val="24"/>
    </w:rPr>
  </w:style>
  <w:style w:type="character" w:customStyle="1" w:styleId="41">
    <w:name w:val="字元 字元4"/>
    <w:uiPriority w:val="99"/>
    <w:semiHidden/>
    <w:locked/>
    <w:rsid w:val="003E7EB0"/>
    <w:rPr>
      <w:rFonts w:ascii="標楷體" w:eastAsia="標楷體" w:hAnsi="標楷體"/>
      <w:kern w:val="2"/>
      <w:sz w:val="24"/>
      <w:lang w:val="en-US" w:eastAsia="zh-TW"/>
    </w:rPr>
  </w:style>
  <w:style w:type="paragraph" w:styleId="31">
    <w:name w:val="Body Text Indent 3"/>
    <w:basedOn w:val="a"/>
    <w:link w:val="32"/>
    <w:uiPriority w:val="99"/>
    <w:rsid w:val="003E7EB0"/>
    <w:pPr>
      <w:snapToGrid w:val="0"/>
      <w:spacing w:line="360" w:lineRule="exact"/>
      <w:ind w:leftChars="200" w:left="480" w:firstLineChars="200" w:firstLine="480"/>
    </w:pPr>
    <w:rPr>
      <w:kern w:val="0"/>
      <w:sz w:val="16"/>
      <w:szCs w:val="20"/>
    </w:rPr>
  </w:style>
  <w:style w:type="character" w:customStyle="1" w:styleId="32">
    <w:name w:val="本文縮排 3 字元"/>
    <w:basedOn w:val="a1"/>
    <w:link w:val="31"/>
    <w:uiPriority w:val="99"/>
    <w:locked/>
    <w:rsid w:val="00096101"/>
    <w:rPr>
      <w:rFonts w:cs="Times New Roman"/>
      <w:sz w:val="16"/>
    </w:rPr>
  </w:style>
  <w:style w:type="character" w:customStyle="1" w:styleId="33">
    <w:name w:val="字元 字元3"/>
    <w:uiPriority w:val="99"/>
    <w:semiHidden/>
    <w:locked/>
    <w:rsid w:val="003E7EB0"/>
    <w:rPr>
      <w:rFonts w:ascii="標楷體" w:eastAsia="標楷體" w:hAnsi="標楷體"/>
      <w:kern w:val="2"/>
      <w:sz w:val="24"/>
      <w:lang w:val="en-US" w:eastAsia="zh-TW"/>
    </w:rPr>
  </w:style>
  <w:style w:type="paragraph" w:styleId="ad">
    <w:name w:val="Salutation"/>
    <w:basedOn w:val="a"/>
    <w:next w:val="a"/>
    <w:link w:val="ae"/>
    <w:uiPriority w:val="99"/>
    <w:rsid w:val="003E7EB0"/>
    <w:pPr>
      <w:adjustRightInd w:val="0"/>
      <w:ind w:firstLine="488"/>
      <w:jc w:val="both"/>
      <w:textAlignment w:val="baseline"/>
    </w:pPr>
    <w:rPr>
      <w:kern w:val="0"/>
      <w:szCs w:val="20"/>
    </w:rPr>
  </w:style>
  <w:style w:type="character" w:customStyle="1" w:styleId="ae">
    <w:name w:val="問候 字元"/>
    <w:basedOn w:val="a1"/>
    <w:link w:val="ad"/>
    <w:uiPriority w:val="99"/>
    <w:locked/>
    <w:rsid w:val="00096101"/>
    <w:rPr>
      <w:rFonts w:cs="Times New Roman"/>
      <w:sz w:val="24"/>
    </w:rPr>
  </w:style>
  <w:style w:type="character" w:customStyle="1" w:styleId="25">
    <w:name w:val="字元 字元2"/>
    <w:uiPriority w:val="99"/>
    <w:semiHidden/>
    <w:locked/>
    <w:rsid w:val="003E7EB0"/>
    <w:rPr>
      <w:rFonts w:eastAsia="華康中明體"/>
      <w:kern w:val="2"/>
      <w:sz w:val="22"/>
      <w:lang w:val="en-US" w:eastAsia="zh-TW"/>
    </w:rPr>
  </w:style>
  <w:style w:type="paragraph" w:styleId="26">
    <w:name w:val="Body Text 2"/>
    <w:basedOn w:val="a"/>
    <w:link w:val="27"/>
    <w:uiPriority w:val="99"/>
    <w:rsid w:val="003E7EB0"/>
    <w:pPr>
      <w:spacing w:line="200" w:lineRule="exact"/>
    </w:pPr>
    <w:rPr>
      <w:kern w:val="0"/>
      <w:szCs w:val="20"/>
    </w:rPr>
  </w:style>
  <w:style w:type="character" w:customStyle="1" w:styleId="27">
    <w:name w:val="本文 2 字元"/>
    <w:basedOn w:val="a1"/>
    <w:link w:val="26"/>
    <w:uiPriority w:val="99"/>
    <w:locked/>
    <w:rsid w:val="00096101"/>
    <w:rPr>
      <w:rFonts w:cs="Times New Roman"/>
      <w:sz w:val="24"/>
    </w:rPr>
  </w:style>
  <w:style w:type="character" w:customStyle="1" w:styleId="12">
    <w:name w:val="字元 字元1"/>
    <w:uiPriority w:val="99"/>
    <w:semiHidden/>
    <w:locked/>
    <w:rsid w:val="003E7EB0"/>
    <w:rPr>
      <w:rFonts w:eastAsia="新細明體"/>
      <w:kern w:val="2"/>
      <w:sz w:val="24"/>
      <w:lang w:val="en-US" w:eastAsia="zh-TW"/>
    </w:rPr>
  </w:style>
  <w:style w:type="paragraph" w:customStyle="1" w:styleId="af">
    <w:name w:val="資料來源"/>
    <w:basedOn w:val="a"/>
    <w:uiPriority w:val="99"/>
    <w:rsid w:val="003E7EB0"/>
    <w:pPr>
      <w:widowControl/>
      <w:spacing w:afterLines="80" w:line="260" w:lineRule="exact"/>
      <w:ind w:left="500" w:hangingChars="500" w:hanging="500"/>
      <w:jc w:val="both"/>
    </w:pPr>
    <w:rPr>
      <w:rFonts w:ascii="標楷體" w:eastAsia="標楷體" w:hAnsi="標楷體"/>
      <w:sz w:val="16"/>
      <w:szCs w:val="16"/>
    </w:rPr>
  </w:style>
  <w:style w:type="character" w:customStyle="1" w:styleId="af0">
    <w:name w:val="資料來源 字元"/>
    <w:uiPriority w:val="99"/>
    <w:locked/>
    <w:rsid w:val="003E7EB0"/>
    <w:rPr>
      <w:rFonts w:ascii="標楷體" w:eastAsia="標楷體" w:hAnsi="標楷體"/>
      <w:kern w:val="2"/>
      <w:sz w:val="16"/>
      <w:lang w:val="en-US" w:eastAsia="zh-TW"/>
    </w:rPr>
  </w:style>
  <w:style w:type="paragraph" w:styleId="af1">
    <w:name w:val="footnote text"/>
    <w:basedOn w:val="a"/>
    <w:link w:val="af2"/>
    <w:uiPriority w:val="99"/>
    <w:rsid w:val="003E7EB0"/>
    <w:pPr>
      <w:snapToGrid w:val="0"/>
    </w:pPr>
    <w:rPr>
      <w:kern w:val="0"/>
      <w:sz w:val="20"/>
      <w:szCs w:val="20"/>
    </w:rPr>
  </w:style>
  <w:style w:type="character" w:customStyle="1" w:styleId="af2">
    <w:name w:val="註腳文字 字元"/>
    <w:basedOn w:val="a1"/>
    <w:link w:val="af1"/>
    <w:uiPriority w:val="99"/>
    <w:locked/>
    <w:rsid w:val="00096101"/>
    <w:rPr>
      <w:rFonts w:cs="Times New Roman"/>
      <w:sz w:val="20"/>
    </w:rPr>
  </w:style>
  <w:style w:type="character" w:customStyle="1" w:styleId="af3">
    <w:name w:val="字元 字元"/>
    <w:uiPriority w:val="99"/>
    <w:semiHidden/>
    <w:locked/>
    <w:rsid w:val="003E7EB0"/>
    <w:rPr>
      <w:rFonts w:eastAsia="標楷體"/>
      <w:kern w:val="2"/>
      <w:lang w:val="en-US" w:eastAsia="zh-TW"/>
    </w:rPr>
  </w:style>
  <w:style w:type="character" w:styleId="af4">
    <w:name w:val="page number"/>
    <w:basedOn w:val="a1"/>
    <w:uiPriority w:val="99"/>
    <w:rsid w:val="003E7EB0"/>
    <w:rPr>
      <w:rFonts w:cs="Times New Roman"/>
    </w:rPr>
  </w:style>
  <w:style w:type="character" w:styleId="af5">
    <w:name w:val="annotation reference"/>
    <w:basedOn w:val="a1"/>
    <w:uiPriority w:val="99"/>
    <w:semiHidden/>
    <w:rsid w:val="003E7EB0"/>
    <w:rPr>
      <w:rFonts w:cs="Times New Roman"/>
      <w:sz w:val="18"/>
    </w:rPr>
  </w:style>
  <w:style w:type="paragraph" w:styleId="af6">
    <w:name w:val="annotation text"/>
    <w:basedOn w:val="a"/>
    <w:link w:val="af7"/>
    <w:uiPriority w:val="99"/>
    <w:semiHidden/>
    <w:rsid w:val="003E7EB0"/>
    <w:rPr>
      <w:kern w:val="0"/>
      <w:szCs w:val="20"/>
    </w:rPr>
  </w:style>
  <w:style w:type="character" w:customStyle="1" w:styleId="af7">
    <w:name w:val="註解文字 字元"/>
    <w:basedOn w:val="a1"/>
    <w:link w:val="af6"/>
    <w:uiPriority w:val="99"/>
    <w:semiHidden/>
    <w:locked/>
    <w:rsid w:val="00096101"/>
    <w:rPr>
      <w:rFonts w:cs="Times New Roman"/>
      <w:sz w:val="24"/>
    </w:rPr>
  </w:style>
  <w:style w:type="paragraph" w:styleId="af8">
    <w:name w:val="annotation subject"/>
    <w:basedOn w:val="af6"/>
    <w:next w:val="af6"/>
    <w:link w:val="af9"/>
    <w:uiPriority w:val="99"/>
    <w:semiHidden/>
    <w:rsid w:val="003E7EB0"/>
    <w:rPr>
      <w:b/>
    </w:rPr>
  </w:style>
  <w:style w:type="character" w:customStyle="1" w:styleId="af9">
    <w:name w:val="註解主旨 字元"/>
    <w:basedOn w:val="af7"/>
    <w:link w:val="af8"/>
    <w:uiPriority w:val="99"/>
    <w:semiHidden/>
    <w:locked/>
    <w:rsid w:val="00096101"/>
    <w:rPr>
      <w:rFonts w:cs="Times New Roman"/>
      <w:b/>
      <w:sz w:val="24"/>
    </w:rPr>
  </w:style>
  <w:style w:type="paragraph" w:styleId="afa">
    <w:name w:val="Balloon Text"/>
    <w:basedOn w:val="a"/>
    <w:link w:val="afb"/>
    <w:uiPriority w:val="99"/>
    <w:semiHidden/>
    <w:rsid w:val="003E7EB0"/>
    <w:rPr>
      <w:rFonts w:ascii="Arial" w:hAnsi="Arial"/>
      <w:sz w:val="18"/>
      <w:szCs w:val="20"/>
    </w:rPr>
  </w:style>
  <w:style w:type="character" w:customStyle="1" w:styleId="afb">
    <w:name w:val="註解方塊文字 字元"/>
    <w:basedOn w:val="a1"/>
    <w:link w:val="afa"/>
    <w:uiPriority w:val="99"/>
    <w:semiHidden/>
    <w:locked/>
    <w:rsid w:val="004A22D2"/>
    <w:rPr>
      <w:rFonts w:ascii="Arial" w:hAnsi="Arial" w:cs="Times New Roman"/>
      <w:kern w:val="2"/>
      <w:sz w:val="18"/>
    </w:rPr>
  </w:style>
  <w:style w:type="character" w:styleId="afc">
    <w:name w:val="footnote reference"/>
    <w:basedOn w:val="a1"/>
    <w:uiPriority w:val="99"/>
    <w:semiHidden/>
    <w:rsid w:val="003E7EB0"/>
    <w:rPr>
      <w:rFonts w:cs="Times New Roman"/>
      <w:vertAlign w:val="superscript"/>
    </w:rPr>
  </w:style>
  <w:style w:type="character" w:styleId="afd">
    <w:name w:val="Emphasis"/>
    <w:basedOn w:val="a1"/>
    <w:uiPriority w:val="20"/>
    <w:qFormat/>
    <w:rsid w:val="003E7EB0"/>
    <w:rPr>
      <w:rFonts w:cs="Times New Roman"/>
      <w:color w:val="CC0033"/>
    </w:rPr>
  </w:style>
  <w:style w:type="character" w:styleId="afe">
    <w:name w:val="Hyperlink"/>
    <w:basedOn w:val="a1"/>
    <w:uiPriority w:val="99"/>
    <w:rsid w:val="000112E8"/>
    <w:rPr>
      <w:rFonts w:cs="Times New Roman"/>
      <w:color w:val="0000FF"/>
      <w:u w:val="single"/>
    </w:rPr>
  </w:style>
  <w:style w:type="paragraph" w:customStyle="1" w:styleId="Default">
    <w:name w:val="Default"/>
    <w:uiPriority w:val="99"/>
    <w:rsid w:val="00E7065B"/>
    <w:pPr>
      <w:widowControl w:val="0"/>
      <w:autoSpaceDE w:val="0"/>
      <w:autoSpaceDN w:val="0"/>
      <w:adjustRightInd w:val="0"/>
    </w:pPr>
    <w:rPr>
      <w:rFonts w:ascii="微軟正黑體" w:eastAsia="微軟正黑體" w:cs="微軟正黑體"/>
      <w:color w:val="000000"/>
      <w:kern w:val="0"/>
      <w:szCs w:val="24"/>
    </w:rPr>
  </w:style>
  <w:style w:type="paragraph" w:styleId="Web">
    <w:name w:val="Normal (Web)"/>
    <w:basedOn w:val="a"/>
    <w:uiPriority w:val="99"/>
    <w:rsid w:val="00440812"/>
    <w:pPr>
      <w:widowControl/>
      <w:spacing w:before="100" w:beforeAutospacing="1" w:after="100" w:afterAutospacing="1"/>
    </w:pPr>
    <w:rPr>
      <w:rFonts w:ascii="新細明體" w:hAnsi="新細明體" w:cs="新細明體"/>
      <w:kern w:val="0"/>
    </w:rPr>
  </w:style>
  <w:style w:type="character" w:customStyle="1" w:styleId="googqs-tidbitgoogqs-tidbit-0">
    <w:name w:val="goog_qs-tidbit goog_qs-tidbit-0"/>
    <w:uiPriority w:val="99"/>
    <w:rsid w:val="002B0098"/>
  </w:style>
  <w:style w:type="character" w:customStyle="1" w:styleId="blacknews1">
    <w:name w:val="black_news1"/>
    <w:uiPriority w:val="99"/>
    <w:rsid w:val="00242F7C"/>
    <w:rPr>
      <w:color w:val="333333"/>
      <w:spacing w:val="15"/>
      <w:sz w:val="27"/>
      <w:u w:val="none"/>
      <w:effect w:val="none"/>
    </w:rPr>
  </w:style>
  <w:style w:type="paragraph" w:customStyle="1" w:styleId="-1">
    <w:name w:val="題-1"/>
    <w:basedOn w:val="a"/>
    <w:uiPriority w:val="99"/>
    <w:rsid w:val="00C87481"/>
    <w:pPr>
      <w:keepNext/>
      <w:spacing w:line="720" w:lineRule="auto"/>
      <w:jc w:val="center"/>
      <w:outlineLvl w:val="2"/>
    </w:pPr>
    <w:rPr>
      <w:rFonts w:ascii="Arial" w:eastAsia="標楷體" w:hAnsi="Arial"/>
      <w:b/>
      <w:bCs/>
      <w:sz w:val="36"/>
      <w:szCs w:val="36"/>
    </w:rPr>
  </w:style>
  <w:style w:type="paragraph" w:customStyle="1" w:styleId="-2">
    <w:name w:val="題-2"/>
    <w:basedOn w:val="-1"/>
    <w:uiPriority w:val="99"/>
    <w:rsid w:val="00C87481"/>
    <w:pPr>
      <w:spacing w:line="240" w:lineRule="auto"/>
    </w:pPr>
    <w:rPr>
      <w:sz w:val="32"/>
    </w:rPr>
  </w:style>
  <w:style w:type="paragraph" w:customStyle="1" w:styleId="aff">
    <w:name w:val="圖次"/>
    <w:basedOn w:val="a"/>
    <w:link w:val="aff0"/>
    <w:uiPriority w:val="99"/>
    <w:rsid w:val="003E51D5"/>
    <w:pPr>
      <w:adjustRightInd w:val="0"/>
      <w:snapToGrid w:val="0"/>
      <w:spacing w:line="480" w:lineRule="exact"/>
      <w:jc w:val="center"/>
    </w:pPr>
    <w:rPr>
      <w:rFonts w:eastAsia="標楷體"/>
      <w:b/>
      <w:sz w:val="28"/>
      <w:szCs w:val="20"/>
    </w:rPr>
  </w:style>
  <w:style w:type="character" w:customStyle="1" w:styleId="aff0">
    <w:name w:val="圖次 字元"/>
    <w:link w:val="aff"/>
    <w:uiPriority w:val="99"/>
    <w:locked/>
    <w:rsid w:val="00F44889"/>
    <w:rPr>
      <w:rFonts w:eastAsia="標楷體"/>
      <w:b/>
      <w:kern w:val="2"/>
      <w:sz w:val="28"/>
      <w:lang w:val="en-US" w:eastAsia="zh-TW"/>
    </w:rPr>
  </w:style>
  <w:style w:type="paragraph" w:customStyle="1" w:styleId="aff1">
    <w:name w:val="表次"/>
    <w:basedOn w:val="aff"/>
    <w:link w:val="aff2"/>
    <w:uiPriority w:val="99"/>
    <w:rsid w:val="00C87481"/>
  </w:style>
  <w:style w:type="character" w:customStyle="1" w:styleId="aff2">
    <w:name w:val="表次 字元"/>
    <w:link w:val="aff1"/>
    <w:uiPriority w:val="99"/>
    <w:locked/>
    <w:rsid w:val="00F44889"/>
    <w:rPr>
      <w:rFonts w:eastAsia="標楷體"/>
      <w:b/>
      <w:kern w:val="2"/>
      <w:sz w:val="28"/>
      <w:lang w:val="en-US" w:eastAsia="zh-TW"/>
    </w:rPr>
  </w:style>
  <w:style w:type="paragraph" w:customStyle="1" w:styleId="-">
    <w:name w:val="內文-正"/>
    <w:basedOn w:val="a"/>
    <w:uiPriority w:val="99"/>
    <w:rsid w:val="00A074F5"/>
    <w:pPr>
      <w:adjustRightInd w:val="0"/>
      <w:snapToGrid w:val="0"/>
      <w:spacing w:beforeLines="20" w:afterLines="20" w:line="480" w:lineRule="exact"/>
      <w:ind w:firstLineChars="200" w:firstLine="200"/>
      <w:jc w:val="both"/>
    </w:pPr>
    <w:rPr>
      <w:rFonts w:eastAsia="標楷體"/>
      <w:sz w:val="28"/>
      <w:szCs w:val="28"/>
    </w:rPr>
  </w:style>
  <w:style w:type="paragraph" w:styleId="34">
    <w:name w:val="toc 3"/>
    <w:basedOn w:val="a"/>
    <w:next w:val="a"/>
    <w:autoRedefine/>
    <w:uiPriority w:val="99"/>
    <w:rsid w:val="00BD66F0"/>
    <w:pPr>
      <w:tabs>
        <w:tab w:val="right" w:leader="dot" w:pos="9060"/>
      </w:tabs>
      <w:spacing w:line="520" w:lineRule="exact"/>
      <w:ind w:left="958" w:hangingChars="342" w:hanging="958"/>
    </w:pPr>
    <w:rPr>
      <w:rFonts w:eastAsia="標楷體"/>
      <w:noProof/>
      <w:sz w:val="28"/>
    </w:rPr>
  </w:style>
  <w:style w:type="paragraph" w:styleId="13">
    <w:name w:val="toc 1"/>
    <w:basedOn w:val="a"/>
    <w:next w:val="a"/>
    <w:autoRedefine/>
    <w:uiPriority w:val="39"/>
    <w:rsid w:val="00F37519"/>
    <w:pPr>
      <w:tabs>
        <w:tab w:val="right" w:leader="dot" w:pos="9060"/>
      </w:tabs>
      <w:spacing w:beforeLines="50" w:afterLines="50" w:line="440" w:lineRule="exact"/>
      <w:ind w:left="1134" w:hanging="1134"/>
      <w:jc w:val="both"/>
    </w:pPr>
    <w:rPr>
      <w:rFonts w:eastAsia="標楷體" w:cs="新細明體"/>
      <w:b/>
      <w:noProof/>
      <w:sz w:val="28"/>
      <w:szCs w:val="28"/>
    </w:rPr>
  </w:style>
  <w:style w:type="character" w:customStyle="1" w:styleId="apple-converted-space">
    <w:name w:val="apple-converted-space"/>
    <w:rsid w:val="00D852FF"/>
  </w:style>
  <w:style w:type="paragraph" w:customStyle="1" w:styleId="-0">
    <w:name w:val="內文-不內縮"/>
    <w:basedOn w:val="a"/>
    <w:uiPriority w:val="99"/>
    <w:rsid w:val="0034106D"/>
    <w:pPr>
      <w:adjustRightInd w:val="0"/>
      <w:snapToGrid w:val="0"/>
      <w:spacing w:beforeLines="50" w:afterLines="50" w:line="520" w:lineRule="exact"/>
      <w:ind w:firstLineChars="200" w:firstLine="200"/>
      <w:jc w:val="both"/>
    </w:pPr>
    <w:rPr>
      <w:rFonts w:eastAsia="標楷體"/>
      <w:sz w:val="28"/>
      <w:szCs w:val="28"/>
    </w:rPr>
  </w:style>
  <w:style w:type="paragraph" w:customStyle="1" w:styleId="xl65">
    <w:name w:val="xl65"/>
    <w:basedOn w:val="a"/>
    <w:uiPriority w:val="99"/>
    <w:rsid w:val="00870140"/>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Ansi="新細明體" w:cs="新細明體"/>
      <w:kern w:val="0"/>
      <w:sz w:val="18"/>
      <w:szCs w:val="18"/>
    </w:rPr>
  </w:style>
  <w:style w:type="character" w:customStyle="1" w:styleId="txt24rb1">
    <w:name w:val="txt24rb1"/>
    <w:uiPriority w:val="99"/>
    <w:rsid w:val="00382681"/>
    <w:rPr>
      <w:b/>
      <w:color w:val="E5180D"/>
      <w:spacing w:val="450"/>
      <w:sz w:val="36"/>
    </w:rPr>
  </w:style>
  <w:style w:type="paragraph" w:styleId="aff3">
    <w:name w:val="Date"/>
    <w:basedOn w:val="a"/>
    <w:next w:val="a"/>
    <w:link w:val="aff4"/>
    <w:uiPriority w:val="99"/>
    <w:rsid w:val="00382681"/>
    <w:pPr>
      <w:jc w:val="right"/>
    </w:pPr>
    <w:rPr>
      <w:szCs w:val="20"/>
    </w:rPr>
  </w:style>
  <w:style w:type="character" w:customStyle="1" w:styleId="aff4">
    <w:name w:val="日期 字元"/>
    <w:basedOn w:val="a1"/>
    <w:link w:val="aff3"/>
    <w:uiPriority w:val="99"/>
    <w:locked/>
    <w:rsid w:val="00382681"/>
    <w:rPr>
      <w:rFonts w:cs="Times New Roman"/>
      <w:kern w:val="2"/>
      <w:sz w:val="24"/>
    </w:rPr>
  </w:style>
  <w:style w:type="paragraph" w:styleId="HTML">
    <w:name w:val="HTML Preformatted"/>
    <w:basedOn w:val="a"/>
    <w:link w:val="HTML0"/>
    <w:uiPriority w:val="99"/>
    <w:rsid w:val="0038268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szCs w:val="20"/>
    </w:rPr>
  </w:style>
  <w:style w:type="character" w:customStyle="1" w:styleId="HTMLPreformattedChar">
    <w:name w:val="HTML Preformatted Char"/>
    <w:basedOn w:val="a1"/>
    <w:uiPriority w:val="99"/>
    <w:locked/>
    <w:rsid w:val="00AC21E0"/>
    <w:rPr>
      <w:rFonts w:ascii="細明體" w:eastAsia="細明體" w:hAnsi="細明體" w:cs="Times New Roman"/>
      <w:kern w:val="0"/>
      <w:sz w:val="24"/>
    </w:rPr>
  </w:style>
  <w:style w:type="character" w:customStyle="1" w:styleId="HTML0">
    <w:name w:val="HTML 預設格式 字元"/>
    <w:link w:val="HTML"/>
    <w:uiPriority w:val="99"/>
    <w:locked/>
    <w:rsid w:val="00382681"/>
    <w:rPr>
      <w:rFonts w:ascii="細明體" w:eastAsia="細明體" w:hAnsi="細明體"/>
      <w:sz w:val="24"/>
    </w:rPr>
  </w:style>
  <w:style w:type="table" w:styleId="aff5">
    <w:name w:val="Table Grid"/>
    <w:basedOn w:val="a2"/>
    <w:uiPriority w:val="39"/>
    <w:rsid w:val="00382681"/>
    <w:pPr>
      <w:widowControl w:val="0"/>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6">
    <w:name w:val="Strong"/>
    <w:basedOn w:val="a1"/>
    <w:uiPriority w:val="99"/>
    <w:qFormat/>
    <w:rsid w:val="00382681"/>
    <w:rPr>
      <w:rFonts w:cs="Times New Roman"/>
      <w:b/>
    </w:rPr>
  </w:style>
  <w:style w:type="paragraph" w:customStyle="1" w:styleId="font5">
    <w:name w:val="font5"/>
    <w:basedOn w:val="a"/>
    <w:uiPriority w:val="99"/>
    <w:rsid w:val="00382681"/>
    <w:pPr>
      <w:widowControl/>
      <w:spacing w:before="100" w:beforeAutospacing="1" w:after="100" w:afterAutospacing="1"/>
    </w:pPr>
    <w:rPr>
      <w:rFonts w:ascii="新細明體" w:hAnsi="新細明體" w:cs="新細明體"/>
      <w:kern w:val="0"/>
      <w:sz w:val="18"/>
      <w:szCs w:val="18"/>
    </w:rPr>
  </w:style>
  <w:style w:type="paragraph" w:customStyle="1" w:styleId="xl24">
    <w:name w:val="xl24"/>
    <w:basedOn w:val="a"/>
    <w:uiPriority w:val="99"/>
    <w:rsid w:val="00382681"/>
    <w:pPr>
      <w:widowControl/>
      <w:pBdr>
        <w:bottom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25">
    <w:name w:val="xl25"/>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26">
    <w:name w:val="xl26"/>
    <w:basedOn w:val="a"/>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27">
    <w:name w:val="xl27"/>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28">
    <w:name w:val="xl28"/>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29">
    <w:name w:val="xl29"/>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kern w:val="0"/>
      <w:sz w:val="18"/>
      <w:szCs w:val="18"/>
    </w:rPr>
  </w:style>
  <w:style w:type="paragraph" w:customStyle="1" w:styleId="xl30">
    <w:name w:val="xl30"/>
    <w:basedOn w:val="a"/>
    <w:uiPriority w:val="99"/>
    <w:rsid w:val="00382681"/>
    <w:pPr>
      <w:widowControl/>
      <w:pBdr>
        <w:left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31">
    <w:name w:val="xl31"/>
    <w:basedOn w:val="a"/>
    <w:uiPriority w:val="99"/>
    <w:rsid w:val="00382681"/>
    <w:pPr>
      <w:widowControl/>
      <w:pBdr>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32">
    <w:name w:val="xl32"/>
    <w:basedOn w:val="a"/>
    <w:uiPriority w:val="99"/>
    <w:rsid w:val="00382681"/>
    <w:pPr>
      <w:widowControl/>
      <w:pBdr>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33">
    <w:name w:val="xl33"/>
    <w:basedOn w:val="a"/>
    <w:uiPriority w:val="99"/>
    <w:rsid w:val="00382681"/>
    <w:pPr>
      <w:widowControl/>
      <w:pBdr>
        <w:bottom w:val="double" w:sz="6" w:space="0" w:color="auto"/>
        <w:right w:val="single" w:sz="8"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34">
    <w:name w:val="xl34"/>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35">
    <w:name w:val="xl35"/>
    <w:basedOn w:val="a"/>
    <w:uiPriority w:val="99"/>
    <w:rsid w:val="00382681"/>
    <w:pPr>
      <w:widowControl/>
      <w:pBdr>
        <w:left w:val="single" w:sz="8" w:space="0" w:color="auto"/>
        <w:bottom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36">
    <w:name w:val="xl36"/>
    <w:basedOn w:val="a"/>
    <w:uiPriority w:val="99"/>
    <w:rsid w:val="00382681"/>
    <w:pPr>
      <w:widowControl/>
      <w:pBdr>
        <w:bottom w:val="single" w:sz="8" w:space="0" w:color="auto"/>
        <w:right w:val="single" w:sz="8" w:space="0" w:color="auto"/>
      </w:pBdr>
      <w:spacing w:before="100" w:beforeAutospacing="1" w:after="100" w:afterAutospacing="1"/>
      <w:jc w:val="right"/>
    </w:pPr>
    <w:rPr>
      <w:kern w:val="0"/>
      <w:sz w:val="18"/>
      <w:szCs w:val="18"/>
    </w:rPr>
  </w:style>
  <w:style w:type="paragraph" w:customStyle="1" w:styleId="xl37">
    <w:name w:val="xl37"/>
    <w:basedOn w:val="a"/>
    <w:uiPriority w:val="99"/>
    <w:rsid w:val="00382681"/>
    <w:pPr>
      <w:widowControl/>
      <w:pBdr>
        <w:bottom w:val="single" w:sz="8" w:space="0" w:color="auto"/>
      </w:pBdr>
      <w:spacing w:before="100" w:beforeAutospacing="1" w:after="100" w:afterAutospacing="1"/>
    </w:pPr>
    <w:rPr>
      <w:rFonts w:ascii="新細明體" w:hAnsi="新細明體" w:cs="新細明體"/>
      <w:kern w:val="0"/>
    </w:rPr>
  </w:style>
  <w:style w:type="paragraph" w:customStyle="1" w:styleId="xl38">
    <w:name w:val="xl38"/>
    <w:basedOn w:val="a"/>
    <w:uiPriority w:val="99"/>
    <w:rsid w:val="00382681"/>
    <w:pPr>
      <w:widowControl/>
      <w:pBdr>
        <w:top w:val="double" w:sz="6" w:space="0" w:color="auto"/>
        <w:left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39">
    <w:name w:val="xl39"/>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0">
    <w:name w:val="xl40"/>
    <w:basedOn w:val="a"/>
    <w:uiPriority w:val="99"/>
    <w:rsid w:val="00382681"/>
    <w:pPr>
      <w:widowControl/>
      <w:pBdr>
        <w:top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41">
    <w:name w:val="xl41"/>
    <w:basedOn w:val="a"/>
    <w:uiPriority w:val="99"/>
    <w:rsid w:val="00382681"/>
    <w:pPr>
      <w:widowControl/>
      <w:pBdr>
        <w:top w:val="single" w:sz="8" w:space="0" w:color="auto"/>
        <w:left w:val="single" w:sz="8" w:space="0" w:color="auto"/>
        <w:bottom w:val="single" w:sz="8" w:space="0" w:color="auto"/>
      </w:pBdr>
      <w:spacing w:before="100" w:beforeAutospacing="1" w:after="100" w:afterAutospacing="1"/>
    </w:pPr>
    <w:rPr>
      <w:rFonts w:ascii="新細明體" w:hAnsi="新細明體" w:cs="新細明體"/>
      <w:kern w:val="0"/>
      <w:sz w:val="18"/>
      <w:szCs w:val="18"/>
    </w:rPr>
  </w:style>
  <w:style w:type="paragraph" w:customStyle="1" w:styleId="xl42">
    <w:name w:val="xl42"/>
    <w:basedOn w:val="a"/>
    <w:uiPriority w:val="99"/>
    <w:rsid w:val="00382681"/>
    <w:pPr>
      <w:widowControl/>
      <w:pBdr>
        <w:top w:val="single" w:sz="8" w:space="0" w:color="auto"/>
        <w:bottom w:val="single" w:sz="8" w:space="0" w:color="auto"/>
      </w:pBdr>
      <w:spacing w:before="100" w:beforeAutospacing="1" w:after="100" w:afterAutospacing="1"/>
    </w:pPr>
    <w:rPr>
      <w:rFonts w:ascii="新細明體" w:hAnsi="新細明體" w:cs="新細明體"/>
      <w:kern w:val="0"/>
      <w:sz w:val="18"/>
      <w:szCs w:val="18"/>
    </w:rPr>
  </w:style>
  <w:style w:type="paragraph" w:customStyle="1" w:styleId="xl43">
    <w:name w:val="xl43"/>
    <w:basedOn w:val="a"/>
    <w:uiPriority w:val="99"/>
    <w:rsid w:val="00382681"/>
    <w:pPr>
      <w:widowControl/>
      <w:pBdr>
        <w:top w:val="single" w:sz="8" w:space="0" w:color="auto"/>
        <w:bottom w:val="single" w:sz="8" w:space="0" w:color="auto"/>
        <w:right w:val="single" w:sz="8" w:space="0" w:color="000000"/>
      </w:pBdr>
      <w:spacing w:before="100" w:beforeAutospacing="1" w:after="100" w:afterAutospacing="1"/>
    </w:pPr>
    <w:rPr>
      <w:rFonts w:ascii="新細明體" w:hAnsi="新細明體" w:cs="新細明體"/>
      <w:kern w:val="0"/>
      <w:sz w:val="18"/>
      <w:szCs w:val="18"/>
    </w:rPr>
  </w:style>
  <w:style w:type="paragraph" w:customStyle="1" w:styleId="xl44">
    <w:name w:val="xl44"/>
    <w:basedOn w:val="a"/>
    <w:uiPriority w:val="99"/>
    <w:rsid w:val="00382681"/>
    <w:pPr>
      <w:widowControl/>
      <w:pBdr>
        <w:bottom w:val="single" w:sz="8" w:space="0" w:color="auto"/>
      </w:pBdr>
      <w:spacing w:before="100" w:beforeAutospacing="1" w:after="100" w:afterAutospacing="1"/>
    </w:pPr>
    <w:rPr>
      <w:rFonts w:ascii="新細明體" w:hAnsi="新細明體" w:cs="新細明體"/>
      <w:b/>
      <w:bCs/>
      <w:kern w:val="0"/>
    </w:rPr>
  </w:style>
  <w:style w:type="paragraph" w:customStyle="1" w:styleId="xl45">
    <w:name w:val="xl45"/>
    <w:basedOn w:val="a"/>
    <w:uiPriority w:val="99"/>
    <w:rsid w:val="00382681"/>
    <w:pPr>
      <w:widowControl/>
      <w:pBdr>
        <w:top w:val="double" w:sz="6" w:space="0" w:color="auto"/>
        <w:left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6">
    <w:name w:val="xl46"/>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7">
    <w:name w:val="xl47"/>
    <w:basedOn w:val="a"/>
    <w:uiPriority w:val="99"/>
    <w:rsid w:val="00382681"/>
    <w:pPr>
      <w:widowControl/>
      <w:pBdr>
        <w:top w:val="single" w:sz="8" w:space="0" w:color="auto"/>
        <w:bottom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8">
    <w:name w:val="xl48"/>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49">
    <w:name w:val="xl49"/>
    <w:basedOn w:val="a"/>
    <w:uiPriority w:val="99"/>
    <w:rsid w:val="00382681"/>
    <w:pPr>
      <w:widowControl/>
      <w:pBdr>
        <w:bottom w:val="single" w:sz="8" w:space="0" w:color="auto"/>
        <w:right w:val="single" w:sz="8" w:space="0" w:color="auto"/>
      </w:pBdr>
      <w:spacing w:before="100" w:beforeAutospacing="1" w:after="100" w:afterAutospacing="1"/>
      <w:jc w:val="right"/>
    </w:pPr>
    <w:rPr>
      <w:color w:val="FF0000"/>
      <w:kern w:val="0"/>
      <w:sz w:val="18"/>
      <w:szCs w:val="18"/>
    </w:rPr>
  </w:style>
  <w:style w:type="paragraph" w:customStyle="1" w:styleId="xl50">
    <w:name w:val="xl50"/>
    <w:basedOn w:val="a"/>
    <w:uiPriority w:val="99"/>
    <w:rsid w:val="00382681"/>
    <w:pPr>
      <w:widowControl/>
      <w:pBdr>
        <w:bottom w:val="single" w:sz="8" w:space="0" w:color="auto"/>
        <w:right w:val="single" w:sz="8" w:space="0" w:color="auto"/>
      </w:pBdr>
      <w:spacing w:before="100" w:beforeAutospacing="1" w:after="100" w:afterAutospacing="1"/>
      <w:jc w:val="right"/>
    </w:pPr>
    <w:rPr>
      <w:color w:val="008000"/>
      <w:kern w:val="0"/>
      <w:sz w:val="18"/>
      <w:szCs w:val="18"/>
    </w:rPr>
  </w:style>
  <w:style w:type="paragraph" w:customStyle="1" w:styleId="xl51">
    <w:name w:val="xl51"/>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color w:val="FF0000"/>
      <w:kern w:val="0"/>
      <w:sz w:val="18"/>
      <w:szCs w:val="18"/>
    </w:rPr>
  </w:style>
  <w:style w:type="paragraph" w:customStyle="1" w:styleId="xl52">
    <w:name w:val="xl52"/>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color w:val="008000"/>
      <w:kern w:val="0"/>
      <w:sz w:val="18"/>
      <w:szCs w:val="18"/>
    </w:rPr>
  </w:style>
  <w:style w:type="paragraph" w:customStyle="1" w:styleId="xl53">
    <w:name w:val="xl53"/>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b/>
      <w:bCs/>
      <w:color w:val="FF0000"/>
      <w:kern w:val="0"/>
      <w:sz w:val="18"/>
      <w:szCs w:val="18"/>
    </w:rPr>
  </w:style>
  <w:style w:type="paragraph" w:customStyle="1" w:styleId="xl66">
    <w:name w:val="xl66"/>
    <w:basedOn w:val="a"/>
    <w:uiPriority w:val="99"/>
    <w:rsid w:val="00382681"/>
    <w:pPr>
      <w:widowControl/>
      <w:pBdr>
        <w:bottom w:val="single" w:sz="8" w:space="0" w:color="auto"/>
      </w:pBdr>
      <w:spacing w:before="100" w:beforeAutospacing="1" w:after="100" w:afterAutospacing="1"/>
    </w:pPr>
    <w:rPr>
      <w:rFonts w:ascii="新細明體" w:hAnsi="新細明體" w:cs="新細明體"/>
      <w:kern w:val="0"/>
    </w:rPr>
  </w:style>
  <w:style w:type="paragraph" w:customStyle="1" w:styleId="xl67">
    <w:name w:val="xl67"/>
    <w:basedOn w:val="a"/>
    <w:uiPriority w:val="99"/>
    <w:rsid w:val="00382681"/>
    <w:pPr>
      <w:widowControl/>
      <w:pBdr>
        <w:bottom w:val="single" w:sz="8" w:space="0" w:color="auto"/>
      </w:pBdr>
      <w:spacing w:before="100" w:beforeAutospacing="1" w:after="100" w:afterAutospacing="1"/>
      <w:jc w:val="center"/>
    </w:pPr>
    <w:rPr>
      <w:rFonts w:ascii="新細明體" w:hAnsi="新細明體" w:cs="新細明體"/>
      <w:kern w:val="0"/>
    </w:rPr>
  </w:style>
  <w:style w:type="paragraph" w:customStyle="1" w:styleId="xl68">
    <w:name w:val="xl68"/>
    <w:basedOn w:val="a"/>
    <w:uiPriority w:val="99"/>
    <w:rsid w:val="00382681"/>
    <w:pPr>
      <w:widowControl/>
      <w:pBdr>
        <w:lef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69">
    <w:name w:val="xl69"/>
    <w:basedOn w:val="a"/>
    <w:uiPriority w:val="99"/>
    <w:rsid w:val="00382681"/>
    <w:pPr>
      <w:widowControl/>
      <w:spacing w:before="100" w:beforeAutospacing="1" w:after="100" w:afterAutospacing="1"/>
      <w:jc w:val="center"/>
    </w:pPr>
    <w:rPr>
      <w:rFonts w:ascii="新細明體" w:hAnsi="新細明體" w:cs="新細明體"/>
      <w:kern w:val="0"/>
      <w:sz w:val="18"/>
      <w:szCs w:val="18"/>
    </w:rPr>
  </w:style>
  <w:style w:type="paragraph" w:customStyle="1" w:styleId="xl70">
    <w:name w:val="xl70"/>
    <w:basedOn w:val="a"/>
    <w:uiPriority w:val="99"/>
    <w:rsid w:val="00382681"/>
    <w:pPr>
      <w:widowControl/>
      <w:pBdr>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71">
    <w:name w:val="xl71"/>
    <w:basedOn w:val="a"/>
    <w:uiPriority w:val="99"/>
    <w:rsid w:val="00382681"/>
    <w:pPr>
      <w:widowControl/>
      <w:pBdr>
        <w:top w:val="double" w:sz="6" w:space="0" w:color="auto"/>
        <w:left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2">
    <w:name w:val="xl72"/>
    <w:basedOn w:val="a"/>
    <w:uiPriority w:val="99"/>
    <w:rsid w:val="00382681"/>
    <w:pPr>
      <w:widowControl/>
      <w:pBdr>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3">
    <w:name w:val="xl73"/>
    <w:basedOn w:val="a"/>
    <w:uiPriority w:val="99"/>
    <w:rsid w:val="00382681"/>
    <w:pPr>
      <w:widowControl/>
      <w:pBdr>
        <w:top w:val="double" w:sz="6"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4">
    <w:name w:val="xl74"/>
    <w:basedOn w:val="a"/>
    <w:uiPriority w:val="99"/>
    <w:rsid w:val="00382681"/>
    <w:pPr>
      <w:widowControl/>
      <w:pBdr>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5">
    <w:name w:val="xl75"/>
    <w:basedOn w:val="a"/>
    <w:uiPriority w:val="99"/>
    <w:rsid w:val="00382681"/>
    <w:pPr>
      <w:widowControl/>
      <w:pBdr>
        <w:top w:val="double" w:sz="6" w:space="0" w:color="auto"/>
        <w:bottom w:val="double" w:sz="6" w:space="0" w:color="auto"/>
        <w:right w:val="single" w:sz="8"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76">
    <w:name w:val="xl76"/>
    <w:basedOn w:val="a"/>
    <w:uiPriority w:val="99"/>
    <w:rsid w:val="00382681"/>
    <w:pPr>
      <w:widowControl/>
      <w:pBdr>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77">
    <w:name w:val="xl77"/>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78">
    <w:name w:val="xl78"/>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79">
    <w:name w:val="xl79"/>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80">
    <w:name w:val="xl80"/>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81">
    <w:name w:val="xl81"/>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kern w:val="0"/>
      <w:sz w:val="18"/>
      <w:szCs w:val="18"/>
    </w:rPr>
  </w:style>
  <w:style w:type="paragraph" w:customStyle="1" w:styleId="xl82">
    <w:name w:val="xl82"/>
    <w:basedOn w:val="a"/>
    <w:uiPriority w:val="99"/>
    <w:rsid w:val="00382681"/>
    <w:pPr>
      <w:widowControl/>
      <w:pBdr>
        <w:left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xl83">
    <w:name w:val="xl83"/>
    <w:basedOn w:val="a"/>
    <w:uiPriority w:val="99"/>
    <w:rsid w:val="00382681"/>
    <w:pPr>
      <w:widowControl/>
      <w:pBdr>
        <w:bottom w:val="double" w:sz="6" w:space="0" w:color="auto"/>
      </w:pBdr>
      <w:shd w:val="clear" w:color="auto" w:fill="CCFFFF"/>
      <w:spacing w:before="100" w:beforeAutospacing="1" w:after="100" w:afterAutospacing="1"/>
      <w:jc w:val="right"/>
    </w:pPr>
    <w:rPr>
      <w:rFonts w:ascii="新細明體" w:hAnsi="新細明體" w:cs="新細明體"/>
      <w:kern w:val="0"/>
      <w:sz w:val="18"/>
      <w:szCs w:val="18"/>
    </w:rPr>
  </w:style>
  <w:style w:type="paragraph" w:customStyle="1" w:styleId="xl84">
    <w:name w:val="xl84"/>
    <w:basedOn w:val="a"/>
    <w:uiPriority w:val="99"/>
    <w:rsid w:val="00382681"/>
    <w:pPr>
      <w:widowControl/>
      <w:pBdr>
        <w:bottom w:val="double" w:sz="6" w:space="0" w:color="auto"/>
        <w:right w:val="single" w:sz="8" w:space="0" w:color="auto"/>
      </w:pBdr>
      <w:shd w:val="clear" w:color="auto" w:fill="CCFFFF"/>
      <w:spacing w:before="100" w:beforeAutospacing="1" w:after="100" w:afterAutospacing="1"/>
    </w:pPr>
    <w:rPr>
      <w:rFonts w:ascii="新細明體" w:hAnsi="新細明體" w:cs="新細明體"/>
      <w:kern w:val="0"/>
      <w:sz w:val="18"/>
      <w:szCs w:val="18"/>
    </w:rPr>
  </w:style>
  <w:style w:type="paragraph" w:customStyle="1" w:styleId="xl85">
    <w:name w:val="xl85"/>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b/>
      <w:bCs/>
      <w:color w:val="FF0000"/>
      <w:kern w:val="0"/>
      <w:sz w:val="18"/>
      <w:szCs w:val="18"/>
    </w:rPr>
  </w:style>
  <w:style w:type="paragraph" w:customStyle="1" w:styleId="xl86">
    <w:name w:val="xl86"/>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b/>
      <w:bCs/>
      <w:kern w:val="0"/>
      <w:sz w:val="18"/>
      <w:szCs w:val="18"/>
    </w:rPr>
  </w:style>
  <w:style w:type="paragraph" w:customStyle="1" w:styleId="xl87">
    <w:name w:val="xl87"/>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color w:val="FF0000"/>
      <w:kern w:val="0"/>
      <w:sz w:val="18"/>
      <w:szCs w:val="18"/>
    </w:rPr>
  </w:style>
  <w:style w:type="paragraph" w:customStyle="1" w:styleId="xl88">
    <w:name w:val="xl88"/>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b/>
      <w:bCs/>
      <w:color w:val="008000"/>
      <w:kern w:val="0"/>
      <w:sz w:val="18"/>
      <w:szCs w:val="18"/>
    </w:rPr>
  </w:style>
  <w:style w:type="paragraph" w:customStyle="1" w:styleId="xl89">
    <w:name w:val="xl89"/>
    <w:basedOn w:val="a"/>
    <w:uiPriority w:val="99"/>
    <w:rsid w:val="00382681"/>
    <w:pPr>
      <w:widowControl/>
      <w:pBdr>
        <w:bottom w:val="single" w:sz="8" w:space="0" w:color="auto"/>
        <w:right w:val="single" w:sz="8" w:space="0" w:color="auto"/>
      </w:pBdr>
      <w:spacing w:before="100" w:beforeAutospacing="1" w:after="100" w:afterAutospacing="1"/>
      <w:textAlignment w:val="top"/>
    </w:pPr>
    <w:rPr>
      <w:rFonts w:ascii="新細明體" w:hAnsi="新細明體" w:cs="新細明體"/>
      <w:b/>
      <w:bCs/>
      <w:color w:val="FF0000"/>
      <w:kern w:val="0"/>
      <w:sz w:val="18"/>
      <w:szCs w:val="18"/>
    </w:rPr>
  </w:style>
  <w:style w:type="paragraph" w:customStyle="1" w:styleId="xl90">
    <w:name w:val="xl90"/>
    <w:basedOn w:val="a"/>
    <w:uiPriority w:val="99"/>
    <w:rsid w:val="00382681"/>
    <w:pPr>
      <w:widowControl/>
      <w:pBdr>
        <w:bottom w:val="single" w:sz="8" w:space="0" w:color="auto"/>
        <w:right w:val="single" w:sz="8" w:space="0" w:color="auto"/>
      </w:pBdr>
      <w:spacing w:before="100" w:beforeAutospacing="1" w:after="100" w:afterAutospacing="1"/>
      <w:jc w:val="both"/>
    </w:pPr>
    <w:rPr>
      <w:rFonts w:ascii="新細明體" w:hAnsi="新細明體" w:cs="新細明體"/>
      <w:b/>
      <w:bCs/>
      <w:color w:val="FF0000"/>
      <w:kern w:val="0"/>
      <w:sz w:val="18"/>
      <w:szCs w:val="18"/>
    </w:rPr>
  </w:style>
  <w:style w:type="paragraph" w:customStyle="1" w:styleId="xl91">
    <w:name w:val="xl91"/>
    <w:basedOn w:val="a"/>
    <w:uiPriority w:val="99"/>
    <w:rsid w:val="00382681"/>
    <w:pPr>
      <w:widowControl/>
      <w:pBdr>
        <w:bottom w:val="single" w:sz="8" w:space="0" w:color="auto"/>
        <w:right w:val="single" w:sz="8" w:space="0" w:color="auto"/>
      </w:pBdr>
      <w:spacing w:before="100" w:beforeAutospacing="1" w:after="100" w:afterAutospacing="1"/>
      <w:jc w:val="both"/>
    </w:pPr>
    <w:rPr>
      <w:rFonts w:ascii="新細明體" w:hAnsi="新細明體" w:cs="新細明體"/>
      <w:kern w:val="0"/>
      <w:sz w:val="18"/>
      <w:szCs w:val="18"/>
    </w:rPr>
  </w:style>
  <w:style w:type="paragraph" w:customStyle="1" w:styleId="xl92">
    <w:name w:val="xl92"/>
    <w:basedOn w:val="a"/>
    <w:uiPriority w:val="99"/>
    <w:rsid w:val="00382681"/>
    <w:pPr>
      <w:widowControl/>
      <w:pBdr>
        <w:bottom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93">
    <w:name w:val="xl93"/>
    <w:basedOn w:val="a"/>
    <w:uiPriority w:val="99"/>
    <w:rsid w:val="00382681"/>
    <w:pPr>
      <w:widowControl/>
      <w:pBdr>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94">
    <w:name w:val="xl94"/>
    <w:basedOn w:val="a"/>
    <w:uiPriority w:val="99"/>
    <w:rsid w:val="00382681"/>
    <w:pPr>
      <w:widowControl/>
      <w:pBdr>
        <w:left w:val="single" w:sz="8" w:space="0" w:color="auto"/>
        <w:bottom w:val="single" w:sz="8" w:space="0" w:color="auto"/>
        <w:right w:val="single" w:sz="8" w:space="0" w:color="auto"/>
      </w:pBdr>
      <w:spacing w:before="100" w:beforeAutospacing="1" w:after="100" w:afterAutospacing="1"/>
      <w:jc w:val="both"/>
    </w:pPr>
    <w:rPr>
      <w:rFonts w:ascii="新細明體" w:hAnsi="新細明體" w:cs="新細明體"/>
      <w:kern w:val="0"/>
      <w:sz w:val="18"/>
      <w:szCs w:val="18"/>
    </w:rPr>
  </w:style>
  <w:style w:type="paragraph" w:customStyle="1" w:styleId="xl95">
    <w:name w:val="xl95"/>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kern w:val="0"/>
      <w:sz w:val="18"/>
      <w:szCs w:val="18"/>
    </w:rPr>
  </w:style>
  <w:style w:type="paragraph" w:customStyle="1" w:styleId="xl96">
    <w:name w:val="xl96"/>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b/>
      <w:bCs/>
      <w:color w:val="008000"/>
      <w:kern w:val="0"/>
      <w:sz w:val="18"/>
      <w:szCs w:val="18"/>
    </w:rPr>
  </w:style>
  <w:style w:type="paragraph" w:customStyle="1" w:styleId="xl97">
    <w:name w:val="xl97"/>
    <w:basedOn w:val="a"/>
    <w:uiPriority w:val="99"/>
    <w:rsid w:val="00382681"/>
    <w:pPr>
      <w:widowControl/>
      <w:pBdr>
        <w:bottom w:val="single" w:sz="8" w:space="0" w:color="auto"/>
        <w:right w:val="single" w:sz="8" w:space="0" w:color="auto"/>
      </w:pBdr>
      <w:spacing w:before="100" w:beforeAutospacing="1" w:after="100" w:afterAutospacing="1"/>
      <w:jc w:val="right"/>
    </w:pPr>
    <w:rPr>
      <w:rFonts w:ascii="新細明體" w:hAnsi="新細明體" w:cs="新細明體"/>
      <w:b/>
      <w:bCs/>
      <w:color w:val="FF0000"/>
      <w:kern w:val="0"/>
      <w:sz w:val="18"/>
      <w:szCs w:val="18"/>
    </w:rPr>
  </w:style>
  <w:style w:type="paragraph" w:customStyle="1" w:styleId="xl98">
    <w:name w:val="xl98"/>
    <w:basedOn w:val="a"/>
    <w:uiPriority w:val="99"/>
    <w:rsid w:val="00382681"/>
    <w:pPr>
      <w:widowControl/>
      <w:spacing w:before="100" w:beforeAutospacing="1" w:after="100" w:afterAutospacing="1"/>
    </w:pPr>
    <w:rPr>
      <w:rFonts w:ascii="新細明體" w:hAnsi="新細明體" w:cs="新細明體"/>
      <w:kern w:val="0"/>
    </w:rPr>
  </w:style>
  <w:style w:type="paragraph" w:customStyle="1" w:styleId="xl99">
    <w:name w:val="xl99"/>
    <w:basedOn w:val="a"/>
    <w:uiPriority w:val="99"/>
    <w:rsid w:val="00382681"/>
    <w:pPr>
      <w:widowControl/>
      <w:pBdr>
        <w:bottom w:val="single" w:sz="8" w:space="0" w:color="auto"/>
        <w:right w:val="single" w:sz="8" w:space="0" w:color="auto"/>
      </w:pBdr>
      <w:spacing w:before="100" w:beforeAutospacing="1" w:after="100" w:afterAutospacing="1"/>
    </w:pPr>
    <w:rPr>
      <w:rFonts w:ascii="新細明體" w:hAnsi="新細明體" w:cs="新細明體"/>
      <w:color w:val="FF0000"/>
      <w:kern w:val="0"/>
      <w:sz w:val="18"/>
      <w:szCs w:val="18"/>
    </w:rPr>
  </w:style>
  <w:style w:type="paragraph" w:customStyle="1" w:styleId="xl100">
    <w:name w:val="xl100"/>
    <w:basedOn w:val="a"/>
    <w:uiPriority w:val="99"/>
    <w:rsid w:val="00382681"/>
    <w:pPr>
      <w:widowControl/>
      <w:pBdr>
        <w:bottom w:val="single" w:sz="8" w:space="0" w:color="auto"/>
        <w:right w:val="single" w:sz="8" w:space="0" w:color="auto"/>
      </w:pBdr>
      <w:spacing w:before="100" w:beforeAutospacing="1" w:after="100" w:afterAutospacing="1"/>
      <w:jc w:val="both"/>
    </w:pPr>
    <w:rPr>
      <w:rFonts w:ascii="新細明體" w:hAnsi="新細明體" w:cs="新細明體"/>
      <w:kern w:val="0"/>
      <w:sz w:val="18"/>
      <w:szCs w:val="18"/>
    </w:rPr>
  </w:style>
  <w:style w:type="paragraph" w:customStyle="1" w:styleId="xl101">
    <w:name w:val="xl101"/>
    <w:basedOn w:val="a"/>
    <w:uiPriority w:val="99"/>
    <w:rsid w:val="00382681"/>
    <w:pPr>
      <w:widowControl/>
      <w:pBdr>
        <w:bottom w:val="single" w:sz="8" w:space="0" w:color="auto"/>
      </w:pBdr>
      <w:spacing w:before="100" w:beforeAutospacing="1" w:after="100" w:afterAutospacing="1"/>
    </w:pPr>
    <w:rPr>
      <w:rFonts w:ascii="新細明體" w:hAnsi="新細明體" w:cs="新細明體"/>
      <w:b/>
      <w:bCs/>
      <w:kern w:val="0"/>
    </w:rPr>
  </w:style>
  <w:style w:type="paragraph" w:customStyle="1" w:styleId="xl102">
    <w:name w:val="xl102"/>
    <w:basedOn w:val="a"/>
    <w:uiPriority w:val="99"/>
    <w:rsid w:val="00382681"/>
    <w:pPr>
      <w:widowControl/>
      <w:pBdr>
        <w:top w:val="single" w:sz="8" w:space="0" w:color="auto"/>
        <w:bottom w:val="double" w:sz="6" w:space="0" w:color="auto"/>
      </w:pBdr>
      <w:spacing w:before="100" w:beforeAutospacing="1" w:after="100" w:afterAutospacing="1"/>
      <w:jc w:val="center"/>
    </w:pPr>
    <w:rPr>
      <w:rFonts w:ascii="新細明體" w:hAnsi="新細明體" w:cs="新細明體"/>
      <w:kern w:val="0"/>
      <w:sz w:val="18"/>
      <w:szCs w:val="18"/>
    </w:rPr>
  </w:style>
  <w:style w:type="paragraph" w:customStyle="1" w:styleId="xl103">
    <w:name w:val="xl103"/>
    <w:basedOn w:val="a"/>
    <w:uiPriority w:val="99"/>
    <w:rsid w:val="00382681"/>
    <w:pPr>
      <w:widowControl/>
      <w:pBdr>
        <w:top w:val="double" w:sz="6" w:space="0" w:color="auto"/>
        <w:left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104">
    <w:name w:val="xl104"/>
    <w:basedOn w:val="a"/>
    <w:uiPriority w:val="99"/>
    <w:rsid w:val="00382681"/>
    <w:pPr>
      <w:widowControl/>
      <w:pBdr>
        <w:left w:val="single" w:sz="8" w:space="0" w:color="auto"/>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105">
    <w:name w:val="xl105"/>
    <w:basedOn w:val="a"/>
    <w:uiPriority w:val="99"/>
    <w:rsid w:val="00382681"/>
    <w:pPr>
      <w:widowControl/>
      <w:pBdr>
        <w:left w:val="single" w:sz="8" w:space="0" w:color="auto"/>
        <w:bottom w:val="single" w:sz="8" w:space="0" w:color="000000"/>
        <w:right w:val="single" w:sz="8" w:space="0" w:color="auto"/>
      </w:pBdr>
      <w:spacing w:before="100" w:beforeAutospacing="1" w:after="100" w:afterAutospacing="1"/>
      <w:jc w:val="center"/>
    </w:pPr>
    <w:rPr>
      <w:rFonts w:ascii="新細明體" w:hAnsi="新細明體" w:cs="新細明體"/>
      <w:kern w:val="0"/>
      <w:sz w:val="18"/>
      <w:szCs w:val="18"/>
    </w:rPr>
  </w:style>
  <w:style w:type="paragraph" w:customStyle="1" w:styleId="xl106">
    <w:name w:val="xl106"/>
    <w:basedOn w:val="a"/>
    <w:uiPriority w:val="99"/>
    <w:rsid w:val="00382681"/>
    <w:pPr>
      <w:widowControl/>
      <w:pBdr>
        <w:top w:val="single" w:sz="8" w:space="0" w:color="auto"/>
        <w:bottom w:val="double" w:sz="6" w:space="0" w:color="auto"/>
      </w:pBdr>
      <w:shd w:val="clear" w:color="auto" w:fill="CCFFFF"/>
      <w:spacing w:before="100" w:beforeAutospacing="1" w:after="100" w:afterAutospacing="1"/>
      <w:jc w:val="center"/>
    </w:pPr>
    <w:rPr>
      <w:rFonts w:ascii="新細明體" w:hAnsi="新細明體" w:cs="新細明體"/>
      <w:kern w:val="0"/>
      <w:sz w:val="18"/>
      <w:szCs w:val="18"/>
    </w:rPr>
  </w:style>
  <w:style w:type="paragraph" w:customStyle="1" w:styleId="14082cm24p">
    <w:name w:val="樣式 (拉丁) 標楷體 (中文) 標楷體 14 點 左右對齊 第一行:  0.82 cm 行距:  最小行高 24 p..."/>
    <w:basedOn w:val="a"/>
    <w:autoRedefine/>
    <w:uiPriority w:val="99"/>
    <w:rsid w:val="00382681"/>
    <w:pPr>
      <w:spacing w:line="480" w:lineRule="atLeast"/>
      <w:ind w:firstLine="465"/>
      <w:jc w:val="both"/>
    </w:pPr>
    <w:rPr>
      <w:rFonts w:ascii="標楷體" w:eastAsia="標楷體" w:hAnsi="標楷體"/>
      <w:sz w:val="28"/>
      <w:szCs w:val="28"/>
    </w:rPr>
  </w:style>
  <w:style w:type="paragraph" w:customStyle="1" w:styleId="14">
    <w:name w:val="1.標"/>
    <w:basedOn w:val="a"/>
    <w:uiPriority w:val="99"/>
    <w:rsid w:val="00382681"/>
    <w:pPr>
      <w:adjustRightInd w:val="0"/>
      <w:snapToGrid w:val="0"/>
      <w:spacing w:beforeLines="50" w:afterLines="50" w:line="520" w:lineRule="exact"/>
      <w:jc w:val="both"/>
    </w:pPr>
    <w:rPr>
      <w:rFonts w:eastAsia="標楷體"/>
      <w:b/>
      <w:bCs/>
      <w:spacing w:val="4"/>
      <w:sz w:val="30"/>
      <w:szCs w:val="28"/>
    </w:rPr>
  </w:style>
  <w:style w:type="paragraph" w:customStyle="1" w:styleId="-3">
    <w:name w:val="內文-突排"/>
    <w:basedOn w:val="-0"/>
    <w:uiPriority w:val="99"/>
    <w:rsid w:val="00382681"/>
    <w:pPr>
      <w:spacing w:beforeLines="20" w:afterLines="20"/>
      <w:ind w:leftChars="150" w:left="350" w:hangingChars="200" w:hanging="200"/>
    </w:pPr>
  </w:style>
  <w:style w:type="paragraph" w:customStyle="1" w:styleId="-11">
    <w:name w:val="彩色清單 - 輔色 11"/>
    <w:basedOn w:val="a"/>
    <w:uiPriority w:val="99"/>
    <w:rsid w:val="00382681"/>
    <w:pPr>
      <w:widowControl/>
      <w:ind w:leftChars="200" w:left="480"/>
    </w:pPr>
    <w:rPr>
      <w:rFonts w:ascii="新細明體" w:hAnsi="新細明體" w:cs="新細明體"/>
      <w:kern w:val="0"/>
    </w:rPr>
  </w:style>
  <w:style w:type="paragraph" w:customStyle="1" w:styleId="15">
    <w:name w:val="清單段落1"/>
    <w:basedOn w:val="a"/>
    <w:uiPriority w:val="99"/>
    <w:rsid w:val="00382681"/>
    <w:pPr>
      <w:widowControl/>
      <w:ind w:leftChars="200" w:left="480"/>
    </w:pPr>
    <w:rPr>
      <w:rFonts w:ascii="新細明體" w:hAnsi="新細明體" w:cs="新細明體"/>
      <w:kern w:val="0"/>
    </w:rPr>
  </w:style>
  <w:style w:type="paragraph" w:customStyle="1" w:styleId="aff7">
    <w:name w:val="計畫題目"/>
    <w:basedOn w:val="a"/>
    <w:uiPriority w:val="99"/>
    <w:rsid w:val="00627257"/>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8">
    <w:name w:val="研究題目"/>
    <w:basedOn w:val="a"/>
    <w:uiPriority w:val="99"/>
    <w:rsid w:val="00627257"/>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customStyle="1" w:styleId="-4">
    <w:name w:val="壹-中"/>
    <w:uiPriority w:val="99"/>
    <w:rsid w:val="00627257"/>
    <w:pPr>
      <w:jc w:val="center"/>
    </w:pPr>
    <w:rPr>
      <w:rFonts w:eastAsia="標楷體"/>
      <w:spacing w:val="10"/>
      <w:sz w:val="36"/>
      <w:szCs w:val="40"/>
    </w:rPr>
  </w:style>
  <w:style w:type="paragraph" w:customStyle="1" w:styleId="16">
    <w:name w:val="1."/>
    <w:uiPriority w:val="99"/>
    <w:rsid w:val="00E129BE"/>
    <w:pPr>
      <w:spacing w:beforeLines="50" w:afterLines="50" w:line="480" w:lineRule="exact"/>
      <w:ind w:leftChars="200" w:left="275" w:hangingChars="75" w:hanging="75"/>
      <w:jc w:val="both"/>
    </w:pPr>
    <w:rPr>
      <w:rFonts w:eastAsia="標楷體"/>
      <w:spacing w:val="10"/>
      <w:sz w:val="28"/>
      <w:szCs w:val="40"/>
    </w:rPr>
  </w:style>
  <w:style w:type="paragraph" w:customStyle="1" w:styleId="-12">
    <w:name w:val="彩色清單 - 輔色 12"/>
    <w:basedOn w:val="a"/>
    <w:uiPriority w:val="99"/>
    <w:rsid w:val="003E51D5"/>
    <w:pPr>
      <w:widowControl/>
      <w:ind w:leftChars="200" w:left="480"/>
    </w:pPr>
    <w:rPr>
      <w:rFonts w:ascii="新細明體" w:hAnsi="新細明體" w:cs="新細明體"/>
      <w:kern w:val="0"/>
    </w:rPr>
  </w:style>
  <w:style w:type="paragraph" w:customStyle="1" w:styleId="aff9">
    <w:name w:val="（一）"/>
    <w:basedOn w:val="a"/>
    <w:uiPriority w:val="99"/>
    <w:rsid w:val="003E51D5"/>
    <w:pPr>
      <w:tabs>
        <w:tab w:val="left" w:pos="567"/>
      </w:tabs>
      <w:adjustRightInd w:val="0"/>
      <w:snapToGrid w:val="0"/>
      <w:spacing w:before="240" w:line="520" w:lineRule="atLeast"/>
      <w:ind w:left="851" w:hanging="851"/>
      <w:jc w:val="both"/>
      <w:textAlignment w:val="baseline"/>
    </w:pPr>
    <w:rPr>
      <w:rFonts w:eastAsia="標楷體"/>
      <w:spacing w:val="10"/>
      <w:sz w:val="28"/>
      <w:szCs w:val="28"/>
    </w:rPr>
  </w:style>
  <w:style w:type="paragraph" w:styleId="42">
    <w:name w:val="toc 4"/>
    <w:basedOn w:val="a"/>
    <w:next w:val="a"/>
    <w:autoRedefine/>
    <w:uiPriority w:val="99"/>
    <w:rsid w:val="003C38C6"/>
    <w:pPr>
      <w:ind w:leftChars="600" w:left="1440"/>
    </w:pPr>
    <w:rPr>
      <w:rFonts w:ascii="Calibri" w:hAnsi="Calibri"/>
      <w:szCs w:val="22"/>
    </w:rPr>
  </w:style>
  <w:style w:type="paragraph" w:styleId="50">
    <w:name w:val="toc 5"/>
    <w:basedOn w:val="a"/>
    <w:next w:val="a"/>
    <w:autoRedefine/>
    <w:uiPriority w:val="99"/>
    <w:rsid w:val="003C38C6"/>
    <w:pPr>
      <w:ind w:leftChars="800" w:left="1920"/>
    </w:pPr>
    <w:rPr>
      <w:rFonts w:ascii="Calibri" w:hAnsi="Calibri"/>
      <w:szCs w:val="22"/>
    </w:rPr>
  </w:style>
  <w:style w:type="paragraph" w:styleId="60">
    <w:name w:val="toc 6"/>
    <w:basedOn w:val="a"/>
    <w:next w:val="a"/>
    <w:autoRedefine/>
    <w:uiPriority w:val="99"/>
    <w:rsid w:val="003C38C6"/>
    <w:pPr>
      <w:ind w:leftChars="1000" w:left="2400"/>
    </w:pPr>
    <w:rPr>
      <w:rFonts w:ascii="Calibri" w:hAnsi="Calibri"/>
      <w:szCs w:val="22"/>
    </w:rPr>
  </w:style>
  <w:style w:type="paragraph" w:styleId="70">
    <w:name w:val="toc 7"/>
    <w:basedOn w:val="a"/>
    <w:next w:val="a"/>
    <w:autoRedefine/>
    <w:uiPriority w:val="39"/>
    <w:rsid w:val="003C38C6"/>
    <w:pPr>
      <w:ind w:leftChars="1200" w:left="2880"/>
    </w:pPr>
    <w:rPr>
      <w:rFonts w:ascii="Calibri" w:hAnsi="Calibri"/>
      <w:szCs w:val="22"/>
    </w:rPr>
  </w:style>
  <w:style w:type="paragraph" w:styleId="80">
    <w:name w:val="toc 8"/>
    <w:basedOn w:val="a"/>
    <w:next w:val="a"/>
    <w:autoRedefine/>
    <w:uiPriority w:val="99"/>
    <w:rsid w:val="003C38C6"/>
    <w:pPr>
      <w:ind w:leftChars="1400" w:left="3360"/>
    </w:pPr>
    <w:rPr>
      <w:rFonts w:ascii="Calibri" w:hAnsi="Calibri"/>
      <w:szCs w:val="22"/>
    </w:rPr>
  </w:style>
  <w:style w:type="paragraph" w:styleId="90">
    <w:name w:val="toc 9"/>
    <w:basedOn w:val="a"/>
    <w:next w:val="a"/>
    <w:autoRedefine/>
    <w:uiPriority w:val="99"/>
    <w:rsid w:val="003C38C6"/>
    <w:pPr>
      <w:ind w:leftChars="1600" w:left="3840"/>
    </w:pPr>
    <w:rPr>
      <w:rFonts w:ascii="Calibri" w:hAnsi="Calibri"/>
      <w:szCs w:val="22"/>
    </w:rPr>
  </w:style>
  <w:style w:type="paragraph" w:customStyle="1" w:styleId="17">
    <w:name w:val="目錄標題1"/>
    <w:basedOn w:val="1"/>
    <w:next w:val="a"/>
    <w:uiPriority w:val="99"/>
    <w:semiHidden/>
    <w:rsid w:val="006E6CFB"/>
    <w:pPr>
      <w:keepLines/>
      <w:widowControl/>
      <w:spacing w:before="480" w:line="276" w:lineRule="auto"/>
      <w:outlineLvl w:val="9"/>
    </w:pPr>
    <w:rPr>
      <w:rFonts w:ascii="Cambria" w:eastAsia="新細明體" w:hAnsi="Cambria"/>
      <w:color w:val="365F91"/>
      <w:kern w:val="0"/>
      <w:sz w:val="28"/>
      <w:szCs w:val="28"/>
    </w:rPr>
  </w:style>
  <w:style w:type="paragraph" w:customStyle="1" w:styleId="-13">
    <w:name w:val="彩色清單 - 輔色 13"/>
    <w:basedOn w:val="a"/>
    <w:uiPriority w:val="99"/>
    <w:rsid w:val="00894768"/>
    <w:pPr>
      <w:ind w:leftChars="200" w:left="480"/>
    </w:pPr>
    <w:rPr>
      <w:rFonts w:ascii="Calibri" w:hAnsi="Calibri"/>
      <w:szCs w:val="22"/>
    </w:rPr>
  </w:style>
  <w:style w:type="table" w:customStyle="1" w:styleId="LightShading1">
    <w:name w:val="Light Shading1"/>
    <w:uiPriority w:val="99"/>
    <w:rsid w:val="00894768"/>
    <w:rPr>
      <w:rFonts w:ascii="Calibri" w:hAnsi="Calibri"/>
      <w:color w:val="000000"/>
      <w:kern w:val="0"/>
      <w:sz w:val="20"/>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120">
    <w:name w:val="表文字-左12"/>
    <w:link w:val="-121"/>
    <w:uiPriority w:val="99"/>
    <w:rsid w:val="00894768"/>
    <w:pPr>
      <w:spacing w:before="40" w:after="40" w:line="280" w:lineRule="exact"/>
      <w:jc w:val="both"/>
    </w:pPr>
    <w:rPr>
      <w:rFonts w:eastAsia="標楷體"/>
      <w:spacing w:val="10"/>
      <w:sz w:val="22"/>
    </w:rPr>
  </w:style>
  <w:style w:type="character" w:customStyle="1" w:styleId="-121">
    <w:name w:val="表文字-左12 字元"/>
    <w:link w:val="-120"/>
    <w:uiPriority w:val="99"/>
    <w:locked/>
    <w:rsid w:val="00894768"/>
    <w:rPr>
      <w:rFonts w:eastAsia="標楷體"/>
      <w:spacing w:val="10"/>
      <w:kern w:val="2"/>
      <w:sz w:val="22"/>
    </w:rPr>
  </w:style>
  <w:style w:type="paragraph" w:customStyle="1" w:styleId="affa">
    <w:name w:val="表標題"/>
    <w:basedOn w:val="a"/>
    <w:link w:val="affb"/>
    <w:uiPriority w:val="99"/>
    <w:rsid w:val="00894768"/>
    <w:pPr>
      <w:adjustRightInd w:val="0"/>
      <w:snapToGrid w:val="0"/>
      <w:spacing w:afterLines="50" w:line="520" w:lineRule="exact"/>
      <w:jc w:val="center"/>
      <w:textAlignment w:val="baseline"/>
    </w:pPr>
    <w:rPr>
      <w:rFonts w:eastAsia="標楷體"/>
      <w:b/>
      <w:kern w:val="0"/>
      <w:sz w:val="28"/>
      <w:szCs w:val="20"/>
    </w:rPr>
  </w:style>
  <w:style w:type="character" w:customStyle="1" w:styleId="affb">
    <w:name w:val="表標題 字元"/>
    <w:link w:val="affa"/>
    <w:uiPriority w:val="99"/>
    <w:locked/>
    <w:rsid w:val="00A116C9"/>
    <w:rPr>
      <w:rFonts w:eastAsia="標楷體"/>
      <w:b/>
      <w:sz w:val="28"/>
      <w:lang w:val="en-US" w:eastAsia="zh-TW"/>
    </w:rPr>
  </w:style>
  <w:style w:type="character" w:styleId="affc">
    <w:name w:val="FollowedHyperlink"/>
    <w:basedOn w:val="a1"/>
    <w:uiPriority w:val="99"/>
    <w:semiHidden/>
    <w:rsid w:val="00672453"/>
    <w:rPr>
      <w:rFonts w:cs="Times New Roman"/>
      <w:color w:val="800080"/>
      <w:u w:val="single"/>
    </w:rPr>
  </w:style>
  <w:style w:type="paragraph" w:customStyle="1" w:styleId="font6">
    <w:name w:val="font6"/>
    <w:basedOn w:val="a"/>
    <w:uiPriority w:val="99"/>
    <w:rsid w:val="00672453"/>
    <w:pPr>
      <w:widowControl/>
      <w:spacing w:before="100" w:beforeAutospacing="1" w:after="100" w:afterAutospacing="1"/>
    </w:pPr>
    <w:rPr>
      <w:rFonts w:ascii="標楷體" w:eastAsia="標楷體" w:hAnsi="標楷體" w:cs="新細明體"/>
      <w:color w:val="000000"/>
      <w:kern w:val="0"/>
      <w:sz w:val="18"/>
      <w:szCs w:val="18"/>
    </w:rPr>
  </w:style>
  <w:style w:type="paragraph" w:customStyle="1" w:styleId="font7">
    <w:name w:val="font7"/>
    <w:basedOn w:val="a"/>
    <w:uiPriority w:val="99"/>
    <w:rsid w:val="00672453"/>
    <w:pPr>
      <w:widowControl/>
      <w:spacing w:before="100" w:beforeAutospacing="1" w:after="100" w:afterAutospacing="1"/>
    </w:pPr>
    <w:rPr>
      <w:rFonts w:ascii="新細明體" w:hAnsi="新細明體" w:cs="新細明體"/>
      <w:kern w:val="0"/>
      <w:sz w:val="18"/>
      <w:szCs w:val="18"/>
    </w:rPr>
  </w:style>
  <w:style w:type="paragraph" w:customStyle="1" w:styleId="font8">
    <w:name w:val="font8"/>
    <w:basedOn w:val="a"/>
    <w:uiPriority w:val="99"/>
    <w:rsid w:val="00672453"/>
    <w:pPr>
      <w:widowControl/>
      <w:spacing w:before="100" w:beforeAutospacing="1" w:after="100" w:afterAutospacing="1"/>
    </w:pPr>
    <w:rPr>
      <w:b/>
      <w:bCs/>
      <w:color w:val="000000"/>
      <w:kern w:val="0"/>
    </w:rPr>
  </w:style>
  <w:style w:type="paragraph" w:customStyle="1" w:styleId="font9">
    <w:name w:val="font9"/>
    <w:basedOn w:val="a"/>
    <w:uiPriority w:val="99"/>
    <w:rsid w:val="00672453"/>
    <w:pPr>
      <w:widowControl/>
      <w:spacing w:before="100" w:beforeAutospacing="1" w:after="100" w:afterAutospacing="1"/>
    </w:pPr>
    <w:rPr>
      <w:rFonts w:ascii="標楷體" w:eastAsia="標楷體" w:hAnsi="標楷體" w:cs="新細明體"/>
      <w:b/>
      <w:bCs/>
      <w:color w:val="000000"/>
      <w:kern w:val="0"/>
    </w:rPr>
  </w:style>
  <w:style w:type="paragraph" w:customStyle="1" w:styleId="font10">
    <w:name w:val="font10"/>
    <w:basedOn w:val="a"/>
    <w:uiPriority w:val="99"/>
    <w:rsid w:val="00672453"/>
    <w:pPr>
      <w:widowControl/>
      <w:spacing w:before="100" w:beforeAutospacing="1" w:after="100" w:afterAutospacing="1"/>
    </w:pPr>
    <w:rPr>
      <w:rFonts w:ascii="標楷體" w:eastAsia="標楷體" w:hAnsi="標楷體" w:cs="新細明體"/>
      <w:color w:val="000000"/>
      <w:kern w:val="0"/>
      <w:sz w:val="16"/>
      <w:szCs w:val="16"/>
    </w:rPr>
  </w:style>
  <w:style w:type="paragraph" w:customStyle="1" w:styleId="xl63">
    <w:name w:val="xl63"/>
    <w:basedOn w:val="a"/>
    <w:uiPriority w:val="99"/>
    <w:rsid w:val="00672453"/>
    <w:pPr>
      <w:widowControl/>
      <w:pBdr>
        <w:left w:val="single" w:sz="8" w:space="0" w:color="auto"/>
        <w:bottom w:val="single" w:sz="8" w:space="0" w:color="auto"/>
        <w:right w:val="single" w:sz="8" w:space="0" w:color="auto"/>
      </w:pBdr>
      <w:spacing w:before="100" w:beforeAutospacing="1" w:after="100" w:afterAutospacing="1"/>
      <w:jc w:val="center"/>
    </w:pPr>
    <w:rPr>
      <w:kern w:val="0"/>
      <w:sz w:val="18"/>
      <w:szCs w:val="18"/>
    </w:rPr>
  </w:style>
  <w:style w:type="paragraph" w:customStyle="1" w:styleId="xl64">
    <w:name w:val="xl64"/>
    <w:basedOn w:val="a"/>
    <w:uiPriority w:val="99"/>
    <w:rsid w:val="00672453"/>
    <w:pPr>
      <w:widowControl/>
      <w:pBdr>
        <w:bottom w:val="single" w:sz="8" w:space="0" w:color="auto"/>
        <w:right w:val="single" w:sz="8" w:space="0" w:color="auto"/>
      </w:pBdr>
      <w:spacing w:before="100" w:beforeAutospacing="1" w:after="100" w:afterAutospacing="1"/>
      <w:jc w:val="center"/>
    </w:pPr>
    <w:rPr>
      <w:kern w:val="0"/>
      <w:sz w:val="18"/>
      <w:szCs w:val="18"/>
    </w:rPr>
  </w:style>
  <w:style w:type="paragraph" w:customStyle="1" w:styleId="-14">
    <w:name w:val="彩色清單 - 輔色 14"/>
    <w:basedOn w:val="a"/>
    <w:uiPriority w:val="99"/>
    <w:rsid w:val="003056D7"/>
    <w:pPr>
      <w:ind w:leftChars="200" w:left="480"/>
    </w:pPr>
    <w:rPr>
      <w:rFonts w:ascii="Calibri" w:hAnsi="Calibri"/>
      <w:szCs w:val="22"/>
    </w:rPr>
  </w:style>
  <w:style w:type="paragraph" w:customStyle="1" w:styleId="affd">
    <w:name w:val="一"/>
    <w:basedOn w:val="a"/>
    <w:uiPriority w:val="99"/>
    <w:rsid w:val="003A0676"/>
    <w:pPr>
      <w:autoSpaceDN w:val="0"/>
      <w:spacing w:before="60" w:after="60"/>
      <w:ind w:left="403" w:hanging="403"/>
    </w:pPr>
    <w:rPr>
      <w:rFonts w:eastAsia="華康中黑體"/>
      <w:b/>
      <w:sz w:val="20"/>
      <w:szCs w:val="20"/>
    </w:rPr>
  </w:style>
  <w:style w:type="paragraph" w:customStyle="1" w:styleId="Pa6">
    <w:name w:val="Pa6"/>
    <w:basedOn w:val="a"/>
    <w:next w:val="a"/>
    <w:uiPriority w:val="99"/>
    <w:rsid w:val="00176FFA"/>
    <w:pPr>
      <w:autoSpaceDE w:val="0"/>
      <w:autoSpaceDN w:val="0"/>
      <w:adjustRightInd w:val="0"/>
      <w:spacing w:line="221" w:lineRule="atLeast"/>
    </w:pPr>
    <w:rPr>
      <w:kern w:val="0"/>
    </w:rPr>
  </w:style>
  <w:style w:type="paragraph" w:styleId="affe">
    <w:name w:val="List Paragraph"/>
    <w:basedOn w:val="a"/>
    <w:uiPriority w:val="99"/>
    <w:qFormat/>
    <w:rsid w:val="00416874"/>
    <w:pPr>
      <w:widowControl/>
      <w:ind w:leftChars="200" w:left="480"/>
    </w:pPr>
    <w:rPr>
      <w:rFonts w:ascii="新細明體" w:hAnsi="新細明體" w:cs="新細明體"/>
      <w:kern w:val="0"/>
    </w:rPr>
  </w:style>
  <w:style w:type="paragraph" w:styleId="afff">
    <w:name w:val="Document Map"/>
    <w:basedOn w:val="a"/>
    <w:link w:val="afff0"/>
    <w:uiPriority w:val="99"/>
    <w:semiHidden/>
    <w:rsid w:val="00416874"/>
    <w:rPr>
      <w:rFonts w:ascii="新細明體"/>
      <w:sz w:val="18"/>
      <w:szCs w:val="20"/>
    </w:rPr>
  </w:style>
  <w:style w:type="character" w:customStyle="1" w:styleId="afff0">
    <w:name w:val="文件引導模式 字元"/>
    <w:basedOn w:val="a1"/>
    <w:link w:val="afff"/>
    <w:uiPriority w:val="99"/>
    <w:semiHidden/>
    <w:locked/>
    <w:rsid w:val="00416874"/>
    <w:rPr>
      <w:rFonts w:ascii="新細明體" w:cs="Times New Roman"/>
      <w:kern w:val="2"/>
      <w:sz w:val="18"/>
    </w:rPr>
  </w:style>
  <w:style w:type="paragraph" w:styleId="afff1">
    <w:name w:val="Title"/>
    <w:basedOn w:val="a"/>
    <w:next w:val="a"/>
    <w:link w:val="afff2"/>
    <w:uiPriority w:val="99"/>
    <w:qFormat/>
    <w:rsid w:val="00416874"/>
    <w:pPr>
      <w:pBdr>
        <w:bottom w:val="single" w:sz="8" w:space="4" w:color="4F81BD"/>
      </w:pBdr>
      <w:spacing w:after="300"/>
      <w:contextualSpacing/>
    </w:pPr>
    <w:rPr>
      <w:rFonts w:ascii="Cambria" w:hAnsi="Cambria"/>
      <w:color w:val="17365D"/>
      <w:spacing w:val="5"/>
      <w:kern w:val="28"/>
      <w:sz w:val="52"/>
      <w:szCs w:val="20"/>
    </w:rPr>
  </w:style>
  <w:style w:type="character" w:customStyle="1" w:styleId="afff2">
    <w:name w:val="標題 字元"/>
    <w:basedOn w:val="a1"/>
    <w:link w:val="afff1"/>
    <w:uiPriority w:val="99"/>
    <w:locked/>
    <w:rsid w:val="00416874"/>
    <w:rPr>
      <w:rFonts w:ascii="Cambria" w:hAnsi="Cambria" w:cs="Times New Roman"/>
      <w:color w:val="17365D"/>
      <w:spacing w:val="5"/>
      <w:kern w:val="28"/>
      <w:sz w:val="52"/>
    </w:rPr>
  </w:style>
  <w:style w:type="paragraph" w:styleId="afff3">
    <w:name w:val="No Spacing"/>
    <w:link w:val="afff4"/>
    <w:uiPriority w:val="99"/>
    <w:qFormat/>
    <w:rsid w:val="00416874"/>
    <w:pPr>
      <w:widowControl w:val="0"/>
    </w:pPr>
    <w:rPr>
      <w:rFonts w:ascii="Calibri" w:hAnsi="Calibri"/>
      <w:sz w:val="22"/>
    </w:rPr>
  </w:style>
  <w:style w:type="character" w:customStyle="1" w:styleId="afff4">
    <w:name w:val="無間距 字元"/>
    <w:link w:val="afff3"/>
    <w:uiPriority w:val="99"/>
    <w:locked/>
    <w:rsid w:val="004F7CEF"/>
    <w:rPr>
      <w:rFonts w:ascii="Calibri" w:hAnsi="Calibri"/>
      <w:kern w:val="2"/>
      <w:sz w:val="22"/>
    </w:rPr>
  </w:style>
  <w:style w:type="paragraph" w:styleId="z-">
    <w:name w:val="HTML Top of Form"/>
    <w:basedOn w:val="a"/>
    <w:next w:val="a"/>
    <w:link w:val="z-0"/>
    <w:hidden/>
    <w:uiPriority w:val="99"/>
    <w:semiHidden/>
    <w:rsid w:val="00416874"/>
    <w:pPr>
      <w:widowControl/>
      <w:pBdr>
        <w:bottom w:val="single" w:sz="6" w:space="1" w:color="auto"/>
      </w:pBdr>
      <w:jc w:val="center"/>
    </w:pPr>
    <w:rPr>
      <w:rFonts w:ascii="Arial" w:hAnsi="Arial"/>
      <w:vanish/>
      <w:kern w:val="0"/>
      <w:sz w:val="16"/>
      <w:szCs w:val="20"/>
    </w:rPr>
  </w:style>
  <w:style w:type="character" w:customStyle="1" w:styleId="z-0">
    <w:name w:val="z-表單的頂端 字元"/>
    <w:basedOn w:val="a1"/>
    <w:link w:val="z-"/>
    <w:uiPriority w:val="99"/>
    <w:semiHidden/>
    <w:locked/>
    <w:rsid w:val="00416874"/>
    <w:rPr>
      <w:rFonts w:ascii="Arial" w:hAnsi="Arial" w:cs="Times New Roman"/>
      <w:vanish/>
      <w:sz w:val="16"/>
    </w:rPr>
  </w:style>
  <w:style w:type="paragraph" w:styleId="z-1">
    <w:name w:val="HTML Bottom of Form"/>
    <w:basedOn w:val="a"/>
    <w:next w:val="a"/>
    <w:link w:val="z-2"/>
    <w:hidden/>
    <w:uiPriority w:val="99"/>
    <w:rsid w:val="00416874"/>
    <w:pPr>
      <w:widowControl/>
      <w:pBdr>
        <w:top w:val="single" w:sz="6" w:space="1" w:color="auto"/>
      </w:pBdr>
      <w:jc w:val="center"/>
    </w:pPr>
    <w:rPr>
      <w:rFonts w:ascii="Arial" w:hAnsi="Arial"/>
      <w:vanish/>
      <w:kern w:val="0"/>
      <w:sz w:val="16"/>
      <w:szCs w:val="20"/>
    </w:rPr>
  </w:style>
  <w:style w:type="character" w:customStyle="1" w:styleId="z-2">
    <w:name w:val="z-表單的底部 字元"/>
    <w:basedOn w:val="a1"/>
    <w:link w:val="z-1"/>
    <w:uiPriority w:val="99"/>
    <w:locked/>
    <w:rsid w:val="00416874"/>
    <w:rPr>
      <w:rFonts w:ascii="Arial" w:hAnsi="Arial" w:cs="Times New Roman"/>
      <w:vanish/>
      <w:sz w:val="16"/>
    </w:rPr>
  </w:style>
  <w:style w:type="character" w:customStyle="1" w:styleId="para-041">
    <w:name w:val="para-041"/>
    <w:uiPriority w:val="99"/>
    <w:rsid w:val="00416874"/>
    <w:rPr>
      <w:color w:val="009900"/>
      <w:sz w:val="16"/>
    </w:rPr>
  </w:style>
  <w:style w:type="paragraph" w:styleId="afff5">
    <w:name w:val="caption"/>
    <w:basedOn w:val="a"/>
    <w:next w:val="a"/>
    <w:uiPriority w:val="35"/>
    <w:qFormat/>
    <w:rsid w:val="00413004"/>
    <w:rPr>
      <w:sz w:val="20"/>
      <w:szCs w:val="20"/>
    </w:rPr>
  </w:style>
  <w:style w:type="paragraph" w:styleId="afff6">
    <w:name w:val="table of figures"/>
    <w:basedOn w:val="a"/>
    <w:next w:val="a"/>
    <w:uiPriority w:val="99"/>
    <w:rsid w:val="00413004"/>
    <w:pPr>
      <w:ind w:leftChars="400" w:left="400" w:hangingChars="200" w:hanging="200"/>
    </w:pPr>
  </w:style>
  <w:style w:type="character" w:customStyle="1" w:styleId="floatright">
    <w:name w:val="float_right"/>
    <w:uiPriority w:val="99"/>
    <w:rsid w:val="00C5260A"/>
  </w:style>
  <w:style w:type="character" w:customStyle="1" w:styleId="viewcount">
    <w:name w:val="viewcount"/>
    <w:uiPriority w:val="99"/>
    <w:rsid w:val="00C5260A"/>
  </w:style>
  <w:style w:type="paragraph" w:customStyle="1" w:styleId="28">
    <w:name w:val="清單段落2"/>
    <w:basedOn w:val="a"/>
    <w:uiPriority w:val="99"/>
    <w:rsid w:val="00C83F15"/>
    <w:pPr>
      <w:ind w:leftChars="200" w:left="480"/>
    </w:pPr>
    <w:rPr>
      <w:rFonts w:ascii="Calibri" w:hAnsi="Calibri"/>
      <w:szCs w:val="22"/>
    </w:rPr>
  </w:style>
  <w:style w:type="paragraph" w:customStyle="1" w:styleId="font11">
    <w:name w:val="font11"/>
    <w:basedOn w:val="a"/>
    <w:uiPriority w:val="99"/>
    <w:rsid w:val="004A22D2"/>
    <w:pPr>
      <w:widowControl/>
      <w:spacing w:before="100" w:beforeAutospacing="1" w:after="100" w:afterAutospacing="1"/>
    </w:pPr>
    <w:rPr>
      <w:color w:val="000000"/>
      <w:kern w:val="0"/>
      <w:sz w:val="18"/>
      <w:szCs w:val="18"/>
    </w:rPr>
  </w:style>
  <w:style w:type="paragraph" w:customStyle="1" w:styleId="font12">
    <w:name w:val="font12"/>
    <w:basedOn w:val="a"/>
    <w:uiPriority w:val="99"/>
    <w:rsid w:val="004A22D2"/>
    <w:pPr>
      <w:widowControl/>
      <w:spacing w:before="100" w:beforeAutospacing="1" w:after="100" w:afterAutospacing="1"/>
    </w:pPr>
    <w:rPr>
      <w:rFonts w:ascii="標楷體" w:eastAsia="標楷體" w:hAnsi="標楷體" w:cs="新細明體"/>
      <w:b/>
      <w:bCs/>
      <w:color w:val="000000"/>
      <w:kern w:val="0"/>
    </w:rPr>
  </w:style>
  <w:style w:type="paragraph" w:customStyle="1" w:styleId="font13">
    <w:name w:val="font13"/>
    <w:basedOn w:val="a"/>
    <w:uiPriority w:val="99"/>
    <w:rsid w:val="004A22D2"/>
    <w:pPr>
      <w:widowControl/>
      <w:spacing w:before="100" w:beforeAutospacing="1" w:after="100" w:afterAutospacing="1"/>
    </w:pPr>
    <w:rPr>
      <w:rFonts w:ascii="新細明體" w:hAnsi="新細明體" w:cs="新細明體"/>
      <w:kern w:val="0"/>
      <w:sz w:val="18"/>
      <w:szCs w:val="18"/>
    </w:rPr>
  </w:style>
  <w:style w:type="paragraph" w:customStyle="1" w:styleId="xl107">
    <w:name w:val="xl107"/>
    <w:basedOn w:val="a"/>
    <w:uiPriority w:val="99"/>
    <w:rsid w:val="004A22D2"/>
    <w:pPr>
      <w:widowControl/>
      <w:pBdr>
        <w:top w:val="single" w:sz="8" w:space="0" w:color="auto"/>
      </w:pBdr>
      <w:spacing w:before="100" w:beforeAutospacing="1" w:after="100" w:afterAutospacing="1"/>
      <w:jc w:val="center"/>
      <w:textAlignment w:val="top"/>
    </w:pPr>
    <w:rPr>
      <w:kern w:val="0"/>
      <w:sz w:val="18"/>
      <w:szCs w:val="18"/>
    </w:rPr>
  </w:style>
  <w:style w:type="paragraph" w:customStyle="1" w:styleId="xl108">
    <w:name w:val="xl108"/>
    <w:basedOn w:val="a"/>
    <w:uiPriority w:val="99"/>
    <w:rsid w:val="004A22D2"/>
    <w:pPr>
      <w:widowControl/>
      <w:pBdr>
        <w:top w:val="single" w:sz="8" w:space="0" w:color="auto"/>
        <w:right w:val="single" w:sz="8" w:space="0" w:color="auto"/>
      </w:pBdr>
      <w:spacing w:before="100" w:beforeAutospacing="1" w:after="100" w:afterAutospacing="1"/>
      <w:jc w:val="center"/>
      <w:textAlignment w:val="top"/>
    </w:pPr>
    <w:rPr>
      <w:kern w:val="0"/>
      <w:sz w:val="18"/>
      <w:szCs w:val="18"/>
    </w:rPr>
  </w:style>
  <w:style w:type="paragraph" w:customStyle="1" w:styleId="xl109">
    <w:name w:val="xl109"/>
    <w:basedOn w:val="a"/>
    <w:uiPriority w:val="99"/>
    <w:rsid w:val="004A22D2"/>
    <w:pPr>
      <w:widowControl/>
      <w:pBdr>
        <w:bottom w:val="single" w:sz="8" w:space="0" w:color="auto"/>
      </w:pBdr>
      <w:spacing w:before="100" w:beforeAutospacing="1" w:after="100" w:afterAutospacing="1"/>
      <w:jc w:val="center"/>
      <w:textAlignment w:val="top"/>
    </w:pPr>
    <w:rPr>
      <w:kern w:val="0"/>
      <w:sz w:val="18"/>
      <w:szCs w:val="18"/>
    </w:rPr>
  </w:style>
  <w:style w:type="paragraph" w:customStyle="1" w:styleId="xl110">
    <w:name w:val="xl110"/>
    <w:basedOn w:val="a"/>
    <w:uiPriority w:val="99"/>
    <w:rsid w:val="004A22D2"/>
    <w:pPr>
      <w:widowControl/>
      <w:pBdr>
        <w:left w:val="single" w:sz="8" w:space="0" w:color="auto"/>
        <w:bottom w:val="single" w:sz="8" w:space="0" w:color="auto"/>
      </w:pBdr>
      <w:spacing w:before="100" w:beforeAutospacing="1" w:after="100" w:afterAutospacing="1"/>
      <w:jc w:val="center"/>
      <w:textAlignment w:val="top"/>
    </w:pPr>
    <w:rPr>
      <w:kern w:val="0"/>
      <w:sz w:val="18"/>
      <w:szCs w:val="18"/>
    </w:rPr>
  </w:style>
  <w:style w:type="paragraph" w:customStyle="1" w:styleId="xl111">
    <w:name w:val="xl111"/>
    <w:basedOn w:val="a"/>
    <w:uiPriority w:val="99"/>
    <w:rsid w:val="004A22D2"/>
    <w:pPr>
      <w:widowControl/>
      <w:pBdr>
        <w:bottom w:val="single" w:sz="8" w:space="0" w:color="auto"/>
        <w:right w:val="single" w:sz="8" w:space="0" w:color="auto"/>
      </w:pBdr>
      <w:spacing w:before="100" w:beforeAutospacing="1" w:after="100" w:afterAutospacing="1"/>
      <w:jc w:val="center"/>
      <w:textAlignment w:val="top"/>
    </w:pPr>
    <w:rPr>
      <w:kern w:val="0"/>
      <w:sz w:val="18"/>
      <w:szCs w:val="18"/>
    </w:rPr>
  </w:style>
  <w:style w:type="paragraph" w:customStyle="1" w:styleId="xl112">
    <w:name w:val="xl112"/>
    <w:basedOn w:val="a"/>
    <w:uiPriority w:val="99"/>
    <w:rsid w:val="004A22D2"/>
    <w:pPr>
      <w:widowControl/>
      <w:pBdr>
        <w:top w:val="single" w:sz="8" w:space="0" w:color="auto"/>
        <w:left w:val="single" w:sz="8" w:space="0" w:color="auto"/>
        <w:bottom w:val="double" w:sz="6" w:space="0" w:color="auto"/>
      </w:pBdr>
      <w:shd w:val="clear" w:color="000000" w:fill="CCFFFF"/>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13">
    <w:name w:val="xl113"/>
    <w:basedOn w:val="a"/>
    <w:uiPriority w:val="99"/>
    <w:rsid w:val="004A22D2"/>
    <w:pPr>
      <w:widowControl/>
      <w:pBdr>
        <w:top w:val="single" w:sz="8" w:space="0" w:color="auto"/>
        <w:bottom w:val="double" w:sz="6" w:space="0" w:color="auto"/>
      </w:pBdr>
      <w:shd w:val="clear" w:color="000000" w:fill="CCFFFF"/>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14">
    <w:name w:val="xl114"/>
    <w:basedOn w:val="a"/>
    <w:uiPriority w:val="99"/>
    <w:rsid w:val="004A22D2"/>
    <w:pPr>
      <w:widowControl/>
      <w:pBdr>
        <w:top w:val="single" w:sz="8" w:space="0" w:color="auto"/>
        <w:bottom w:val="double" w:sz="6" w:space="0" w:color="auto"/>
        <w:right w:val="single" w:sz="8" w:space="0" w:color="000000"/>
      </w:pBdr>
      <w:shd w:val="clear" w:color="000000" w:fill="CCFFFF"/>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15">
    <w:name w:val="xl115"/>
    <w:basedOn w:val="a"/>
    <w:uiPriority w:val="99"/>
    <w:rsid w:val="004A22D2"/>
    <w:pPr>
      <w:widowControl/>
      <w:pBdr>
        <w:top w:val="single" w:sz="8" w:space="0" w:color="auto"/>
      </w:pBdr>
      <w:spacing w:before="100" w:beforeAutospacing="1" w:after="100" w:afterAutospacing="1"/>
    </w:pPr>
    <w:rPr>
      <w:rFonts w:ascii="Calibri" w:hAnsi="Calibri" w:cs="新細明體"/>
      <w:kern w:val="0"/>
    </w:rPr>
  </w:style>
  <w:style w:type="paragraph" w:customStyle="1" w:styleId="xl116">
    <w:name w:val="xl116"/>
    <w:basedOn w:val="a"/>
    <w:uiPriority w:val="99"/>
    <w:rsid w:val="004A22D2"/>
    <w:pPr>
      <w:widowControl/>
      <w:pBdr>
        <w:top w:val="single" w:sz="8" w:space="0" w:color="auto"/>
      </w:pBdr>
      <w:spacing w:before="100" w:beforeAutospacing="1" w:after="100" w:afterAutospacing="1"/>
      <w:textAlignment w:val="top"/>
    </w:pPr>
    <w:rPr>
      <w:b/>
      <w:bCs/>
      <w:color w:val="000000"/>
      <w:kern w:val="0"/>
    </w:rPr>
  </w:style>
  <w:style w:type="paragraph" w:customStyle="1" w:styleId="xl117">
    <w:name w:val="xl117"/>
    <w:basedOn w:val="a"/>
    <w:uiPriority w:val="99"/>
    <w:rsid w:val="004A22D2"/>
    <w:pPr>
      <w:widowControl/>
      <w:pBdr>
        <w:top w:val="single" w:sz="8" w:space="0" w:color="auto"/>
      </w:pBdr>
      <w:spacing w:before="100" w:beforeAutospacing="1" w:after="100" w:afterAutospacing="1"/>
      <w:textAlignment w:val="top"/>
    </w:pPr>
    <w:rPr>
      <w:color w:val="FF0000"/>
      <w:kern w:val="0"/>
      <w:sz w:val="18"/>
      <w:szCs w:val="18"/>
    </w:rPr>
  </w:style>
  <w:style w:type="paragraph" w:customStyle="1" w:styleId="xl118">
    <w:name w:val="xl118"/>
    <w:basedOn w:val="a"/>
    <w:uiPriority w:val="99"/>
    <w:rsid w:val="004A22D2"/>
    <w:pPr>
      <w:widowControl/>
      <w:pBdr>
        <w:bottom w:val="single" w:sz="8" w:space="0" w:color="auto"/>
      </w:pBdr>
      <w:spacing w:before="100" w:beforeAutospacing="1" w:after="100" w:afterAutospacing="1"/>
      <w:textAlignment w:val="top"/>
    </w:pPr>
    <w:rPr>
      <w:b/>
      <w:bCs/>
      <w:color w:val="FF0000"/>
      <w:kern w:val="0"/>
    </w:rPr>
  </w:style>
  <w:style w:type="paragraph" w:customStyle="1" w:styleId="xl119">
    <w:name w:val="xl119"/>
    <w:basedOn w:val="a"/>
    <w:uiPriority w:val="99"/>
    <w:rsid w:val="004A22D2"/>
    <w:pPr>
      <w:widowControl/>
      <w:pBdr>
        <w:top w:val="single" w:sz="8" w:space="0" w:color="auto"/>
      </w:pBdr>
      <w:spacing w:before="100" w:beforeAutospacing="1" w:after="100" w:afterAutospacing="1"/>
      <w:textAlignment w:val="top"/>
    </w:pPr>
    <w:rPr>
      <w:color w:val="000000"/>
      <w:kern w:val="0"/>
      <w:sz w:val="18"/>
      <w:szCs w:val="18"/>
    </w:rPr>
  </w:style>
  <w:style w:type="paragraph" w:customStyle="1" w:styleId="xl120">
    <w:name w:val="xl120"/>
    <w:basedOn w:val="a"/>
    <w:uiPriority w:val="99"/>
    <w:rsid w:val="004A22D2"/>
    <w:pPr>
      <w:widowControl/>
      <w:pBdr>
        <w:top w:val="double" w:sz="6" w:space="0" w:color="auto"/>
        <w:left w:val="single" w:sz="8" w:space="0" w:color="auto"/>
        <w:bottom w:val="single" w:sz="8" w:space="0" w:color="auto"/>
      </w:pBdr>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21">
    <w:name w:val="xl121"/>
    <w:basedOn w:val="a"/>
    <w:uiPriority w:val="99"/>
    <w:rsid w:val="004A22D2"/>
    <w:pPr>
      <w:widowControl/>
      <w:pBdr>
        <w:top w:val="double" w:sz="6" w:space="0" w:color="auto"/>
        <w:bottom w:val="single" w:sz="8" w:space="0" w:color="auto"/>
      </w:pBdr>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22">
    <w:name w:val="xl122"/>
    <w:basedOn w:val="a"/>
    <w:uiPriority w:val="99"/>
    <w:rsid w:val="004A22D2"/>
    <w:pPr>
      <w:widowControl/>
      <w:pBdr>
        <w:top w:val="double" w:sz="6" w:space="0" w:color="auto"/>
        <w:bottom w:val="single" w:sz="8" w:space="0" w:color="auto"/>
        <w:right w:val="single" w:sz="8" w:space="0" w:color="000000"/>
      </w:pBdr>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23">
    <w:name w:val="xl123"/>
    <w:basedOn w:val="a"/>
    <w:uiPriority w:val="99"/>
    <w:rsid w:val="004A22D2"/>
    <w:pPr>
      <w:widowControl/>
      <w:pBdr>
        <w:top w:val="single" w:sz="8" w:space="0" w:color="auto"/>
        <w:bottom w:val="double" w:sz="6" w:space="0" w:color="auto"/>
        <w:right w:val="single" w:sz="8" w:space="0" w:color="auto"/>
      </w:pBdr>
      <w:shd w:val="clear" w:color="000000" w:fill="CCFFFF"/>
      <w:spacing w:before="100" w:beforeAutospacing="1" w:after="100" w:afterAutospacing="1"/>
      <w:jc w:val="center"/>
    </w:pPr>
    <w:rPr>
      <w:rFonts w:ascii="標楷體" w:eastAsia="標楷體" w:hAnsi="標楷體" w:cs="新細明體"/>
      <w:color w:val="000000"/>
      <w:kern w:val="0"/>
      <w:sz w:val="18"/>
      <w:szCs w:val="18"/>
    </w:rPr>
  </w:style>
  <w:style w:type="paragraph" w:customStyle="1" w:styleId="xl124">
    <w:name w:val="xl124"/>
    <w:basedOn w:val="a"/>
    <w:uiPriority w:val="99"/>
    <w:rsid w:val="004A22D2"/>
    <w:pPr>
      <w:widowControl/>
      <w:pBdr>
        <w:top w:val="single" w:sz="8" w:space="0" w:color="auto"/>
      </w:pBdr>
      <w:spacing w:before="100" w:beforeAutospacing="1" w:after="100" w:afterAutospacing="1"/>
    </w:pPr>
    <w:rPr>
      <w:b/>
      <w:bCs/>
      <w:color w:val="000000"/>
      <w:kern w:val="0"/>
    </w:rPr>
  </w:style>
  <w:style w:type="paragraph" w:customStyle="1" w:styleId="xl125">
    <w:name w:val="xl125"/>
    <w:basedOn w:val="a"/>
    <w:uiPriority w:val="99"/>
    <w:rsid w:val="004A22D2"/>
    <w:pPr>
      <w:widowControl/>
      <w:pBdr>
        <w:left w:val="single" w:sz="8" w:space="0" w:color="auto"/>
        <w:right w:val="single" w:sz="8" w:space="0" w:color="auto"/>
      </w:pBdr>
      <w:spacing w:before="100" w:beforeAutospacing="1" w:after="100" w:afterAutospacing="1"/>
    </w:pPr>
    <w:rPr>
      <w:rFonts w:ascii="新細明體" w:hAnsi="新細明體" w:cs="新細明體"/>
      <w:kern w:val="0"/>
    </w:rPr>
  </w:style>
  <w:style w:type="paragraph" w:customStyle="1" w:styleId="xl126">
    <w:name w:val="xl126"/>
    <w:basedOn w:val="a"/>
    <w:uiPriority w:val="99"/>
    <w:rsid w:val="004A22D2"/>
    <w:pPr>
      <w:widowControl/>
      <w:pBdr>
        <w:left w:val="single" w:sz="8" w:space="0" w:color="auto"/>
        <w:bottom w:val="single" w:sz="8" w:space="0" w:color="auto"/>
        <w:right w:val="single" w:sz="8" w:space="0" w:color="auto"/>
      </w:pBdr>
      <w:spacing w:before="100" w:beforeAutospacing="1" w:after="100" w:afterAutospacing="1"/>
    </w:pPr>
    <w:rPr>
      <w:rFonts w:ascii="新細明體" w:hAnsi="新細明體" w:cs="新細明體"/>
      <w:kern w:val="0"/>
    </w:rPr>
  </w:style>
  <w:style w:type="paragraph" w:customStyle="1" w:styleId="afff7">
    <w:name w:val="附件題"/>
    <w:basedOn w:val="2"/>
    <w:uiPriority w:val="99"/>
    <w:rsid w:val="00D61BE0"/>
    <w:pPr>
      <w:jc w:val="center"/>
      <w:outlineLvl w:val="2"/>
    </w:pPr>
    <w:rPr>
      <w:rFonts w:ascii="Times New Roman" w:hAnsi="Times New Roman"/>
    </w:rPr>
  </w:style>
  <w:style w:type="paragraph" w:styleId="afff8">
    <w:name w:val="TOC Heading"/>
    <w:basedOn w:val="1"/>
    <w:next w:val="a"/>
    <w:uiPriority w:val="99"/>
    <w:qFormat/>
    <w:rsid w:val="00D61BE0"/>
    <w:pPr>
      <w:keepLines/>
      <w:widowControl/>
      <w:spacing w:before="480" w:line="276" w:lineRule="auto"/>
      <w:outlineLvl w:val="9"/>
    </w:pPr>
    <w:rPr>
      <w:rFonts w:ascii="Cambria" w:eastAsia="新細明體" w:hAnsi="Cambria"/>
      <w:color w:val="365F91"/>
      <w:kern w:val="0"/>
      <w:sz w:val="28"/>
      <w:szCs w:val="28"/>
    </w:rPr>
  </w:style>
  <w:style w:type="character" w:customStyle="1" w:styleId="yiv9798275750yui3130ym11138720728242514042yiv9798275750yui3130ym11138720728242519644">
    <w:name w:val="yiv9798275750yui_3_13_0_ym1_1_1387207282425_14042 yiv9798275750yui_3_13_0_ym1_1_1387207282425_19644"/>
    <w:uiPriority w:val="99"/>
    <w:rsid w:val="00945992"/>
  </w:style>
  <w:style w:type="character" w:customStyle="1" w:styleId="29">
    <w:name w:val="標題 2(一) 字元"/>
    <w:aliases w:val="-一 字元 字元"/>
    <w:uiPriority w:val="99"/>
    <w:rsid w:val="0031547A"/>
    <w:rPr>
      <w:rFonts w:ascii="Arial" w:eastAsia="標楷體" w:hAnsi="Arial"/>
      <w:b/>
      <w:kern w:val="2"/>
      <w:sz w:val="48"/>
      <w:lang w:val="en-US" w:eastAsia="zh-TW"/>
    </w:rPr>
  </w:style>
  <w:style w:type="paragraph" w:customStyle="1" w:styleId="afff9">
    <w:name w:val="表內大字"/>
    <w:basedOn w:val="a"/>
    <w:uiPriority w:val="99"/>
    <w:rsid w:val="00A114D4"/>
    <w:pPr>
      <w:spacing w:line="720" w:lineRule="exact"/>
    </w:pPr>
    <w:rPr>
      <w:rFonts w:eastAsia="標楷體"/>
      <w:sz w:val="36"/>
    </w:rPr>
  </w:style>
  <w:style w:type="character" w:customStyle="1" w:styleId="kword">
    <w:name w:val="kword"/>
    <w:uiPriority w:val="99"/>
    <w:rsid w:val="00AC21E0"/>
  </w:style>
  <w:style w:type="paragraph" w:customStyle="1" w:styleId="35">
    <w:name w:val="清單段落3"/>
    <w:basedOn w:val="a"/>
    <w:uiPriority w:val="99"/>
    <w:rsid w:val="00AC21E0"/>
    <w:pPr>
      <w:widowControl/>
      <w:ind w:leftChars="200" w:left="480"/>
    </w:pPr>
    <w:rPr>
      <w:rFonts w:ascii="新細明體" w:hAnsi="新細明體" w:cs="新細明體"/>
      <w:kern w:val="0"/>
    </w:rPr>
  </w:style>
  <w:style w:type="character" w:customStyle="1" w:styleId="st1">
    <w:name w:val="st1"/>
    <w:uiPriority w:val="99"/>
    <w:rsid w:val="00AC21E0"/>
  </w:style>
  <w:style w:type="paragraph" w:styleId="afffa">
    <w:name w:val="Note Heading"/>
    <w:basedOn w:val="a"/>
    <w:next w:val="a"/>
    <w:link w:val="afffb"/>
    <w:uiPriority w:val="99"/>
    <w:unhideWhenUsed/>
    <w:locked/>
    <w:rsid w:val="00160E34"/>
    <w:pPr>
      <w:jc w:val="center"/>
    </w:pPr>
    <w:rPr>
      <w:color w:val="000000"/>
      <w:kern w:val="0"/>
      <w:sz w:val="20"/>
      <w:szCs w:val="20"/>
    </w:rPr>
  </w:style>
  <w:style w:type="character" w:customStyle="1" w:styleId="afffb">
    <w:name w:val="註釋標題 字元"/>
    <w:basedOn w:val="a1"/>
    <w:link w:val="afffa"/>
    <w:uiPriority w:val="99"/>
    <w:rsid w:val="00160E34"/>
    <w:rPr>
      <w:color w:val="000000"/>
      <w:kern w:val="0"/>
      <w:sz w:val="20"/>
      <w:szCs w:val="20"/>
    </w:rPr>
  </w:style>
  <w:style w:type="paragraph" w:styleId="afffc">
    <w:name w:val="Closing"/>
    <w:basedOn w:val="a"/>
    <w:link w:val="afffd"/>
    <w:uiPriority w:val="99"/>
    <w:unhideWhenUsed/>
    <w:locked/>
    <w:rsid w:val="00160E34"/>
    <w:pPr>
      <w:ind w:leftChars="1800" w:left="100"/>
    </w:pPr>
    <w:rPr>
      <w:color w:val="000000"/>
      <w:kern w:val="0"/>
      <w:sz w:val="20"/>
      <w:szCs w:val="20"/>
    </w:rPr>
  </w:style>
  <w:style w:type="character" w:customStyle="1" w:styleId="afffd">
    <w:name w:val="結語 字元"/>
    <w:basedOn w:val="a1"/>
    <w:link w:val="afffc"/>
    <w:uiPriority w:val="99"/>
    <w:rsid w:val="00160E34"/>
    <w:rPr>
      <w:color w:val="000000"/>
      <w:kern w:val="0"/>
      <w:sz w:val="20"/>
      <w:szCs w:val="20"/>
    </w:rPr>
  </w:style>
  <w:style w:type="paragraph" w:customStyle="1" w:styleId="afffe">
    <w:name w:val="章名"/>
    <w:uiPriority w:val="99"/>
    <w:rsid w:val="00701467"/>
    <w:pPr>
      <w:spacing w:beforeLines="50" w:afterLines="50"/>
      <w:jc w:val="center"/>
    </w:pPr>
    <w:rPr>
      <w:rFonts w:eastAsia="標楷體"/>
      <w:spacing w:val="10"/>
      <w:sz w:val="48"/>
      <w:szCs w:val="44"/>
    </w:rPr>
  </w:style>
  <w:style w:type="paragraph" w:customStyle="1" w:styleId="affff">
    <w:name w:val="節名"/>
    <w:uiPriority w:val="99"/>
    <w:rsid w:val="00701467"/>
    <w:pPr>
      <w:spacing w:beforeLines="50" w:afterLines="50"/>
      <w:jc w:val="center"/>
    </w:pPr>
    <w:rPr>
      <w:rFonts w:eastAsia="標楷體"/>
      <w:spacing w:val="10"/>
      <w:sz w:val="40"/>
      <w:szCs w:val="40"/>
    </w:rPr>
  </w:style>
  <w:style w:type="paragraph" w:customStyle="1" w:styleId="affff0">
    <w:name w:val="文章"/>
    <w:link w:val="affff1"/>
    <w:uiPriority w:val="99"/>
    <w:rsid w:val="00701467"/>
    <w:pPr>
      <w:spacing w:beforeLines="50" w:afterLines="50" w:line="520" w:lineRule="exact"/>
      <w:ind w:firstLineChars="200" w:firstLine="200"/>
      <w:jc w:val="both"/>
    </w:pPr>
    <w:rPr>
      <w:rFonts w:eastAsia="標楷體"/>
      <w:spacing w:val="10"/>
      <w:kern w:val="0"/>
      <w:sz w:val="22"/>
    </w:rPr>
  </w:style>
  <w:style w:type="character" w:customStyle="1" w:styleId="affff1">
    <w:name w:val="文章 字元"/>
    <w:link w:val="affff0"/>
    <w:uiPriority w:val="99"/>
    <w:locked/>
    <w:rsid w:val="00701467"/>
    <w:rPr>
      <w:rFonts w:eastAsia="標楷體"/>
      <w:spacing w:val="10"/>
      <w:kern w:val="0"/>
      <w:sz w:val="22"/>
    </w:rPr>
  </w:style>
  <w:style w:type="character" w:customStyle="1" w:styleId="a4">
    <w:name w:val="內文縮排 字元"/>
    <w:link w:val="a0"/>
    <w:rsid w:val="002E550E"/>
    <w:rPr>
      <w:szCs w:val="24"/>
    </w:rPr>
  </w:style>
  <w:style w:type="numbering" w:customStyle="1" w:styleId="18">
    <w:name w:val="無清單1"/>
    <w:next w:val="a3"/>
    <w:uiPriority w:val="99"/>
    <w:semiHidden/>
    <w:unhideWhenUsed/>
    <w:rsid w:val="009B0779"/>
  </w:style>
  <w:style w:type="table" w:customStyle="1" w:styleId="19">
    <w:name w:val="表格格線1"/>
    <w:basedOn w:val="a2"/>
    <w:next w:val="aff5"/>
    <w:uiPriority w:val="59"/>
    <w:rsid w:val="009B0779"/>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312116">
      <w:bodyDiv w:val="1"/>
      <w:marLeft w:val="0"/>
      <w:marRight w:val="0"/>
      <w:marTop w:val="0"/>
      <w:marBottom w:val="0"/>
      <w:divBdr>
        <w:top w:val="none" w:sz="0" w:space="0" w:color="auto"/>
        <w:left w:val="none" w:sz="0" w:space="0" w:color="auto"/>
        <w:bottom w:val="none" w:sz="0" w:space="0" w:color="auto"/>
        <w:right w:val="none" w:sz="0" w:space="0" w:color="auto"/>
      </w:divBdr>
    </w:div>
    <w:div w:id="35736383">
      <w:bodyDiv w:val="1"/>
      <w:marLeft w:val="0"/>
      <w:marRight w:val="0"/>
      <w:marTop w:val="0"/>
      <w:marBottom w:val="0"/>
      <w:divBdr>
        <w:top w:val="none" w:sz="0" w:space="0" w:color="auto"/>
        <w:left w:val="none" w:sz="0" w:space="0" w:color="auto"/>
        <w:bottom w:val="none" w:sz="0" w:space="0" w:color="auto"/>
        <w:right w:val="none" w:sz="0" w:space="0" w:color="auto"/>
      </w:divBdr>
    </w:div>
    <w:div w:id="41097238">
      <w:bodyDiv w:val="1"/>
      <w:marLeft w:val="0"/>
      <w:marRight w:val="0"/>
      <w:marTop w:val="0"/>
      <w:marBottom w:val="0"/>
      <w:divBdr>
        <w:top w:val="none" w:sz="0" w:space="0" w:color="auto"/>
        <w:left w:val="none" w:sz="0" w:space="0" w:color="auto"/>
        <w:bottom w:val="none" w:sz="0" w:space="0" w:color="auto"/>
        <w:right w:val="none" w:sz="0" w:space="0" w:color="auto"/>
      </w:divBdr>
    </w:div>
    <w:div w:id="62220690">
      <w:bodyDiv w:val="1"/>
      <w:marLeft w:val="0"/>
      <w:marRight w:val="0"/>
      <w:marTop w:val="0"/>
      <w:marBottom w:val="0"/>
      <w:divBdr>
        <w:top w:val="none" w:sz="0" w:space="0" w:color="auto"/>
        <w:left w:val="none" w:sz="0" w:space="0" w:color="auto"/>
        <w:bottom w:val="none" w:sz="0" w:space="0" w:color="auto"/>
        <w:right w:val="none" w:sz="0" w:space="0" w:color="auto"/>
      </w:divBdr>
    </w:div>
    <w:div w:id="65226828">
      <w:bodyDiv w:val="1"/>
      <w:marLeft w:val="0"/>
      <w:marRight w:val="0"/>
      <w:marTop w:val="0"/>
      <w:marBottom w:val="0"/>
      <w:divBdr>
        <w:top w:val="none" w:sz="0" w:space="0" w:color="auto"/>
        <w:left w:val="none" w:sz="0" w:space="0" w:color="auto"/>
        <w:bottom w:val="none" w:sz="0" w:space="0" w:color="auto"/>
        <w:right w:val="none" w:sz="0" w:space="0" w:color="auto"/>
      </w:divBdr>
    </w:div>
    <w:div w:id="103501374">
      <w:bodyDiv w:val="1"/>
      <w:marLeft w:val="0"/>
      <w:marRight w:val="0"/>
      <w:marTop w:val="0"/>
      <w:marBottom w:val="0"/>
      <w:divBdr>
        <w:top w:val="none" w:sz="0" w:space="0" w:color="auto"/>
        <w:left w:val="none" w:sz="0" w:space="0" w:color="auto"/>
        <w:bottom w:val="none" w:sz="0" w:space="0" w:color="auto"/>
        <w:right w:val="none" w:sz="0" w:space="0" w:color="auto"/>
      </w:divBdr>
    </w:div>
    <w:div w:id="127893270">
      <w:bodyDiv w:val="1"/>
      <w:marLeft w:val="0"/>
      <w:marRight w:val="0"/>
      <w:marTop w:val="0"/>
      <w:marBottom w:val="0"/>
      <w:divBdr>
        <w:top w:val="none" w:sz="0" w:space="0" w:color="auto"/>
        <w:left w:val="none" w:sz="0" w:space="0" w:color="auto"/>
        <w:bottom w:val="none" w:sz="0" w:space="0" w:color="auto"/>
        <w:right w:val="none" w:sz="0" w:space="0" w:color="auto"/>
      </w:divBdr>
    </w:div>
    <w:div w:id="128939656">
      <w:bodyDiv w:val="1"/>
      <w:marLeft w:val="0"/>
      <w:marRight w:val="0"/>
      <w:marTop w:val="0"/>
      <w:marBottom w:val="0"/>
      <w:divBdr>
        <w:top w:val="none" w:sz="0" w:space="0" w:color="auto"/>
        <w:left w:val="none" w:sz="0" w:space="0" w:color="auto"/>
        <w:bottom w:val="none" w:sz="0" w:space="0" w:color="auto"/>
        <w:right w:val="none" w:sz="0" w:space="0" w:color="auto"/>
      </w:divBdr>
    </w:div>
    <w:div w:id="138495821">
      <w:bodyDiv w:val="1"/>
      <w:marLeft w:val="0"/>
      <w:marRight w:val="0"/>
      <w:marTop w:val="0"/>
      <w:marBottom w:val="0"/>
      <w:divBdr>
        <w:top w:val="none" w:sz="0" w:space="0" w:color="auto"/>
        <w:left w:val="none" w:sz="0" w:space="0" w:color="auto"/>
        <w:bottom w:val="none" w:sz="0" w:space="0" w:color="auto"/>
        <w:right w:val="none" w:sz="0" w:space="0" w:color="auto"/>
      </w:divBdr>
    </w:div>
    <w:div w:id="142082672">
      <w:bodyDiv w:val="1"/>
      <w:marLeft w:val="0"/>
      <w:marRight w:val="0"/>
      <w:marTop w:val="0"/>
      <w:marBottom w:val="0"/>
      <w:divBdr>
        <w:top w:val="none" w:sz="0" w:space="0" w:color="auto"/>
        <w:left w:val="none" w:sz="0" w:space="0" w:color="auto"/>
        <w:bottom w:val="none" w:sz="0" w:space="0" w:color="auto"/>
        <w:right w:val="none" w:sz="0" w:space="0" w:color="auto"/>
      </w:divBdr>
    </w:div>
    <w:div w:id="150759201">
      <w:bodyDiv w:val="1"/>
      <w:marLeft w:val="0"/>
      <w:marRight w:val="0"/>
      <w:marTop w:val="0"/>
      <w:marBottom w:val="0"/>
      <w:divBdr>
        <w:top w:val="none" w:sz="0" w:space="0" w:color="auto"/>
        <w:left w:val="none" w:sz="0" w:space="0" w:color="auto"/>
        <w:bottom w:val="none" w:sz="0" w:space="0" w:color="auto"/>
        <w:right w:val="none" w:sz="0" w:space="0" w:color="auto"/>
      </w:divBdr>
    </w:div>
    <w:div w:id="162747760">
      <w:bodyDiv w:val="1"/>
      <w:marLeft w:val="0"/>
      <w:marRight w:val="0"/>
      <w:marTop w:val="0"/>
      <w:marBottom w:val="0"/>
      <w:divBdr>
        <w:top w:val="none" w:sz="0" w:space="0" w:color="auto"/>
        <w:left w:val="none" w:sz="0" w:space="0" w:color="auto"/>
        <w:bottom w:val="none" w:sz="0" w:space="0" w:color="auto"/>
        <w:right w:val="none" w:sz="0" w:space="0" w:color="auto"/>
      </w:divBdr>
    </w:div>
    <w:div w:id="167597035">
      <w:bodyDiv w:val="1"/>
      <w:marLeft w:val="0"/>
      <w:marRight w:val="0"/>
      <w:marTop w:val="0"/>
      <w:marBottom w:val="0"/>
      <w:divBdr>
        <w:top w:val="none" w:sz="0" w:space="0" w:color="auto"/>
        <w:left w:val="none" w:sz="0" w:space="0" w:color="auto"/>
        <w:bottom w:val="none" w:sz="0" w:space="0" w:color="auto"/>
        <w:right w:val="none" w:sz="0" w:space="0" w:color="auto"/>
      </w:divBdr>
    </w:div>
    <w:div w:id="176120765">
      <w:bodyDiv w:val="1"/>
      <w:marLeft w:val="0"/>
      <w:marRight w:val="0"/>
      <w:marTop w:val="0"/>
      <w:marBottom w:val="0"/>
      <w:divBdr>
        <w:top w:val="none" w:sz="0" w:space="0" w:color="auto"/>
        <w:left w:val="none" w:sz="0" w:space="0" w:color="auto"/>
        <w:bottom w:val="none" w:sz="0" w:space="0" w:color="auto"/>
        <w:right w:val="none" w:sz="0" w:space="0" w:color="auto"/>
      </w:divBdr>
    </w:div>
    <w:div w:id="176696624">
      <w:bodyDiv w:val="1"/>
      <w:marLeft w:val="0"/>
      <w:marRight w:val="0"/>
      <w:marTop w:val="0"/>
      <w:marBottom w:val="0"/>
      <w:divBdr>
        <w:top w:val="none" w:sz="0" w:space="0" w:color="auto"/>
        <w:left w:val="none" w:sz="0" w:space="0" w:color="auto"/>
        <w:bottom w:val="none" w:sz="0" w:space="0" w:color="auto"/>
        <w:right w:val="none" w:sz="0" w:space="0" w:color="auto"/>
      </w:divBdr>
    </w:div>
    <w:div w:id="193888239">
      <w:bodyDiv w:val="1"/>
      <w:marLeft w:val="0"/>
      <w:marRight w:val="0"/>
      <w:marTop w:val="0"/>
      <w:marBottom w:val="0"/>
      <w:divBdr>
        <w:top w:val="none" w:sz="0" w:space="0" w:color="auto"/>
        <w:left w:val="none" w:sz="0" w:space="0" w:color="auto"/>
        <w:bottom w:val="none" w:sz="0" w:space="0" w:color="auto"/>
        <w:right w:val="none" w:sz="0" w:space="0" w:color="auto"/>
      </w:divBdr>
    </w:div>
    <w:div w:id="193933649">
      <w:bodyDiv w:val="1"/>
      <w:marLeft w:val="0"/>
      <w:marRight w:val="0"/>
      <w:marTop w:val="0"/>
      <w:marBottom w:val="0"/>
      <w:divBdr>
        <w:top w:val="none" w:sz="0" w:space="0" w:color="auto"/>
        <w:left w:val="none" w:sz="0" w:space="0" w:color="auto"/>
        <w:bottom w:val="none" w:sz="0" w:space="0" w:color="auto"/>
        <w:right w:val="none" w:sz="0" w:space="0" w:color="auto"/>
      </w:divBdr>
    </w:div>
    <w:div w:id="209537422">
      <w:bodyDiv w:val="1"/>
      <w:marLeft w:val="0"/>
      <w:marRight w:val="0"/>
      <w:marTop w:val="0"/>
      <w:marBottom w:val="0"/>
      <w:divBdr>
        <w:top w:val="none" w:sz="0" w:space="0" w:color="auto"/>
        <w:left w:val="none" w:sz="0" w:space="0" w:color="auto"/>
        <w:bottom w:val="none" w:sz="0" w:space="0" w:color="auto"/>
        <w:right w:val="none" w:sz="0" w:space="0" w:color="auto"/>
      </w:divBdr>
    </w:div>
    <w:div w:id="212348351">
      <w:bodyDiv w:val="1"/>
      <w:marLeft w:val="0"/>
      <w:marRight w:val="0"/>
      <w:marTop w:val="0"/>
      <w:marBottom w:val="0"/>
      <w:divBdr>
        <w:top w:val="none" w:sz="0" w:space="0" w:color="auto"/>
        <w:left w:val="none" w:sz="0" w:space="0" w:color="auto"/>
        <w:bottom w:val="none" w:sz="0" w:space="0" w:color="auto"/>
        <w:right w:val="none" w:sz="0" w:space="0" w:color="auto"/>
      </w:divBdr>
    </w:div>
    <w:div w:id="214893181">
      <w:bodyDiv w:val="1"/>
      <w:marLeft w:val="0"/>
      <w:marRight w:val="0"/>
      <w:marTop w:val="0"/>
      <w:marBottom w:val="0"/>
      <w:divBdr>
        <w:top w:val="none" w:sz="0" w:space="0" w:color="auto"/>
        <w:left w:val="none" w:sz="0" w:space="0" w:color="auto"/>
        <w:bottom w:val="none" w:sz="0" w:space="0" w:color="auto"/>
        <w:right w:val="none" w:sz="0" w:space="0" w:color="auto"/>
      </w:divBdr>
    </w:div>
    <w:div w:id="221522017">
      <w:bodyDiv w:val="1"/>
      <w:marLeft w:val="0"/>
      <w:marRight w:val="0"/>
      <w:marTop w:val="0"/>
      <w:marBottom w:val="0"/>
      <w:divBdr>
        <w:top w:val="none" w:sz="0" w:space="0" w:color="auto"/>
        <w:left w:val="none" w:sz="0" w:space="0" w:color="auto"/>
        <w:bottom w:val="none" w:sz="0" w:space="0" w:color="auto"/>
        <w:right w:val="none" w:sz="0" w:space="0" w:color="auto"/>
      </w:divBdr>
    </w:div>
    <w:div w:id="230505957">
      <w:bodyDiv w:val="1"/>
      <w:marLeft w:val="0"/>
      <w:marRight w:val="0"/>
      <w:marTop w:val="0"/>
      <w:marBottom w:val="0"/>
      <w:divBdr>
        <w:top w:val="none" w:sz="0" w:space="0" w:color="auto"/>
        <w:left w:val="none" w:sz="0" w:space="0" w:color="auto"/>
        <w:bottom w:val="none" w:sz="0" w:space="0" w:color="auto"/>
        <w:right w:val="none" w:sz="0" w:space="0" w:color="auto"/>
      </w:divBdr>
    </w:div>
    <w:div w:id="230821059">
      <w:bodyDiv w:val="1"/>
      <w:marLeft w:val="0"/>
      <w:marRight w:val="0"/>
      <w:marTop w:val="0"/>
      <w:marBottom w:val="0"/>
      <w:divBdr>
        <w:top w:val="none" w:sz="0" w:space="0" w:color="auto"/>
        <w:left w:val="none" w:sz="0" w:space="0" w:color="auto"/>
        <w:bottom w:val="none" w:sz="0" w:space="0" w:color="auto"/>
        <w:right w:val="none" w:sz="0" w:space="0" w:color="auto"/>
      </w:divBdr>
    </w:div>
    <w:div w:id="263197346">
      <w:bodyDiv w:val="1"/>
      <w:marLeft w:val="0"/>
      <w:marRight w:val="0"/>
      <w:marTop w:val="0"/>
      <w:marBottom w:val="0"/>
      <w:divBdr>
        <w:top w:val="none" w:sz="0" w:space="0" w:color="auto"/>
        <w:left w:val="none" w:sz="0" w:space="0" w:color="auto"/>
        <w:bottom w:val="none" w:sz="0" w:space="0" w:color="auto"/>
        <w:right w:val="none" w:sz="0" w:space="0" w:color="auto"/>
      </w:divBdr>
    </w:div>
    <w:div w:id="283731956">
      <w:bodyDiv w:val="1"/>
      <w:marLeft w:val="0"/>
      <w:marRight w:val="0"/>
      <w:marTop w:val="0"/>
      <w:marBottom w:val="0"/>
      <w:divBdr>
        <w:top w:val="none" w:sz="0" w:space="0" w:color="auto"/>
        <w:left w:val="none" w:sz="0" w:space="0" w:color="auto"/>
        <w:bottom w:val="none" w:sz="0" w:space="0" w:color="auto"/>
        <w:right w:val="none" w:sz="0" w:space="0" w:color="auto"/>
      </w:divBdr>
    </w:div>
    <w:div w:id="310521400">
      <w:bodyDiv w:val="1"/>
      <w:marLeft w:val="0"/>
      <w:marRight w:val="0"/>
      <w:marTop w:val="0"/>
      <w:marBottom w:val="0"/>
      <w:divBdr>
        <w:top w:val="none" w:sz="0" w:space="0" w:color="auto"/>
        <w:left w:val="none" w:sz="0" w:space="0" w:color="auto"/>
        <w:bottom w:val="none" w:sz="0" w:space="0" w:color="auto"/>
        <w:right w:val="none" w:sz="0" w:space="0" w:color="auto"/>
      </w:divBdr>
    </w:div>
    <w:div w:id="321931463">
      <w:bodyDiv w:val="1"/>
      <w:marLeft w:val="0"/>
      <w:marRight w:val="0"/>
      <w:marTop w:val="0"/>
      <w:marBottom w:val="0"/>
      <w:divBdr>
        <w:top w:val="none" w:sz="0" w:space="0" w:color="auto"/>
        <w:left w:val="none" w:sz="0" w:space="0" w:color="auto"/>
        <w:bottom w:val="none" w:sz="0" w:space="0" w:color="auto"/>
        <w:right w:val="none" w:sz="0" w:space="0" w:color="auto"/>
      </w:divBdr>
    </w:div>
    <w:div w:id="331417354">
      <w:bodyDiv w:val="1"/>
      <w:marLeft w:val="0"/>
      <w:marRight w:val="0"/>
      <w:marTop w:val="0"/>
      <w:marBottom w:val="0"/>
      <w:divBdr>
        <w:top w:val="none" w:sz="0" w:space="0" w:color="auto"/>
        <w:left w:val="none" w:sz="0" w:space="0" w:color="auto"/>
        <w:bottom w:val="none" w:sz="0" w:space="0" w:color="auto"/>
        <w:right w:val="none" w:sz="0" w:space="0" w:color="auto"/>
      </w:divBdr>
    </w:div>
    <w:div w:id="341474404">
      <w:bodyDiv w:val="1"/>
      <w:marLeft w:val="0"/>
      <w:marRight w:val="0"/>
      <w:marTop w:val="0"/>
      <w:marBottom w:val="0"/>
      <w:divBdr>
        <w:top w:val="none" w:sz="0" w:space="0" w:color="auto"/>
        <w:left w:val="none" w:sz="0" w:space="0" w:color="auto"/>
        <w:bottom w:val="none" w:sz="0" w:space="0" w:color="auto"/>
        <w:right w:val="none" w:sz="0" w:space="0" w:color="auto"/>
      </w:divBdr>
    </w:div>
    <w:div w:id="354771181">
      <w:bodyDiv w:val="1"/>
      <w:marLeft w:val="0"/>
      <w:marRight w:val="0"/>
      <w:marTop w:val="0"/>
      <w:marBottom w:val="0"/>
      <w:divBdr>
        <w:top w:val="none" w:sz="0" w:space="0" w:color="auto"/>
        <w:left w:val="none" w:sz="0" w:space="0" w:color="auto"/>
        <w:bottom w:val="none" w:sz="0" w:space="0" w:color="auto"/>
        <w:right w:val="none" w:sz="0" w:space="0" w:color="auto"/>
      </w:divBdr>
    </w:div>
    <w:div w:id="355666321">
      <w:bodyDiv w:val="1"/>
      <w:marLeft w:val="0"/>
      <w:marRight w:val="0"/>
      <w:marTop w:val="0"/>
      <w:marBottom w:val="0"/>
      <w:divBdr>
        <w:top w:val="none" w:sz="0" w:space="0" w:color="auto"/>
        <w:left w:val="none" w:sz="0" w:space="0" w:color="auto"/>
        <w:bottom w:val="none" w:sz="0" w:space="0" w:color="auto"/>
        <w:right w:val="none" w:sz="0" w:space="0" w:color="auto"/>
      </w:divBdr>
    </w:div>
    <w:div w:id="369378455">
      <w:bodyDiv w:val="1"/>
      <w:marLeft w:val="0"/>
      <w:marRight w:val="0"/>
      <w:marTop w:val="0"/>
      <w:marBottom w:val="0"/>
      <w:divBdr>
        <w:top w:val="none" w:sz="0" w:space="0" w:color="auto"/>
        <w:left w:val="none" w:sz="0" w:space="0" w:color="auto"/>
        <w:bottom w:val="none" w:sz="0" w:space="0" w:color="auto"/>
        <w:right w:val="none" w:sz="0" w:space="0" w:color="auto"/>
      </w:divBdr>
    </w:div>
    <w:div w:id="416173114">
      <w:bodyDiv w:val="1"/>
      <w:marLeft w:val="0"/>
      <w:marRight w:val="0"/>
      <w:marTop w:val="0"/>
      <w:marBottom w:val="0"/>
      <w:divBdr>
        <w:top w:val="none" w:sz="0" w:space="0" w:color="auto"/>
        <w:left w:val="none" w:sz="0" w:space="0" w:color="auto"/>
        <w:bottom w:val="none" w:sz="0" w:space="0" w:color="auto"/>
        <w:right w:val="none" w:sz="0" w:space="0" w:color="auto"/>
      </w:divBdr>
    </w:div>
    <w:div w:id="418257943">
      <w:bodyDiv w:val="1"/>
      <w:marLeft w:val="0"/>
      <w:marRight w:val="0"/>
      <w:marTop w:val="0"/>
      <w:marBottom w:val="0"/>
      <w:divBdr>
        <w:top w:val="none" w:sz="0" w:space="0" w:color="auto"/>
        <w:left w:val="none" w:sz="0" w:space="0" w:color="auto"/>
        <w:bottom w:val="none" w:sz="0" w:space="0" w:color="auto"/>
        <w:right w:val="none" w:sz="0" w:space="0" w:color="auto"/>
      </w:divBdr>
    </w:div>
    <w:div w:id="418672450">
      <w:bodyDiv w:val="1"/>
      <w:marLeft w:val="0"/>
      <w:marRight w:val="0"/>
      <w:marTop w:val="0"/>
      <w:marBottom w:val="0"/>
      <w:divBdr>
        <w:top w:val="none" w:sz="0" w:space="0" w:color="auto"/>
        <w:left w:val="none" w:sz="0" w:space="0" w:color="auto"/>
        <w:bottom w:val="none" w:sz="0" w:space="0" w:color="auto"/>
        <w:right w:val="none" w:sz="0" w:space="0" w:color="auto"/>
      </w:divBdr>
    </w:div>
    <w:div w:id="442042409">
      <w:bodyDiv w:val="1"/>
      <w:marLeft w:val="0"/>
      <w:marRight w:val="0"/>
      <w:marTop w:val="0"/>
      <w:marBottom w:val="0"/>
      <w:divBdr>
        <w:top w:val="none" w:sz="0" w:space="0" w:color="auto"/>
        <w:left w:val="none" w:sz="0" w:space="0" w:color="auto"/>
        <w:bottom w:val="none" w:sz="0" w:space="0" w:color="auto"/>
        <w:right w:val="none" w:sz="0" w:space="0" w:color="auto"/>
      </w:divBdr>
    </w:div>
    <w:div w:id="442071135">
      <w:bodyDiv w:val="1"/>
      <w:marLeft w:val="0"/>
      <w:marRight w:val="0"/>
      <w:marTop w:val="0"/>
      <w:marBottom w:val="0"/>
      <w:divBdr>
        <w:top w:val="none" w:sz="0" w:space="0" w:color="auto"/>
        <w:left w:val="none" w:sz="0" w:space="0" w:color="auto"/>
        <w:bottom w:val="none" w:sz="0" w:space="0" w:color="auto"/>
        <w:right w:val="none" w:sz="0" w:space="0" w:color="auto"/>
      </w:divBdr>
    </w:div>
    <w:div w:id="488400835">
      <w:bodyDiv w:val="1"/>
      <w:marLeft w:val="0"/>
      <w:marRight w:val="0"/>
      <w:marTop w:val="0"/>
      <w:marBottom w:val="0"/>
      <w:divBdr>
        <w:top w:val="none" w:sz="0" w:space="0" w:color="auto"/>
        <w:left w:val="none" w:sz="0" w:space="0" w:color="auto"/>
        <w:bottom w:val="none" w:sz="0" w:space="0" w:color="auto"/>
        <w:right w:val="none" w:sz="0" w:space="0" w:color="auto"/>
      </w:divBdr>
    </w:div>
    <w:div w:id="503404067">
      <w:bodyDiv w:val="1"/>
      <w:marLeft w:val="0"/>
      <w:marRight w:val="0"/>
      <w:marTop w:val="0"/>
      <w:marBottom w:val="0"/>
      <w:divBdr>
        <w:top w:val="none" w:sz="0" w:space="0" w:color="auto"/>
        <w:left w:val="none" w:sz="0" w:space="0" w:color="auto"/>
        <w:bottom w:val="none" w:sz="0" w:space="0" w:color="auto"/>
        <w:right w:val="none" w:sz="0" w:space="0" w:color="auto"/>
      </w:divBdr>
    </w:div>
    <w:div w:id="522400456">
      <w:bodyDiv w:val="1"/>
      <w:marLeft w:val="0"/>
      <w:marRight w:val="0"/>
      <w:marTop w:val="0"/>
      <w:marBottom w:val="0"/>
      <w:divBdr>
        <w:top w:val="none" w:sz="0" w:space="0" w:color="auto"/>
        <w:left w:val="none" w:sz="0" w:space="0" w:color="auto"/>
        <w:bottom w:val="none" w:sz="0" w:space="0" w:color="auto"/>
        <w:right w:val="none" w:sz="0" w:space="0" w:color="auto"/>
      </w:divBdr>
    </w:div>
    <w:div w:id="523981450">
      <w:bodyDiv w:val="1"/>
      <w:marLeft w:val="0"/>
      <w:marRight w:val="0"/>
      <w:marTop w:val="0"/>
      <w:marBottom w:val="0"/>
      <w:divBdr>
        <w:top w:val="none" w:sz="0" w:space="0" w:color="auto"/>
        <w:left w:val="none" w:sz="0" w:space="0" w:color="auto"/>
        <w:bottom w:val="none" w:sz="0" w:space="0" w:color="auto"/>
        <w:right w:val="none" w:sz="0" w:space="0" w:color="auto"/>
      </w:divBdr>
    </w:div>
    <w:div w:id="525098338">
      <w:bodyDiv w:val="1"/>
      <w:marLeft w:val="0"/>
      <w:marRight w:val="0"/>
      <w:marTop w:val="0"/>
      <w:marBottom w:val="0"/>
      <w:divBdr>
        <w:top w:val="none" w:sz="0" w:space="0" w:color="auto"/>
        <w:left w:val="none" w:sz="0" w:space="0" w:color="auto"/>
        <w:bottom w:val="none" w:sz="0" w:space="0" w:color="auto"/>
        <w:right w:val="none" w:sz="0" w:space="0" w:color="auto"/>
      </w:divBdr>
    </w:div>
    <w:div w:id="546375139">
      <w:bodyDiv w:val="1"/>
      <w:marLeft w:val="0"/>
      <w:marRight w:val="0"/>
      <w:marTop w:val="0"/>
      <w:marBottom w:val="0"/>
      <w:divBdr>
        <w:top w:val="none" w:sz="0" w:space="0" w:color="auto"/>
        <w:left w:val="none" w:sz="0" w:space="0" w:color="auto"/>
        <w:bottom w:val="none" w:sz="0" w:space="0" w:color="auto"/>
        <w:right w:val="none" w:sz="0" w:space="0" w:color="auto"/>
      </w:divBdr>
    </w:div>
    <w:div w:id="555165975">
      <w:bodyDiv w:val="1"/>
      <w:marLeft w:val="0"/>
      <w:marRight w:val="0"/>
      <w:marTop w:val="0"/>
      <w:marBottom w:val="0"/>
      <w:divBdr>
        <w:top w:val="none" w:sz="0" w:space="0" w:color="auto"/>
        <w:left w:val="none" w:sz="0" w:space="0" w:color="auto"/>
        <w:bottom w:val="none" w:sz="0" w:space="0" w:color="auto"/>
        <w:right w:val="none" w:sz="0" w:space="0" w:color="auto"/>
      </w:divBdr>
    </w:div>
    <w:div w:id="583339155">
      <w:bodyDiv w:val="1"/>
      <w:marLeft w:val="0"/>
      <w:marRight w:val="0"/>
      <w:marTop w:val="0"/>
      <w:marBottom w:val="0"/>
      <w:divBdr>
        <w:top w:val="none" w:sz="0" w:space="0" w:color="auto"/>
        <w:left w:val="none" w:sz="0" w:space="0" w:color="auto"/>
        <w:bottom w:val="none" w:sz="0" w:space="0" w:color="auto"/>
        <w:right w:val="none" w:sz="0" w:space="0" w:color="auto"/>
      </w:divBdr>
    </w:div>
    <w:div w:id="594172944">
      <w:bodyDiv w:val="1"/>
      <w:marLeft w:val="0"/>
      <w:marRight w:val="0"/>
      <w:marTop w:val="0"/>
      <w:marBottom w:val="0"/>
      <w:divBdr>
        <w:top w:val="none" w:sz="0" w:space="0" w:color="auto"/>
        <w:left w:val="none" w:sz="0" w:space="0" w:color="auto"/>
        <w:bottom w:val="none" w:sz="0" w:space="0" w:color="auto"/>
        <w:right w:val="none" w:sz="0" w:space="0" w:color="auto"/>
      </w:divBdr>
    </w:div>
    <w:div w:id="608201528">
      <w:bodyDiv w:val="1"/>
      <w:marLeft w:val="0"/>
      <w:marRight w:val="0"/>
      <w:marTop w:val="0"/>
      <w:marBottom w:val="0"/>
      <w:divBdr>
        <w:top w:val="none" w:sz="0" w:space="0" w:color="auto"/>
        <w:left w:val="none" w:sz="0" w:space="0" w:color="auto"/>
        <w:bottom w:val="none" w:sz="0" w:space="0" w:color="auto"/>
        <w:right w:val="none" w:sz="0" w:space="0" w:color="auto"/>
      </w:divBdr>
    </w:div>
    <w:div w:id="631061437">
      <w:bodyDiv w:val="1"/>
      <w:marLeft w:val="0"/>
      <w:marRight w:val="0"/>
      <w:marTop w:val="0"/>
      <w:marBottom w:val="0"/>
      <w:divBdr>
        <w:top w:val="none" w:sz="0" w:space="0" w:color="auto"/>
        <w:left w:val="none" w:sz="0" w:space="0" w:color="auto"/>
        <w:bottom w:val="none" w:sz="0" w:space="0" w:color="auto"/>
        <w:right w:val="none" w:sz="0" w:space="0" w:color="auto"/>
      </w:divBdr>
    </w:div>
    <w:div w:id="635337100">
      <w:bodyDiv w:val="1"/>
      <w:marLeft w:val="0"/>
      <w:marRight w:val="0"/>
      <w:marTop w:val="0"/>
      <w:marBottom w:val="0"/>
      <w:divBdr>
        <w:top w:val="none" w:sz="0" w:space="0" w:color="auto"/>
        <w:left w:val="none" w:sz="0" w:space="0" w:color="auto"/>
        <w:bottom w:val="none" w:sz="0" w:space="0" w:color="auto"/>
        <w:right w:val="none" w:sz="0" w:space="0" w:color="auto"/>
      </w:divBdr>
    </w:div>
    <w:div w:id="664162903">
      <w:bodyDiv w:val="1"/>
      <w:marLeft w:val="0"/>
      <w:marRight w:val="0"/>
      <w:marTop w:val="0"/>
      <w:marBottom w:val="0"/>
      <w:divBdr>
        <w:top w:val="none" w:sz="0" w:space="0" w:color="auto"/>
        <w:left w:val="none" w:sz="0" w:space="0" w:color="auto"/>
        <w:bottom w:val="none" w:sz="0" w:space="0" w:color="auto"/>
        <w:right w:val="none" w:sz="0" w:space="0" w:color="auto"/>
      </w:divBdr>
    </w:div>
    <w:div w:id="664866054">
      <w:bodyDiv w:val="1"/>
      <w:marLeft w:val="0"/>
      <w:marRight w:val="0"/>
      <w:marTop w:val="0"/>
      <w:marBottom w:val="0"/>
      <w:divBdr>
        <w:top w:val="none" w:sz="0" w:space="0" w:color="auto"/>
        <w:left w:val="none" w:sz="0" w:space="0" w:color="auto"/>
        <w:bottom w:val="none" w:sz="0" w:space="0" w:color="auto"/>
        <w:right w:val="none" w:sz="0" w:space="0" w:color="auto"/>
      </w:divBdr>
    </w:div>
    <w:div w:id="672609484">
      <w:bodyDiv w:val="1"/>
      <w:marLeft w:val="0"/>
      <w:marRight w:val="0"/>
      <w:marTop w:val="0"/>
      <w:marBottom w:val="0"/>
      <w:divBdr>
        <w:top w:val="none" w:sz="0" w:space="0" w:color="auto"/>
        <w:left w:val="none" w:sz="0" w:space="0" w:color="auto"/>
        <w:bottom w:val="none" w:sz="0" w:space="0" w:color="auto"/>
        <w:right w:val="none" w:sz="0" w:space="0" w:color="auto"/>
      </w:divBdr>
    </w:div>
    <w:div w:id="690958865">
      <w:bodyDiv w:val="1"/>
      <w:marLeft w:val="0"/>
      <w:marRight w:val="0"/>
      <w:marTop w:val="0"/>
      <w:marBottom w:val="0"/>
      <w:divBdr>
        <w:top w:val="none" w:sz="0" w:space="0" w:color="auto"/>
        <w:left w:val="none" w:sz="0" w:space="0" w:color="auto"/>
        <w:bottom w:val="none" w:sz="0" w:space="0" w:color="auto"/>
        <w:right w:val="none" w:sz="0" w:space="0" w:color="auto"/>
      </w:divBdr>
    </w:div>
    <w:div w:id="708139808">
      <w:bodyDiv w:val="1"/>
      <w:marLeft w:val="0"/>
      <w:marRight w:val="0"/>
      <w:marTop w:val="0"/>
      <w:marBottom w:val="0"/>
      <w:divBdr>
        <w:top w:val="none" w:sz="0" w:space="0" w:color="auto"/>
        <w:left w:val="none" w:sz="0" w:space="0" w:color="auto"/>
        <w:bottom w:val="none" w:sz="0" w:space="0" w:color="auto"/>
        <w:right w:val="none" w:sz="0" w:space="0" w:color="auto"/>
      </w:divBdr>
    </w:div>
    <w:div w:id="714474558">
      <w:bodyDiv w:val="1"/>
      <w:marLeft w:val="0"/>
      <w:marRight w:val="0"/>
      <w:marTop w:val="0"/>
      <w:marBottom w:val="0"/>
      <w:divBdr>
        <w:top w:val="none" w:sz="0" w:space="0" w:color="auto"/>
        <w:left w:val="none" w:sz="0" w:space="0" w:color="auto"/>
        <w:bottom w:val="none" w:sz="0" w:space="0" w:color="auto"/>
        <w:right w:val="none" w:sz="0" w:space="0" w:color="auto"/>
      </w:divBdr>
    </w:div>
    <w:div w:id="739669282">
      <w:bodyDiv w:val="1"/>
      <w:marLeft w:val="0"/>
      <w:marRight w:val="0"/>
      <w:marTop w:val="0"/>
      <w:marBottom w:val="0"/>
      <w:divBdr>
        <w:top w:val="none" w:sz="0" w:space="0" w:color="auto"/>
        <w:left w:val="none" w:sz="0" w:space="0" w:color="auto"/>
        <w:bottom w:val="none" w:sz="0" w:space="0" w:color="auto"/>
        <w:right w:val="none" w:sz="0" w:space="0" w:color="auto"/>
      </w:divBdr>
    </w:div>
    <w:div w:id="766849999">
      <w:bodyDiv w:val="1"/>
      <w:marLeft w:val="0"/>
      <w:marRight w:val="0"/>
      <w:marTop w:val="0"/>
      <w:marBottom w:val="0"/>
      <w:divBdr>
        <w:top w:val="none" w:sz="0" w:space="0" w:color="auto"/>
        <w:left w:val="none" w:sz="0" w:space="0" w:color="auto"/>
        <w:bottom w:val="none" w:sz="0" w:space="0" w:color="auto"/>
        <w:right w:val="none" w:sz="0" w:space="0" w:color="auto"/>
      </w:divBdr>
    </w:div>
    <w:div w:id="767122264">
      <w:bodyDiv w:val="1"/>
      <w:marLeft w:val="0"/>
      <w:marRight w:val="0"/>
      <w:marTop w:val="0"/>
      <w:marBottom w:val="0"/>
      <w:divBdr>
        <w:top w:val="none" w:sz="0" w:space="0" w:color="auto"/>
        <w:left w:val="none" w:sz="0" w:space="0" w:color="auto"/>
        <w:bottom w:val="none" w:sz="0" w:space="0" w:color="auto"/>
        <w:right w:val="none" w:sz="0" w:space="0" w:color="auto"/>
      </w:divBdr>
    </w:div>
    <w:div w:id="781538967">
      <w:bodyDiv w:val="1"/>
      <w:marLeft w:val="0"/>
      <w:marRight w:val="0"/>
      <w:marTop w:val="0"/>
      <w:marBottom w:val="0"/>
      <w:divBdr>
        <w:top w:val="none" w:sz="0" w:space="0" w:color="auto"/>
        <w:left w:val="none" w:sz="0" w:space="0" w:color="auto"/>
        <w:bottom w:val="none" w:sz="0" w:space="0" w:color="auto"/>
        <w:right w:val="none" w:sz="0" w:space="0" w:color="auto"/>
      </w:divBdr>
    </w:div>
    <w:div w:id="868764629">
      <w:bodyDiv w:val="1"/>
      <w:marLeft w:val="0"/>
      <w:marRight w:val="0"/>
      <w:marTop w:val="0"/>
      <w:marBottom w:val="0"/>
      <w:divBdr>
        <w:top w:val="none" w:sz="0" w:space="0" w:color="auto"/>
        <w:left w:val="none" w:sz="0" w:space="0" w:color="auto"/>
        <w:bottom w:val="none" w:sz="0" w:space="0" w:color="auto"/>
        <w:right w:val="none" w:sz="0" w:space="0" w:color="auto"/>
      </w:divBdr>
    </w:div>
    <w:div w:id="885027357">
      <w:bodyDiv w:val="1"/>
      <w:marLeft w:val="0"/>
      <w:marRight w:val="0"/>
      <w:marTop w:val="0"/>
      <w:marBottom w:val="0"/>
      <w:divBdr>
        <w:top w:val="none" w:sz="0" w:space="0" w:color="auto"/>
        <w:left w:val="none" w:sz="0" w:space="0" w:color="auto"/>
        <w:bottom w:val="none" w:sz="0" w:space="0" w:color="auto"/>
        <w:right w:val="none" w:sz="0" w:space="0" w:color="auto"/>
      </w:divBdr>
    </w:div>
    <w:div w:id="901720354">
      <w:bodyDiv w:val="1"/>
      <w:marLeft w:val="0"/>
      <w:marRight w:val="0"/>
      <w:marTop w:val="0"/>
      <w:marBottom w:val="0"/>
      <w:divBdr>
        <w:top w:val="none" w:sz="0" w:space="0" w:color="auto"/>
        <w:left w:val="none" w:sz="0" w:space="0" w:color="auto"/>
        <w:bottom w:val="none" w:sz="0" w:space="0" w:color="auto"/>
        <w:right w:val="none" w:sz="0" w:space="0" w:color="auto"/>
      </w:divBdr>
    </w:div>
    <w:div w:id="912541256">
      <w:bodyDiv w:val="1"/>
      <w:marLeft w:val="0"/>
      <w:marRight w:val="0"/>
      <w:marTop w:val="0"/>
      <w:marBottom w:val="0"/>
      <w:divBdr>
        <w:top w:val="none" w:sz="0" w:space="0" w:color="auto"/>
        <w:left w:val="none" w:sz="0" w:space="0" w:color="auto"/>
        <w:bottom w:val="none" w:sz="0" w:space="0" w:color="auto"/>
        <w:right w:val="none" w:sz="0" w:space="0" w:color="auto"/>
      </w:divBdr>
    </w:div>
    <w:div w:id="912737033">
      <w:bodyDiv w:val="1"/>
      <w:marLeft w:val="0"/>
      <w:marRight w:val="0"/>
      <w:marTop w:val="0"/>
      <w:marBottom w:val="0"/>
      <w:divBdr>
        <w:top w:val="none" w:sz="0" w:space="0" w:color="auto"/>
        <w:left w:val="none" w:sz="0" w:space="0" w:color="auto"/>
        <w:bottom w:val="none" w:sz="0" w:space="0" w:color="auto"/>
        <w:right w:val="none" w:sz="0" w:space="0" w:color="auto"/>
      </w:divBdr>
    </w:div>
    <w:div w:id="924190801">
      <w:bodyDiv w:val="1"/>
      <w:marLeft w:val="0"/>
      <w:marRight w:val="0"/>
      <w:marTop w:val="0"/>
      <w:marBottom w:val="0"/>
      <w:divBdr>
        <w:top w:val="none" w:sz="0" w:space="0" w:color="auto"/>
        <w:left w:val="none" w:sz="0" w:space="0" w:color="auto"/>
        <w:bottom w:val="none" w:sz="0" w:space="0" w:color="auto"/>
        <w:right w:val="none" w:sz="0" w:space="0" w:color="auto"/>
      </w:divBdr>
    </w:div>
    <w:div w:id="940600319">
      <w:bodyDiv w:val="1"/>
      <w:marLeft w:val="0"/>
      <w:marRight w:val="0"/>
      <w:marTop w:val="0"/>
      <w:marBottom w:val="0"/>
      <w:divBdr>
        <w:top w:val="none" w:sz="0" w:space="0" w:color="auto"/>
        <w:left w:val="none" w:sz="0" w:space="0" w:color="auto"/>
        <w:bottom w:val="none" w:sz="0" w:space="0" w:color="auto"/>
        <w:right w:val="none" w:sz="0" w:space="0" w:color="auto"/>
      </w:divBdr>
    </w:div>
    <w:div w:id="983780193">
      <w:bodyDiv w:val="1"/>
      <w:marLeft w:val="0"/>
      <w:marRight w:val="0"/>
      <w:marTop w:val="0"/>
      <w:marBottom w:val="0"/>
      <w:divBdr>
        <w:top w:val="none" w:sz="0" w:space="0" w:color="auto"/>
        <w:left w:val="none" w:sz="0" w:space="0" w:color="auto"/>
        <w:bottom w:val="none" w:sz="0" w:space="0" w:color="auto"/>
        <w:right w:val="none" w:sz="0" w:space="0" w:color="auto"/>
      </w:divBdr>
    </w:div>
    <w:div w:id="987326484">
      <w:bodyDiv w:val="1"/>
      <w:marLeft w:val="0"/>
      <w:marRight w:val="0"/>
      <w:marTop w:val="0"/>
      <w:marBottom w:val="0"/>
      <w:divBdr>
        <w:top w:val="none" w:sz="0" w:space="0" w:color="auto"/>
        <w:left w:val="none" w:sz="0" w:space="0" w:color="auto"/>
        <w:bottom w:val="none" w:sz="0" w:space="0" w:color="auto"/>
        <w:right w:val="none" w:sz="0" w:space="0" w:color="auto"/>
      </w:divBdr>
    </w:div>
    <w:div w:id="989023769">
      <w:bodyDiv w:val="1"/>
      <w:marLeft w:val="0"/>
      <w:marRight w:val="0"/>
      <w:marTop w:val="0"/>
      <w:marBottom w:val="0"/>
      <w:divBdr>
        <w:top w:val="none" w:sz="0" w:space="0" w:color="auto"/>
        <w:left w:val="none" w:sz="0" w:space="0" w:color="auto"/>
        <w:bottom w:val="none" w:sz="0" w:space="0" w:color="auto"/>
        <w:right w:val="none" w:sz="0" w:space="0" w:color="auto"/>
      </w:divBdr>
    </w:div>
    <w:div w:id="997344957">
      <w:bodyDiv w:val="1"/>
      <w:marLeft w:val="0"/>
      <w:marRight w:val="0"/>
      <w:marTop w:val="0"/>
      <w:marBottom w:val="0"/>
      <w:divBdr>
        <w:top w:val="none" w:sz="0" w:space="0" w:color="auto"/>
        <w:left w:val="none" w:sz="0" w:space="0" w:color="auto"/>
        <w:bottom w:val="none" w:sz="0" w:space="0" w:color="auto"/>
        <w:right w:val="none" w:sz="0" w:space="0" w:color="auto"/>
      </w:divBdr>
    </w:div>
    <w:div w:id="1015691344">
      <w:bodyDiv w:val="1"/>
      <w:marLeft w:val="0"/>
      <w:marRight w:val="0"/>
      <w:marTop w:val="0"/>
      <w:marBottom w:val="0"/>
      <w:divBdr>
        <w:top w:val="none" w:sz="0" w:space="0" w:color="auto"/>
        <w:left w:val="none" w:sz="0" w:space="0" w:color="auto"/>
        <w:bottom w:val="none" w:sz="0" w:space="0" w:color="auto"/>
        <w:right w:val="none" w:sz="0" w:space="0" w:color="auto"/>
      </w:divBdr>
    </w:div>
    <w:div w:id="1020353703">
      <w:bodyDiv w:val="1"/>
      <w:marLeft w:val="0"/>
      <w:marRight w:val="0"/>
      <w:marTop w:val="0"/>
      <w:marBottom w:val="0"/>
      <w:divBdr>
        <w:top w:val="none" w:sz="0" w:space="0" w:color="auto"/>
        <w:left w:val="none" w:sz="0" w:space="0" w:color="auto"/>
        <w:bottom w:val="none" w:sz="0" w:space="0" w:color="auto"/>
        <w:right w:val="none" w:sz="0" w:space="0" w:color="auto"/>
      </w:divBdr>
    </w:div>
    <w:div w:id="1039352585">
      <w:bodyDiv w:val="1"/>
      <w:marLeft w:val="0"/>
      <w:marRight w:val="0"/>
      <w:marTop w:val="0"/>
      <w:marBottom w:val="0"/>
      <w:divBdr>
        <w:top w:val="none" w:sz="0" w:space="0" w:color="auto"/>
        <w:left w:val="none" w:sz="0" w:space="0" w:color="auto"/>
        <w:bottom w:val="none" w:sz="0" w:space="0" w:color="auto"/>
        <w:right w:val="none" w:sz="0" w:space="0" w:color="auto"/>
      </w:divBdr>
    </w:div>
    <w:div w:id="1039472753">
      <w:bodyDiv w:val="1"/>
      <w:marLeft w:val="0"/>
      <w:marRight w:val="0"/>
      <w:marTop w:val="0"/>
      <w:marBottom w:val="0"/>
      <w:divBdr>
        <w:top w:val="none" w:sz="0" w:space="0" w:color="auto"/>
        <w:left w:val="none" w:sz="0" w:space="0" w:color="auto"/>
        <w:bottom w:val="none" w:sz="0" w:space="0" w:color="auto"/>
        <w:right w:val="none" w:sz="0" w:space="0" w:color="auto"/>
      </w:divBdr>
    </w:div>
    <w:div w:id="1042680681">
      <w:bodyDiv w:val="1"/>
      <w:marLeft w:val="0"/>
      <w:marRight w:val="0"/>
      <w:marTop w:val="0"/>
      <w:marBottom w:val="0"/>
      <w:divBdr>
        <w:top w:val="none" w:sz="0" w:space="0" w:color="auto"/>
        <w:left w:val="none" w:sz="0" w:space="0" w:color="auto"/>
        <w:bottom w:val="none" w:sz="0" w:space="0" w:color="auto"/>
        <w:right w:val="none" w:sz="0" w:space="0" w:color="auto"/>
      </w:divBdr>
    </w:div>
    <w:div w:id="1044257231">
      <w:bodyDiv w:val="1"/>
      <w:marLeft w:val="0"/>
      <w:marRight w:val="0"/>
      <w:marTop w:val="0"/>
      <w:marBottom w:val="0"/>
      <w:divBdr>
        <w:top w:val="none" w:sz="0" w:space="0" w:color="auto"/>
        <w:left w:val="none" w:sz="0" w:space="0" w:color="auto"/>
        <w:bottom w:val="none" w:sz="0" w:space="0" w:color="auto"/>
        <w:right w:val="none" w:sz="0" w:space="0" w:color="auto"/>
      </w:divBdr>
    </w:div>
    <w:div w:id="1069766298">
      <w:marLeft w:val="0"/>
      <w:marRight w:val="0"/>
      <w:marTop w:val="0"/>
      <w:marBottom w:val="0"/>
      <w:divBdr>
        <w:top w:val="none" w:sz="0" w:space="0" w:color="auto"/>
        <w:left w:val="none" w:sz="0" w:space="0" w:color="auto"/>
        <w:bottom w:val="none" w:sz="0" w:space="0" w:color="auto"/>
        <w:right w:val="none" w:sz="0" w:space="0" w:color="auto"/>
      </w:divBdr>
    </w:div>
    <w:div w:id="1069766299">
      <w:marLeft w:val="0"/>
      <w:marRight w:val="0"/>
      <w:marTop w:val="0"/>
      <w:marBottom w:val="0"/>
      <w:divBdr>
        <w:top w:val="none" w:sz="0" w:space="0" w:color="auto"/>
        <w:left w:val="none" w:sz="0" w:space="0" w:color="auto"/>
        <w:bottom w:val="none" w:sz="0" w:space="0" w:color="auto"/>
        <w:right w:val="none" w:sz="0" w:space="0" w:color="auto"/>
      </w:divBdr>
    </w:div>
    <w:div w:id="1069766300">
      <w:marLeft w:val="0"/>
      <w:marRight w:val="0"/>
      <w:marTop w:val="0"/>
      <w:marBottom w:val="0"/>
      <w:divBdr>
        <w:top w:val="none" w:sz="0" w:space="0" w:color="auto"/>
        <w:left w:val="none" w:sz="0" w:space="0" w:color="auto"/>
        <w:bottom w:val="none" w:sz="0" w:space="0" w:color="auto"/>
        <w:right w:val="none" w:sz="0" w:space="0" w:color="auto"/>
      </w:divBdr>
    </w:div>
    <w:div w:id="1069766301">
      <w:marLeft w:val="0"/>
      <w:marRight w:val="0"/>
      <w:marTop w:val="0"/>
      <w:marBottom w:val="0"/>
      <w:divBdr>
        <w:top w:val="none" w:sz="0" w:space="0" w:color="auto"/>
        <w:left w:val="none" w:sz="0" w:space="0" w:color="auto"/>
        <w:bottom w:val="none" w:sz="0" w:space="0" w:color="auto"/>
        <w:right w:val="none" w:sz="0" w:space="0" w:color="auto"/>
      </w:divBdr>
    </w:div>
    <w:div w:id="1069766302">
      <w:marLeft w:val="0"/>
      <w:marRight w:val="0"/>
      <w:marTop w:val="0"/>
      <w:marBottom w:val="0"/>
      <w:divBdr>
        <w:top w:val="none" w:sz="0" w:space="0" w:color="auto"/>
        <w:left w:val="none" w:sz="0" w:space="0" w:color="auto"/>
        <w:bottom w:val="none" w:sz="0" w:space="0" w:color="auto"/>
        <w:right w:val="none" w:sz="0" w:space="0" w:color="auto"/>
      </w:divBdr>
    </w:div>
    <w:div w:id="1069766303">
      <w:marLeft w:val="0"/>
      <w:marRight w:val="0"/>
      <w:marTop w:val="0"/>
      <w:marBottom w:val="0"/>
      <w:divBdr>
        <w:top w:val="none" w:sz="0" w:space="0" w:color="auto"/>
        <w:left w:val="none" w:sz="0" w:space="0" w:color="auto"/>
        <w:bottom w:val="none" w:sz="0" w:space="0" w:color="auto"/>
        <w:right w:val="none" w:sz="0" w:space="0" w:color="auto"/>
      </w:divBdr>
    </w:div>
    <w:div w:id="1069766304">
      <w:marLeft w:val="0"/>
      <w:marRight w:val="0"/>
      <w:marTop w:val="0"/>
      <w:marBottom w:val="0"/>
      <w:divBdr>
        <w:top w:val="none" w:sz="0" w:space="0" w:color="auto"/>
        <w:left w:val="none" w:sz="0" w:space="0" w:color="auto"/>
        <w:bottom w:val="none" w:sz="0" w:space="0" w:color="auto"/>
        <w:right w:val="none" w:sz="0" w:space="0" w:color="auto"/>
      </w:divBdr>
      <w:divsChild>
        <w:div w:id="1069766794">
          <w:marLeft w:val="0"/>
          <w:marRight w:val="0"/>
          <w:marTop w:val="0"/>
          <w:marBottom w:val="0"/>
          <w:divBdr>
            <w:top w:val="none" w:sz="0" w:space="0" w:color="auto"/>
            <w:left w:val="none" w:sz="0" w:space="0" w:color="auto"/>
            <w:bottom w:val="none" w:sz="0" w:space="0" w:color="auto"/>
            <w:right w:val="none" w:sz="0" w:space="0" w:color="auto"/>
          </w:divBdr>
          <w:divsChild>
            <w:div w:id="1069766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305">
      <w:marLeft w:val="0"/>
      <w:marRight w:val="0"/>
      <w:marTop w:val="0"/>
      <w:marBottom w:val="0"/>
      <w:divBdr>
        <w:top w:val="none" w:sz="0" w:space="0" w:color="auto"/>
        <w:left w:val="none" w:sz="0" w:space="0" w:color="auto"/>
        <w:bottom w:val="none" w:sz="0" w:space="0" w:color="auto"/>
        <w:right w:val="none" w:sz="0" w:space="0" w:color="auto"/>
      </w:divBdr>
    </w:div>
    <w:div w:id="1069766306">
      <w:marLeft w:val="0"/>
      <w:marRight w:val="0"/>
      <w:marTop w:val="0"/>
      <w:marBottom w:val="0"/>
      <w:divBdr>
        <w:top w:val="none" w:sz="0" w:space="0" w:color="auto"/>
        <w:left w:val="none" w:sz="0" w:space="0" w:color="auto"/>
        <w:bottom w:val="none" w:sz="0" w:space="0" w:color="auto"/>
        <w:right w:val="none" w:sz="0" w:space="0" w:color="auto"/>
      </w:divBdr>
    </w:div>
    <w:div w:id="1069766307">
      <w:marLeft w:val="0"/>
      <w:marRight w:val="0"/>
      <w:marTop w:val="0"/>
      <w:marBottom w:val="0"/>
      <w:divBdr>
        <w:top w:val="none" w:sz="0" w:space="0" w:color="auto"/>
        <w:left w:val="none" w:sz="0" w:space="0" w:color="auto"/>
        <w:bottom w:val="none" w:sz="0" w:space="0" w:color="auto"/>
        <w:right w:val="none" w:sz="0" w:space="0" w:color="auto"/>
      </w:divBdr>
    </w:div>
    <w:div w:id="1069766308">
      <w:marLeft w:val="0"/>
      <w:marRight w:val="0"/>
      <w:marTop w:val="0"/>
      <w:marBottom w:val="0"/>
      <w:divBdr>
        <w:top w:val="none" w:sz="0" w:space="0" w:color="auto"/>
        <w:left w:val="none" w:sz="0" w:space="0" w:color="auto"/>
        <w:bottom w:val="none" w:sz="0" w:space="0" w:color="auto"/>
        <w:right w:val="none" w:sz="0" w:space="0" w:color="auto"/>
      </w:divBdr>
      <w:divsChild>
        <w:div w:id="1069766393">
          <w:marLeft w:val="0"/>
          <w:marRight w:val="0"/>
          <w:marTop w:val="0"/>
          <w:marBottom w:val="0"/>
          <w:divBdr>
            <w:top w:val="none" w:sz="0" w:space="0" w:color="auto"/>
            <w:left w:val="none" w:sz="0" w:space="0" w:color="auto"/>
            <w:bottom w:val="none" w:sz="0" w:space="0" w:color="auto"/>
            <w:right w:val="none" w:sz="0" w:space="0" w:color="auto"/>
          </w:divBdr>
        </w:div>
      </w:divsChild>
    </w:div>
    <w:div w:id="1069766310">
      <w:marLeft w:val="0"/>
      <w:marRight w:val="0"/>
      <w:marTop w:val="0"/>
      <w:marBottom w:val="0"/>
      <w:divBdr>
        <w:top w:val="none" w:sz="0" w:space="0" w:color="auto"/>
        <w:left w:val="none" w:sz="0" w:space="0" w:color="auto"/>
        <w:bottom w:val="none" w:sz="0" w:space="0" w:color="auto"/>
        <w:right w:val="none" w:sz="0" w:space="0" w:color="auto"/>
      </w:divBdr>
    </w:div>
    <w:div w:id="1069766313">
      <w:marLeft w:val="0"/>
      <w:marRight w:val="0"/>
      <w:marTop w:val="0"/>
      <w:marBottom w:val="0"/>
      <w:divBdr>
        <w:top w:val="none" w:sz="0" w:space="0" w:color="auto"/>
        <w:left w:val="none" w:sz="0" w:space="0" w:color="auto"/>
        <w:bottom w:val="none" w:sz="0" w:space="0" w:color="auto"/>
        <w:right w:val="none" w:sz="0" w:space="0" w:color="auto"/>
      </w:divBdr>
    </w:div>
    <w:div w:id="1069766314">
      <w:marLeft w:val="0"/>
      <w:marRight w:val="0"/>
      <w:marTop w:val="0"/>
      <w:marBottom w:val="0"/>
      <w:divBdr>
        <w:top w:val="none" w:sz="0" w:space="0" w:color="auto"/>
        <w:left w:val="none" w:sz="0" w:space="0" w:color="auto"/>
        <w:bottom w:val="none" w:sz="0" w:space="0" w:color="auto"/>
        <w:right w:val="none" w:sz="0" w:space="0" w:color="auto"/>
      </w:divBdr>
      <w:divsChild>
        <w:div w:id="1069766737">
          <w:marLeft w:val="0"/>
          <w:marRight w:val="0"/>
          <w:marTop w:val="0"/>
          <w:marBottom w:val="0"/>
          <w:divBdr>
            <w:top w:val="none" w:sz="0" w:space="0" w:color="auto"/>
            <w:left w:val="none" w:sz="0" w:space="0" w:color="auto"/>
            <w:bottom w:val="none" w:sz="0" w:space="0" w:color="auto"/>
            <w:right w:val="none" w:sz="0" w:space="0" w:color="auto"/>
          </w:divBdr>
          <w:divsChild>
            <w:div w:id="1069766443">
              <w:marLeft w:val="0"/>
              <w:marRight w:val="0"/>
              <w:marTop w:val="0"/>
              <w:marBottom w:val="0"/>
              <w:divBdr>
                <w:top w:val="none" w:sz="0" w:space="0" w:color="auto"/>
                <w:left w:val="none" w:sz="0" w:space="0" w:color="auto"/>
                <w:bottom w:val="none" w:sz="0" w:space="0" w:color="auto"/>
                <w:right w:val="none" w:sz="0" w:space="0" w:color="auto"/>
              </w:divBdr>
            </w:div>
            <w:div w:id="1069766482">
              <w:marLeft w:val="0"/>
              <w:marRight w:val="0"/>
              <w:marTop w:val="0"/>
              <w:marBottom w:val="0"/>
              <w:divBdr>
                <w:top w:val="none" w:sz="0" w:space="0" w:color="auto"/>
                <w:left w:val="none" w:sz="0" w:space="0" w:color="auto"/>
                <w:bottom w:val="none" w:sz="0" w:space="0" w:color="auto"/>
                <w:right w:val="none" w:sz="0" w:space="0" w:color="auto"/>
              </w:divBdr>
            </w:div>
            <w:div w:id="106976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316">
      <w:marLeft w:val="0"/>
      <w:marRight w:val="0"/>
      <w:marTop w:val="0"/>
      <w:marBottom w:val="0"/>
      <w:divBdr>
        <w:top w:val="none" w:sz="0" w:space="0" w:color="auto"/>
        <w:left w:val="none" w:sz="0" w:space="0" w:color="auto"/>
        <w:bottom w:val="none" w:sz="0" w:space="0" w:color="auto"/>
        <w:right w:val="none" w:sz="0" w:space="0" w:color="auto"/>
      </w:divBdr>
      <w:divsChild>
        <w:div w:id="1069766374">
          <w:marLeft w:val="0"/>
          <w:marRight w:val="0"/>
          <w:marTop w:val="0"/>
          <w:marBottom w:val="0"/>
          <w:divBdr>
            <w:top w:val="none" w:sz="0" w:space="0" w:color="auto"/>
            <w:left w:val="none" w:sz="0" w:space="0" w:color="auto"/>
            <w:bottom w:val="none" w:sz="0" w:space="0" w:color="auto"/>
            <w:right w:val="none" w:sz="0" w:space="0" w:color="auto"/>
          </w:divBdr>
          <w:divsChild>
            <w:div w:id="1069766611">
              <w:marLeft w:val="0"/>
              <w:marRight w:val="0"/>
              <w:marTop w:val="0"/>
              <w:marBottom w:val="0"/>
              <w:divBdr>
                <w:top w:val="none" w:sz="0" w:space="0" w:color="auto"/>
                <w:left w:val="none" w:sz="0" w:space="0" w:color="auto"/>
                <w:bottom w:val="none" w:sz="0" w:space="0" w:color="auto"/>
                <w:right w:val="none" w:sz="0" w:space="0" w:color="auto"/>
              </w:divBdr>
            </w:div>
            <w:div w:id="1069766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317">
      <w:marLeft w:val="0"/>
      <w:marRight w:val="0"/>
      <w:marTop w:val="0"/>
      <w:marBottom w:val="0"/>
      <w:divBdr>
        <w:top w:val="none" w:sz="0" w:space="0" w:color="auto"/>
        <w:left w:val="none" w:sz="0" w:space="0" w:color="auto"/>
        <w:bottom w:val="none" w:sz="0" w:space="0" w:color="auto"/>
        <w:right w:val="none" w:sz="0" w:space="0" w:color="auto"/>
      </w:divBdr>
    </w:div>
    <w:div w:id="1069766318">
      <w:marLeft w:val="0"/>
      <w:marRight w:val="0"/>
      <w:marTop w:val="0"/>
      <w:marBottom w:val="0"/>
      <w:divBdr>
        <w:top w:val="none" w:sz="0" w:space="0" w:color="auto"/>
        <w:left w:val="none" w:sz="0" w:space="0" w:color="auto"/>
        <w:bottom w:val="none" w:sz="0" w:space="0" w:color="auto"/>
        <w:right w:val="none" w:sz="0" w:space="0" w:color="auto"/>
      </w:divBdr>
    </w:div>
    <w:div w:id="1069766319">
      <w:marLeft w:val="0"/>
      <w:marRight w:val="0"/>
      <w:marTop w:val="0"/>
      <w:marBottom w:val="0"/>
      <w:divBdr>
        <w:top w:val="none" w:sz="0" w:space="0" w:color="auto"/>
        <w:left w:val="none" w:sz="0" w:space="0" w:color="auto"/>
        <w:bottom w:val="none" w:sz="0" w:space="0" w:color="auto"/>
        <w:right w:val="none" w:sz="0" w:space="0" w:color="auto"/>
      </w:divBdr>
      <w:divsChild>
        <w:div w:id="1069766639">
          <w:marLeft w:val="0"/>
          <w:marRight w:val="0"/>
          <w:marTop w:val="0"/>
          <w:marBottom w:val="0"/>
          <w:divBdr>
            <w:top w:val="none" w:sz="0" w:space="0" w:color="auto"/>
            <w:left w:val="none" w:sz="0" w:space="0" w:color="auto"/>
            <w:bottom w:val="none" w:sz="0" w:space="0" w:color="auto"/>
            <w:right w:val="none" w:sz="0" w:space="0" w:color="auto"/>
          </w:divBdr>
          <w:divsChild>
            <w:div w:id="1069766383">
              <w:marLeft w:val="0"/>
              <w:marRight w:val="0"/>
              <w:marTop w:val="0"/>
              <w:marBottom w:val="0"/>
              <w:divBdr>
                <w:top w:val="none" w:sz="0" w:space="0" w:color="auto"/>
                <w:left w:val="none" w:sz="0" w:space="0" w:color="auto"/>
                <w:bottom w:val="none" w:sz="0" w:space="0" w:color="auto"/>
                <w:right w:val="none" w:sz="0" w:space="0" w:color="auto"/>
              </w:divBdr>
            </w:div>
            <w:div w:id="1069766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320">
      <w:marLeft w:val="0"/>
      <w:marRight w:val="0"/>
      <w:marTop w:val="0"/>
      <w:marBottom w:val="0"/>
      <w:divBdr>
        <w:top w:val="none" w:sz="0" w:space="0" w:color="auto"/>
        <w:left w:val="none" w:sz="0" w:space="0" w:color="auto"/>
        <w:bottom w:val="none" w:sz="0" w:space="0" w:color="auto"/>
        <w:right w:val="none" w:sz="0" w:space="0" w:color="auto"/>
      </w:divBdr>
    </w:div>
    <w:div w:id="1069766321">
      <w:marLeft w:val="0"/>
      <w:marRight w:val="0"/>
      <w:marTop w:val="0"/>
      <w:marBottom w:val="0"/>
      <w:divBdr>
        <w:top w:val="none" w:sz="0" w:space="0" w:color="auto"/>
        <w:left w:val="none" w:sz="0" w:space="0" w:color="auto"/>
        <w:bottom w:val="none" w:sz="0" w:space="0" w:color="auto"/>
        <w:right w:val="none" w:sz="0" w:space="0" w:color="auto"/>
      </w:divBdr>
    </w:div>
    <w:div w:id="1069766322">
      <w:marLeft w:val="0"/>
      <w:marRight w:val="0"/>
      <w:marTop w:val="0"/>
      <w:marBottom w:val="0"/>
      <w:divBdr>
        <w:top w:val="none" w:sz="0" w:space="0" w:color="auto"/>
        <w:left w:val="none" w:sz="0" w:space="0" w:color="auto"/>
        <w:bottom w:val="none" w:sz="0" w:space="0" w:color="auto"/>
        <w:right w:val="none" w:sz="0" w:space="0" w:color="auto"/>
      </w:divBdr>
    </w:div>
    <w:div w:id="1069766324">
      <w:marLeft w:val="0"/>
      <w:marRight w:val="0"/>
      <w:marTop w:val="0"/>
      <w:marBottom w:val="0"/>
      <w:divBdr>
        <w:top w:val="none" w:sz="0" w:space="0" w:color="auto"/>
        <w:left w:val="none" w:sz="0" w:space="0" w:color="auto"/>
        <w:bottom w:val="none" w:sz="0" w:space="0" w:color="auto"/>
        <w:right w:val="none" w:sz="0" w:space="0" w:color="auto"/>
      </w:divBdr>
    </w:div>
    <w:div w:id="1069766325">
      <w:marLeft w:val="0"/>
      <w:marRight w:val="0"/>
      <w:marTop w:val="0"/>
      <w:marBottom w:val="0"/>
      <w:divBdr>
        <w:top w:val="none" w:sz="0" w:space="0" w:color="auto"/>
        <w:left w:val="none" w:sz="0" w:space="0" w:color="auto"/>
        <w:bottom w:val="none" w:sz="0" w:space="0" w:color="auto"/>
        <w:right w:val="none" w:sz="0" w:space="0" w:color="auto"/>
      </w:divBdr>
    </w:div>
    <w:div w:id="1069766326">
      <w:marLeft w:val="0"/>
      <w:marRight w:val="0"/>
      <w:marTop w:val="0"/>
      <w:marBottom w:val="0"/>
      <w:divBdr>
        <w:top w:val="none" w:sz="0" w:space="0" w:color="auto"/>
        <w:left w:val="none" w:sz="0" w:space="0" w:color="auto"/>
        <w:bottom w:val="none" w:sz="0" w:space="0" w:color="auto"/>
        <w:right w:val="none" w:sz="0" w:space="0" w:color="auto"/>
      </w:divBdr>
    </w:div>
    <w:div w:id="1069766328">
      <w:marLeft w:val="0"/>
      <w:marRight w:val="0"/>
      <w:marTop w:val="0"/>
      <w:marBottom w:val="0"/>
      <w:divBdr>
        <w:top w:val="none" w:sz="0" w:space="0" w:color="auto"/>
        <w:left w:val="none" w:sz="0" w:space="0" w:color="auto"/>
        <w:bottom w:val="none" w:sz="0" w:space="0" w:color="auto"/>
        <w:right w:val="none" w:sz="0" w:space="0" w:color="auto"/>
      </w:divBdr>
    </w:div>
    <w:div w:id="1069766329">
      <w:marLeft w:val="0"/>
      <w:marRight w:val="0"/>
      <w:marTop w:val="0"/>
      <w:marBottom w:val="0"/>
      <w:divBdr>
        <w:top w:val="none" w:sz="0" w:space="0" w:color="auto"/>
        <w:left w:val="none" w:sz="0" w:space="0" w:color="auto"/>
        <w:bottom w:val="none" w:sz="0" w:space="0" w:color="auto"/>
        <w:right w:val="none" w:sz="0" w:space="0" w:color="auto"/>
      </w:divBdr>
    </w:div>
    <w:div w:id="1069766330">
      <w:marLeft w:val="0"/>
      <w:marRight w:val="0"/>
      <w:marTop w:val="0"/>
      <w:marBottom w:val="0"/>
      <w:divBdr>
        <w:top w:val="none" w:sz="0" w:space="0" w:color="auto"/>
        <w:left w:val="none" w:sz="0" w:space="0" w:color="auto"/>
        <w:bottom w:val="none" w:sz="0" w:space="0" w:color="auto"/>
        <w:right w:val="none" w:sz="0" w:space="0" w:color="auto"/>
      </w:divBdr>
    </w:div>
    <w:div w:id="1069766331">
      <w:marLeft w:val="0"/>
      <w:marRight w:val="0"/>
      <w:marTop w:val="0"/>
      <w:marBottom w:val="0"/>
      <w:divBdr>
        <w:top w:val="none" w:sz="0" w:space="0" w:color="auto"/>
        <w:left w:val="none" w:sz="0" w:space="0" w:color="auto"/>
        <w:bottom w:val="none" w:sz="0" w:space="0" w:color="auto"/>
        <w:right w:val="none" w:sz="0" w:space="0" w:color="auto"/>
      </w:divBdr>
    </w:div>
    <w:div w:id="1069766333">
      <w:marLeft w:val="0"/>
      <w:marRight w:val="0"/>
      <w:marTop w:val="0"/>
      <w:marBottom w:val="0"/>
      <w:divBdr>
        <w:top w:val="none" w:sz="0" w:space="0" w:color="auto"/>
        <w:left w:val="none" w:sz="0" w:space="0" w:color="auto"/>
        <w:bottom w:val="none" w:sz="0" w:space="0" w:color="auto"/>
        <w:right w:val="none" w:sz="0" w:space="0" w:color="auto"/>
      </w:divBdr>
    </w:div>
    <w:div w:id="1069766337">
      <w:marLeft w:val="0"/>
      <w:marRight w:val="0"/>
      <w:marTop w:val="0"/>
      <w:marBottom w:val="0"/>
      <w:divBdr>
        <w:top w:val="none" w:sz="0" w:space="0" w:color="auto"/>
        <w:left w:val="none" w:sz="0" w:space="0" w:color="auto"/>
        <w:bottom w:val="none" w:sz="0" w:space="0" w:color="auto"/>
        <w:right w:val="none" w:sz="0" w:space="0" w:color="auto"/>
      </w:divBdr>
      <w:divsChild>
        <w:div w:id="1069766732">
          <w:marLeft w:val="0"/>
          <w:marRight w:val="0"/>
          <w:marTop w:val="0"/>
          <w:marBottom w:val="0"/>
          <w:divBdr>
            <w:top w:val="none" w:sz="0" w:space="0" w:color="auto"/>
            <w:left w:val="none" w:sz="0" w:space="0" w:color="auto"/>
            <w:bottom w:val="none" w:sz="0" w:space="0" w:color="auto"/>
            <w:right w:val="none" w:sz="0" w:space="0" w:color="auto"/>
          </w:divBdr>
        </w:div>
      </w:divsChild>
    </w:div>
    <w:div w:id="1069766339">
      <w:marLeft w:val="0"/>
      <w:marRight w:val="0"/>
      <w:marTop w:val="0"/>
      <w:marBottom w:val="0"/>
      <w:divBdr>
        <w:top w:val="none" w:sz="0" w:space="0" w:color="auto"/>
        <w:left w:val="none" w:sz="0" w:space="0" w:color="auto"/>
        <w:bottom w:val="none" w:sz="0" w:space="0" w:color="auto"/>
        <w:right w:val="none" w:sz="0" w:space="0" w:color="auto"/>
      </w:divBdr>
    </w:div>
    <w:div w:id="1069766340">
      <w:marLeft w:val="0"/>
      <w:marRight w:val="0"/>
      <w:marTop w:val="0"/>
      <w:marBottom w:val="0"/>
      <w:divBdr>
        <w:top w:val="none" w:sz="0" w:space="0" w:color="auto"/>
        <w:left w:val="none" w:sz="0" w:space="0" w:color="auto"/>
        <w:bottom w:val="none" w:sz="0" w:space="0" w:color="auto"/>
        <w:right w:val="none" w:sz="0" w:space="0" w:color="auto"/>
      </w:divBdr>
    </w:div>
    <w:div w:id="1069766341">
      <w:marLeft w:val="0"/>
      <w:marRight w:val="0"/>
      <w:marTop w:val="0"/>
      <w:marBottom w:val="0"/>
      <w:divBdr>
        <w:top w:val="none" w:sz="0" w:space="0" w:color="auto"/>
        <w:left w:val="none" w:sz="0" w:space="0" w:color="auto"/>
        <w:bottom w:val="none" w:sz="0" w:space="0" w:color="auto"/>
        <w:right w:val="none" w:sz="0" w:space="0" w:color="auto"/>
      </w:divBdr>
      <w:divsChild>
        <w:div w:id="1069766589">
          <w:marLeft w:val="0"/>
          <w:marRight w:val="0"/>
          <w:marTop w:val="0"/>
          <w:marBottom w:val="0"/>
          <w:divBdr>
            <w:top w:val="none" w:sz="0" w:space="0" w:color="auto"/>
            <w:left w:val="none" w:sz="0" w:space="0" w:color="auto"/>
            <w:bottom w:val="none" w:sz="0" w:space="0" w:color="auto"/>
            <w:right w:val="none" w:sz="0" w:space="0" w:color="auto"/>
          </w:divBdr>
          <w:divsChild>
            <w:div w:id="1069766637">
              <w:marLeft w:val="0"/>
              <w:marRight w:val="0"/>
              <w:marTop w:val="525"/>
              <w:marBottom w:val="0"/>
              <w:divBdr>
                <w:top w:val="none" w:sz="0" w:space="0" w:color="auto"/>
                <w:left w:val="none" w:sz="0" w:space="0" w:color="auto"/>
                <w:bottom w:val="none" w:sz="0" w:space="0" w:color="auto"/>
                <w:right w:val="none" w:sz="0" w:space="0" w:color="auto"/>
              </w:divBdr>
              <w:divsChild>
                <w:div w:id="1069766724">
                  <w:marLeft w:val="0"/>
                  <w:marRight w:val="0"/>
                  <w:marTop w:val="0"/>
                  <w:marBottom w:val="0"/>
                  <w:divBdr>
                    <w:top w:val="none" w:sz="0" w:space="0" w:color="auto"/>
                    <w:left w:val="none" w:sz="0" w:space="0" w:color="auto"/>
                    <w:bottom w:val="none" w:sz="0" w:space="0" w:color="auto"/>
                    <w:right w:val="none" w:sz="0" w:space="0" w:color="auto"/>
                  </w:divBdr>
                  <w:divsChild>
                    <w:div w:id="1069766809">
                      <w:marLeft w:val="0"/>
                      <w:marRight w:val="0"/>
                      <w:marTop w:val="225"/>
                      <w:marBottom w:val="0"/>
                      <w:divBdr>
                        <w:top w:val="none" w:sz="0" w:space="0" w:color="auto"/>
                        <w:left w:val="none" w:sz="0" w:space="0" w:color="auto"/>
                        <w:bottom w:val="none" w:sz="0" w:space="0" w:color="auto"/>
                        <w:right w:val="none" w:sz="0" w:space="0" w:color="auto"/>
                      </w:divBdr>
                      <w:divsChild>
                        <w:div w:id="1069766803">
                          <w:marLeft w:val="0"/>
                          <w:marRight w:val="0"/>
                          <w:marTop w:val="0"/>
                          <w:marBottom w:val="0"/>
                          <w:divBdr>
                            <w:top w:val="none" w:sz="0" w:space="0" w:color="auto"/>
                            <w:left w:val="none" w:sz="0" w:space="0" w:color="auto"/>
                            <w:bottom w:val="none" w:sz="0" w:space="0" w:color="auto"/>
                            <w:right w:val="none" w:sz="0" w:space="0" w:color="auto"/>
                          </w:divBdr>
                          <w:divsChild>
                            <w:div w:id="1069766586">
                              <w:marLeft w:val="0"/>
                              <w:marRight w:val="0"/>
                              <w:marTop w:val="0"/>
                              <w:marBottom w:val="0"/>
                              <w:divBdr>
                                <w:top w:val="none" w:sz="0" w:space="0" w:color="auto"/>
                                <w:left w:val="none" w:sz="0" w:space="0" w:color="auto"/>
                                <w:bottom w:val="none" w:sz="0" w:space="0" w:color="auto"/>
                                <w:right w:val="none" w:sz="0" w:space="0" w:color="auto"/>
                              </w:divBdr>
                              <w:divsChild>
                                <w:div w:id="1069766789">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9766342">
      <w:marLeft w:val="0"/>
      <w:marRight w:val="0"/>
      <w:marTop w:val="0"/>
      <w:marBottom w:val="0"/>
      <w:divBdr>
        <w:top w:val="none" w:sz="0" w:space="0" w:color="auto"/>
        <w:left w:val="none" w:sz="0" w:space="0" w:color="auto"/>
        <w:bottom w:val="none" w:sz="0" w:space="0" w:color="auto"/>
        <w:right w:val="none" w:sz="0" w:space="0" w:color="auto"/>
      </w:divBdr>
    </w:div>
    <w:div w:id="1069766343">
      <w:marLeft w:val="0"/>
      <w:marRight w:val="0"/>
      <w:marTop w:val="0"/>
      <w:marBottom w:val="0"/>
      <w:divBdr>
        <w:top w:val="none" w:sz="0" w:space="0" w:color="auto"/>
        <w:left w:val="none" w:sz="0" w:space="0" w:color="auto"/>
        <w:bottom w:val="none" w:sz="0" w:space="0" w:color="auto"/>
        <w:right w:val="none" w:sz="0" w:space="0" w:color="auto"/>
      </w:divBdr>
      <w:divsChild>
        <w:div w:id="1069766817">
          <w:marLeft w:val="0"/>
          <w:marRight w:val="0"/>
          <w:marTop w:val="0"/>
          <w:marBottom w:val="0"/>
          <w:divBdr>
            <w:top w:val="none" w:sz="0" w:space="0" w:color="auto"/>
            <w:left w:val="none" w:sz="0" w:space="0" w:color="auto"/>
            <w:bottom w:val="none" w:sz="0" w:space="0" w:color="auto"/>
            <w:right w:val="none" w:sz="0" w:space="0" w:color="auto"/>
          </w:divBdr>
        </w:div>
      </w:divsChild>
    </w:div>
    <w:div w:id="1069766344">
      <w:marLeft w:val="0"/>
      <w:marRight w:val="0"/>
      <w:marTop w:val="0"/>
      <w:marBottom w:val="0"/>
      <w:divBdr>
        <w:top w:val="none" w:sz="0" w:space="0" w:color="auto"/>
        <w:left w:val="none" w:sz="0" w:space="0" w:color="auto"/>
        <w:bottom w:val="none" w:sz="0" w:space="0" w:color="auto"/>
        <w:right w:val="none" w:sz="0" w:space="0" w:color="auto"/>
      </w:divBdr>
      <w:divsChild>
        <w:div w:id="1069766735">
          <w:marLeft w:val="0"/>
          <w:marRight w:val="0"/>
          <w:marTop w:val="0"/>
          <w:marBottom w:val="0"/>
          <w:divBdr>
            <w:top w:val="none" w:sz="0" w:space="0" w:color="auto"/>
            <w:left w:val="none" w:sz="0" w:space="0" w:color="auto"/>
            <w:bottom w:val="none" w:sz="0" w:space="0" w:color="auto"/>
            <w:right w:val="none" w:sz="0" w:space="0" w:color="auto"/>
          </w:divBdr>
        </w:div>
      </w:divsChild>
    </w:div>
    <w:div w:id="1069766345">
      <w:marLeft w:val="0"/>
      <w:marRight w:val="0"/>
      <w:marTop w:val="0"/>
      <w:marBottom w:val="0"/>
      <w:divBdr>
        <w:top w:val="none" w:sz="0" w:space="0" w:color="auto"/>
        <w:left w:val="none" w:sz="0" w:space="0" w:color="auto"/>
        <w:bottom w:val="none" w:sz="0" w:space="0" w:color="auto"/>
        <w:right w:val="none" w:sz="0" w:space="0" w:color="auto"/>
      </w:divBdr>
      <w:divsChild>
        <w:div w:id="1069766323">
          <w:marLeft w:val="0"/>
          <w:marRight w:val="0"/>
          <w:marTop w:val="0"/>
          <w:marBottom w:val="0"/>
          <w:divBdr>
            <w:top w:val="none" w:sz="0" w:space="0" w:color="auto"/>
            <w:left w:val="none" w:sz="0" w:space="0" w:color="auto"/>
            <w:bottom w:val="none" w:sz="0" w:space="0" w:color="auto"/>
            <w:right w:val="none" w:sz="0" w:space="0" w:color="auto"/>
          </w:divBdr>
          <w:divsChild>
            <w:div w:id="1069766675">
              <w:marLeft w:val="0"/>
              <w:marRight w:val="0"/>
              <w:marTop w:val="0"/>
              <w:marBottom w:val="150"/>
              <w:divBdr>
                <w:top w:val="none" w:sz="0" w:space="0" w:color="auto"/>
                <w:left w:val="none" w:sz="0" w:space="0" w:color="auto"/>
                <w:bottom w:val="none" w:sz="0" w:space="0" w:color="auto"/>
                <w:right w:val="none" w:sz="0" w:space="0" w:color="auto"/>
              </w:divBdr>
              <w:divsChild>
                <w:div w:id="1069766479">
                  <w:marLeft w:val="0"/>
                  <w:marRight w:val="150"/>
                  <w:marTop w:val="0"/>
                  <w:marBottom w:val="0"/>
                  <w:divBdr>
                    <w:top w:val="single" w:sz="6" w:space="11" w:color="B1CBE3"/>
                    <w:left w:val="single" w:sz="6" w:space="11" w:color="B1CBE3"/>
                    <w:bottom w:val="single" w:sz="6" w:space="11" w:color="B1CBE3"/>
                    <w:right w:val="single" w:sz="6" w:space="11" w:color="B1CBE3"/>
                  </w:divBdr>
                  <w:divsChild>
                    <w:div w:id="1069766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766346">
      <w:marLeft w:val="0"/>
      <w:marRight w:val="0"/>
      <w:marTop w:val="0"/>
      <w:marBottom w:val="0"/>
      <w:divBdr>
        <w:top w:val="none" w:sz="0" w:space="0" w:color="auto"/>
        <w:left w:val="none" w:sz="0" w:space="0" w:color="auto"/>
        <w:bottom w:val="none" w:sz="0" w:space="0" w:color="auto"/>
        <w:right w:val="none" w:sz="0" w:space="0" w:color="auto"/>
      </w:divBdr>
    </w:div>
    <w:div w:id="1069766347">
      <w:marLeft w:val="0"/>
      <w:marRight w:val="0"/>
      <w:marTop w:val="0"/>
      <w:marBottom w:val="0"/>
      <w:divBdr>
        <w:top w:val="none" w:sz="0" w:space="0" w:color="auto"/>
        <w:left w:val="none" w:sz="0" w:space="0" w:color="auto"/>
        <w:bottom w:val="none" w:sz="0" w:space="0" w:color="auto"/>
        <w:right w:val="none" w:sz="0" w:space="0" w:color="auto"/>
      </w:divBdr>
    </w:div>
    <w:div w:id="1069766348">
      <w:marLeft w:val="0"/>
      <w:marRight w:val="0"/>
      <w:marTop w:val="0"/>
      <w:marBottom w:val="0"/>
      <w:divBdr>
        <w:top w:val="none" w:sz="0" w:space="0" w:color="auto"/>
        <w:left w:val="none" w:sz="0" w:space="0" w:color="auto"/>
        <w:bottom w:val="none" w:sz="0" w:space="0" w:color="auto"/>
        <w:right w:val="none" w:sz="0" w:space="0" w:color="auto"/>
      </w:divBdr>
    </w:div>
    <w:div w:id="1069766349">
      <w:marLeft w:val="0"/>
      <w:marRight w:val="0"/>
      <w:marTop w:val="0"/>
      <w:marBottom w:val="0"/>
      <w:divBdr>
        <w:top w:val="none" w:sz="0" w:space="0" w:color="auto"/>
        <w:left w:val="none" w:sz="0" w:space="0" w:color="auto"/>
        <w:bottom w:val="none" w:sz="0" w:space="0" w:color="auto"/>
        <w:right w:val="none" w:sz="0" w:space="0" w:color="auto"/>
      </w:divBdr>
    </w:div>
    <w:div w:id="1069766350">
      <w:marLeft w:val="0"/>
      <w:marRight w:val="0"/>
      <w:marTop w:val="0"/>
      <w:marBottom w:val="0"/>
      <w:divBdr>
        <w:top w:val="none" w:sz="0" w:space="0" w:color="auto"/>
        <w:left w:val="none" w:sz="0" w:space="0" w:color="auto"/>
        <w:bottom w:val="none" w:sz="0" w:space="0" w:color="auto"/>
        <w:right w:val="none" w:sz="0" w:space="0" w:color="auto"/>
      </w:divBdr>
    </w:div>
    <w:div w:id="1069766351">
      <w:marLeft w:val="0"/>
      <w:marRight w:val="0"/>
      <w:marTop w:val="0"/>
      <w:marBottom w:val="0"/>
      <w:divBdr>
        <w:top w:val="none" w:sz="0" w:space="0" w:color="auto"/>
        <w:left w:val="none" w:sz="0" w:space="0" w:color="auto"/>
        <w:bottom w:val="none" w:sz="0" w:space="0" w:color="auto"/>
        <w:right w:val="none" w:sz="0" w:space="0" w:color="auto"/>
      </w:divBdr>
    </w:div>
    <w:div w:id="1069766352">
      <w:marLeft w:val="0"/>
      <w:marRight w:val="0"/>
      <w:marTop w:val="0"/>
      <w:marBottom w:val="0"/>
      <w:divBdr>
        <w:top w:val="none" w:sz="0" w:space="0" w:color="auto"/>
        <w:left w:val="none" w:sz="0" w:space="0" w:color="auto"/>
        <w:bottom w:val="none" w:sz="0" w:space="0" w:color="auto"/>
        <w:right w:val="none" w:sz="0" w:space="0" w:color="auto"/>
      </w:divBdr>
      <w:divsChild>
        <w:div w:id="1069766364">
          <w:marLeft w:val="0"/>
          <w:marRight w:val="0"/>
          <w:marTop w:val="0"/>
          <w:marBottom w:val="0"/>
          <w:divBdr>
            <w:top w:val="none" w:sz="0" w:space="0" w:color="auto"/>
            <w:left w:val="none" w:sz="0" w:space="0" w:color="auto"/>
            <w:bottom w:val="none" w:sz="0" w:space="0" w:color="auto"/>
            <w:right w:val="none" w:sz="0" w:space="0" w:color="auto"/>
          </w:divBdr>
          <w:divsChild>
            <w:div w:id="1069766474">
              <w:marLeft w:val="15"/>
              <w:marRight w:val="0"/>
              <w:marTop w:val="0"/>
              <w:marBottom w:val="0"/>
              <w:divBdr>
                <w:top w:val="single" w:sz="6" w:space="0" w:color="C7C9CB"/>
                <w:left w:val="single" w:sz="6" w:space="8" w:color="C7C9CB"/>
                <w:bottom w:val="single" w:sz="6" w:space="0" w:color="C7C9CB"/>
                <w:right w:val="single" w:sz="6" w:space="8" w:color="C7C9CB"/>
              </w:divBdr>
              <w:divsChild>
                <w:div w:id="1069766840">
                  <w:marLeft w:val="0"/>
                  <w:marRight w:val="0"/>
                  <w:marTop w:val="0"/>
                  <w:marBottom w:val="0"/>
                  <w:divBdr>
                    <w:top w:val="none" w:sz="0" w:space="0" w:color="auto"/>
                    <w:left w:val="none" w:sz="0" w:space="0" w:color="auto"/>
                    <w:bottom w:val="none" w:sz="0" w:space="0" w:color="auto"/>
                    <w:right w:val="none" w:sz="0" w:space="0" w:color="auto"/>
                  </w:divBdr>
                  <w:divsChild>
                    <w:div w:id="1069766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766353">
      <w:marLeft w:val="0"/>
      <w:marRight w:val="0"/>
      <w:marTop w:val="0"/>
      <w:marBottom w:val="0"/>
      <w:divBdr>
        <w:top w:val="none" w:sz="0" w:space="0" w:color="auto"/>
        <w:left w:val="none" w:sz="0" w:space="0" w:color="auto"/>
        <w:bottom w:val="none" w:sz="0" w:space="0" w:color="auto"/>
        <w:right w:val="none" w:sz="0" w:space="0" w:color="auto"/>
      </w:divBdr>
      <w:divsChild>
        <w:div w:id="1069766519">
          <w:marLeft w:val="0"/>
          <w:marRight w:val="0"/>
          <w:marTop w:val="0"/>
          <w:marBottom w:val="0"/>
          <w:divBdr>
            <w:top w:val="none" w:sz="0" w:space="0" w:color="auto"/>
            <w:left w:val="none" w:sz="0" w:space="0" w:color="auto"/>
            <w:bottom w:val="none" w:sz="0" w:space="0" w:color="auto"/>
            <w:right w:val="none" w:sz="0" w:space="0" w:color="auto"/>
          </w:divBdr>
        </w:div>
      </w:divsChild>
    </w:div>
    <w:div w:id="1069766354">
      <w:marLeft w:val="0"/>
      <w:marRight w:val="0"/>
      <w:marTop w:val="0"/>
      <w:marBottom w:val="0"/>
      <w:divBdr>
        <w:top w:val="none" w:sz="0" w:space="0" w:color="auto"/>
        <w:left w:val="none" w:sz="0" w:space="0" w:color="auto"/>
        <w:bottom w:val="none" w:sz="0" w:space="0" w:color="auto"/>
        <w:right w:val="none" w:sz="0" w:space="0" w:color="auto"/>
      </w:divBdr>
    </w:div>
    <w:div w:id="1069766357">
      <w:marLeft w:val="0"/>
      <w:marRight w:val="0"/>
      <w:marTop w:val="0"/>
      <w:marBottom w:val="0"/>
      <w:divBdr>
        <w:top w:val="none" w:sz="0" w:space="0" w:color="auto"/>
        <w:left w:val="none" w:sz="0" w:space="0" w:color="auto"/>
        <w:bottom w:val="none" w:sz="0" w:space="0" w:color="auto"/>
        <w:right w:val="none" w:sz="0" w:space="0" w:color="auto"/>
      </w:divBdr>
    </w:div>
    <w:div w:id="1069766358">
      <w:marLeft w:val="0"/>
      <w:marRight w:val="0"/>
      <w:marTop w:val="0"/>
      <w:marBottom w:val="0"/>
      <w:divBdr>
        <w:top w:val="none" w:sz="0" w:space="0" w:color="auto"/>
        <w:left w:val="none" w:sz="0" w:space="0" w:color="auto"/>
        <w:bottom w:val="none" w:sz="0" w:space="0" w:color="auto"/>
        <w:right w:val="none" w:sz="0" w:space="0" w:color="auto"/>
      </w:divBdr>
      <w:divsChild>
        <w:div w:id="1069766547">
          <w:marLeft w:val="150"/>
          <w:marRight w:val="150"/>
          <w:marTop w:val="0"/>
          <w:marBottom w:val="150"/>
          <w:divBdr>
            <w:top w:val="none" w:sz="0" w:space="0" w:color="auto"/>
            <w:left w:val="none" w:sz="0" w:space="0" w:color="auto"/>
            <w:bottom w:val="none" w:sz="0" w:space="0" w:color="auto"/>
            <w:right w:val="none" w:sz="0" w:space="0" w:color="auto"/>
          </w:divBdr>
        </w:div>
      </w:divsChild>
    </w:div>
    <w:div w:id="1069766359">
      <w:marLeft w:val="0"/>
      <w:marRight w:val="0"/>
      <w:marTop w:val="0"/>
      <w:marBottom w:val="0"/>
      <w:divBdr>
        <w:top w:val="none" w:sz="0" w:space="0" w:color="auto"/>
        <w:left w:val="none" w:sz="0" w:space="0" w:color="auto"/>
        <w:bottom w:val="none" w:sz="0" w:space="0" w:color="auto"/>
        <w:right w:val="none" w:sz="0" w:space="0" w:color="auto"/>
      </w:divBdr>
    </w:div>
    <w:div w:id="1069766360">
      <w:marLeft w:val="0"/>
      <w:marRight w:val="0"/>
      <w:marTop w:val="0"/>
      <w:marBottom w:val="0"/>
      <w:divBdr>
        <w:top w:val="none" w:sz="0" w:space="0" w:color="auto"/>
        <w:left w:val="none" w:sz="0" w:space="0" w:color="auto"/>
        <w:bottom w:val="none" w:sz="0" w:space="0" w:color="auto"/>
        <w:right w:val="none" w:sz="0" w:space="0" w:color="auto"/>
      </w:divBdr>
    </w:div>
    <w:div w:id="1069766361">
      <w:marLeft w:val="0"/>
      <w:marRight w:val="0"/>
      <w:marTop w:val="0"/>
      <w:marBottom w:val="0"/>
      <w:divBdr>
        <w:top w:val="none" w:sz="0" w:space="0" w:color="auto"/>
        <w:left w:val="none" w:sz="0" w:space="0" w:color="auto"/>
        <w:bottom w:val="none" w:sz="0" w:space="0" w:color="auto"/>
        <w:right w:val="none" w:sz="0" w:space="0" w:color="auto"/>
      </w:divBdr>
      <w:divsChild>
        <w:div w:id="1069766883">
          <w:marLeft w:val="0"/>
          <w:marRight w:val="0"/>
          <w:marTop w:val="0"/>
          <w:marBottom w:val="0"/>
          <w:divBdr>
            <w:top w:val="none" w:sz="0" w:space="0" w:color="auto"/>
            <w:left w:val="none" w:sz="0" w:space="0" w:color="auto"/>
            <w:bottom w:val="none" w:sz="0" w:space="0" w:color="auto"/>
            <w:right w:val="none" w:sz="0" w:space="0" w:color="auto"/>
          </w:divBdr>
        </w:div>
      </w:divsChild>
    </w:div>
    <w:div w:id="1069766362">
      <w:marLeft w:val="0"/>
      <w:marRight w:val="0"/>
      <w:marTop w:val="0"/>
      <w:marBottom w:val="0"/>
      <w:divBdr>
        <w:top w:val="none" w:sz="0" w:space="0" w:color="auto"/>
        <w:left w:val="none" w:sz="0" w:space="0" w:color="auto"/>
        <w:bottom w:val="none" w:sz="0" w:space="0" w:color="auto"/>
        <w:right w:val="none" w:sz="0" w:space="0" w:color="auto"/>
      </w:divBdr>
    </w:div>
    <w:div w:id="1069766363">
      <w:marLeft w:val="0"/>
      <w:marRight w:val="0"/>
      <w:marTop w:val="0"/>
      <w:marBottom w:val="0"/>
      <w:divBdr>
        <w:top w:val="none" w:sz="0" w:space="0" w:color="auto"/>
        <w:left w:val="none" w:sz="0" w:space="0" w:color="auto"/>
        <w:bottom w:val="none" w:sz="0" w:space="0" w:color="auto"/>
        <w:right w:val="none" w:sz="0" w:space="0" w:color="auto"/>
      </w:divBdr>
    </w:div>
    <w:div w:id="1069766366">
      <w:marLeft w:val="0"/>
      <w:marRight w:val="0"/>
      <w:marTop w:val="0"/>
      <w:marBottom w:val="0"/>
      <w:divBdr>
        <w:top w:val="none" w:sz="0" w:space="0" w:color="auto"/>
        <w:left w:val="none" w:sz="0" w:space="0" w:color="auto"/>
        <w:bottom w:val="none" w:sz="0" w:space="0" w:color="auto"/>
        <w:right w:val="none" w:sz="0" w:space="0" w:color="auto"/>
      </w:divBdr>
    </w:div>
    <w:div w:id="1069766367">
      <w:marLeft w:val="0"/>
      <w:marRight w:val="0"/>
      <w:marTop w:val="0"/>
      <w:marBottom w:val="0"/>
      <w:divBdr>
        <w:top w:val="none" w:sz="0" w:space="0" w:color="auto"/>
        <w:left w:val="none" w:sz="0" w:space="0" w:color="auto"/>
        <w:bottom w:val="none" w:sz="0" w:space="0" w:color="auto"/>
        <w:right w:val="none" w:sz="0" w:space="0" w:color="auto"/>
      </w:divBdr>
    </w:div>
    <w:div w:id="1069766368">
      <w:marLeft w:val="0"/>
      <w:marRight w:val="0"/>
      <w:marTop w:val="0"/>
      <w:marBottom w:val="0"/>
      <w:divBdr>
        <w:top w:val="none" w:sz="0" w:space="0" w:color="auto"/>
        <w:left w:val="none" w:sz="0" w:space="0" w:color="auto"/>
        <w:bottom w:val="none" w:sz="0" w:space="0" w:color="auto"/>
        <w:right w:val="none" w:sz="0" w:space="0" w:color="auto"/>
      </w:divBdr>
    </w:div>
    <w:div w:id="1069766369">
      <w:marLeft w:val="0"/>
      <w:marRight w:val="0"/>
      <w:marTop w:val="0"/>
      <w:marBottom w:val="0"/>
      <w:divBdr>
        <w:top w:val="none" w:sz="0" w:space="0" w:color="auto"/>
        <w:left w:val="none" w:sz="0" w:space="0" w:color="auto"/>
        <w:bottom w:val="none" w:sz="0" w:space="0" w:color="auto"/>
        <w:right w:val="none" w:sz="0" w:space="0" w:color="auto"/>
      </w:divBdr>
      <w:divsChild>
        <w:div w:id="1069766783">
          <w:marLeft w:val="136"/>
          <w:marRight w:val="136"/>
          <w:marTop w:val="0"/>
          <w:marBottom w:val="136"/>
          <w:divBdr>
            <w:top w:val="none" w:sz="0" w:space="0" w:color="auto"/>
            <w:left w:val="none" w:sz="0" w:space="0" w:color="auto"/>
            <w:bottom w:val="none" w:sz="0" w:space="0" w:color="auto"/>
            <w:right w:val="none" w:sz="0" w:space="0" w:color="auto"/>
          </w:divBdr>
        </w:div>
      </w:divsChild>
    </w:div>
    <w:div w:id="1069766370">
      <w:marLeft w:val="0"/>
      <w:marRight w:val="0"/>
      <w:marTop w:val="0"/>
      <w:marBottom w:val="0"/>
      <w:divBdr>
        <w:top w:val="none" w:sz="0" w:space="0" w:color="auto"/>
        <w:left w:val="none" w:sz="0" w:space="0" w:color="auto"/>
        <w:bottom w:val="none" w:sz="0" w:space="0" w:color="auto"/>
        <w:right w:val="none" w:sz="0" w:space="0" w:color="auto"/>
      </w:divBdr>
    </w:div>
    <w:div w:id="1069766371">
      <w:marLeft w:val="0"/>
      <w:marRight w:val="0"/>
      <w:marTop w:val="0"/>
      <w:marBottom w:val="0"/>
      <w:divBdr>
        <w:top w:val="none" w:sz="0" w:space="0" w:color="auto"/>
        <w:left w:val="none" w:sz="0" w:space="0" w:color="auto"/>
        <w:bottom w:val="none" w:sz="0" w:space="0" w:color="auto"/>
        <w:right w:val="none" w:sz="0" w:space="0" w:color="auto"/>
      </w:divBdr>
      <w:divsChild>
        <w:div w:id="1069766478">
          <w:marLeft w:val="547"/>
          <w:marRight w:val="0"/>
          <w:marTop w:val="106"/>
          <w:marBottom w:val="0"/>
          <w:divBdr>
            <w:top w:val="none" w:sz="0" w:space="0" w:color="auto"/>
            <w:left w:val="none" w:sz="0" w:space="0" w:color="auto"/>
            <w:bottom w:val="none" w:sz="0" w:space="0" w:color="auto"/>
            <w:right w:val="none" w:sz="0" w:space="0" w:color="auto"/>
          </w:divBdr>
        </w:div>
      </w:divsChild>
    </w:div>
    <w:div w:id="1069766372">
      <w:marLeft w:val="0"/>
      <w:marRight w:val="0"/>
      <w:marTop w:val="0"/>
      <w:marBottom w:val="0"/>
      <w:divBdr>
        <w:top w:val="none" w:sz="0" w:space="0" w:color="auto"/>
        <w:left w:val="none" w:sz="0" w:space="0" w:color="auto"/>
        <w:bottom w:val="none" w:sz="0" w:space="0" w:color="auto"/>
        <w:right w:val="none" w:sz="0" w:space="0" w:color="auto"/>
      </w:divBdr>
    </w:div>
    <w:div w:id="1069766373">
      <w:marLeft w:val="0"/>
      <w:marRight w:val="0"/>
      <w:marTop w:val="0"/>
      <w:marBottom w:val="0"/>
      <w:divBdr>
        <w:top w:val="none" w:sz="0" w:space="0" w:color="auto"/>
        <w:left w:val="none" w:sz="0" w:space="0" w:color="auto"/>
        <w:bottom w:val="none" w:sz="0" w:space="0" w:color="auto"/>
        <w:right w:val="none" w:sz="0" w:space="0" w:color="auto"/>
      </w:divBdr>
    </w:div>
    <w:div w:id="1069766375">
      <w:marLeft w:val="0"/>
      <w:marRight w:val="0"/>
      <w:marTop w:val="0"/>
      <w:marBottom w:val="0"/>
      <w:divBdr>
        <w:top w:val="none" w:sz="0" w:space="0" w:color="auto"/>
        <w:left w:val="none" w:sz="0" w:space="0" w:color="auto"/>
        <w:bottom w:val="none" w:sz="0" w:space="0" w:color="auto"/>
        <w:right w:val="none" w:sz="0" w:space="0" w:color="auto"/>
      </w:divBdr>
    </w:div>
    <w:div w:id="1069766379">
      <w:marLeft w:val="0"/>
      <w:marRight w:val="0"/>
      <w:marTop w:val="0"/>
      <w:marBottom w:val="0"/>
      <w:divBdr>
        <w:top w:val="none" w:sz="0" w:space="0" w:color="auto"/>
        <w:left w:val="none" w:sz="0" w:space="0" w:color="auto"/>
        <w:bottom w:val="none" w:sz="0" w:space="0" w:color="auto"/>
        <w:right w:val="none" w:sz="0" w:space="0" w:color="auto"/>
      </w:divBdr>
      <w:divsChild>
        <w:div w:id="1069766682">
          <w:marLeft w:val="0"/>
          <w:marRight w:val="0"/>
          <w:marTop w:val="0"/>
          <w:marBottom w:val="0"/>
          <w:divBdr>
            <w:top w:val="none" w:sz="0" w:space="0" w:color="auto"/>
            <w:left w:val="none" w:sz="0" w:space="0" w:color="auto"/>
            <w:bottom w:val="none" w:sz="0" w:space="0" w:color="auto"/>
            <w:right w:val="none" w:sz="0" w:space="0" w:color="auto"/>
          </w:divBdr>
        </w:div>
      </w:divsChild>
    </w:div>
    <w:div w:id="1069766380">
      <w:marLeft w:val="0"/>
      <w:marRight w:val="0"/>
      <w:marTop w:val="0"/>
      <w:marBottom w:val="0"/>
      <w:divBdr>
        <w:top w:val="none" w:sz="0" w:space="0" w:color="auto"/>
        <w:left w:val="none" w:sz="0" w:space="0" w:color="auto"/>
        <w:bottom w:val="none" w:sz="0" w:space="0" w:color="auto"/>
        <w:right w:val="none" w:sz="0" w:space="0" w:color="auto"/>
      </w:divBdr>
    </w:div>
    <w:div w:id="1069766381">
      <w:marLeft w:val="0"/>
      <w:marRight w:val="0"/>
      <w:marTop w:val="0"/>
      <w:marBottom w:val="0"/>
      <w:divBdr>
        <w:top w:val="none" w:sz="0" w:space="0" w:color="auto"/>
        <w:left w:val="none" w:sz="0" w:space="0" w:color="auto"/>
        <w:bottom w:val="none" w:sz="0" w:space="0" w:color="auto"/>
        <w:right w:val="none" w:sz="0" w:space="0" w:color="auto"/>
      </w:divBdr>
    </w:div>
    <w:div w:id="1069766382">
      <w:marLeft w:val="0"/>
      <w:marRight w:val="0"/>
      <w:marTop w:val="0"/>
      <w:marBottom w:val="0"/>
      <w:divBdr>
        <w:top w:val="none" w:sz="0" w:space="0" w:color="auto"/>
        <w:left w:val="none" w:sz="0" w:space="0" w:color="auto"/>
        <w:bottom w:val="none" w:sz="0" w:space="0" w:color="auto"/>
        <w:right w:val="none" w:sz="0" w:space="0" w:color="auto"/>
      </w:divBdr>
    </w:div>
    <w:div w:id="1069766385">
      <w:marLeft w:val="0"/>
      <w:marRight w:val="0"/>
      <w:marTop w:val="0"/>
      <w:marBottom w:val="0"/>
      <w:divBdr>
        <w:top w:val="none" w:sz="0" w:space="0" w:color="auto"/>
        <w:left w:val="none" w:sz="0" w:space="0" w:color="auto"/>
        <w:bottom w:val="none" w:sz="0" w:space="0" w:color="auto"/>
        <w:right w:val="none" w:sz="0" w:space="0" w:color="auto"/>
      </w:divBdr>
    </w:div>
    <w:div w:id="1069766386">
      <w:marLeft w:val="0"/>
      <w:marRight w:val="0"/>
      <w:marTop w:val="0"/>
      <w:marBottom w:val="0"/>
      <w:divBdr>
        <w:top w:val="none" w:sz="0" w:space="0" w:color="auto"/>
        <w:left w:val="none" w:sz="0" w:space="0" w:color="auto"/>
        <w:bottom w:val="none" w:sz="0" w:space="0" w:color="auto"/>
        <w:right w:val="none" w:sz="0" w:space="0" w:color="auto"/>
      </w:divBdr>
    </w:div>
    <w:div w:id="1069766387">
      <w:marLeft w:val="0"/>
      <w:marRight w:val="0"/>
      <w:marTop w:val="0"/>
      <w:marBottom w:val="0"/>
      <w:divBdr>
        <w:top w:val="none" w:sz="0" w:space="0" w:color="auto"/>
        <w:left w:val="none" w:sz="0" w:space="0" w:color="auto"/>
        <w:bottom w:val="none" w:sz="0" w:space="0" w:color="auto"/>
        <w:right w:val="none" w:sz="0" w:space="0" w:color="auto"/>
      </w:divBdr>
    </w:div>
    <w:div w:id="1069766388">
      <w:marLeft w:val="0"/>
      <w:marRight w:val="0"/>
      <w:marTop w:val="0"/>
      <w:marBottom w:val="0"/>
      <w:divBdr>
        <w:top w:val="none" w:sz="0" w:space="0" w:color="auto"/>
        <w:left w:val="none" w:sz="0" w:space="0" w:color="auto"/>
        <w:bottom w:val="none" w:sz="0" w:space="0" w:color="auto"/>
        <w:right w:val="none" w:sz="0" w:space="0" w:color="auto"/>
      </w:divBdr>
    </w:div>
    <w:div w:id="1069766390">
      <w:marLeft w:val="0"/>
      <w:marRight w:val="0"/>
      <w:marTop w:val="0"/>
      <w:marBottom w:val="0"/>
      <w:divBdr>
        <w:top w:val="none" w:sz="0" w:space="0" w:color="auto"/>
        <w:left w:val="none" w:sz="0" w:space="0" w:color="auto"/>
        <w:bottom w:val="none" w:sz="0" w:space="0" w:color="auto"/>
        <w:right w:val="none" w:sz="0" w:space="0" w:color="auto"/>
      </w:divBdr>
    </w:div>
    <w:div w:id="1069766394">
      <w:marLeft w:val="0"/>
      <w:marRight w:val="0"/>
      <w:marTop w:val="0"/>
      <w:marBottom w:val="0"/>
      <w:divBdr>
        <w:top w:val="none" w:sz="0" w:space="0" w:color="auto"/>
        <w:left w:val="none" w:sz="0" w:space="0" w:color="auto"/>
        <w:bottom w:val="none" w:sz="0" w:space="0" w:color="auto"/>
        <w:right w:val="none" w:sz="0" w:space="0" w:color="auto"/>
      </w:divBdr>
      <w:divsChild>
        <w:div w:id="1069766480">
          <w:marLeft w:val="0"/>
          <w:marRight w:val="0"/>
          <w:marTop w:val="0"/>
          <w:marBottom w:val="0"/>
          <w:divBdr>
            <w:top w:val="none" w:sz="0" w:space="0" w:color="auto"/>
            <w:left w:val="none" w:sz="0" w:space="0" w:color="auto"/>
            <w:bottom w:val="none" w:sz="0" w:space="0" w:color="auto"/>
            <w:right w:val="none" w:sz="0" w:space="0" w:color="auto"/>
          </w:divBdr>
        </w:div>
      </w:divsChild>
    </w:div>
    <w:div w:id="1069766395">
      <w:marLeft w:val="0"/>
      <w:marRight w:val="0"/>
      <w:marTop w:val="0"/>
      <w:marBottom w:val="0"/>
      <w:divBdr>
        <w:top w:val="none" w:sz="0" w:space="0" w:color="auto"/>
        <w:left w:val="none" w:sz="0" w:space="0" w:color="auto"/>
        <w:bottom w:val="none" w:sz="0" w:space="0" w:color="auto"/>
        <w:right w:val="none" w:sz="0" w:space="0" w:color="auto"/>
      </w:divBdr>
    </w:div>
    <w:div w:id="1069766396">
      <w:marLeft w:val="0"/>
      <w:marRight w:val="0"/>
      <w:marTop w:val="0"/>
      <w:marBottom w:val="0"/>
      <w:divBdr>
        <w:top w:val="none" w:sz="0" w:space="0" w:color="auto"/>
        <w:left w:val="none" w:sz="0" w:space="0" w:color="auto"/>
        <w:bottom w:val="none" w:sz="0" w:space="0" w:color="auto"/>
        <w:right w:val="none" w:sz="0" w:space="0" w:color="auto"/>
      </w:divBdr>
    </w:div>
    <w:div w:id="1069766397">
      <w:marLeft w:val="0"/>
      <w:marRight w:val="0"/>
      <w:marTop w:val="0"/>
      <w:marBottom w:val="0"/>
      <w:divBdr>
        <w:top w:val="none" w:sz="0" w:space="0" w:color="auto"/>
        <w:left w:val="none" w:sz="0" w:space="0" w:color="auto"/>
        <w:bottom w:val="none" w:sz="0" w:space="0" w:color="auto"/>
        <w:right w:val="none" w:sz="0" w:space="0" w:color="auto"/>
      </w:divBdr>
      <w:divsChild>
        <w:div w:id="1069766550">
          <w:marLeft w:val="0"/>
          <w:marRight w:val="0"/>
          <w:marTop w:val="0"/>
          <w:marBottom w:val="0"/>
          <w:divBdr>
            <w:top w:val="none" w:sz="0" w:space="0" w:color="auto"/>
            <w:left w:val="none" w:sz="0" w:space="0" w:color="auto"/>
            <w:bottom w:val="none" w:sz="0" w:space="0" w:color="auto"/>
            <w:right w:val="none" w:sz="0" w:space="0" w:color="auto"/>
          </w:divBdr>
        </w:div>
      </w:divsChild>
    </w:div>
    <w:div w:id="1069766398">
      <w:marLeft w:val="0"/>
      <w:marRight w:val="0"/>
      <w:marTop w:val="0"/>
      <w:marBottom w:val="0"/>
      <w:divBdr>
        <w:top w:val="none" w:sz="0" w:space="0" w:color="auto"/>
        <w:left w:val="none" w:sz="0" w:space="0" w:color="auto"/>
        <w:bottom w:val="none" w:sz="0" w:space="0" w:color="auto"/>
        <w:right w:val="none" w:sz="0" w:space="0" w:color="auto"/>
      </w:divBdr>
    </w:div>
    <w:div w:id="1069766399">
      <w:marLeft w:val="0"/>
      <w:marRight w:val="0"/>
      <w:marTop w:val="0"/>
      <w:marBottom w:val="0"/>
      <w:divBdr>
        <w:top w:val="none" w:sz="0" w:space="0" w:color="auto"/>
        <w:left w:val="none" w:sz="0" w:space="0" w:color="auto"/>
        <w:bottom w:val="none" w:sz="0" w:space="0" w:color="auto"/>
        <w:right w:val="none" w:sz="0" w:space="0" w:color="auto"/>
      </w:divBdr>
    </w:div>
    <w:div w:id="1069766400">
      <w:marLeft w:val="0"/>
      <w:marRight w:val="0"/>
      <w:marTop w:val="0"/>
      <w:marBottom w:val="0"/>
      <w:divBdr>
        <w:top w:val="none" w:sz="0" w:space="0" w:color="auto"/>
        <w:left w:val="none" w:sz="0" w:space="0" w:color="auto"/>
        <w:bottom w:val="none" w:sz="0" w:space="0" w:color="auto"/>
        <w:right w:val="none" w:sz="0" w:space="0" w:color="auto"/>
      </w:divBdr>
    </w:div>
    <w:div w:id="1069766401">
      <w:marLeft w:val="0"/>
      <w:marRight w:val="0"/>
      <w:marTop w:val="0"/>
      <w:marBottom w:val="0"/>
      <w:divBdr>
        <w:top w:val="none" w:sz="0" w:space="0" w:color="auto"/>
        <w:left w:val="none" w:sz="0" w:space="0" w:color="auto"/>
        <w:bottom w:val="none" w:sz="0" w:space="0" w:color="auto"/>
        <w:right w:val="none" w:sz="0" w:space="0" w:color="auto"/>
      </w:divBdr>
    </w:div>
    <w:div w:id="1069766402">
      <w:marLeft w:val="0"/>
      <w:marRight w:val="0"/>
      <w:marTop w:val="0"/>
      <w:marBottom w:val="0"/>
      <w:divBdr>
        <w:top w:val="none" w:sz="0" w:space="0" w:color="auto"/>
        <w:left w:val="none" w:sz="0" w:space="0" w:color="auto"/>
        <w:bottom w:val="none" w:sz="0" w:space="0" w:color="auto"/>
        <w:right w:val="none" w:sz="0" w:space="0" w:color="auto"/>
      </w:divBdr>
      <w:divsChild>
        <w:div w:id="1069766677">
          <w:marLeft w:val="0"/>
          <w:marRight w:val="0"/>
          <w:marTop w:val="0"/>
          <w:marBottom w:val="0"/>
          <w:divBdr>
            <w:top w:val="none" w:sz="0" w:space="0" w:color="auto"/>
            <w:left w:val="none" w:sz="0" w:space="0" w:color="auto"/>
            <w:bottom w:val="none" w:sz="0" w:space="0" w:color="auto"/>
            <w:right w:val="none" w:sz="0" w:space="0" w:color="auto"/>
          </w:divBdr>
        </w:div>
      </w:divsChild>
    </w:div>
    <w:div w:id="1069766403">
      <w:marLeft w:val="0"/>
      <w:marRight w:val="0"/>
      <w:marTop w:val="0"/>
      <w:marBottom w:val="0"/>
      <w:divBdr>
        <w:top w:val="none" w:sz="0" w:space="0" w:color="auto"/>
        <w:left w:val="none" w:sz="0" w:space="0" w:color="auto"/>
        <w:bottom w:val="none" w:sz="0" w:space="0" w:color="auto"/>
        <w:right w:val="none" w:sz="0" w:space="0" w:color="auto"/>
      </w:divBdr>
    </w:div>
    <w:div w:id="1069766405">
      <w:marLeft w:val="0"/>
      <w:marRight w:val="0"/>
      <w:marTop w:val="0"/>
      <w:marBottom w:val="0"/>
      <w:divBdr>
        <w:top w:val="none" w:sz="0" w:space="0" w:color="auto"/>
        <w:left w:val="none" w:sz="0" w:space="0" w:color="auto"/>
        <w:bottom w:val="none" w:sz="0" w:space="0" w:color="auto"/>
        <w:right w:val="none" w:sz="0" w:space="0" w:color="auto"/>
      </w:divBdr>
    </w:div>
    <w:div w:id="1069766407">
      <w:marLeft w:val="0"/>
      <w:marRight w:val="0"/>
      <w:marTop w:val="0"/>
      <w:marBottom w:val="0"/>
      <w:divBdr>
        <w:top w:val="none" w:sz="0" w:space="0" w:color="auto"/>
        <w:left w:val="none" w:sz="0" w:space="0" w:color="auto"/>
        <w:bottom w:val="none" w:sz="0" w:space="0" w:color="auto"/>
        <w:right w:val="none" w:sz="0" w:space="0" w:color="auto"/>
      </w:divBdr>
    </w:div>
    <w:div w:id="1069766408">
      <w:marLeft w:val="0"/>
      <w:marRight w:val="0"/>
      <w:marTop w:val="0"/>
      <w:marBottom w:val="0"/>
      <w:divBdr>
        <w:top w:val="none" w:sz="0" w:space="0" w:color="auto"/>
        <w:left w:val="none" w:sz="0" w:space="0" w:color="auto"/>
        <w:bottom w:val="none" w:sz="0" w:space="0" w:color="auto"/>
        <w:right w:val="none" w:sz="0" w:space="0" w:color="auto"/>
      </w:divBdr>
    </w:div>
    <w:div w:id="1069766409">
      <w:marLeft w:val="0"/>
      <w:marRight w:val="0"/>
      <w:marTop w:val="0"/>
      <w:marBottom w:val="0"/>
      <w:divBdr>
        <w:top w:val="none" w:sz="0" w:space="0" w:color="auto"/>
        <w:left w:val="none" w:sz="0" w:space="0" w:color="auto"/>
        <w:bottom w:val="none" w:sz="0" w:space="0" w:color="auto"/>
        <w:right w:val="none" w:sz="0" w:space="0" w:color="auto"/>
      </w:divBdr>
    </w:div>
    <w:div w:id="1069766410">
      <w:marLeft w:val="0"/>
      <w:marRight w:val="0"/>
      <w:marTop w:val="0"/>
      <w:marBottom w:val="0"/>
      <w:divBdr>
        <w:top w:val="none" w:sz="0" w:space="0" w:color="auto"/>
        <w:left w:val="none" w:sz="0" w:space="0" w:color="auto"/>
        <w:bottom w:val="none" w:sz="0" w:space="0" w:color="auto"/>
        <w:right w:val="none" w:sz="0" w:space="0" w:color="auto"/>
      </w:divBdr>
    </w:div>
    <w:div w:id="1069766411">
      <w:marLeft w:val="0"/>
      <w:marRight w:val="0"/>
      <w:marTop w:val="0"/>
      <w:marBottom w:val="0"/>
      <w:divBdr>
        <w:top w:val="none" w:sz="0" w:space="0" w:color="auto"/>
        <w:left w:val="none" w:sz="0" w:space="0" w:color="auto"/>
        <w:bottom w:val="none" w:sz="0" w:space="0" w:color="auto"/>
        <w:right w:val="none" w:sz="0" w:space="0" w:color="auto"/>
      </w:divBdr>
    </w:div>
    <w:div w:id="1069766412">
      <w:marLeft w:val="0"/>
      <w:marRight w:val="0"/>
      <w:marTop w:val="0"/>
      <w:marBottom w:val="0"/>
      <w:divBdr>
        <w:top w:val="none" w:sz="0" w:space="0" w:color="auto"/>
        <w:left w:val="none" w:sz="0" w:space="0" w:color="auto"/>
        <w:bottom w:val="none" w:sz="0" w:space="0" w:color="auto"/>
        <w:right w:val="none" w:sz="0" w:space="0" w:color="auto"/>
      </w:divBdr>
      <w:divsChild>
        <w:div w:id="1069766739">
          <w:marLeft w:val="0"/>
          <w:marRight w:val="0"/>
          <w:marTop w:val="0"/>
          <w:marBottom w:val="0"/>
          <w:divBdr>
            <w:top w:val="none" w:sz="0" w:space="0" w:color="auto"/>
            <w:left w:val="none" w:sz="0" w:space="0" w:color="auto"/>
            <w:bottom w:val="none" w:sz="0" w:space="0" w:color="auto"/>
            <w:right w:val="none" w:sz="0" w:space="0" w:color="auto"/>
          </w:divBdr>
        </w:div>
      </w:divsChild>
    </w:div>
    <w:div w:id="1069766413">
      <w:marLeft w:val="0"/>
      <w:marRight w:val="0"/>
      <w:marTop w:val="0"/>
      <w:marBottom w:val="0"/>
      <w:divBdr>
        <w:top w:val="none" w:sz="0" w:space="0" w:color="auto"/>
        <w:left w:val="none" w:sz="0" w:space="0" w:color="auto"/>
        <w:bottom w:val="none" w:sz="0" w:space="0" w:color="auto"/>
        <w:right w:val="none" w:sz="0" w:space="0" w:color="auto"/>
      </w:divBdr>
    </w:div>
    <w:div w:id="1069766415">
      <w:marLeft w:val="0"/>
      <w:marRight w:val="0"/>
      <w:marTop w:val="0"/>
      <w:marBottom w:val="0"/>
      <w:divBdr>
        <w:top w:val="none" w:sz="0" w:space="0" w:color="auto"/>
        <w:left w:val="none" w:sz="0" w:space="0" w:color="auto"/>
        <w:bottom w:val="none" w:sz="0" w:space="0" w:color="auto"/>
        <w:right w:val="none" w:sz="0" w:space="0" w:color="auto"/>
      </w:divBdr>
    </w:div>
    <w:div w:id="1069766416">
      <w:marLeft w:val="0"/>
      <w:marRight w:val="0"/>
      <w:marTop w:val="0"/>
      <w:marBottom w:val="0"/>
      <w:divBdr>
        <w:top w:val="none" w:sz="0" w:space="0" w:color="auto"/>
        <w:left w:val="none" w:sz="0" w:space="0" w:color="auto"/>
        <w:bottom w:val="none" w:sz="0" w:space="0" w:color="auto"/>
        <w:right w:val="none" w:sz="0" w:space="0" w:color="auto"/>
      </w:divBdr>
    </w:div>
    <w:div w:id="1069766417">
      <w:marLeft w:val="0"/>
      <w:marRight w:val="0"/>
      <w:marTop w:val="0"/>
      <w:marBottom w:val="0"/>
      <w:divBdr>
        <w:top w:val="none" w:sz="0" w:space="0" w:color="auto"/>
        <w:left w:val="none" w:sz="0" w:space="0" w:color="auto"/>
        <w:bottom w:val="none" w:sz="0" w:space="0" w:color="auto"/>
        <w:right w:val="none" w:sz="0" w:space="0" w:color="auto"/>
      </w:divBdr>
    </w:div>
    <w:div w:id="1069766418">
      <w:marLeft w:val="0"/>
      <w:marRight w:val="0"/>
      <w:marTop w:val="0"/>
      <w:marBottom w:val="0"/>
      <w:divBdr>
        <w:top w:val="none" w:sz="0" w:space="0" w:color="auto"/>
        <w:left w:val="none" w:sz="0" w:space="0" w:color="auto"/>
        <w:bottom w:val="none" w:sz="0" w:space="0" w:color="auto"/>
        <w:right w:val="none" w:sz="0" w:space="0" w:color="auto"/>
      </w:divBdr>
    </w:div>
    <w:div w:id="1069766419">
      <w:marLeft w:val="0"/>
      <w:marRight w:val="0"/>
      <w:marTop w:val="0"/>
      <w:marBottom w:val="0"/>
      <w:divBdr>
        <w:top w:val="none" w:sz="0" w:space="0" w:color="auto"/>
        <w:left w:val="none" w:sz="0" w:space="0" w:color="auto"/>
        <w:bottom w:val="none" w:sz="0" w:space="0" w:color="auto"/>
        <w:right w:val="none" w:sz="0" w:space="0" w:color="auto"/>
      </w:divBdr>
      <w:divsChild>
        <w:div w:id="1069766825">
          <w:marLeft w:val="0"/>
          <w:marRight w:val="0"/>
          <w:marTop w:val="0"/>
          <w:marBottom w:val="0"/>
          <w:divBdr>
            <w:top w:val="none" w:sz="0" w:space="0" w:color="auto"/>
            <w:left w:val="none" w:sz="0" w:space="0" w:color="auto"/>
            <w:bottom w:val="none" w:sz="0" w:space="0" w:color="auto"/>
            <w:right w:val="none" w:sz="0" w:space="0" w:color="auto"/>
          </w:divBdr>
          <w:divsChild>
            <w:div w:id="1069766698">
              <w:marLeft w:val="15"/>
              <w:marRight w:val="0"/>
              <w:marTop w:val="0"/>
              <w:marBottom w:val="0"/>
              <w:divBdr>
                <w:top w:val="single" w:sz="6" w:space="0" w:color="C7C9CB"/>
                <w:left w:val="single" w:sz="6" w:space="8" w:color="C7C9CB"/>
                <w:bottom w:val="single" w:sz="6" w:space="0" w:color="C7C9CB"/>
                <w:right w:val="single" w:sz="6" w:space="8" w:color="C7C9CB"/>
              </w:divBdr>
              <w:divsChild>
                <w:div w:id="1069766752">
                  <w:marLeft w:val="0"/>
                  <w:marRight w:val="0"/>
                  <w:marTop w:val="0"/>
                  <w:marBottom w:val="0"/>
                  <w:divBdr>
                    <w:top w:val="none" w:sz="0" w:space="0" w:color="auto"/>
                    <w:left w:val="none" w:sz="0" w:space="0" w:color="auto"/>
                    <w:bottom w:val="none" w:sz="0" w:space="0" w:color="auto"/>
                    <w:right w:val="none" w:sz="0" w:space="0" w:color="auto"/>
                  </w:divBdr>
                  <w:divsChild>
                    <w:div w:id="106976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766420">
      <w:marLeft w:val="0"/>
      <w:marRight w:val="0"/>
      <w:marTop w:val="0"/>
      <w:marBottom w:val="0"/>
      <w:divBdr>
        <w:top w:val="none" w:sz="0" w:space="0" w:color="auto"/>
        <w:left w:val="none" w:sz="0" w:space="0" w:color="auto"/>
        <w:bottom w:val="none" w:sz="0" w:space="0" w:color="auto"/>
        <w:right w:val="none" w:sz="0" w:space="0" w:color="auto"/>
      </w:divBdr>
    </w:div>
    <w:div w:id="1069766421">
      <w:marLeft w:val="0"/>
      <w:marRight w:val="0"/>
      <w:marTop w:val="0"/>
      <w:marBottom w:val="0"/>
      <w:divBdr>
        <w:top w:val="none" w:sz="0" w:space="0" w:color="auto"/>
        <w:left w:val="none" w:sz="0" w:space="0" w:color="auto"/>
        <w:bottom w:val="none" w:sz="0" w:space="0" w:color="auto"/>
        <w:right w:val="none" w:sz="0" w:space="0" w:color="auto"/>
      </w:divBdr>
      <w:divsChild>
        <w:div w:id="1069766441">
          <w:marLeft w:val="0"/>
          <w:marRight w:val="0"/>
          <w:marTop w:val="0"/>
          <w:marBottom w:val="0"/>
          <w:divBdr>
            <w:top w:val="none" w:sz="0" w:space="0" w:color="auto"/>
            <w:left w:val="none" w:sz="0" w:space="0" w:color="auto"/>
            <w:bottom w:val="none" w:sz="0" w:space="0" w:color="auto"/>
            <w:right w:val="none" w:sz="0" w:space="0" w:color="auto"/>
          </w:divBdr>
          <w:divsChild>
            <w:div w:id="1069766526">
              <w:marLeft w:val="0"/>
              <w:marRight w:val="0"/>
              <w:marTop w:val="0"/>
              <w:marBottom w:val="0"/>
              <w:divBdr>
                <w:top w:val="none" w:sz="0" w:space="0" w:color="auto"/>
                <w:left w:val="none" w:sz="0" w:space="0" w:color="auto"/>
                <w:bottom w:val="none" w:sz="0" w:space="0" w:color="auto"/>
                <w:right w:val="none" w:sz="0" w:space="0" w:color="auto"/>
              </w:divBdr>
              <w:divsChild>
                <w:div w:id="106976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422">
      <w:marLeft w:val="0"/>
      <w:marRight w:val="0"/>
      <w:marTop w:val="0"/>
      <w:marBottom w:val="0"/>
      <w:divBdr>
        <w:top w:val="none" w:sz="0" w:space="0" w:color="auto"/>
        <w:left w:val="none" w:sz="0" w:space="0" w:color="auto"/>
        <w:bottom w:val="none" w:sz="0" w:space="0" w:color="auto"/>
        <w:right w:val="none" w:sz="0" w:space="0" w:color="auto"/>
      </w:divBdr>
    </w:div>
    <w:div w:id="1069766423">
      <w:marLeft w:val="0"/>
      <w:marRight w:val="0"/>
      <w:marTop w:val="0"/>
      <w:marBottom w:val="0"/>
      <w:divBdr>
        <w:top w:val="none" w:sz="0" w:space="0" w:color="auto"/>
        <w:left w:val="none" w:sz="0" w:space="0" w:color="auto"/>
        <w:bottom w:val="none" w:sz="0" w:space="0" w:color="auto"/>
        <w:right w:val="none" w:sz="0" w:space="0" w:color="auto"/>
      </w:divBdr>
    </w:div>
    <w:div w:id="1069766424">
      <w:marLeft w:val="0"/>
      <w:marRight w:val="0"/>
      <w:marTop w:val="0"/>
      <w:marBottom w:val="0"/>
      <w:divBdr>
        <w:top w:val="none" w:sz="0" w:space="0" w:color="auto"/>
        <w:left w:val="none" w:sz="0" w:space="0" w:color="auto"/>
        <w:bottom w:val="none" w:sz="0" w:space="0" w:color="auto"/>
        <w:right w:val="none" w:sz="0" w:space="0" w:color="auto"/>
      </w:divBdr>
    </w:div>
    <w:div w:id="1069766426">
      <w:marLeft w:val="0"/>
      <w:marRight w:val="0"/>
      <w:marTop w:val="0"/>
      <w:marBottom w:val="0"/>
      <w:divBdr>
        <w:top w:val="none" w:sz="0" w:space="0" w:color="auto"/>
        <w:left w:val="none" w:sz="0" w:space="0" w:color="auto"/>
        <w:bottom w:val="none" w:sz="0" w:space="0" w:color="auto"/>
        <w:right w:val="none" w:sz="0" w:space="0" w:color="auto"/>
      </w:divBdr>
      <w:divsChild>
        <w:div w:id="1069766623">
          <w:marLeft w:val="0"/>
          <w:marRight w:val="0"/>
          <w:marTop w:val="0"/>
          <w:marBottom w:val="0"/>
          <w:divBdr>
            <w:top w:val="none" w:sz="0" w:space="0" w:color="auto"/>
            <w:left w:val="none" w:sz="0" w:space="0" w:color="auto"/>
            <w:bottom w:val="none" w:sz="0" w:space="0" w:color="auto"/>
            <w:right w:val="none" w:sz="0" w:space="0" w:color="auto"/>
          </w:divBdr>
          <w:divsChild>
            <w:div w:id="1069766377">
              <w:marLeft w:val="0"/>
              <w:marRight w:val="0"/>
              <w:marTop w:val="0"/>
              <w:marBottom w:val="0"/>
              <w:divBdr>
                <w:top w:val="none" w:sz="0" w:space="0" w:color="auto"/>
                <w:left w:val="none" w:sz="0" w:space="0" w:color="auto"/>
                <w:bottom w:val="none" w:sz="0" w:space="0" w:color="auto"/>
                <w:right w:val="none" w:sz="0" w:space="0" w:color="auto"/>
              </w:divBdr>
            </w:div>
            <w:div w:id="1069766429">
              <w:marLeft w:val="0"/>
              <w:marRight w:val="0"/>
              <w:marTop w:val="0"/>
              <w:marBottom w:val="0"/>
              <w:divBdr>
                <w:top w:val="none" w:sz="0" w:space="0" w:color="auto"/>
                <w:left w:val="none" w:sz="0" w:space="0" w:color="auto"/>
                <w:bottom w:val="none" w:sz="0" w:space="0" w:color="auto"/>
                <w:right w:val="none" w:sz="0" w:space="0" w:color="auto"/>
              </w:divBdr>
            </w:div>
            <w:div w:id="1069766447">
              <w:marLeft w:val="0"/>
              <w:marRight w:val="0"/>
              <w:marTop w:val="0"/>
              <w:marBottom w:val="0"/>
              <w:divBdr>
                <w:top w:val="none" w:sz="0" w:space="0" w:color="auto"/>
                <w:left w:val="none" w:sz="0" w:space="0" w:color="auto"/>
                <w:bottom w:val="none" w:sz="0" w:space="0" w:color="auto"/>
                <w:right w:val="none" w:sz="0" w:space="0" w:color="auto"/>
              </w:divBdr>
            </w:div>
            <w:div w:id="1069766507">
              <w:marLeft w:val="0"/>
              <w:marRight w:val="0"/>
              <w:marTop w:val="0"/>
              <w:marBottom w:val="0"/>
              <w:divBdr>
                <w:top w:val="none" w:sz="0" w:space="0" w:color="auto"/>
                <w:left w:val="none" w:sz="0" w:space="0" w:color="auto"/>
                <w:bottom w:val="none" w:sz="0" w:space="0" w:color="auto"/>
                <w:right w:val="none" w:sz="0" w:space="0" w:color="auto"/>
              </w:divBdr>
            </w:div>
            <w:div w:id="1069766634">
              <w:marLeft w:val="0"/>
              <w:marRight w:val="0"/>
              <w:marTop w:val="0"/>
              <w:marBottom w:val="0"/>
              <w:divBdr>
                <w:top w:val="none" w:sz="0" w:space="0" w:color="auto"/>
                <w:left w:val="none" w:sz="0" w:space="0" w:color="auto"/>
                <w:bottom w:val="none" w:sz="0" w:space="0" w:color="auto"/>
                <w:right w:val="none" w:sz="0" w:space="0" w:color="auto"/>
              </w:divBdr>
            </w:div>
            <w:div w:id="1069766638">
              <w:marLeft w:val="0"/>
              <w:marRight w:val="0"/>
              <w:marTop w:val="0"/>
              <w:marBottom w:val="0"/>
              <w:divBdr>
                <w:top w:val="none" w:sz="0" w:space="0" w:color="auto"/>
                <w:left w:val="none" w:sz="0" w:space="0" w:color="auto"/>
                <w:bottom w:val="none" w:sz="0" w:space="0" w:color="auto"/>
                <w:right w:val="none" w:sz="0" w:space="0" w:color="auto"/>
              </w:divBdr>
            </w:div>
            <w:div w:id="1069766793">
              <w:marLeft w:val="0"/>
              <w:marRight w:val="0"/>
              <w:marTop w:val="0"/>
              <w:marBottom w:val="0"/>
              <w:divBdr>
                <w:top w:val="none" w:sz="0" w:space="0" w:color="auto"/>
                <w:left w:val="none" w:sz="0" w:space="0" w:color="auto"/>
                <w:bottom w:val="none" w:sz="0" w:space="0" w:color="auto"/>
                <w:right w:val="none" w:sz="0" w:space="0" w:color="auto"/>
              </w:divBdr>
            </w:div>
            <w:div w:id="1069766826">
              <w:marLeft w:val="0"/>
              <w:marRight w:val="0"/>
              <w:marTop w:val="0"/>
              <w:marBottom w:val="0"/>
              <w:divBdr>
                <w:top w:val="none" w:sz="0" w:space="0" w:color="auto"/>
                <w:left w:val="none" w:sz="0" w:space="0" w:color="auto"/>
                <w:bottom w:val="none" w:sz="0" w:space="0" w:color="auto"/>
                <w:right w:val="none" w:sz="0" w:space="0" w:color="auto"/>
              </w:divBdr>
            </w:div>
            <w:div w:id="106976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430">
      <w:marLeft w:val="0"/>
      <w:marRight w:val="0"/>
      <w:marTop w:val="0"/>
      <w:marBottom w:val="0"/>
      <w:divBdr>
        <w:top w:val="none" w:sz="0" w:space="0" w:color="auto"/>
        <w:left w:val="none" w:sz="0" w:space="0" w:color="auto"/>
        <w:bottom w:val="none" w:sz="0" w:space="0" w:color="auto"/>
        <w:right w:val="none" w:sz="0" w:space="0" w:color="auto"/>
      </w:divBdr>
      <w:divsChild>
        <w:div w:id="1069766530">
          <w:marLeft w:val="0"/>
          <w:marRight w:val="0"/>
          <w:marTop w:val="0"/>
          <w:marBottom w:val="0"/>
          <w:divBdr>
            <w:top w:val="none" w:sz="0" w:space="0" w:color="auto"/>
            <w:left w:val="none" w:sz="0" w:space="0" w:color="auto"/>
            <w:bottom w:val="none" w:sz="0" w:space="0" w:color="auto"/>
            <w:right w:val="none" w:sz="0" w:space="0" w:color="auto"/>
          </w:divBdr>
        </w:div>
      </w:divsChild>
    </w:div>
    <w:div w:id="1069766431">
      <w:marLeft w:val="0"/>
      <w:marRight w:val="0"/>
      <w:marTop w:val="0"/>
      <w:marBottom w:val="0"/>
      <w:divBdr>
        <w:top w:val="none" w:sz="0" w:space="0" w:color="auto"/>
        <w:left w:val="none" w:sz="0" w:space="0" w:color="auto"/>
        <w:bottom w:val="none" w:sz="0" w:space="0" w:color="auto"/>
        <w:right w:val="none" w:sz="0" w:space="0" w:color="auto"/>
      </w:divBdr>
      <w:divsChild>
        <w:div w:id="1069766811">
          <w:marLeft w:val="0"/>
          <w:marRight w:val="0"/>
          <w:marTop w:val="0"/>
          <w:marBottom w:val="0"/>
          <w:divBdr>
            <w:top w:val="none" w:sz="0" w:space="0" w:color="auto"/>
            <w:left w:val="none" w:sz="0" w:space="0" w:color="auto"/>
            <w:bottom w:val="none" w:sz="0" w:space="0" w:color="auto"/>
            <w:right w:val="none" w:sz="0" w:space="0" w:color="auto"/>
          </w:divBdr>
          <w:divsChild>
            <w:div w:id="10697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432">
      <w:marLeft w:val="0"/>
      <w:marRight w:val="0"/>
      <w:marTop w:val="0"/>
      <w:marBottom w:val="0"/>
      <w:divBdr>
        <w:top w:val="none" w:sz="0" w:space="0" w:color="auto"/>
        <w:left w:val="none" w:sz="0" w:space="0" w:color="auto"/>
        <w:bottom w:val="none" w:sz="0" w:space="0" w:color="auto"/>
        <w:right w:val="none" w:sz="0" w:space="0" w:color="auto"/>
      </w:divBdr>
    </w:div>
    <w:div w:id="1069766433">
      <w:marLeft w:val="0"/>
      <w:marRight w:val="0"/>
      <w:marTop w:val="0"/>
      <w:marBottom w:val="0"/>
      <w:divBdr>
        <w:top w:val="none" w:sz="0" w:space="0" w:color="auto"/>
        <w:left w:val="none" w:sz="0" w:space="0" w:color="auto"/>
        <w:bottom w:val="none" w:sz="0" w:space="0" w:color="auto"/>
        <w:right w:val="none" w:sz="0" w:space="0" w:color="auto"/>
      </w:divBdr>
      <w:divsChild>
        <w:div w:id="1069766356">
          <w:marLeft w:val="0"/>
          <w:marRight w:val="0"/>
          <w:marTop w:val="0"/>
          <w:marBottom w:val="0"/>
          <w:divBdr>
            <w:top w:val="none" w:sz="0" w:space="0" w:color="auto"/>
            <w:left w:val="none" w:sz="0" w:space="0" w:color="auto"/>
            <w:bottom w:val="none" w:sz="0" w:space="0" w:color="auto"/>
            <w:right w:val="none" w:sz="0" w:space="0" w:color="auto"/>
          </w:divBdr>
          <w:divsChild>
            <w:div w:id="1069766406">
              <w:marLeft w:val="15"/>
              <w:marRight w:val="0"/>
              <w:marTop w:val="0"/>
              <w:marBottom w:val="0"/>
              <w:divBdr>
                <w:top w:val="single" w:sz="6" w:space="0" w:color="C7C9CB"/>
                <w:left w:val="single" w:sz="6" w:space="8" w:color="C7C9CB"/>
                <w:bottom w:val="single" w:sz="6" w:space="0" w:color="C7C9CB"/>
                <w:right w:val="single" w:sz="6" w:space="8" w:color="C7C9CB"/>
              </w:divBdr>
              <w:divsChild>
                <w:div w:id="1069766459">
                  <w:marLeft w:val="0"/>
                  <w:marRight w:val="0"/>
                  <w:marTop w:val="0"/>
                  <w:marBottom w:val="0"/>
                  <w:divBdr>
                    <w:top w:val="none" w:sz="0" w:space="0" w:color="auto"/>
                    <w:left w:val="none" w:sz="0" w:space="0" w:color="auto"/>
                    <w:bottom w:val="none" w:sz="0" w:space="0" w:color="auto"/>
                    <w:right w:val="none" w:sz="0" w:space="0" w:color="auto"/>
                  </w:divBdr>
                  <w:divsChild>
                    <w:div w:id="1069766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766435">
      <w:marLeft w:val="0"/>
      <w:marRight w:val="0"/>
      <w:marTop w:val="0"/>
      <w:marBottom w:val="0"/>
      <w:divBdr>
        <w:top w:val="none" w:sz="0" w:space="0" w:color="auto"/>
        <w:left w:val="none" w:sz="0" w:space="0" w:color="auto"/>
        <w:bottom w:val="none" w:sz="0" w:space="0" w:color="auto"/>
        <w:right w:val="none" w:sz="0" w:space="0" w:color="auto"/>
      </w:divBdr>
    </w:div>
    <w:div w:id="1069766436">
      <w:marLeft w:val="0"/>
      <w:marRight w:val="0"/>
      <w:marTop w:val="0"/>
      <w:marBottom w:val="0"/>
      <w:divBdr>
        <w:top w:val="none" w:sz="0" w:space="0" w:color="auto"/>
        <w:left w:val="none" w:sz="0" w:space="0" w:color="auto"/>
        <w:bottom w:val="none" w:sz="0" w:space="0" w:color="auto"/>
        <w:right w:val="none" w:sz="0" w:space="0" w:color="auto"/>
      </w:divBdr>
    </w:div>
    <w:div w:id="1069766438">
      <w:marLeft w:val="0"/>
      <w:marRight w:val="0"/>
      <w:marTop w:val="0"/>
      <w:marBottom w:val="0"/>
      <w:divBdr>
        <w:top w:val="none" w:sz="0" w:space="0" w:color="auto"/>
        <w:left w:val="none" w:sz="0" w:space="0" w:color="auto"/>
        <w:bottom w:val="none" w:sz="0" w:space="0" w:color="auto"/>
        <w:right w:val="none" w:sz="0" w:space="0" w:color="auto"/>
      </w:divBdr>
    </w:div>
    <w:div w:id="1069766439">
      <w:marLeft w:val="0"/>
      <w:marRight w:val="0"/>
      <w:marTop w:val="0"/>
      <w:marBottom w:val="0"/>
      <w:divBdr>
        <w:top w:val="none" w:sz="0" w:space="0" w:color="auto"/>
        <w:left w:val="none" w:sz="0" w:space="0" w:color="auto"/>
        <w:bottom w:val="none" w:sz="0" w:space="0" w:color="auto"/>
        <w:right w:val="none" w:sz="0" w:space="0" w:color="auto"/>
      </w:divBdr>
    </w:div>
    <w:div w:id="1069766440">
      <w:marLeft w:val="0"/>
      <w:marRight w:val="0"/>
      <w:marTop w:val="0"/>
      <w:marBottom w:val="0"/>
      <w:divBdr>
        <w:top w:val="none" w:sz="0" w:space="0" w:color="auto"/>
        <w:left w:val="none" w:sz="0" w:space="0" w:color="auto"/>
        <w:bottom w:val="none" w:sz="0" w:space="0" w:color="auto"/>
        <w:right w:val="none" w:sz="0" w:space="0" w:color="auto"/>
      </w:divBdr>
      <w:divsChild>
        <w:div w:id="1069766782">
          <w:marLeft w:val="0"/>
          <w:marRight w:val="0"/>
          <w:marTop w:val="0"/>
          <w:marBottom w:val="0"/>
          <w:divBdr>
            <w:top w:val="none" w:sz="0" w:space="0" w:color="auto"/>
            <w:left w:val="none" w:sz="0" w:space="0" w:color="auto"/>
            <w:bottom w:val="none" w:sz="0" w:space="0" w:color="auto"/>
            <w:right w:val="none" w:sz="0" w:space="0" w:color="auto"/>
          </w:divBdr>
        </w:div>
      </w:divsChild>
    </w:div>
    <w:div w:id="1069766442">
      <w:marLeft w:val="0"/>
      <w:marRight w:val="0"/>
      <w:marTop w:val="0"/>
      <w:marBottom w:val="0"/>
      <w:divBdr>
        <w:top w:val="none" w:sz="0" w:space="0" w:color="auto"/>
        <w:left w:val="none" w:sz="0" w:space="0" w:color="auto"/>
        <w:bottom w:val="none" w:sz="0" w:space="0" w:color="auto"/>
        <w:right w:val="none" w:sz="0" w:space="0" w:color="auto"/>
      </w:divBdr>
      <w:divsChild>
        <w:div w:id="1069766464">
          <w:marLeft w:val="0"/>
          <w:marRight w:val="0"/>
          <w:marTop w:val="0"/>
          <w:marBottom w:val="0"/>
          <w:divBdr>
            <w:top w:val="none" w:sz="0" w:space="0" w:color="auto"/>
            <w:left w:val="none" w:sz="0" w:space="0" w:color="auto"/>
            <w:bottom w:val="none" w:sz="0" w:space="0" w:color="auto"/>
            <w:right w:val="none" w:sz="0" w:space="0" w:color="auto"/>
          </w:divBdr>
        </w:div>
      </w:divsChild>
    </w:div>
    <w:div w:id="1069766445">
      <w:marLeft w:val="0"/>
      <w:marRight w:val="0"/>
      <w:marTop w:val="0"/>
      <w:marBottom w:val="0"/>
      <w:divBdr>
        <w:top w:val="none" w:sz="0" w:space="0" w:color="auto"/>
        <w:left w:val="none" w:sz="0" w:space="0" w:color="auto"/>
        <w:bottom w:val="none" w:sz="0" w:space="0" w:color="auto"/>
        <w:right w:val="none" w:sz="0" w:space="0" w:color="auto"/>
      </w:divBdr>
    </w:div>
    <w:div w:id="1069766446">
      <w:marLeft w:val="0"/>
      <w:marRight w:val="0"/>
      <w:marTop w:val="0"/>
      <w:marBottom w:val="0"/>
      <w:divBdr>
        <w:top w:val="none" w:sz="0" w:space="0" w:color="auto"/>
        <w:left w:val="none" w:sz="0" w:space="0" w:color="auto"/>
        <w:bottom w:val="none" w:sz="0" w:space="0" w:color="auto"/>
        <w:right w:val="none" w:sz="0" w:space="0" w:color="auto"/>
      </w:divBdr>
    </w:div>
    <w:div w:id="1069766448">
      <w:marLeft w:val="0"/>
      <w:marRight w:val="0"/>
      <w:marTop w:val="0"/>
      <w:marBottom w:val="0"/>
      <w:divBdr>
        <w:top w:val="none" w:sz="0" w:space="0" w:color="auto"/>
        <w:left w:val="none" w:sz="0" w:space="0" w:color="auto"/>
        <w:bottom w:val="none" w:sz="0" w:space="0" w:color="auto"/>
        <w:right w:val="none" w:sz="0" w:space="0" w:color="auto"/>
      </w:divBdr>
    </w:div>
    <w:div w:id="1069766449">
      <w:marLeft w:val="0"/>
      <w:marRight w:val="0"/>
      <w:marTop w:val="0"/>
      <w:marBottom w:val="0"/>
      <w:divBdr>
        <w:top w:val="none" w:sz="0" w:space="0" w:color="auto"/>
        <w:left w:val="none" w:sz="0" w:space="0" w:color="auto"/>
        <w:bottom w:val="none" w:sz="0" w:space="0" w:color="auto"/>
        <w:right w:val="none" w:sz="0" w:space="0" w:color="auto"/>
      </w:divBdr>
    </w:div>
    <w:div w:id="1069766450">
      <w:marLeft w:val="0"/>
      <w:marRight w:val="0"/>
      <w:marTop w:val="0"/>
      <w:marBottom w:val="0"/>
      <w:divBdr>
        <w:top w:val="none" w:sz="0" w:space="0" w:color="auto"/>
        <w:left w:val="none" w:sz="0" w:space="0" w:color="auto"/>
        <w:bottom w:val="none" w:sz="0" w:space="0" w:color="auto"/>
        <w:right w:val="none" w:sz="0" w:space="0" w:color="auto"/>
      </w:divBdr>
    </w:div>
    <w:div w:id="1069766452">
      <w:marLeft w:val="0"/>
      <w:marRight w:val="0"/>
      <w:marTop w:val="0"/>
      <w:marBottom w:val="0"/>
      <w:divBdr>
        <w:top w:val="none" w:sz="0" w:space="0" w:color="auto"/>
        <w:left w:val="none" w:sz="0" w:space="0" w:color="auto"/>
        <w:bottom w:val="none" w:sz="0" w:space="0" w:color="auto"/>
        <w:right w:val="none" w:sz="0" w:space="0" w:color="auto"/>
      </w:divBdr>
      <w:divsChild>
        <w:div w:id="1069766741">
          <w:marLeft w:val="547"/>
          <w:marRight w:val="0"/>
          <w:marTop w:val="96"/>
          <w:marBottom w:val="0"/>
          <w:divBdr>
            <w:top w:val="none" w:sz="0" w:space="0" w:color="auto"/>
            <w:left w:val="none" w:sz="0" w:space="0" w:color="auto"/>
            <w:bottom w:val="none" w:sz="0" w:space="0" w:color="auto"/>
            <w:right w:val="none" w:sz="0" w:space="0" w:color="auto"/>
          </w:divBdr>
        </w:div>
      </w:divsChild>
    </w:div>
    <w:div w:id="1069766453">
      <w:marLeft w:val="0"/>
      <w:marRight w:val="0"/>
      <w:marTop w:val="0"/>
      <w:marBottom w:val="0"/>
      <w:divBdr>
        <w:top w:val="none" w:sz="0" w:space="0" w:color="auto"/>
        <w:left w:val="none" w:sz="0" w:space="0" w:color="auto"/>
        <w:bottom w:val="none" w:sz="0" w:space="0" w:color="auto"/>
        <w:right w:val="none" w:sz="0" w:space="0" w:color="auto"/>
      </w:divBdr>
    </w:div>
    <w:div w:id="1069766454">
      <w:marLeft w:val="0"/>
      <w:marRight w:val="0"/>
      <w:marTop w:val="0"/>
      <w:marBottom w:val="0"/>
      <w:divBdr>
        <w:top w:val="none" w:sz="0" w:space="0" w:color="auto"/>
        <w:left w:val="none" w:sz="0" w:space="0" w:color="auto"/>
        <w:bottom w:val="none" w:sz="0" w:space="0" w:color="auto"/>
        <w:right w:val="none" w:sz="0" w:space="0" w:color="auto"/>
      </w:divBdr>
    </w:div>
    <w:div w:id="1069766455">
      <w:marLeft w:val="0"/>
      <w:marRight w:val="0"/>
      <w:marTop w:val="0"/>
      <w:marBottom w:val="0"/>
      <w:divBdr>
        <w:top w:val="none" w:sz="0" w:space="0" w:color="auto"/>
        <w:left w:val="none" w:sz="0" w:space="0" w:color="auto"/>
        <w:bottom w:val="none" w:sz="0" w:space="0" w:color="auto"/>
        <w:right w:val="none" w:sz="0" w:space="0" w:color="auto"/>
      </w:divBdr>
    </w:div>
    <w:div w:id="1069766456">
      <w:marLeft w:val="0"/>
      <w:marRight w:val="0"/>
      <w:marTop w:val="0"/>
      <w:marBottom w:val="0"/>
      <w:divBdr>
        <w:top w:val="none" w:sz="0" w:space="0" w:color="auto"/>
        <w:left w:val="none" w:sz="0" w:space="0" w:color="auto"/>
        <w:bottom w:val="none" w:sz="0" w:space="0" w:color="auto"/>
        <w:right w:val="none" w:sz="0" w:space="0" w:color="auto"/>
      </w:divBdr>
    </w:div>
    <w:div w:id="1069766460">
      <w:marLeft w:val="0"/>
      <w:marRight w:val="0"/>
      <w:marTop w:val="0"/>
      <w:marBottom w:val="0"/>
      <w:divBdr>
        <w:top w:val="none" w:sz="0" w:space="0" w:color="auto"/>
        <w:left w:val="none" w:sz="0" w:space="0" w:color="auto"/>
        <w:bottom w:val="none" w:sz="0" w:space="0" w:color="auto"/>
        <w:right w:val="none" w:sz="0" w:space="0" w:color="auto"/>
      </w:divBdr>
    </w:div>
    <w:div w:id="1069766461">
      <w:marLeft w:val="0"/>
      <w:marRight w:val="0"/>
      <w:marTop w:val="0"/>
      <w:marBottom w:val="0"/>
      <w:divBdr>
        <w:top w:val="none" w:sz="0" w:space="0" w:color="auto"/>
        <w:left w:val="none" w:sz="0" w:space="0" w:color="auto"/>
        <w:bottom w:val="none" w:sz="0" w:space="0" w:color="auto"/>
        <w:right w:val="none" w:sz="0" w:space="0" w:color="auto"/>
      </w:divBdr>
      <w:divsChild>
        <w:div w:id="1069766600">
          <w:marLeft w:val="0"/>
          <w:marRight w:val="0"/>
          <w:marTop w:val="0"/>
          <w:marBottom w:val="0"/>
          <w:divBdr>
            <w:top w:val="none" w:sz="0" w:space="0" w:color="auto"/>
            <w:left w:val="none" w:sz="0" w:space="0" w:color="auto"/>
            <w:bottom w:val="none" w:sz="0" w:space="0" w:color="auto"/>
            <w:right w:val="none" w:sz="0" w:space="0" w:color="auto"/>
          </w:divBdr>
          <w:divsChild>
            <w:div w:id="1069766839">
              <w:marLeft w:val="0"/>
              <w:marRight w:val="0"/>
              <w:marTop w:val="0"/>
              <w:marBottom w:val="0"/>
              <w:divBdr>
                <w:top w:val="none" w:sz="0" w:space="0" w:color="auto"/>
                <w:left w:val="none" w:sz="0" w:space="0" w:color="auto"/>
                <w:bottom w:val="none" w:sz="0" w:space="0" w:color="auto"/>
                <w:right w:val="none" w:sz="0" w:space="0" w:color="auto"/>
              </w:divBdr>
              <w:divsChild>
                <w:div w:id="1069766866">
                  <w:marLeft w:val="0"/>
                  <w:marRight w:val="0"/>
                  <w:marTop w:val="0"/>
                  <w:marBottom w:val="0"/>
                  <w:divBdr>
                    <w:top w:val="none" w:sz="0" w:space="0" w:color="auto"/>
                    <w:left w:val="none" w:sz="0" w:space="0" w:color="auto"/>
                    <w:bottom w:val="none" w:sz="0" w:space="0" w:color="auto"/>
                    <w:right w:val="none" w:sz="0" w:space="0" w:color="auto"/>
                  </w:divBdr>
                  <w:divsChild>
                    <w:div w:id="1069766858">
                      <w:marLeft w:val="0"/>
                      <w:marRight w:val="0"/>
                      <w:marTop w:val="0"/>
                      <w:marBottom w:val="0"/>
                      <w:divBdr>
                        <w:top w:val="none" w:sz="0" w:space="0" w:color="auto"/>
                        <w:left w:val="none" w:sz="0" w:space="0" w:color="auto"/>
                        <w:bottom w:val="none" w:sz="0" w:space="0" w:color="auto"/>
                        <w:right w:val="none" w:sz="0" w:space="0" w:color="auto"/>
                      </w:divBdr>
                      <w:divsChild>
                        <w:div w:id="1069766481">
                          <w:marLeft w:val="1992"/>
                          <w:marRight w:val="1980"/>
                          <w:marTop w:val="0"/>
                          <w:marBottom w:val="24"/>
                          <w:divBdr>
                            <w:top w:val="none" w:sz="0" w:space="0" w:color="auto"/>
                            <w:left w:val="none" w:sz="0" w:space="0" w:color="auto"/>
                            <w:bottom w:val="none" w:sz="0" w:space="0" w:color="auto"/>
                            <w:right w:val="none" w:sz="0" w:space="0" w:color="auto"/>
                          </w:divBdr>
                        </w:div>
                      </w:divsChild>
                    </w:div>
                  </w:divsChild>
                </w:div>
              </w:divsChild>
            </w:div>
          </w:divsChild>
        </w:div>
      </w:divsChild>
    </w:div>
    <w:div w:id="1069766462">
      <w:marLeft w:val="0"/>
      <w:marRight w:val="0"/>
      <w:marTop w:val="0"/>
      <w:marBottom w:val="0"/>
      <w:divBdr>
        <w:top w:val="none" w:sz="0" w:space="0" w:color="auto"/>
        <w:left w:val="none" w:sz="0" w:space="0" w:color="auto"/>
        <w:bottom w:val="none" w:sz="0" w:space="0" w:color="auto"/>
        <w:right w:val="none" w:sz="0" w:space="0" w:color="auto"/>
      </w:divBdr>
    </w:div>
    <w:div w:id="1069766465">
      <w:marLeft w:val="0"/>
      <w:marRight w:val="0"/>
      <w:marTop w:val="0"/>
      <w:marBottom w:val="0"/>
      <w:divBdr>
        <w:top w:val="none" w:sz="0" w:space="0" w:color="auto"/>
        <w:left w:val="none" w:sz="0" w:space="0" w:color="auto"/>
        <w:bottom w:val="none" w:sz="0" w:space="0" w:color="auto"/>
        <w:right w:val="none" w:sz="0" w:space="0" w:color="auto"/>
      </w:divBdr>
    </w:div>
    <w:div w:id="1069766466">
      <w:marLeft w:val="0"/>
      <w:marRight w:val="0"/>
      <w:marTop w:val="0"/>
      <w:marBottom w:val="0"/>
      <w:divBdr>
        <w:top w:val="none" w:sz="0" w:space="0" w:color="auto"/>
        <w:left w:val="none" w:sz="0" w:space="0" w:color="auto"/>
        <w:bottom w:val="none" w:sz="0" w:space="0" w:color="auto"/>
        <w:right w:val="none" w:sz="0" w:space="0" w:color="auto"/>
      </w:divBdr>
    </w:div>
    <w:div w:id="1069766467">
      <w:marLeft w:val="0"/>
      <w:marRight w:val="0"/>
      <w:marTop w:val="0"/>
      <w:marBottom w:val="0"/>
      <w:divBdr>
        <w:top w:val="none" w:sz="0" w:space="0" w:color="auto"/>
        <w:left w:val="none" w:sz="0" w:space="0" w:color="auto"/>
        <w:bottom w:val="none" w:sz="0" w:space="0" w:color="auto"/>
        <w:right w:val="none" w:sz="0" w:space="0" w:color="auto"/>
      </w:divBdr>
      <w:divsChild>
        <w:div w:id="1069766506">
          <w:marLeft w:val="547"/>
          <w:marRight w:val="0"/>
          <w:marTop w:val="77"/>
          <w:marBottom w:val="0"/>
          <w:divBdr>
            <w:top w:val="none" w:sz="0" w:space="0" w:color="auto"/>
            <w:left w:val="none" w:sz="0" w:space="0" w:color="auto"/>
            <w:bottom w:val="none" w:sz="0" w:space="0" w:color="auto"/>
            <w:right w:val="none" w:sz="0" w:space="0" w:color="auto"/>
          </w:divBdr>
        </w:div>
      </w:divsChild>
    </w:div>
    <w:div w:id="1069766469">
      <w:marLeft w:val="0"/>
      <w:marRight w:val="0"/>
      <w:marTop w:val="0"/>
      <w:marBottom w:val="0"/>
      <w:divBdr>
        <w:top w:val="none" w:sz="0" w:space="0" w:color="auto"/>
        <w:left w:val="none" w:sz="0" w:space="0" w:color="auto"/>
        <w:bottom w:val="none" w:sz="0" w:space="0" w:color="auto"/>
        <w:right w:val="none" w:sz="0" w:space="0" w:color="auto"/>
      </w:divBdr>
    </w:div>
    <w:div w:id="1069766470">
      <w:marLeft w:val="0"/>
      <w:marRight w:val="0"/>
      <w:marTop w:val="0"/>
      <w:marBottom w:val="0"/>
      <w:divBdr>
        <w:top w:val="none" w:sz="0" w:space="0" w:color="auto"/>
        <w:left w:val="none" w:sz="0" w:space="0" w:color="auto"/>
        <w:bottom w:val="none" w:sz="0" w:space="0" w:color="auto"/>
        <w:right w:val="none" w:sz="0" w:space="0" w:color="auto"/>
      </w:divBdr>
    </w:div>
    <w:div w:id="1069766471">
      <w:marLeft w:val="0"/>
      <w:marRight w:val="0"/>
      <w:marTop w:val="0"/>
      <w:marBottom w:val="0"/>
      <w:divBdr>
        <w:top w:val="none" w:sz="0" w:space="0" w:color="auto"/>
        <w:left w:val="none" w:sz="0" w:space="0" w:color="auto"/>
        <w:bottom w:val="none" w:sz="0" w:space="0" w:color="auto"/>
        <w:right w:val="none" w:sz="0" w:space="0" w:color="auto"/>
      </w:divBdr>
    </w:div>
    <w:div w:id="1069766472">
      <w:marLeft w:val="0"/>
      <w:marRight w:val="0"/>
      <w:marTop w:val="0"/>
      <w:marBottom w:val="0"/>
      <w:divBdr>
        <w:top w:val="none" w:sz="0" w:space="0" w:color="auto"/>
        <w:left w:val="none" w:sz="0" w:space="0" w:color="auto"/>
        <w:bottom w:val="none" w:sz="0" w:space="0" w:color="auto"/>
        <w:right w:val="none" w:sz="0" w:space="0" w:color="auto"/>
      </w:divBdr>
    </w:div>
    <w:div w:id="1069766476">
      <w:marLeft w:val="0"/>
      <w:marRight w:val="0"/>
      <w:marTop w:val="0"/>
      <w:marBottom w:val="0"/>
      <w:divBdr>
        <w:top w:val="none" w:sz="0" w:space="0" w:color="auto"/>
        <w:left w:val="none" w:sz="0" w:space="0" w:color="auto"/>
        <w:bottom w:val="none" w:sz="0" w:space="0" w:color="auto"/>
        <w:right w:val="none" w:sz="0" w:space="0" w:color="auto"/>
      </w:divBdr>
    </w:div>
    <w:div w:id="1069766484">
      <w:marLeft w:val="0"/>
      <w:marRight w:val="0"/>
      <w:marTop w:val="0"/>
      <w:marBottom w:val="0"/>
      <w:divBdr>
        <w:top w:val="none" w:sz="0" w:space="0" w:color="auto"/>
        <w:left w:val="none" w:sz="0" w:space="0" w:color="auto"/>
        <w:bottom w:val="none" w:sz="0" w:space="0" w:color="auto"/>
        <w:right w:val="none" w:sz="0" w:space="0" w:color="auto"/>
      </w:divBdr>
    </w:div>
    <w:div w:id="1069766485">
      <w:marLeft w:val="0"/>
      <w:marRight w:val="0"/>
      <w:marTop w:val="0"/>
      <w:marBottom w:val="0"/>
      <w:divBdr>
        <w:top w:val="none" w:sz="0" w:space="0" w:color="auto"/>
        <w:left w:val="none" w:sz="0" w:space="0" w:color="auto"/>
        <w:bottom w:val="none" w:sz="0" w:space="0" w:color="auto"/>
        <w:right w:val="none" w:sz="0" w:space="0" w:color="auto"/>
      </w:divBdr>
    </w:div>
    <w:div w:id="1069766486">
      <w:marLeft w:val="0"/>
      <w:marRight w:val="0"/>
      <w:marTop w:val="0"/>
      <w:marBottom w:val="0"/>
      <w:divBdr>
        <w:top w:val="none" w:sz="0" w:space="0" w:color="auto"/>
        <w:left w:val="none" w:sz="0" w:space="0" w:color="auto"/>
        <w:bottom w:val="none" w:sz="0" w:space="0" w:color="auto"/>
        <w:right w:val="none" w:sz="0" w:space="0" w:color="auto"/>
      </w:divBdr>
    </w:div>
    <w:div w:id="1069766487">
      <w:marLeft w:val="0"/>
      <w:marRight w:val="0"/>
      <w:marTop w:val="0"/>
      <w:marBottom w:val="0"/>
      <w:divBdr>
        <w:top w:val="none" w:sz="0" w:space="0" w:color="auto"/>
        <w:left w:val="none" w:sz="0" w:space="0" w:color="auto"/>
        <w:bottom w:val="none" w:sz="0" w:space="0" w:color="auto"/>
        <w:right w:val="none" w:sz="0" w:space="0" w:color="auto"/>
      </w:divBdr>
    </w:div>
    <w:div w:id="1069766488">
      <w:marLeft w:val="0"/>
      <w:marRight w:val="0"/>
      <w:marTop w:val="0"/>
      <w:marBottom w:val="0"/>
      <w:divBdr>
        <w:top w:val="none" w:sz="0" w:space="0" w:color="auto"/>
        <w:left w:val="none" w:sz="0" w:space="0" w:color="auto"/>
        <w:bottom w:val="none" w:sz="0" w:space="0" w:color="auto"/>
        <w:right w:val="none" w:sz="0" w:space="0" w:color="auto"/>
      </w:divBdr>
    </w:div>
    <w:div w:id="1069766489">
      <w:marLeft w:val="0"/>
      <w:marRight w:val="0"/>
      <w:marTop w:val="0"/>
      <w:marBottom w:val="0"/>
      <w:divBdr>
        <w:top w:val="none" w:sz="0" w:space="0" w:color="auto"/>
        <w:left w:val="none" w:sz="0" w:space="0" w:color="auto"/>
        <w:bottom w:val="none" w:sz="0" w:space="0" w:color="auto"/>
        <w:right w:val="none" w:sz="0" w:space="0" w:color="auto"/>
      </w:divBdr>
      <w:divsChild>
        <w:div w:id="1069766535">
          <w:marLeft w:val="0"/>
          <w:marRight w:val="0"/>
          <w:marTop w:val="0"/>
          <w:marBottom w:val="0"/>
          <w:divBdr>
            <w:top w:val="none" w:sz="0" w:space="0" w:color="auto"/>
            <w:left w:val="none" w:sz="0" w:space="0" w:color="auto"/>
            <w:bottom w:val="none" w:sz="0" w:space="0" w:color="auto"/>
            <w:right w:val="none" w:sz="0" w:space="0" w:color="auto"/>
          </w:divBdr>
        </w:div>
      </w:divsChild>
    </w:div>
    <w:div w:id="1069766490">
      <w:marLeft w:val="0"/>
      <w:marRight w:val="0"/>
      <w:marTop w:val="0"/>
      <w:marBottom w:val="0"/>
      <w:divBdr>
        <w:top w:val="none" w:sz="0" w:space="0" w:color="auto"/>
        <w:left w:val="none" w:sz="0" w:space="0" w:color="auto"/>
        <w:bottom w:val="none" w:sz="0" w:space="0" w:color="auto"/>
        <w:right w:val="none" w:sz="0" w:space="0" w:color="auto"/>
      </w:divBdr>
      <w:divsChild>
        <w:div w:id="1069766849">
          <w:marLeft w:val="0"/>
          <w:marRight w:val="0"/>
          <w:marTop w:val="0"/>
          <w:marBottom w:val="0"/>
          <w:divBdr>
            <w:top w:val="none" w:sz="0" w:space="0" w:color="auto"/>
            <w:left w:val="none" w:sz="0" w:space="0" w:color="auto"/>
            <w:bottom w:val="none" w:sz="0" w:space="0" w:color="auto"/>
            <w:right w:val="none" w:sz="0" w:space="0" w:color="auto"/>
          </w:divBdr>
          <w:divsChild>
            <w:div w:id="1069766544">
              <w:marLeft w:val="0"/>
              <w:marRight w:val="0"/>
              <w:marTop w:val="0"/>
              <w:marBottom w:val="0"/>
              <w:divBdr>
                <w:top w:val="none" w:sz="0" w:space="0" w:color="auto"/>
                <w:left w:val="none" w:sz="0" w:space="0" w:color="auto"/>
                <w:bottom w:val="none" w:sz="0" w:space="0" w:color="auto"/>
                <w:right w:val="none" w:sz="0" w:space="0" w:color="auto"/>
              </w:divBdr>
              <w:divsChild>
                <w:div w:id="106976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491">
      <w:marLeft w:val="0"/>
      <w:marRight w:val="0"/>
      <w:marTop w:val="0"/>
      <w:marBottom w:val="0"/>
      <w:divBdr>
        <w:top w:val="none" w:sz="0" w:space="0" w:color="auto"/>
        <w:left w:val="none" w:sz="0" w:space="0" w:color="auto"/>
        <w:bottom w:val="none" w:sz="0" w:space="0" w:color="auto"/>
        <w:right w:val="none" w:sz="0" w:space="0" w:color="auto"/>
      </w:divBdr>
    </w:div>
    <w:div w:id="1069766492">
      <w:marLeft w:val="0"/>
      <w:marRight w:val="0"/>
      <w:marTop w:val="0"/>
      <w:marBottom w:val="0"/>
      <w:divBdr>
        <w:top w:val="none" w:sz="0" w:space="0" w:color="auto"/>
        <w:left w:val="none" w:sz="0" w:space="0" w:color="auto"/>
        <w:bottom w:val="none" w:sz="0" w:space="0" w:color="auto"/>
        <w:right w:val="none" w:sz="0" w:space="0" w:color="auto"/>
      </w:divBdr>
    </w:div>
    <w:div w:id="1069766493">
      <w:marLeft w:val="0"/>
      <w:marRight w:val="0"/>
      <w:marTop w:val="0"/>
      <w:marBottom w:val="0"/>
      <w:divBdr>
        <w:top w:val="none" w:sz="0" w:space="0" w:color="auto"/>
        <w:left w:val="none" w:sz="0" w:space="0" w:color="auto"/>
        <w:bottom w:val="none" w:sz="0" w:space="0" w:color="auto"/>
        <w:right w:val="none" w:sz="0" w:space="0" w:color="auto"/>
      </w:divBdr>
    </w:div>
    <w:div w:id="1069766494">
      <w:marLeft w:val="0"/>
      <w:marRight w:val="0"/>
      <w:marTop w:val="0"/>
      <w:marBottom w:val="0"/>
      <w:divBdr>
        <w:top w:val="none" w:sz="0" w:space="0" w:color="auto"/>
        <w:left w:val="none" w:sz="0" w:space="0" w:color="auto"/>
        <w:bottom w:val="none" w:sz="0" w:space="0" w:color="auto"/>
        <w:right w:val="none" w:sz="0" w:space="0" w:color="auto"/>
      </w:divBdr>
    </w:div>
    <w:div w:id="1069766495">
      <w:marLeft w:val="0"/>
      <w:marRight w:val="0"/>
      <w:marTop w:val="0"/>
      <w:marBottom w:val="0"/>
      <w:divBdr>
        <w:top w:val="none" w:sz="0" w:space="0" w:color="auto"/>
        <w:left w:val="none" w:sz="0" w:space="0" w:color="auto"/>
        <w:bottom w:val="none" w:sz="0" w:space="0" w:color="auto"/>
        <w:right w:val="none" w:sz="0" w:space="0" w:color="auto"/>
      </w:divBdr>
      <w:divsChild>
        <w:div w:id="1069766690">
          <w:marLeft w:val="0"/>
          <w:marRight w:val="0"/>
          <w:marTop w:val="0"/>
          <w:marBottom w:val="0"/>
          <w:divBdr>
            <w:top w:val="none" w:sz="0" w:space="0" w:color="auto"/>
            <w:left w:val="none" w:sz="0" w:space="0" w:color="auto"/>
            <w:bottom w:val="none" w:sz="0" w:space="0" w:color="auto"/>
            <w:right w:val="none" w:sz="0" w:space="0" w:color="auto"/>
          </w:divBdr>
        </w:div>
      </w:divsChild>
    </w:div>
    <w:div w:id="1069766496">
      <w:marLeft w:val="0"/>
      <w:marRight w:val="0"/>
      <w:marTop w:val="0"/>
      <w:marBottom w:val="0"/>
      <w:divBdr>
        <w:top w:val="none" w:sz="0" w:space="0" w:color="auto"/>
        <w:left w:val="none" w:sz="0" w:space="0" w:color="auto"/>
        <w:bottom w:val="none" w:sz="0" w:space="0" w:color="auto"/>
        <w:right w:val="none" w:sz="0" w:space="0" w:color="auto"/>
      </w:divBdr>
    </w:div>
    <w:div w:id="1069766497">
      <w:marLeft w:val="0"/>
      <w:marRight w:val="0"/>
      <w:marTop w:val="0"/>
      <w:marBottom w:val="0"/>
      <w:divBdr>
        <w:top w:val="none" w:sz="0" w:space="0" w:color="auto"/>
        <w:left w:val="none" w:sz="0" w:space="0" w:color="auto"/>
        <w:bottom w:val="none" w:sz="0" w:space="0" w:color="auto"/>
        <w:right w:val="none" w:sz="0" w:space="0" w:color="auto"/>
      </w:divBdr>
      <w:divsChild>
        <w:div w:id="1069766384">
          <w:marLeft w:val="0"/>
          <w:marRight w:val="0"/>
          <w:marTop w:val="0"/>
          <w:marBottom w:val="0"/>
          <w:divBdr>
            <w:top w:val="none" w:sz="0" w:space="0" w:color="auto"/>
            <w:left w:val="none" w:sz="0" w:space="0" w:color="auto"/>
            <w:bottom w:val="none" w:sz="0" w:space="0" w:color="auto"/>
            <w:right w:val="none" w:sz="0" w:space="0" w:color="auto"/>
          </w:divBdr>
          <w:divsChild>
            <w:div w:id="1069766392">
              <w:marLeft w:val="0"/>
              <w:marRight w:val="0"/>
              <w:marTop w:val="0"/>
              <w:marBottom w:val="0"/>
              <w:divBdr>
                <w:top w:val="none" w:sz="0" w:space="0" w:color="auto"/>
                <w:left w:val="none" w:sz="0" w:space="0" w:color="auto"/>
                <w:bottom w:val="none" w:sz="0" w:space="0" w:color="auto"/>
                <w:right w:val="none" w:sz="0" w:space="0" w:color="auto"/>
              </w:divBdr>
            </w:div>
            <w:div w:id="1069766532">
              <w:marLeft w:val="0"/>
              <w:marRight w:val="0"/>
              <w:marTop w:val="0"/>
              <w:marBottom w:val="0"/>
              <w:divBdr>
                <w:top w:val="none" w:sz="0" w:space="0" w:color="auto"/>
                <w:left w:val="none" w:sz="0" w:space="0" w:color="auto"/>
                <w:bottom w:val="none" w:sz="0" w:space="0" w:color="auto"/>
                <w:right w:val="none" w:sz="0" w:space="0" w:color="auto"/>
              </w:divBdr>
            </w:div>
            <w:div w:id="1069766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498">
      <w:marLeft w:val="0"/>
      <w:marRight w:val="0"/>
      <w:marTop w:val="0"/>
      <w:marBottom w:val="0"/>
      <w:divBdr>
        <w:top w:val="none" w:sz="0" w:space="0" w:color="auto"/>
        <w:left w:val="none" w:sz="0" w:space="0" w:color="auto"/>
        <w:bottom w:val="none" w:sz="0" w:space="0" w:color="auto"/>
        <w:right w:val="none" w:sz="0" w:space="0" w:color="auto"/>
      </w:divBdr>
      <w:divsChild>
        <w:div w:id="1069766529">
          <w:marLeft w:val="0"/>
          <w:marRight w:val="0"/>
          <w:marTop w:val="0"/>
          <w:marBottom w:val="0"/>
          <w:divBdr>
            <w:top w:val="none" w:sz="0" w:space="0" w:color="auto"/>
            <w:left w:val="none" w:sz="0" w:space="0" w:color="auto"/>
            <w:bottom w:val="none" w:sz="0" w:space="0" w:color="auto"/>
            <w:right w:val="none" w:sz="0" w:space="0" w:color="auto"/>
          </w:divBdr>
        </w:div>
      </w:divsChild>
    </w:div>
    <w:div w:id="1069766499">
      <w:marLeft w:val="0"/>
      <w:marRight w:val="0"/>
      <w:marTop w:val="0"/>
      <w:marBottom w:val="0"/>
      <w:divBdr>
        <w:top w:val="none" w:sz="0" w:space="0" w:color="auto"/>
        <w:left w:val="none" w:sz="0" w:space="0" w:color="auto"/>
        <w:bottom w:val="none" w:sz="0" w:space="0" w:color="auto"/>
        <w:right w:val="none" w:sz="0" w:space="0" w:color="auto"/>
      </w:divBdr>
    </w:div>
    <w:div w:id="1069766501">
      <w:marLeft w:val="0"/>
      <w:marRight w:val="0"/>
      <w:marTop w:val="0"/>
      <w:marBottom w:val="0"/>
      <w:divBdr>
        <w:top w:val="none" w:sz="0" w:space="0" w:color="auto"/>
        <w:left w:val="none" w:sz="0" w:space="0" w:color="auto"/>
        <w:bottom w:val="none" w:sz="0" w:space="0" w:color="auto"/>
        <w:right w:val="none" w:sz="0" w:space="0" w:color="auto"/>
      </w:divBdr>
      <w:divsChild>
        <w:div w:id="1069766601">
          <w:marLeft w:val="0"/>
          <w:marRight w:val="0"/>
          <w:marTop w:val="0"/>
          <w:marBottom w:val="0"/>
          <w:divBdr>
            <w:top w:val="none" w:sz="0" w:space="0" w:color="auto"/>
            <w:left w:val="none" w:sz="0" w:space="0" w:color="auto"/>
            <w:bottom w:val="none" w:sz="0" w:space="0" w:color="auto"/>
            <w:right w:val="none" w:sz="0" w:space="0" w:color="auto"/>
          </w:divBdr>
        </w:div>
      </w:divsChild>
    </w:div>
    <w:div w:id="1069766502">
      <w:marLeft w:val="0"/>
      <w:marRight w:val="0"/>
      <w:marTop w:val="0"/>
      <w:marBottom w:val="0"/>
      <w:divBdr>
        <w:top w:val="none" w:sz="0" w:space="0" w:color="auto"/>
        <w:left w:val="none" w:sz="0" w:space="0" w:color="auto"/>
        <w:bottom w:val="none" w:sz="0" w:space="0" w:color="auto"/>
        <w:right w:val="none" w:sz="0" w:space="0" w:color="auto"/>
      </w:divBdr>
      <w:divsChild>
        <w:div w:id="1069766773">
          <w:marLeft w:val="0"/>
          <w:marRight w:val="0"/>
          <w:marTop w:val="0"/>
          <w:marBottom w:val="0"/>
          <w:divBdr>
            <w:top w:val="none" w:sz="0" w:space="0" w:color="auto"/>
            <w:left w:val="none" w:sz="0" w:space="0" w:color="auto"/>
            <w:bottom w:val="none" w:sz="0" w:space="0" w:color="auto"/>
            <w:right w:val="none" w:sz="0" w:space="0" w:color="auto"/>
          </w:divBdr>
        </w:div>
      </w:divsChild>
    </w:div>
    <w:div w:id="1069766503">
      <w:marLeft w:val="0"/>
      <w:marRight w:val="0"/>
      <w:marTop w:val="0"/>
      <w:marBottom w:val="0"/>
      <w:divBdr>
        <w:top w:val="none" w:sz="0" w:space="0" w:color="auto"/>
        <w:left w:val="none" w:sz="0" w:space="0" w:color="auto"/>
        <w:bottom w:val="none" w:sz="0" w:space="0" w:color="auto"/>
        <w:right w:val="none" w:sz="0" w:space="0" w:color="auto"/>
      </w:divBdr>
      <w:divsChild>
        <w:div w:id="1069766769">
          <w:marLeft w:val="136"/>
          <w:marRight w:val="136"/>
          <w:marTop w:val="0"/>
          <w:marBottom w:val="136"/>
          <w:divBdr>
            <w:top w:val="none" w:sz="0" w:space="0" w:color="auto"/>
            <w:left w:val="none" w:sz="0" w:space="0" w:color="auto"/>
            <w:bottom w:val="none" w:sz="0" w:space="0" w:color="auto"/>
            <w:right w:val="none" w:sz="0" w:space="0" w:color="auto"/>
          </w:divBdr>
        </w:div>
      </w:divsChild>
    </w:div>
    <w:div w:id="1069766504">
      <w:marLeft w:val="0"/>
      <w:marRight w:val="0"/>
      <w:marTop w:val="0"/>
      <w:marBottom w:val="0"/>
      <w:divBdr>
        <w:top w:val="none" w:sz="0" w:space="0" w:color="auto"/>
        <w:left w:val="none" w:sz="0" w:space="0" w:color="auto"/>
        <w:bottom w:val="none" w:sz="0" w:space="0" w:color="auto"/>
        <w:right w:val="none" w:sz="0" w:space="0" w:color="auto"/>
      </w:divBdr>
    </w:div>
    <w:div w:id="1069766505">
      <w:marLeft w:val="0"/>
      <w:marRight w:val="0"/>
      <w:marTop w:val="0"/>
      <w:marBottom w:val="0"/>
      <w:divBdr>
        <w:top w:val="none" w:sz="0" w:space="0" w:color="auto"/>
        <w:left w:val="none" w:sz="0" w:space="0" w:color="auto"/>
        <w:bottom w:val="none" w:sz="0" w:space="0" w:color="auto"/>
        <w:right w:val="none" w:sz="0" w:space="0" w:color="auto"/>
      </w:divBdr>
    </w:div>
    <w:div w:id="1069766508">
      <w:marLeft w:val="0"/>
      <w:marRight w:val="0"/>
      <w:marTop w:val="0"/>
      <w:marBottom w:val="0"/>
      <w:divBdr>
        <w:top w:val="none" w:sz="0" w:space="0" w:color="auto"/>
        <w:left w:val="none" w:sz="0" w:space="0" w:color="auto"/>
        <w:bottom w:val="none" w:sz="0" w:space="0" w:color="auto"/>
        <w:right w:val="none" w:sz="0" w:space="0" w:color="auto"/>
      </w:divBdr>
    </w:div>
    <w:div w:id="1069766511">
      <w:marLeft w:val="0"/>
      <w:marRight w:val="0"/>
      <w:marTop w:val="0"/>
      <w:marBottom w:val="0"/>
      <w:divBdr>
        <w:top w:val="none" w:sz="0" w:space="0" w:color="auto"/>
        <w:left w:val="none" w:sz="0" w:space="0" w:color="auto"/>
        <w:bottom w:val="none" w:sz="0" w:space="0" w:color="auto"/>
        <w:right w:val="none" w:sz="0" w:space="0" w:color="auto"/>
      </w:divBdr>
      <w:divsChild>
        <w:div w:id="1069766332">
          <w:marLeft w:val="0"/>
          <w:marRight w:val="0"/>
          <w:marTop w:val="0"/>
          <w:marBottom w:val="0"/>
          <w:divBdr>
            <w:top w:val="none" w:sz="0" w:space="0" w:color="auto"/>
            <w:left w:val="none" w:sz="0" w:space="0" w:color="auto"/>
            <w:bottom w:val="none" w:sz="0" w:space="0" w:color="auto"/>
            <w:right w:val="none" w:sz="0" w:space="0" w:color="auto"/>
          </w:divBdr>
        </w:div>
      </w:divsChild>
    </w:div>
    <w:div w:id="1069766512">
      <w:marLeft w:val="0"/>
      <w:marRight w:val="0"/>
      <w:marTop w:val="0"/>
      <w:marBottom w:val="0"/>
      <w:divBdr>
        <w:top w:val="none" w:sz="0" w:space="0" w:color="auto"/>
        <w:left w:val="none" w:sz="0" w:space="0" w:color="auto"/>
        <w:bottom w:val="none" w:sz="0" w:space="0" w:color="auto"/>
        <w:right w:val="none" w:sz="0" w:space="0" w:color="auto"/>
      </w:divBdr>
    </w:div>
    <w:div w:id="1069766513">
      <w:marLeft w:val="0"/>
      <w:marRight w:val="0"/>
      <w:marTop w:val="0"/>
      <w:marBottom w:val="0"/>
      <w:divBdr>
        <w:top w:val="none" w:sz="0" w:space="0" w:color="auto"/>
        <w:left w:val="none" w:sz="0" w:space="0" w:color="auto"/>
        <w:bottom w:val="none" w:sz="0" w:space="0" w:color="auto"/>
        <w:right w:val="none" w:sz="0" w:space="0" w:color="auto"/>
      </w:divBdr>
    </w:div>
    <w:div w:id="1069766514">
      <w:marLeft w:val="0"/>
      <w:marRight w:val="0"/>
      <w:marTop w:val="0"/>
      <w:marBottom w:val="0"/>
      <w:divBdr>
        <w:top w:val="none" w:sz="0" w:space="0" w:color="auto"/>
        <w:left w:val="none" w:sz="0" w:space="0" w:color="auto"/>
        <w:bottom w:val="none" w:sz="0" w:space="0" w:color="auto"/>
        <w:right w:val="none" w:sz="0" w:space="0" w:color="auto"/>
      </w:divBdr>
    </w:div>
    <w:div w:id="1069766515">
      <w:marLeft w:val="0"/>
      <w:marRight w:val="0"/>
      <w:marTop w:val="0"/>
      <w:marBottom w:val="0"/>
      <w:divBdr>
        <w:top w:val="none" w:sz="0" w:space="0" w:color="auto"/>
        <w:left w:val="none" w:sz="0" w:space="0" w:color="auto"/>
        <w:bottom w:val="none" w:sz="0" w:space="0" w:color="auto"/>
        <w:right w:val="none" w:sz="0" w:space="0" w:color="auto"/>
      </w:divBdr>
    </w:div>
    <w:div w:id="1069766516">
      <w:marLeft w:val="0"/>
      <w:marRight w:val="0"/>
      <w:marTop w:val="0"/>
      <w:marBottom w:val="0"/>
      <w:divBdr>
        <w:top w:val="none" w:sz="0" w:space="0" w:color="auto"/>
        <w:left w:val="none" w:sz="0" w:space="0" w:color="auto"/>
        <w:bottom w:val="none" w:sz="0" w:space="0" w:color="auto"/>
        <w:right w:val="none" w:sz="0" w:space="0" w:color="auto"/>
      </w:divBdr>
    </w:div>
    <w:div w:id="1069766517">
      <w:marLeft w:val="0"/>
      <w:marRight w:val="0"/>
      <w:marTop w:val="0"/>
      <w:marBottom w:val="0"/>
      <w:divBdr>
        <w:top w:val="none" w:sz="0" w:space="0" w:color="auto"/>
        <w:left w:val="none" w:sz="0" w:space="0" w:color="auto"/>
        <w:bottom w:val="none" w:sz="0" w:space="0" w:color="auto"/>
        <w:right w:val="none" w:sz="0" w:space="0" w:color="auto"/>
      </w:divBdr>
      <w:divsChild>
        <w:div w:id="1069766869">
          <w:marLeft w:val="0"/>
          <w:marRight w:val="0"/>
          <w:marTop w:val="0"/>
          <w:marBottom w:val="0"/>
          <w:divBdr>
            <w:top w:val="none" w:sz="0" w:space="0" w:color="auto"/>
            <w:left w:val="none" w:sz="0" w:space="0" w:color="auto"/>
            <w:bottom w:val="none" w:sz="0" w:space="0" w:color="auto"/>
            <w:right w:val="none" w:sz="0" w:space="0" w:color="auto"/>
          </w:divBdr>
          <w:divsChild>
            <w:div w:id="1069766681">
              <w:marLeft w:val="15"/>
              <w:marRight w:val="0"/>
              <w:marTop w:val="0"/>
              <w:marBottom w:val="0"/>
              <w:divBdr>
                <w:top w:val="single" w:sz="6" w:space="0" w:color="C7C9CB"/>
                <w:left w:val="single" w:sz="6" w:space="8" w:color="C7C9CB"/>
                <w:bottom w:val="single" w:sz="6" w:space="0" w:color="C7C9CB"/>
                <w:right w:val="single" w:sz="6" w:space="8" w:color="C7C9CB"/>
              </w:divBdr>
              <w:divsChild>
                <w:div w:id="1069766335">
                  <w:marLeft w:val="0"/>
                  <w:marRight w:val="0"/>
                  <w:marTop w:val="0"/>
                  <w:marBottom w:val="0"/>
                  <w:divBdr>
                    <w:top w:val="none" w:sz="0" w:space="0" w:color="auto"/>
                    <w:left w:val="none" w:sz="0" w:space="0" w:color="auto"/>
                    <w:bottom w:val="none" w:sz="0" w:space="0" w:color="auto"/>
                    <w:right w:val="none" w:sz="0" w:space="0" w:color="auto"/>
                  </w:divBdr>
                  <w:divsChild>
                    <w:div w:id="106976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766518">
      <w:marLeft w:val="0"/>
      <w:marRight w:val="0"/>
      <w:marTop w:val="0"/>
      <w:marBottom w:val="0"/>
      <w:divBdr>
        <w:top w:val="none" w:sz="0" w:space="0" w:color="auto"/>
        <w:left w:val="none" w:sz="0" w:space="0" w:color="auto"/>
        <w:bottom w:val="none" w:sz="0" w:space="0" w:color="auto"/>
        <w:right w:val="none" w:sz="0" w:space="0" w:color="auto"/>
      </w:divBdr>
      <w:divsChild>
        <w:div w:id="1069766564">
          <w:marLeft w:val="0"/>
          <w:marRight w:val="0"/>
          <w:marTop w:val="0"/>
          <w:marBottom w:val="0"/>
          <w:divBdr>
            <w:top w:val="none" w:sz="0" w:space="0" w:color="auto"/>
            <w:left w:val="none" w:sz="0" w:space="0" w:color="auto"/>
            <w:bottom w:val="none" w:sz="0" w:space="0" w:color="auto"/>
            <w:right w:val="none" w:sz="0" w:space="0" w:color="auto"/>
          </w:divBdr>
        </w:div>
      </w:divsChild>
    </w:div>
    <w:div w:id="1069766521">
      <w:marLeft w:val="0"/>
      <w:marRight w:val="0"/>
      <w:marTop w:val="0"/>
      <w:marBottom w:val="0"/>
      <w:divBdr>
        <w:top w:val="none" w:sz="0" w:space="0" w:color="auto"/>
        <w:left w:val="none" w:sz="0" w:space="0" w:color="auto"/>
        <w:bottom w:val="none" w:sz="0" w:space="0" w:color="auto"/>
        <w:right w:val="none" w:sz="0" w:space="0" w:color="auto"/>
      </w:divBdr>
    </w:div>
    <w:div w:id="1069766522">
      <w:marLeft w:val="0"/>
      <w:marRight w:val="0"/>
      <w:marTop w:val="0"/>
      <w:marBottom w:val="0"/>
      <w:divBdr>
        <w:top w:val="none" w:sz="0" w:space="0" w:color="auto"/>
        <w:left w:val="none" w:sz="0" w:space="0" w:color="auto"/>
        <w:bottom w:val="none" w:sz="0" w:space="0" w:color="auto"/>
        <w:right w:val="none" w:sz="0" w:space="0" w:color="auto"/>
      </w:divBdr>
    </w:div>
    <w:div w:id="1069766523">
      <w:marLeft w:val="0"/>
      <w:marRight w:val="0"/>
      <w:marTop w:val="0"/>
      <w:marBottom w:val="0"/>
      <w:divBdr>
        <w:top w:val="none" w:sz="0" w:space="0" w:color="auto"/>
        <w:left w:val="none" w:sz="0" w:space="0" w:color="auto"/>
        <w:bottom w:val="none" w:sz="0" w:space="0" w:color="auto"/>
        <w:right w:val="none" w:sz="0" w:space="0" w:color="auto"/>
      </w:divBdr>
      <w:divsChild>
        <w:div w:id="1069766570">
          <w:marLeft w:val="0"/>
          <w:marRight w:val="0"/>
          <w:marTop w:val="0"/>
          <w:marBottom w:val="0"/>
          <w:divBdr>
            <w:top w:val="none" w:sz="0" w:space="0" w:color="auto"/>
            <w:left w:val="none" w:sz="0" w:space="0" w:color="auto"/>
            <w:bottom w:val="none" w:sz="0" w:space="0" w:color="auto"/>
            <w:right w:val="none" w:sz="0" w:space="0" w:color="auto"/>
          </w:divBdr>
          <w:divsChild>
            <w:div w:id="1069766874">
              <w:marLeft w:val="0"/>
              <w:marRight w:val="0"/>
              <w:marTop w:val="0"/>
              <w:marBottom w:val="0"/>
              <w:divBdr>
                <w:top w:val="none" w:sz="0" w:space="0" w:color="auto"/>
                <w:left w:val="none" w:sz="0" w:space="0" w:color="auto"/>
                <w:bottom w:val="none" w:sz="0" w:space="0" w:color="auto"/>
                <w:right w:val="none" w:sz="0" w:space="0" w:color="auto"/>
              </w:divBdr>
              <w:divsChild>
                <w:div w:id="106976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524">
      <w:marLeft w:val="0"/>
      <w:marRight w:val="0"/>
      <w:marTop w:val="0"/>
      <w:marBottom w:val="0"/>
      <w:divBdr>
        <w:top w:val="none" w:sz="0" w:space="0" w:color="auto"/>
        <w:left w:val="none" w:sz="0" w:space="0" w:color="auto"/>
        <w:bottom w:val="none" w:sz="0" w:space="0" w:color="auto"/>
        <w:right w:val="none" w:sz="0" w:space="0" w:color="auto"/>
      </w:divBdr>
    </w:div>
    <w:div w:id="1069766525">
      <w:marLeft w:val="0"/>
      <w:marRight w:val="0"/>
      <w:marTop w:val="0"/>
      <w:marBottom w:val="0"/>
      <w:divBdr>
        <w:top w:val="none" w:sz="0" w:space="0" w:color="auto"/>
        <w:left w:val="none" w:sz="0" w:space="0" w:color="auto"/>
        <w:bottom w:val="none" w:sz="0" w:space="0" w:color="auto"/>
        <w:right w:val="none" w:sz="0" w:space="0" w:color="auto"/>
      </w:divBdr>
    </w:div>
    <w:div w:id="1069766527">
      <w:marLeft w:val="0"/>
      <w:marRight w:val="0"/>
      <w:marTop w:val="0"/>
      <w:marBottom w:val="0"/>
      <w:divBdr>
        <w:top w:val="none" w:sz="0" w:space="0" w:color="auto"/>
        <w:left w:val="none" w:sz="0" w:space="0" w:color="auto"/>
        <w:bottom w:val="none" w:sz="0" w:space="0" w:color="auto"/>
        <w:right w:val="none" w:sz="0" w:space="0" w:color="auto"/>
      </w:divBdr>
      <w:divsChild>
        <w:div w:id="1069766451">
          <w:marLeft w:val="0"/>
          <w:marRight w:val="0"/>
          <w:marTop w:val="0"/>
          <w:marBottom w:val="0"/>
          <w:divBdr>
            <w:top w:val="none" w:sz="0" w:space="0" w:color="auto"/>
            <w:left w:val="none" w:sz="0" w:space="0" w:color="auto"/>
            <w:bottom w:val="none" w:sz="0" w:space="0" w:color="auto"/>
            <w:right w:val="none" w:sz="0" w:space="0" w:color="auto"/>
          </w:divBdr>
        </w:div>
      </w:divsChild>
    </w:div>
    <w:div w:id="1069766528">
      <w:marLeft w:val="0"/>
      <w:marRight w:val="0"/>
      <w:marTop w:val="0"/>
      <w:marBottom w:val="0"/>
      <w:divBdr>
        <w:top w:val="none" w:sz="0" w:space="0" w:color="auto"/>
        <w:left w:val="none" w:sz="0" w:space="0" w:color="auto"/>
        <w:bottom w:val="none" w:sz="0" w:space="0" w:color="auto"/>
        <w:right w:val="none" w:sz="0" w:space="0" w:color="auto"/>
      </w:divBdr>
    </w:div>
    <w:div w:id="1069766533">
      <w:marLeft w:val="0"/>
      <w:marRight w:val="0"/>
      <w:marTop w:val="0"/>
      <w:marBottom w:val="0"/>
      <w:divBdr>
        <w:top w:val="none" w:sz="0" w:space="0" w:color="auto"/>
        <w:left w:val="none" w:sz="0" w:space="0" w:color="auto"/>
        <w:bottom w:val="none" w:sz="0" w:space="0" w:color="auto"/>
        <w:right w:val="none" w:sz="0" w:space="0" w:color="auto"/>
      </w:divBdr>
    </w:div>
    <w:div w:id="1069766538">
      <w:marLeft w:val="0"/>
      <w:marRight w:val="0"/>
      <w:marTop w:val="0"/>
      <w:marBottom w:val="0"/>
      <w:divBdr>
        <w:top w:val="none" w:sz="0" w:space="0" w:color="auto"/>
        <w:left w:val="none" w:sz="0" w:space="0" w:color="auto"/>
        <w:bottom w:val="none" w:sz="0" w:space="0" w:color="auto"/>
        <w:right w:val="none" w:sz="0" w:space="0" w:color="auto"/>
      </w:divBdr>
    </w:div>
    <w:div w:id="1069766540">
      <w:marLeft w:val="0"/>
      <w:marRight w:val="0"/>
      <w:marTop w:val="0"/>
      <w:marBottom w:val="0"/>
      <w:divBdr>
        <w:top w:val="none" w:sz="0" w:space="0" w:color="auto"/>
        <w:left w:val="none" w:sz="0" w:space="0" w:color="auto"/>
        <w:bottom w:val="none" w:sz="0" w:space="0" w:color="auto"/>
        <w:right w:val="none" w:sz="0" w:space="0" w:color="auto"/>
      </w:divBdr>
    </w:div>
    <w:div w:id="1069766541">
      <w:marLeft w:val="0"/>
      <w:marRight w:val="0"/>
      <w:marTop w:val="0"/>
      <w:marBottom w:val="0"/>
      <w:divBdr>
        <w:top w:val="none" w:sz="0" w:space="0" w:color="auto"/>
        <w:left w:val="none" w:sz="0" w:space="0" w:color="auto"/>
        <w:bottom w:val="none" w:sz="0" w:space="0" w:color="auto"/>
        <w:right w:val="none" w:sz="0" w:space="0" w:color="auto"/>
      </w:divBdr>
    </w:div>
    <w:div w:id="1069766542">
      <w:marLeft w:val="0"/>
      <w:marRight w:val="0"/>
      <w:marTop w:val="0"/>
      <w:marBottom w:val="0"/>
      <w:divBdr>
        <w:top w:val="none" w:sz="0" w:space="0" w:color="auto"/>
        <w:left w:val="none" w:sz="0" w:space="0" w:color="auto"/>
        <w:bottom w:val="none" w:sz="0" w:space="0" w:color="auto"/>
        <w:right w:val="none" w:sz="0" w:space="0" w:color="auto"/>
      </w:divBdr>
    </w:div>
    <w:div w:id="1069766545">
      <w:marLeft w:val="0"/>
      <w:marRight w:val="0"/>
      <w:marTop w:val="0"/>
      <w:marBottom w:val="0"/>
      <w:divBdr>
        <w:top w:val="none" w:sz="0" w:space="0" w:color="auto"/>
        <w:left w:val="none" w:sz="0" w:space="0" w:color="auto"/>
        <w:bottom w:val="none" w:sz="0" w:space="0" w:color="auto"/>
        <w:right w:val="none" w:sz="0" w:space="0" w:color="auto"/>
      </w:divBdr>
    </w:div>
    <w:div w:id="1069766548">
      <w:marLeft w:val="0"/>
      <w:marRight w:val="0"/>
      <w:marTop w:val="0"/>
      <w:marBottom w:val="0"/>
      <w:divBdr>
        <w:top w:val="none" w:sz="0" w:space="0" w:color="auto"/>
        <w:left w:val="none" w:sz="0" w:space="0" w:color="auto"/>
        <w:bottom w:val="none" w:sz="0" w:space="0" w:color="auto"/>
        <w:right w:val="none" w:sz="0" w:space="0" w:color="auto"/>
      </w:divBdr>
    </w:div>
    <w:div w:id="1069766549">
      <w:marLeft w:val="0"/>
      <w:marRight w:val="0"/>
      <w:marTop w:val="0"/>
      <w:marBottom w:val="0"/>
      <w:divBdr>
        <w:top w:val="none" w:sz="0" w:space="0" w:color="auto"/>
        <w:left w:val="none" w:sz="0" w:space="0" w:color="auto"/>
        <w:bottom w:val="none" w:sz="0" w:space="0" w:color="auto"/>
        <w:right w:val="none" w:sz="0" w:space="0" w:color="auto"/>
      </w:divBdr>
    </w:div>
    <w:div w:id="1069766551">
      <w:marLeft w:val="0"/>
      <w:marRight w:val="0"/>
      <w:marTop w:val="0"/>
      <w:marBottom w:val="0"/>
      <w:divBdr>
        <w:top w:val="none" w:sz="0" w:space="0" w:color="auto"/>
        <w:left w:val="none" w:sz="0" w:space="0" w:color="auto"/>
        <w:bottom w:val="none" w:sz="0" w:space="0" w:color="auto"/>
        <w:right w:val="none" w:sz="0" w:space="0" w:color="auto"/>
      </w:divBdr>
    </w:div>
    <w:div w:id="1069766552">
      <w:marLeft w:val="0"/>
      <w:marRight w:val="0"/>
      <w:marTop w:val="0"/>
      <w:marBottom w:val="0"/>
      <w:divBdr>
        <w:top w:val="none" w:sz="0" w:space="0" w:color="auto"/>
        <w:left w:val="none" w:sz="0" w:space="0" w:color="auto"/>
        <w:bottom w:val="none" w:sz="0" w:space="0" w:color="auto"/>
        <w:right w:val="none" w:sz="0" w:space="0" w:color="auto"/>
      </w:divBdr>
    </w:div>
    <w:div w:id="1069766554">
      <w:marLeft w:val="0"/>
      <w:marRight w:val="0"/>
      <w:marTop w:val="0"/>
      <w:marBottom w:val="0"/>
      <w:divBdr>
        <w:top w:val="none" w:sz="0" w:space="0" w:color="auto"/>
        <w:left w:val="none" w:sz="0" w:space="0" w:color="auto"/>
        <w:bottom w:val="none" w:sz="0" w:space="0" w:color="auto"/>
        <w:right w:val="none" w:sz="0" w:space="0" w:color="auto"/>
      </w:divBdr>
    </w:div>
    <w:div w:id="1069766556">
      <w:marLeft w:val="0"/>
      <w:marRight w:val="0"/>
      <w:marTop w:val="0"/>
      <w:marBottom w:val="0"/>
      <w:divBdr>
        <w:top w:val="none" w:sz="0" w:space="0" w:color="auto"/>
        <w:left w:val="none" w:sz="0" w:space="0" w:color="auto"/>
        <w:bottom w:val="none" w:sz="0" w:space="0" w:color="auto"/>
        <w:right w:val="none" w:sz="0" w:space="0" w:color="auto"/>
      </w:divBdr>
      <w:divsChild>
        <w:div w:id="1069766376">
          <w:marLeft w:val="0"/>
          <w:marRight w:val="0"/>
          <w:marTop w:val="0"/>
          <w:marBottom w:val="0"/>
          <w:divBdr>
            <w:top w:val="none" w:sz="0" w:space="0" w:color="auto"/>
            <w:left w:val="none" w:sz="0" w:space="0" w:color="auto"/>
            <w:bottom w:val="none" w:sz="0" w:space="0" w:color="auto"/>
            <w:right w:val="none" w:sz="0" w:space="0" w:color="auto"/>
          </w:divBdr>
          <w:divsChild>
            <w:div w:id="1069766428">
              <w:marLeft w:val="0"/>
              <w:marRight w:val="0"/>
              <w:marTop w:val="0"/>
              <w:marBottom w:val="0"/>
              <w:divBdr>
                <w:top w:val="none" w:sz="0" w:space="0" w:color="auto"/>
                <w:left w:val="none" w:sz="0" w:space="0" w:color="auto"/>
                <w:bottom w:val="none" w:sz="0" w:space="0" w:color="auto"/>
                <w:right w:val="none" w:sz="0" w:space="0" w:color="auto"/>
              </w:divBdr>
              <w:divsChild>
                <w:div w:id="106976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557">
      <w:marLeft w:val="0"/>
      <w:marRight w:val="0"/>
      <w:marTop w:val="0"/>
      <w:marBottom w:val="0"/>
      <w:divBdr>
        <w:top w:val="none" w:sz="0" w:space="0" w:color="auto"/>
        <w:left w:val="none" w:sz="0" w:space="0" w:color="auto"/>
        <w:bottom w:val="none" w:sz="0" w:space="0" w:color="auto"/>
        <w:right w:val="none" w:sz="0" w:space="0" w:color="auto"/>
      </w:divBdr>
    </w:div>
    <w:div w:id="1069766558">
      <w:marLeft w:val="0"/>
      <w:marRight w:val="0"/>
      <w:marTop w:val="0"/>
      <w:marBottom w:val="0"/>
      <w:divBdr>
        <w:top w:val="none" w:sz="0" w:space="0" w:color="auto"/>
        <w:left w:val="none" w:sz="0" w:space="0" w:color="auto"/>
        <w:bottom w:val="none" w:sz="0" w:space="0" w:color="auto"/>
        <w:right w:val="none" w:sz="0" w:space="0" w:color="auto"/>
      </w:divBdr>
    </w:div>
    <w:div w:id="1069766560">
      <w:marLeft w:val="0"/>
      <w:marRight w:val="0"/>
      <w:marTop w:val="0"/>
      <w:marBottom w:val="0"/>
      <w:divBdr>
        <w:top w:val="none" w:sz="0" w:space="0" w:color="auto"/>
        <w:left w:val="none" w:sz="0" w:space="0" w:color="auto"/>
        <w:bottom w:val="none" w:sz="0" w:space="0" w:color="auto"/>
        <w:right w:val="none" w:sz="0" w:space="0" w:color="auto"/>
      </w:divBdr>
    </w:div>
    <w:div w:id="1069766561">
      <w:marLeft w:val="0"/>
      <w:marRight w:val="0"/>
      <w:marTop w:val="0"/>
      <w:marBottom w:val="0"/>
      <w:divBdr>
        <w:top w:val="none" w:sz="0" w:space="0" w:color="auto"/>
        <w:left w:val="none" w:sz="0" w:space="0" w:color="auto"/>
        <w:bottom w:val="none" w:sz="0" w:space="0" w:color="auto"/>
        <w:right w:val="none" w:sz="0" w:space="0" w:color="auto"/>
      </w:divBdr>
    </w:div>
    <w:div w:id="1069766563">
      <w:marLeft w:val="0"/>
      <w:marRight w:val="0"/>
      <w:marTop w:val="0"/>
      <w:marBottom w:val="0"/>
      <w:divBdr>
        <w:top w:val="none" w:sz="0" w:space="0" w:color="auto"/>
        <w:left w:val="none" w:sz="0" w:space="0" w:color="auto"/>
        <w:bottom w:val="none" w:sz="0" w:space="0" w:color="auto"/>
        <w:right w:val="none" w:sz="0" w:space="0" w:color="auto"/>
      </w:divBdr>
    </w:div>
    <w:div w:id="1069766566">
      <w:marLeft w:val="0"/>
      <w:marRight w:val="0"/>
      <w:marTop w:val="0"/>
      <w:marBottom w:val="0"/>
      <w:divBdr>
        <w:top w:val="none" w:sz="0" w:space="0" w:color="auto"/>
        <w:left w:val="none" w:sz="0" w:space="0" w:color="auto"/>
        <w:bottom w:val="none" w:sz="0" w:space="0" w:color="auto"/>
        <w:right w:val="none" w:sz="0" w:space="0" w:color="auto"/>
      </w:divBdr>
    </w:div>
    <w:div w:id="1069766567">
      <w:marLeft w:val="0"/>
      <w:marRight w:val="0"/>
      <w:marTop w:val="0"/>
      <w:marBottom w:val="0"/>
      <w:divBdr>
        <w:top w:val="none" w:sz="0" w:space="0" w:color="auto"/>
        <w:left w:val="none" w:sz="0" w:space="0" w:color="auto"/>
        <w:bottom w:val="none" w:sz="0" w:space="0" w:color="auto"/>
        <w:right w:val="none" w:sz="0" w:space="0" w:color="auto"/>
      </w:divBdr>
    </w:div>
    <w:div w:id="1069766569">
      <w:marLeft w:val="0"/>
      <w:marRight w:val="0"/>
      <w:marTop w:val="0"/>
      <w:marBottom w:val="0"/>
      <w:divBdr>
        <w:top w:val="none" w:sz="0" w:space="0" w:color="auto"/>
        <w:left w:val="none" w:sz="0" w:space="0" w:color="auto"/>
        <w:bottom w:val="none" w:sz="0" w:space="0" w:color="auto"/>
        <w:right w:val="none" w:sz="0" w:space="0" w:color="auto"/>
      </w:divBdr>
    </w:div>
    <w:div w:id="1069766571">
      <w:marLeft w:val="0"/>
      <w:marRight w:val="0"/>
      <w:marTop w:val="0"/>
      <w:marBottom w:val="0"/>
      <w:divBdr>
        <w:top w:val="none" w:sz="0" w:space="0" w:color="auto"/>
        <w:left w:val="none" w:sz="0" w:space="0" w:color="auto"/>
        <w:bottom w:val="none" w:sz="0" w:space="0" w:color="auto"/>
        <w:right w:val="none" w:sz="0" w:space="0" w:color="auto"/>
      </w:divBdr>
    </w:div>
    <w:div w:id="1069766572">
      <w:marLeft w:val="0"/>
      <w:marRight w:val="0"/>
      <w:marTop w:val="0"/>
      <w:marBottom w:val="0"/>
      <w:divBdr>
        <w:top w:val="none" w:sz="0" w:space="0" w:color="auto"/>
        <w:left w:val="none" w:sz="0" w:space="0" w:color="auto"/>
        <w:bottom w:val="none" w:sz="0" w:space="0" w:color="auto"/>
        <w:right w:val="none" w:sz="0" w:space="0" w:color="auto"/>
      </w:divBdr>
    </w:div>
    <w:div w:id="1069766573">
      <w:marLeft w:val="0"/>
      <w:marRight w:val="0"/>
      <w:marTop w:val="0"/>
      <w:marBottom w:val="0"/>
      <w:divBdr>
        <w:top w:val="none" w:sz="0" w:space="0" w:color="auto"/>
        <w:left w:val="none" w:sz="0" w:space="0" w:color="auto"/>
        <w:bottom w:val="none" w:sz="0" w:space="0" w:color="auto"/>
        <w:right w:val="none" w:sz="0" w:space="0" w:color="auto"/>
      </w:divBdr>
      <w:divsChild>
        <w:div w:id="1069766870">
          <w:marLeft w:val="0"/>
          <w:marRight w:val="0"/>
          <w:marTop w:val="0"/>
          <w:marBottom w:val="0"/>
          <w:divBdr>
            <w:top w:val="none" w:sz="0" w:space="0" w:color="auto"/>
            <w:left w:val="none" w:sz="0" w:space="0" w:color="auto"/>
            <w:bottom w:val="none" w:sz="0" w:space="0" w:color="auto"/>
            <w:right w:val="none" w:sz="0" w:space="0" w:color="auto"/>
          </w:divBdr>
        </w:div>
      </w:divsChild>
    </w:div>
    <w:div w:id="1069766574">
      <w:marLeft w:val="0"/>
      <w:marRight w:val="0"/>
      <w:marTop w:val="0"/>
      <w:marBottom w:val="0"/>
      <w:divBdr>
        <w:top w:val="none" w:sz="0" w:space="0" w:color="auto"/>
        <w:left w:val="none" w:sz="0" w:space="0" w:color="auto"/>
        <w:bottom w:val="none" w:sz="0" w:space="0" w:color="auto"/>
        <w:right w:val="none" w:sz="0" w:space="0" w:color="auto"/>
      </w:divBdr>
    </w:div>
    <w:div w:id="1069766575">
      <w:marLeft w:val="0"/>
      <w:marRight w:val="0"/>
      <w:marTop w:val="0"/>
      <w:marBottom w:val="0"/>
      <w:divBdr>
        <w:top w:val="none" w:sz="0" w:space="0" w:color="auto"/>
        <w:left w:val="none" w:sz="0" w:space="0" w:color="auto"/>
        <w:bottom w:val="none" w:sz="0" w:space="0" w:color="auto"/>
        <w:right w:val="none" w:sz="0" w:space="0" w:color="auto"/>
      </w:divBdr>
    </w:div>
    <w:div w:id="1069766576">
      <w:marLeft w:val="0"/>
      <w:marRight w:val="0"/>
      <w:marTop w:val="0"/>
      <w:marBottom w:val="0"/>
      <w:divBdr>
        <w:top w:val="none" w:sz="0" w:space="0" w:color="auto"/>
        <w:left w:val="none" w:sz="0" w:space="0" w:color="auto"/>
        <w:bottom w:val="none" w:sz="0" w:space="0" w:color="auto"/>
        <w:right w:val="none" w:sz="0" w:space="0" w:color="auto"/>
      </w:divBdr>
    </w:div>
    <w:div w:id="1069766577">
      <w:marLeft w:val="0"/>
      <w:marRight w:val="0"/>
      <w:marTop w:val="0"/>
      <w:marBottom w:val="0"/>
      <w:divBdr>
        <w:top w:val="none" w:sz="0" w:space="0" w:color="auto"/>
        <w:left w:val="none" w:sz="0" w:space="0" w:color="auto"/>
        <w:bottom w:val="none" w:sz="0" w:space="0" w:color="auto"/>
        <w:right w:val="none" w:sz="0" w:space="0" w:color="auto"/>
      </w:divBdr>
      <w:divsChild>
        <w:div w:id="1069766807">
          <w:marLeft w:val="0"/>
          <w:marRight w:val="0"/>
          <w:marTop w:val="0"/>
          <w:marBottom w:val="0"/>
          <w:divBdr>
            <w:top w:val="none" w:sz="0" w:space="0" w:color="auto"/>
            <w:left w:val="none" w:sz="0" w:space="0" w:color="auto"/>
            <w:bottom w:val="none" w:sz="0" w:space="0" w:color="auto"/>
            <w:right w:val="none" w:sz="0" w:space="0" w:color="auto"/>
          </w:divBdr>
        </w:div>
      </w:divsChild>
    </w:div>
    <w:div w:id="1069766578">
      <w:marLeft w:val="0"/>
      <w:marRight w:val="0"/>
      <w:marTop w:val="0"/>
      <w:marBottom w:val="0"/>
      <w:divBdr>
        <w:top w:val="none" w:sz="0" w:space="0" w:color="auto"/>
        <w:left w:val="none" w:sz="0" w:space="0" w:color="auto"/>
        <w:bottom w:val="none" w:sz="0" w:space="0" w:color="auto"/>
        <w:right w:val="none" w:sz="0" w:space="0" w:color="auto"/>
      </w:divBdr>
    </w:div>
    <w:div w:id="1069766579">
      <w:marLeft w:val="0"/>
      <w:marRight w:val="0"/>
      <w:marTop w:val="0"/>
      <w:marBottom w:val="0"/>
      <w:divBdr>
        <w:top w:val="none" w:sz="0" w:space="0" w:color="auto"/>
        <w:left w:val="none" w:sz="0" w:space="0" w:color="auto"/>
        <w:bottom w:val="none" w:sz="0" w:space="0" w:color="auto"/>
        <w:right w:val="none" w:sz="0" w:space="0" w:color="auto"/>
      </w:divBdr>
    </w:div>
    <w:div w:id="1069766580">
      <w:marLeft w:val="0"/>
      <w:marRight w:val="0"/>
      <w:marTop w:val="0"/>
      <w:marBottom w:val="0"/>
      <w:divBdr>
        <w:top w:val="none" w:sz="0" w:space="0" w:color="auto"/>
        <w:left w:val="none" w:sz="0" w:space="0" w:color="auto"/>
        <w:bottom w:val="none" w:sz="0" w:space="0" w:color="auto"/>
        <w:right w:val="none" w:sz="0" w:space="0" w:color="auto"/>
      </w:divBdr>
      <w:divsChild>
        <w:div w:id="1069766427">
          <w:marLeft w:val="0"/>
          <w:marRight w:val="0"/>
          <w:marTop w:val="0"/>
          <w:marBottom w:val="0"/>
          <w:divBdr>
            <w:top w:val="none" w:sz="0" w:space="0" w:color="auto"/>
            <w:left w:val="none" w:sz="0" w:space="0" w:color="auto"/>
            <w:bottom w:val="none" w:sz="0" w:space="0" w:color="auto"/>
            <w:right w:val="none" w:sz="0" w:space="0" w:color="auto"/>
          </w:divBdr>
          <w:divsChild>
            <w:div w:id="1069766707">
              <w:marLeft w:val="0"/>
              <w:marRight w:val="0"/>
              <w:marTop w:val="0"/>
              <w:marBottom w:val="0"/>
              <w:divBdr>
                <w:top w:val="none" w:sz="0" w:space="0" w:color="auto"/>
                <w:left w:val="none" w:sz="0" w:space="0" w:color="auto"/>
                <w:bottom w:val="none" w:sz="0" w:space="0" w:color="auto"/>
                <w:right w:val="none" w:sz="0" w:space="0" w:color="auto"/>
              </w:divBdr>
              <w:divsChild>
                <w:div w:id="106976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582">
      <w:marLeft w:val="0"/>
      <w:marRight w:val="0"/>
      <w:marTop w:val="0"/>
      <w:marBottom w:val="0"/>
      <w:divBdr>
        <w:top w:val="none" w:sz="0" w:space="0" w:color="auto"/>
        <w:left w:val="none" w:sz="0" w:space="0" w:color="auto"/>
        <w:bottom w:val="none" w:sz="0" w:space="0" w:color="auto"/>
        <w:right w:val="none" w:sz="0" w:space="0" w:color="auto"/>
      </w:divBdr>
    </w:div>
    <w:div w:id="1069766583">
      <w:marLeft w:val="0"/>
      <w:marRight w:val="0"/>
      <w:marTop w:val="0"/>
      <w:marBottom w:val="0"/>
      <w:divBdr>
        <w:top w:val="none" w:sz="0" w:space="0" w:color="auto"/>
        <w:left w:val="none" w:sz="0" w:space="0" w:color="auto"/>
        <w:bottom w:val="none" w:sz="0" w:space="0" w:color="auto"/>
        <w:right w:val="none" w:sz="0" w:space="0" w:color="auto"/>
      </w:divBdr>
      <w:divsChild>
        <w:div w:id="1069766772">
          <w:marLeft w:val="0"/>
          <w:marRight w:val="0"/>
          <w:marTop w:val="0"/>
          <w:marBottom w:val="0"/>
          <w:divBdr>
            <w:top w:val="none" w:sz="0" w:space="0" w:color="auto"/>
            <w:left w:val="none" w:sz="0" w:space="0" w:color="auto"/>
            <w:bottom w:val="none" w:sz="0" w:space="0" w:color="auto"/>
            <w:right w:val="none" w:sz="0" w:space="0" w:color="auto"/>
          </w:divBdr>
        </w:div>
      </w:divsChild>
    </w:div>
    <w:div w:id="1069766584">
      <w:marLeft w:val="0"/>
      <w:marRight w:val="0"/>
      <w:marTop w:val="0"/>
      <w:marBottom w:val="0"/>
      <w:divBdr>
        <w:top w:val="none" w:sz="0" w:space="0" w:color="auto"/>
        <w:left w:val="none" w:sz="0" w:space="0" w:color="auto"/>
        <w:bottom w:val="none" w:sz="0" w:space="0" w:color="auto"/>
        <w:right w:val="none" w:sz="0" w:space="0" w:color="auto"/>
      </w:divBdr>
    </w:div>
    <w:div w:id="1069766587">
      <w:marLeft w:val="0"/>
      <w:marRight w:val="0"/>
      <w:marTop w:val="0"/>
      <w:marBottom w:val="0"/>
      <w:divBdr>
        <w:top w:val="none" w:sz="0" w:space="0" w:color="auto"/>
        <w:left w:val="none" w:sz="0" w:space="0" w:color="auto"/>
        <w:bottom w:val="none" w:sz="0" w:space="0" w:color="auto"/>
        <w:right w:val="none" w:sz="0" w:space="0" w:color="auto"/>
      </w:divBdr>
      <w:divsChild>
        <w:div w:id="1069766606">
          <w:marLeft w:val="0"/>
          <w:marRight w:val="0"/>
          <w:marTop w:val="0"/>
          <w:marBottom w:val="0"/>
          <w:divBdr>
            <w:top w:val="none" w:sz="0" w:space="0" w:color="auto"/>
            <w:left w:val="none" w:sz="0" w:space="0" w:color="auto"/>
            <w:bottom w:val="none" w:sz="0" w:space="0" w:color="auto"/>
            <w:right w:val="none" w:sz="0" w:space="0" w:color="auto"/>
          </w:divBdr>
        </w:div>
      </w:divsChild>
    </w:div>
    <w:div w:id="1069766588">
      <w:marLeft w:val="0"/>
      <w:marRight w:val="0"/>
      <w:marTop w:val="0"/>
      <w:marBottom w:val="0"/>
      <w:divBdr>
        <w:top w:val="none" w:sz="0" w:space="0" w:color="auto"/>
        <w:left w:val="none" w:sz="0" w:space="0" w:color="auto"/>
        <w:bottom w:val="none" w:sz="0" w:space="0" w:color="auto"/>
        <w:right w:val="none" w:sz="0" w:space="0" w:color="auto"/>
      </w:divBdr>
      <w:divsChild>
        <w:div w:id="1069766404">
          <w:marLeft w:val="0"/>
          <w:marRight w:val="0"/>
          <w:marTop w:val="0"/>
          <w:marBottom w:val="0"/>
          <w:divBdr>
            <w:top w:val="none" w:sz="0" w:space="0" w:color="auto"/>
            <w:left w:val="none" w:sz="0" w:space="0" w:color="auto"/>
            <w:bottom w:val="none" w:sz="0" w:space="0" w:color="auto"/>
            <w:right w:val="none" w:sz="0" w:space="0" w:color="auto"/>
          </w:divBdr>
        </w:div>
      </w:divsChild>
    </w:div>
    <w:div w:id="1069766590">
      <w:marLeft w:val="0"/>
      <w:marRight w:val="0"/>
      <w:marTop w:val="0"/>
      <w:marBottom w:val="0"/>
      <w:divBdr>
        <w:top w:val="none" w:sz="0" w:space="0" w:color="auto"/>
        <w:left w:val="none" w:sz="0" w:space="0" w:color="auto"/>
        <w:bottom w:val="none" w:sz="0" w:space="0" w:color="auto"/>
        <w:right w:val="none" w:sz="0" w:space="0" w:color="auto"/>
      </w:divBdr>
    </w:div>
    <w:div w:id="1069766591">
      <w:marLeft w:val="0"/>
      <w:marRight w:val="0"/>
      <w:marTop w:val="0"/>
      <w:marBottom w:val="0"/>
      <w:divBdr>
        <w:top w:val="none" w:sz="0" w:space="0" w:color="auto"/>
        <w:left w:val="none" w:sz="0" w:space="0" w:color="auto"/>
        <w:bottom w:val="none" w:sz="0" w:space="0" w:color="auto"/>
        <w:right w:val="none" w:sz="0" w:space="0" w:color="auto"/>
      </w:divBdr>
    </w:div>
    <w:div w:id="1069766592">
      <w:marLeft w:val="0"/>
      <w:marRight w:val="0"/>
      <w:marTop w:val="0"/>
      <w:marBottom w:val="0"/>
      <w:divBdr>
        <w:top w:val="none" w:sz="0" w:space="0" w:color="auto"/>
        <w:left w:val="none" w:sz="0" w:space="0" w:color="auto"/>
        <w:bottom w:val="none" w:sz="0" w:space="0" w:color="auto"/>
        <w:right w:val="none" w:sz="0" w:space="0" w:color="auto"/>
      </w:divBdr>
    </w:div>
    <w:div w:id="1069766594">
      <w:marLeft w:val="0"/>
      <w:marRight w:val="0"/>
      <w:marTop w:val="0"/>
      <w:marBottom w:val="0"/>
      <w:divBdr>
        <w:top w:val="none" w:sz="0" w:space="0" w:color="auto"/>
        <w:left w:val="none" w:sz="0" w:space="0" w:color="auto"/>
        <w:bottom w:val="none" w:sz="0" w:space="0" w:color="auto"/>
        <w:right w:val="none" w:sz="0" w:space="0" w:color="auto"/>
      </w:divBdr>
    </w:div>
    <w:div w:id="1069766595">
      <w:marLeft w:val="0"/>
      <w:marRight w:val="0"/>
      <w:marTop w:val="0"/>
      <w:marBottom w:val="0"/>
      <w:divBdr>
        <w:top w:val="none" w:sz="0" w:space="0" w:color="auto"/>
        <w:left w:val="none" w:sz="0" w:space="0" w:color="auto"/>
        <w:bottom w:val="none" w:sz="0" w:space="0" w:color="auto"/>
        <w:right w:val="none" w:sz="0" w:space="0" w:color="auto"/>
      </w:divBdr>
    </w:div>
    <w:div w:id="1069766596">
      <w:marLeft w:val="0"/>
      <w:marRight w:val="0"/>
      <w:marTop w:val="0"/>
      <w:marBottom w:val="0"/>
      <w:divBdr>
        <w:top w:val="none" w:sz="0" w:space="0" w:color="auto"/>
        <w:left w:val="none" w:sz="0" w:space="0" w:color="auto"/>
        <w:bottom w:val="none" w:sz="0" w:space="0" w:color="auto"/>
        <w:right w:val="none" w:sz="0" w:space="0" w:color="auto"/>
      </w:divBdr>
    </w:div>
    <w:div w:id="1069766597">
      <w:marLeft w:val="0"/>
      <w:marRight w:val="0"/>
      <w:marTop w:val="0"/>
      <w:marBottom w:val="0"/>
      <w:divBdr>
        <w:top w:val="none" w:sz="0" w:space="0" w:color="auto"/>
        <w:left w:val="none" w:sz="0" w:space="0" w:color="auto"/>
        <w:bottom w:val="none" w:sz="0" w:space="0" w:color="auto"/>
        <w:right w:val="none" w:sz="0" w:space="0" w:color="auto"/>
      </w:divBdr>
    </w:div>
    <w:div w:id="1069766598">
      <w:marLeft w:val="0"/>
      <w:marRight w:val="0"/>
      <w:marTop w:val="0"/>
      <w:marBottom w:val="0"/>
      <w:divBdr>
        <w:top w:val="none" w:sz="0" w:space="0" w:color="auto"/>
        <w:left w:val="none" w:sz="0" w:space="0" w:color="auto"/>
        <w:bottom w:val="none" w:sz="0" w:space="0" w:color="auto"/>
        <w:right w:val="none" w:sz="0" w:space="0" w:color="auto"/>
      </w:divBdr>
    </w:div>
    <w:div w:id="1069766599">
      <w:marLeft w:val="0"/>
      <w:marRight w:val="0"/>
      <w:marTop w:val="0"/>
      <w:marBottom w:val="0"/>
      <w:divBdr>
        <w:top w:val="none" w:sz="0" w:space="0" w:color="auto"/>
        <w:left w:val="none" w:sz="0" w:space="0" w:color="auto"/>
        <w:bottom w:val="none" w:sz="0" w:space="0" w:color="auto"/>
        <w:right w:val="none" w:sz="0" w:space="0" w:color="auto"/>
      </w:divBdr>
      <w:divsChild>
        <w:div w:id="1069766763">
          <w:marLeft w:val="0"/>
          <w:marRight w:val="0"/>
          <w:marTop w:val="0"/>
          <w:marBottom w:val="0"/>
          <w:divBdr>
            <w:top w:val="none" w:sz="0" w:space="0" w:color="auto"/>
            <w:left w:val="none" w:sz="0" w:space="0" w:color="auto"/>
            <w:bottom w:val="none" w:sz="0" w:space="0" w:color="auto"/>
            <w:right w:val="none" w:sz="0" w:space="0" w:color="auto"/>
          </w:divBdr>
        </w:div>
      </w:divsChild>
    </w:div>
    <w:div w:id="1069766604">
      <w:marLeft w:val="0"/>
      <w:marRight w:val="0"/>
      <w:marTop w:val="0"/>
      <w:marBottom w:val="0"/>
      <w:divBdr>
        <w:top w:val="none" w:sz="0" w:space="0" w:color="auto"/>
        <w:left w:val="none" w:sz="0" w:space="0" w:color="auto"/>
        <w:bottom w:val="none" w:sz="0" w:space="0" w:color="auto"/>
        <w:right w:val="none" w:sz="0" w:space="0" w:color="auto"/>
      </w:divBdr>
    </w:div>
    <w:div w:id="1069766605">
      <w:marLeft w:val="0"/>
      <w:marRight w:val="0"/>
      <w:marTop w:val="0"/>
      <w:marBottom w:val="0"/>
      <w:divBdr>
        <w:top w:val="none" w:sz="0" w:space="0" w:color="auto"/>
        <w:left w:val="none" w:sz="0" w:space="0" w:color="auto"/>
        <w:bottom w:val="none" w:sz="0" w:space="0" w:color="auto"/>
        <w:right w:val="none" w:sz="0" w:space="0" w:color="auto"/>
      </w:divBdr>
      <w:divsChild>
        <w:div w:id="1069766543">
          <w:marLeft w:val="0"/>
          <w:marRight w:val="0"/>
          <w:marTop w:val="150"/>
          <w:marBottom w:val="0"/>
          <w:divBdr>
            <w:top w:val="none" w:sz="0" w:space="0" w:color="auto"/>
            <w:left w:val="none" w:sz="0" w:space="0" w:color="auto"/>
            <w:bottom w:val="none" w:sz="0" w:space="0" w:color="auto"/>
            <w:right w:val="none" w:sz="0" w:space="0" w:color="auto"/>
          </w:divBdr>
          <w:divsChild>
            <w:div w:id="1069766562">
              <w:marLeft w:val="0"/>
              <w:marRight w:val="0"/>
              <w:marTop w:val="0"/>
              <w:marBottom w:val="0"/>
              <w:divBdr>
                <w:top w:val="none" w:sz="0" w:space="0" w:color="auto"/>
                <w:left w:val="none" w:sz="0" w:space="0" w:color="auto"/>
                <w:bottom w:val="none" w:sz="0" w:space="0" w:color="auto"/>
                <w:right w:val="none" w:sz="0" w:space="0" w:color="auto"/>
              </w:divBdr>
              <w:divsChild>
                <w:div w:id="106976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607">
      <w:marLeft w:val="0"/>
      <w:marRight w:val="0"/>
      <w:marTop w:val="0"/>
      <w:marBottom w:val="0"/>
      <w:divBdr>
        <w:top w:val="none" w:sz="0" w:space="0" w:color="auto"/>
        <w:left w:val="none" w:sz="0" w:space="0" w:color="auto"/>
        <w:bottom w:val="none" w:sz="0" w:space="0" w:color="auto"/>
        <w:right w:val="none" w:sz="0" w:space="0" w:color="auto"/>
      </w:divBdr>
    </w:div>
    <w:div w:id="1069766608">
      <w:marLeft w:val="0"/>
      <w:marRight w:val="0"/>
      <w:marTop w:val="0"/>
      <w:marBottom w:val="0"/>
      <w:divBdr>
        <w:top w:val="none" w:sz="0" w:space="0" w:color="auto"/>
        <w:left w:val="none" w:sz="0" w:space="0" w:color="auto"/>
        <w:bottom w:val="none" w:sz="0" w:space="0" w:color="auto"/>
        <w:right w:val="none" w:sz="0" w:space="0" w:color="auto"/>
      </w:divBdr>
    </w:div>
    <w:div w:id="1069766609">
      <w:marLeft w:val="0"/>
      <w:marRight w:val="0"/>
      <w:marTop w:val="0"/>
      <w:marBottom w:val="0"/>
      <w:divBdr>
        <w:top w:val="none" w:sz="0" w:space="0" w:color="auto"/>
        <w:left w:val="none" w:sz="0" w:space="0" w:color="auto"/>
        <w:bottom w:val="none" w:sz="0" w:space="0" w:color="auto"/>
        <w:right w:val="none" w:sz="0" w:space="0" w:color="auto"/>
      </w:divBdr>
    </w:div>
    <w:div w:id="1069766610">
      <w:marLeft w:val="0"/>
      <w:marRight w:val="0"/>
      <w:marTop w:val="0"/>
      <w:marBottom w:val="0"/>
      <w:divBdr>
        <w:top w:val="none" w:sz="0" w:space="0" w:color="auto"/>
        <w:left w:val="none" w:sz="0" w:space="0" w:color="auto"/>
        <w:bottom w:val="none" w:sz="0" w:space="0" w:color="auto"/>
        <w:right w:val="none" w:sz="0" w:space="0" w:color="auto"/>
      </w:divBdr>
      <w:divsChild>
        <w:div w:id="1069766309">
          <w:marLeft w:val="0"/>
          <w:marRight w:val="0"/>
          <w:marTop w:val="0"/>
          <w:marBottom w:val="0"/>
          <w:divBdr>
            <w:top w:val="none" w:sz="0" w:space="0" w:color="auto"/>
            <w:left w:val="none" w:sz="0" w:space="0" w:color="auto"/>
            <w:bottom w:val="none" w:sz="0" w:space="0" w:color="auto"/>
            <w:right w:val="none" w:sz="0" w:space="0" w:color="auto"/>
          </w:divBdr>
          <w:divsChild>
            <w:div w:id="1069766651">
              <w:marLeft w:val="0"/>
              <w:marRight w:val="0"/>
              <w:marTop w:val="0"/>
              <w:marBottom w:val="0"/>
              <w:divBdr>
                <w:top w:val="none" w:sz="0" w:space="0" w:color="auto"/>
                <w:left w:val="none" w:sz="0" w:space="0" w:color="auto"/>
                <w:bottom w:val="none" w:sz="0" w:space="0" w:color="auto"/>
                <w:right w:val="none" w:sz="0" w:space="0" w:color="auto"/>
              </w:divBdr>
            </w:div>
            <w:div w:id="106976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613">
      <w:marLeft w:val="0"/>
      <w:marRight w:val="0"/>
      <w:marTop w:val="0"/>
      <w:marBottom w:val="0"/>
      <w:divBdr>
        <w:top w:val="none" w:sz="0" w:space="0" w:color="auto"/>
        <w:left w:val="none" w:sz="0" w:space="0" w:color="auto"/>
        <w:bottom w:val="none" w:sz="0" w:space="0" w:color="auto"/>
        <w:right w:val="none" w:sz="0" w:space="0" w:color="auto"/>
      </w:divBdr>
    </w:div>
    <w:div w:id="1069766615">
      <w:marLeft w:val="0"/>
      <w:marRight w:val="0"/>
      <w:marTop w:val="0"/>
      <w:marBottom w:val="0"/>
      <w:divBdr>
        <w:top w:val="none" w:sz="0" w:space="0" w:color="auto"/>
        <w:left w:val="none" w:sz="0" w:space="0" w:color="auto"/>
        <w:bottom w:val="none" w:sz="0" w:space="0" w:color="auto"/>
        <w:right w:val="none" w:sz="0" w:space="0" w:color="auto"/>
      </w:divBdr>
    </w:div>
    <w:div w:id="1069766617">
      <w:marLeft w:val="0"/>
      <w:marRight w:val="0"/>
      <w:marTop w:val="0"/>
      <w:marBottom w:val="0"/>
      <w:divBdr>
        <w:top w:val="none" w:sz="0" w:space="0" w:color="auto"/>
        <w:left w:val="none" w:sz="0" w:space="0" w:color="auto"/>
        <w:bottom w:val="none" w:sz="0" w:space="0" w:color="auto"/>
        <w:right w:val="none" w:sz="0" w:space="0" w:color="auto"/>
      </w:divBdr>
    </w:div>
    <w:div w:id="1069766618">
      <w:marLeft w:val="0"/>
      <w:marRight w:val="0"/>
      <w:marTop w:val="0"/>
      <w:marBottom w:val="0"/>
      <w:divBdr>
        <w:top w:val="none" w:sz="0" w:space="0" w:color="auto"/>
        <w:left w:val="none" w:sz="0" w:space="0" w:color="auto"/>
        <w:bottom w:val="none" w:sz="0" w:space="0" w:color="auto"/>
        <w:right w:val="none" w:sz="0" w:space="0" w:color="auto"/>
      </w:divBdr>
    </w:div>
    <w:div w:id="1069766620">
      <w:marLeft w:val="0"/>
      <w:marRight w:val="0"/>
      <w:marTop w:val="0"/>
      <w:marBottom w:val="0"/>
      <w:divBdr>
        <w:top w:val="none" w:sz="0" w:space="0" w:color="auto"/>
        <w:left w:val="none" w:sz="0" w:space="0" w:color="auto"/>
        <w:bottom w:val="none" w:sz="0" w:space="0" w:color="auto"/>
        <w:right w:val="none" w:sz="0" w:space="0" w:color="auto"/>
      </w:divBdr>
    </w:div>
    <w:div w:id="1069766621">
      <w:marLeft w:val="0"/>
      <w:marRight w:val="0"/>
      <w:marTop w:val="0"/>
      <w:marBottom w:val="0"/>
      <w:divBdr>
        <w:top w:val="none" w:sz="0" w:space="0" w:color="auto"/>
        <w:left w:val="none" w:sz="0" w:space="0" w:color="auto"/>
        <w:bottom w:val="none" w:sz="0" w:space="0" w:color="auto"/>
        <w:right w:val="none" w:sz="0" w:space="0" w:color="auto"/>
      </w:divBdr>
    </w:div>
    <w:div w:id="1069766624">
      <w:marLeft w:val="0"/>
      <w:marRight w:val="0"/>
      <w:marTop w:val="0"/>
      <w:marBottom w:val="0"/>
      <w:divBdr>
        <w:top w:val="none" w:sz="0" w:space="0" w:color="auto"/>
        <w:left w:val="none" w:sz="0" w:space="0" w:color="auto"/>
        <w:bottom w:val="none" w:sz="0" w:space="0" w:color="auto"/>
        <w:right w:val="none" w:sz="0" w:space="0" w:color="auto"/>
      </w:divBdr>
      <w:divsChild>
        <w:div w:id="1069766473">
          <w:marLeft w:val="0"/>
          <w:marRight w:val="0"/>
          <w:marTop w:val="0"/>
          <w:marBottom w:val="0"/>
          <w:divBdr>
            <w:top w:val="none" w:sz="0" w:space="0" w:color="auto"/>
            <w:left w:val="none" w:sz="0" w:space="0" w:color="auto"/>
            <w:bottom w:val="none" w:sz="0" w:space="0" w:color="auto"/>
            <w:right w:val="none" w:sz="0" w:space="0" w:color="auto"/>
          </w:divBdr>
          <w:divsChild>
            <w:div w:id="1069766355">
              <w:marLeft w:val="0"/>
              <w:marRight w:val="0"/>
              <w:marTop w:val="0"/>
              <w:marBottom w:val="0"/>
              <w:divBdr>
                <w:top w:val="none" w:sz="0" w:space="0" w:color="auto"/>
                <w:left w:val="none" w:sz="0" w:space="0" w:color="auto"/>
                <w:bottom w:val="none" w:sz="0" w:space="0" w:color="auto"/>
                <w:right w:val="none" w:sz="0" w:space="0" w:color="auto"/>
              </w:divBdr>
              <w:divsChild>
                <w:div w:id="106976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626">
      <w:marLeft w:val="0"/>
      <w:marRight w:val="0"/>
      <w:marTop w:val="0"/>
      <w:marBottom w:val="0"/>
      <w:divBdr>
        <w:top w:val="none" w:sz="0" w:space="0" w:color="auto"/>
        <w:left w:val="none" w:sz="0" w:space="0" w:color="auto"/>
        <w:bottom w:val="none" w:sz="0" w:space="0" w:color="auto"/>
        <w:right w:val="none" w:sz="0" w:space="0" w:color="auto"/>
      </w:divBdr>
    </w:div>
    <w:div w:id="1069766628">
      <w:marLeft w:val="0"/>
      <w:marRight w:val="0"/>
      <w:marTop w:val="0"/>
      <w:marBottom w:val="0"/>
      <w:divBdr>
        <w:top w:val="none" w:sz="0" w:space="0" w:color="auto"/>
        <w:left w:val="none" w:sz="0" w:space="0" w:color="auto"/>
        <w:bottom w:val="none" w:sz="0" w:space="0" w:color="auto"/>
        <w:right w:val="none" w:sz="0" w:space="0" w:color="auto"/>
      </w:divBdr>
    </w:div>
    <w:div w:id="1069766629">
      <w:marLeft w:val="0"/>
      <w:marRight w:val="0"/>
      <w:marTop w:val="0"/>
      <w:marBottom w:val="0"/>
      <w:divBdr>
        <w:top w:val="none" w:sz="0" w:space="0" w:color="auto"/>
        <w:left w:val="none" w:sz="0" w:space="0" w:color="auto"/>
        <w:bottom w:val="none" w:sz="0" w:space="0" w:color="auto"/>
        <w:right w:val="none" w:sz="0" w:space="0" w:color="auto"/>
      </w:divBdr>
    </w:div>
    <w:div w:id="1069766630">
      <w:marLeft w:val="0"/>
      <w:marRight w:val="0"/>
      <w:marTop w:val="0"/>
      <w:marBottom w:val="0"/>
      <w:divBdr>
        <w:top w:val="none" w:sz="0" w:space="0" w:color="auto"/>
        <w:left w:val="none" w:sz="0" w:space="0" w:color="auto"/>
        <w:bottom w:val="none" w:sz="0" w:space="0" w:color="auto"/>
        <w:right w:val="none" w:sz="0" w:space="0" w:color="auto"/>
      </w:divBdr>
    </w:div>
    <w:div w:id="1069766631">
      <w:marLeft w:val="0"/>
      <w:marRight w:val="0"/>
      <w:marTop w:val="0"/>
      <w:marBottom w:val="0"/>
      <w:divBdr>
        <w:top w:val="none" w:sz="0" w:space="0" w:color="auto"/>
        <w:left w:val="none" w:sz="0" w:space="0" w:color="auto"/>
        <w:bottom w:val="none" w:sz="0" w:space="0" w:color="auto"/>
        <w:right w:val="none" w:sz="0" w:space="0" w:color="auto"/>
      </w:divBdr>
    </w:div>
    <w:div w:id="1069766632">
      <w:marLeft w:val="0"/>
      <w:marRight w:val="0"/>
      <w:marTop w:val="0"/>
      <w:marBottom w:val="0"/>
      <w:divBdr>
        <w:top w:val="none" w:sz="0" w:space="0" w:color="auto"/>
        <w:left w:val="none" w:sz="0" w:space="0" w:color="auto"/>
        <w:bottom w:val="none" w:sz="0" w:space="0" w:color="auto"/>
        <w:right w:val="none" w:sz="0" w:space="0" w:color="auto"/>
      </w:divBdr>
    </w:div>
    <w:div w:id="1069766633">
      <w:marLeft w:val="0"/>
      <w:marRight w:val="0"/>
      <w:marTop w:val="0"/>
      <w:marBottom w:val="0"/>
      <w:divBdr>
        <w:top w:val="none" w:sz="0" w:space="0" w:color="auto"/>
        <w:left w:val="none" w:sz="0" w:space="0" w:color="auto"/>
        <w:bottom w:val="none" w:sz="0" w:space="0" w:color="auto"/>
        <w:right w:val="none" w:sz="0" w:space="0" w:color="auto"/>
      </w:divBdr>
    </w:div>
    <w:div w:id="1069766635">
      <w:marLeft w:val="0"/>
      <w:marRight w:val="0"/>
      <w:marTop w:val="0"/>
      <w:marBottom w:val="0"/>
      <w:divBdr>
        <w:top w:val="none" w:sz="0" w:space="0" w:color="auto"/>
        <w:left w:val="none" w:sz="0" w:space="0" w:color="auto"/>
        <w:bottom w:val="none" w:sz="0" w:space="0" w:color="auto"/>
        <w:right w:val="none" w:sz="0" w:space="0" w:color="auto"/>
      </w:divBdr>
    </w:div>
    <w:div w:id="1069766636">
      <w:marLeft w:val="0"/>
      <w:marRight w:val="0"/>
      <w:marTop w:val="0"/>
      <w:marBottom w:val="0"/>
      <w:divBdr>
        <w:top w:val="none" w:sz="0" w:space="0" w:color="auto"/>
        <w:left w:val="none" w:sz="0" w:space="0" w:color="auto"/>
        <w:bottom w:val="none" w:sz="0" w:space="0" w:color="auto"/>
        <w:right w:val="none" w:sz="0" w:space="0" w:color="auto"/>
      </w:divBdr>
    </w:div>
    <w:div w:id="1069766640">
      <w:marLeft w:val="0"/>
      <w:marRight w:val="0"/>
      <w:marTop w:val="0"/>
      <w:marBottom w:val="0"/>
      <w:divBdr>
        <w:top w:val="none" w:sz="0" w:space="0" w:color="auto"/>
        <w:left w:val="none" w:sz="0" w:space="0" w:color="auto"/>
        <w:bottom w:val="none" w:sz="0" w:space="0" w:color="auto"/>
        <w:right w:val="none" w:sz="0" w:space="0" w:color="auto"/>
      </w:divBdr>
    </w:div>
    <w:div w:id="1069766641">
      <w:marLeft w:val="0"/>
      <w:marRight w:val="0"/>
      <w:marTop w:val="0"/>
      <w:marBottom w:val="0"/>
      <w:divBdr>
        <w:top w:val="none" w:sz="0" w:space="0" w:color="auto"/>
        <w:left w:val="none" w:sz="0" w:space="0" w:color="auto"/>
        <w:bottom w:val="none" w:sz="0" w:space="0" w:color="auto"/>
        <w:right w:val="none" w:sz="0" w:space="0" w:color="auto"/>
      </w:divBdr>
    </w:div>
    <w:div w:id="1069766645">
      <w:marLeft w:val="0"/>
      <w:marRight w:val="0"/>
      <w:marTop w:val="0"/>
      <w:marBottom w:val="0"/>
      <w:divBdr>
        <w:top w:val="none" w:sz="0" w:space="0" w:color="auto"/>
        <w:left w:val="none" w:sz="0" w:space="0" w:color="auto"/>
        <w:bottom w:val="none" w:sz="0" w:space="0" w:color="auto"/>
        <w:right w:val="none" w:sz="0" w:space="0" w:color="auto"/>
      </w:divBdr>
      <w:divsChild>
        <w:div w:id="1069766823">
          <w:marLeft w:val="0"/>
          <w:marRight w:val="0"/>
          <w:marTop w:val="0"/>
          <w:marBottom w:val="0"/>
          <w:divBdr>
            <w:top w:val="none" w:sz="0" w:space="0" w:color="auto"/>
            <w:left w:val="none" w:sz="0" w:space="0" w:color="auto"/>
            <w:bottom w:val="none" w:sz="0" w:space="0" w:color="auto"/>
            <w:right w:val="none" w:sz="0" w:space="0" w:color="auto"/>
          </w:divBdr>
          <w:divsChild>
            <w:div w:id="1069766338">
              <w:marLeft w:val="0"/>
              <w:marRight w:val="0"/>
              <w:marTop w:val="0"/>
              <w:marBottom w:val="0"/>
              <w:divBdr>
                <w:top w:val="none" w:sz="0" w:space="0" w:color="auto"/>
                <w:left w:val="none" w:sz="0" w:space="0" w:color="auto"/>
                <w:bottom w:val="none" w:sz="0" w:space="0" w:color="auto"/>
                <w:right w:val="none" w:sz="0" w:space="0" w:color="auto"/>
              </w:divBdr>
              <w:divsChild>
                <w:div w:id="1069766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646">
      <w:marLeft w:val="0"/>
      <w:marRight w:val="0"/>
      <w:marTop w:val="0"/>
      <w:marBottom w:val="0"/>
      <w:divBdr>
        <w:top w:val="none" w:sz="0" w:space="0" w:color="auto"/>
        <w:left w:val="none" w:sz="0" w:space="0" w:color="auto"/>
        <w:bottom w:val="none" w:sz="0" w:space="0" w:color="auto"/>
        <w:right w:val="none" w:sz="0" w:space="0" w:color="auto"/>
      </w:divBdr>
      <w:divsChild>
        <w:div w:id="1069766327">
          <w:marLeft w:val="0"/>
          <w:marRight w:val="0"/>
          <w:marTop w:val="0"/>
          <w:marBottom w:val="0"/>
          <w:divBdr>
            <w:top w:val="none" w:sz="0" w:space="0" w:color="auto"/>
            <w:left w:val="none" w:sz="0" w:space="0" w:color="auto"/>
            <w:bottom w:val="none" w:sz="0" w:space="0" w:color="auto"/>
            <w:right w:val="none" w:sz="0" w:space="0" w:color="auto"/>
          </w:divBdr>
        </w:div>
      </w:divsChild>
    </w:div>
    <w:div w:id="1069766647">
      <w:marLeft w:val="0"/>
      <w:marRight w:val="0"/>
      <w:marTop w:val="0"/>
      <w:marBottom w:val="0"/>
      <w:divBdr>
        <w:top w:val="none" w:sz="0" w:space="0" w:color="auto"/>
        <w:left w:val="none" w:sz="0" w:space="0" w:color="auto"/>
        <w:bottom w:val="none" w:sz="0" w:space="0" w:color="auto"/>
        <w:right w:val="none" w:sz="0" w:space="0" w:color="auto"/>
      </w:divBdr>
    </w:div>
    <w:div w:id="1069766648">
      <w:marLeft w:val="0"/>
      <w:marRight w:val="0"/>
      <w:marTop w:val="0"/>
      <w:marBottom w:val="0"/>
      <w:divBdr>
        <w:top w:val="none" w:sz="0" w:space="0" w:color="auto"/>
        <w:left w:val="none" w:sz="0" w:space="0" w:color="auto"/>
        <w:bottom w:val="none" w:sz="0" w:space="0" w:color="auto"/>
        <w:right w:val="none" w:sz="0" w:space="0" w:color="auto"/>
      </w:divBdr>
    </w:div>
    <w:div w:id="1069766649">
      <w:marLeft w:val="0"/>
      <w:marRight w:val="0"/>
      <w:marTop w:val="0"/>
      <w:marBottom w:val="0"/>
      <w:divBdr>
        <w:top w:val="none" w:sz="0" w:space="0" w:color="auto"/>
        <w:left w:val="none" w:sz="0" w:space="0" w:color="auto"/>
        <w:bottom w:val="none" w:sz="0" w:space="0" w:color="auto"/>
        <w:right w:val="none" w:sz="0" w:space="0" w:color="auto"/>
      </w:divBdr>
    </w:div>
    <w:div w:id="1069766650">
      <w:marLeft w:val="0"/>
      <w:marRight w:val="0"/>
      <w:marTop w:val="0"/>
      <w:marBottom w:val="0"/>
      <w:divBdr>
        <w:top w:val="none" w:sz="0" w:space="0" w:color="auto"/>
        <w:left w:val="none" w:sz="0" w:space="0" w:color="auto"/>
        <w:bottom w:val="none" w:sz="0" w:space="0" w:color="auto"/>
        <w:right w:val="none" w:sz="0" w:space="0" w:color="auto"/>
      </w:divBdr>
    </w:div>
    <w:div w:id="1069766652">
      <w:marLeft w:val="0"/>
      <w:marRight w:val="0"/>
      <w:marTop w:val="0"/>
      <w:marBottom w:val="0"/>
      <w:divBdr>
        <w:top w:val="none" w:sz="0" w:space="0" w:color="auto"/>
        <w:left w:val="none" w:sz="0" w:space="0" w:color="auto"/>
        <w:bottom w:val="none" w:sz="0" w:space="0" w:color="auto"/>
        <w:right w:val="none" w:sz="0" w:space="0" w:color="auto"/>
      </w:divBdr>
    </w:div>
    <w:div w:id="1069766653">
      <w:marLeft w:val="0"/>
      <w:marRight w:val="0"/>
      <w:marTop w:val="0"/>
      <w:marBottom w:val="0"/>
      <w:divBdr>
        <w:top w:val="none" w:sz="0" w:space="0" w:color="auto"/>
        <w:left w:val="none" w:sz="0" w:space="0" w:color="auto"/>
        <w:bottom w:val="none" w:sz="0" w:space="0" w:color="auto"/>
        <w:right w:val="none" w:sz="0" w:space="0" w:color="auto"/>
      </w:divBdr>
    </w:div>
    <w:div w:id="1069766654">
      <w:marLeft w:val="0"/>
      <w:marRight w:val="0"/>
      <w:marTop w:val="0"/>
      <w:marBottom w:val="0"/>
      <w:divBdr>
        <w:top w:val="none" w:sz="0" w:space="0" w:color="auto"/>
        <w:left w:val="none" w:sz="0" w:space="0" w:color="auto"/>
        <w:bottom w:val="none" w:sz="0" w:space="0" w:color="auto"/>
        <w:right w:val="none" w:sz="0" w:space="0" w:color="auto"/>
      </w:divBdr>
    </w:div>
    <w:div w:id="1069766655">
      <w:marLeft w:val="0"/>
      <w:marRight w:val="0"/>
      <w:marTop w:val="0"/>
      <w:marBottom w:val="0"/>
      <w:divBdr>
        <w:top w:val="none" w:sz="0" w:space="0" w:color="auto"/>
        <w:left w:val="none" w:sz="0" w:space="0" w:color="auto"/>
        <w:bottom w:val="none" w:sz="0" w:space="0" w:color="auto"/>
        <w:right w:val="none" w:sz="0" w:space="0" w:color="auto"/>
      </w:divBdr>
    </w:div>
    <w:div w:id="1069766656">
      <w:marLeft w:val="0"/>
      <w:marRight w:val="0"/>
      <w:marTop w:val="0"/>
      <w:marBottom w:val="0"/>
      <w:divBdr>
        <w:top w:val="none" w:sz="0" w:space="0" w:color="auto"/>
        <w:left w:val="none" w:sz="0" w:space="0" w:color="auto"/>
        <w:bottom w:val="none" w:sz="0" w:space="0" w:color="auto"/>
        <w:right w:val="none" w:sz="0" w:space="0" w:color="auto"/>
      </w:divBdr>
      <w:divsChild>
        <w:div w:id="1069766531">
          <w:marLeft w:val="0"/>
          <w:marRight w:val="0"/>
          <w:marTop w:val="0"/>
          <w:marBottom w:val="0"/>
          <w:divBdr>
            <w:top w:val="none" w:sz="0" w:space="0" w:color="auto"/>
            <w:left w:val="none" w:sz="0" w:space="0" w:color="auto"/>
            <w:bottom w:val="none" w:sz="0" w:space="0" w:color="auto"/>
            <w:right w:val="none" w:sz="0" w:space="0" w:color="auto"/>
          </w:divBdr>
        </w:div>
        <w:div w:id="1069766534">
          <w:marLeft w:val="0"/>
          <w:marRight w:val="0"/>
          <w:marTop w:val="0"/>
          <w:marBottom w:val="0"/>
          <w:divBdr>
            <w:top w:val="none" w:sz="0" w:space="0" w:color="auto"/>
            <w:left w:val="none" w:sz="0" w:space="0" w:color="auto"/>
            <w:bottom w:val="dashed" w:sz="6" w:space="0" w:color="CCCCCC"/>
            <w:right w:val="none" w:sz="0" w:space="0" w:color="auto"/>
          </w:divBdr>
        </w:div>
      </w:divsChild>
    </w:div>
    <w:div w:id="1069766657">
      <w:marLeft w:val="0"/>
      <w:marRight w:val="0"/>
      <w:marTop w:val="0"/>
      <w:marBottom w:val="0"/>
      <w:divBdr>
        <w:top w:val="none" w:sz="0" w:space="0" w:color="auto"/>
        <w:left w:val="none" w:sz="0" w:space="0" w:color="auto"/>
        <w:bottom w:val="none" w:sz="0" w:space="0" w:color="auto"/>
        <w:right w:val="none" w:sz="0" w:space="0" w:color="auto"/>
      </w:divBdr>
    </w:div>
    <w:div w:id="1069766658">
      <w:marLeft w:val="0"/>
      <w:marRight w:val="0"/>
      <w:marTop w:val="0"/>
      <w:marBottom w:val="0"/>
      <w:divBdr>
        <w:top w:val="none" w:sz="0" w:space="0" w:color="auto"/>
        <w:left w:val="none" w:sz="0" w:space="0" w:color="auto"/>
        <w:bottom w:val="none" w:sz="0" w:space="0" w:color="auto"/>
        <w:right w:val="none" w:sz="0" w:space="0" w:color="auto"/>
      </w:divBdr>
    </w:div>
    <w:div w:id="1069766659">
      <w:marLeft w:val="0"/>
      <w:marRight w:val="0"/>
      <w:marTop w:val="0"/>
      <w:marBottom w:val="0"/>
      <w:divBdr>
        <w:top w:val="none" w:sz="0" w:space="0" w:color="auto"/>
        <w:left w:val="none" w:sz="0" w:space="0" w:color="auto"/>
        <w:bottom w:val="none" w:sz="0" w:space="0" w:color="auto"/>
        <w:right w:val="none" w:sz="0" w:space="0" w:color="auto"/>
      </w:divBdr>
      <w:divsChild>
        <w:div w:id="1069766296">
          <w:marLeft w:val="0"/>
          <w:marRight w:val="0"/>
          <w:marTop w:val="0"/>
          <w:marBottom w:val="0"/>
          <w:divBdr>
            <w:top w:val="none" w:sz="0" w:space="0" w:color="auto"/>
            <w:left w:val="none" w:sz="0" w:space="0" w:color="auto"/>
            <w:bottom w:val="none" w:sz="0" w:space="0" w:color="auto"/>
            <w:right w:val="none" w:sz="0" w:space="0" w:color="auto"/>
          </w:divBdr>
          <w:divsChild>
            <w:div w:id="1069766315">
              <w:marLeft w:val="15"/>
              <w:marRight w:val="0"/>
              <w:marTop w:val="0"/>
              <w:marBottom w:val="0"/>
              <w:divBdr>
                <w:top w:val="single" w:sz="6" w:space="0" w:color="C7C9CB"/>
                <w:left w:val="single" w:sz="6" w:space="8" w:color="C7C9CB"/>
                <w:bottom w:val="single" w:sz="6" w:space="0" w:color="C7C9CB"/>
                <w:right w:val="single" w:sz="6" w:space="8" w:color="C7C9CB"/>
              </w:divBdr>
              <w:divsChild>
                <w:div w:id="1069766509">
                  <w:marLeft w:val="0"/>
                  <w:marRight w:val="0"/>
                  <w:marTop w:val="0"/>
                  <w:marBottom w:val="0"/>
                  <w:divBdr>
                    <w:top w:val="none" w:sz="0" w:space="0" w:color="auto"/>
                    <w:left w:val="none" w:sz="0" w:space="0" w:color="auto"/>
                    <w:bottom w:val="none" w:sz="0" w:space="0" w:color="auto"/>
                    <w:right w:val="none" w:sz="0" w:space="0" w:color="auto"/>
                  </w:divBdr>
                  <w:divsChild>
                    <w:div w:id="1069766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766660">
      <w:marLeft w:val="0"/>
      <w:marRight w:val="0"/>
      <w:marTop w:val="0"/>
      <w:marBottom w:val="0"/>
      <w:divBdr>
        <w:top w:val="none" w:sz="0" w:space="0" w:color="auto"/>
        <w:left w:val="none" w:sz="0" w:space="0" w:color="auto"/>
        <w:bottom w:val="none" w:sz="0" w:space="0" w:color="auto"/>
        <w:right w:val="none" w:sz="0" w:space="0" w:color="auto"/>
      </w:divBdr>
      <w:divsChild>
        <w:div w:id="1069766708">
          <w:marLeft w:val="547"/>
          <w:marRight w:val="0"/>
          <w:marTop w:val="106"/>
          <w:marBottom w:val="0"/>
          <w:divBdr>
            <w:top w:val="none" w:sz="0" w:space="0" w:color="auto"/>
            <w:left w:val="none" w:sz="0" w:space="0" w:color="auto"/>
            <w:bottom w:val="none" w:sz="0" w:space="0" w:color="auto"/>
            <w:right w:val="none" w:sz="0" w:space="0" w:color="auto"/>
          </w:divBdr>
        </w:div>
      </w:divsChild>
    </w:div>
    <w:div w:id="1069766661">
      <w:marLeft w:val="0"/>
      <w:marRight w:val="0"/>
      <w:marTop w:val="0"/>
      <w:marBottom w:val="0"/>
      <w:divBdr>
        <w:top w:val="none" w:sz="0" w:space="0" w:color="auto"/>
        <w:left w:val="none" w:sz="0" w:space="0" w:color="auto"/>
        <w:bottom w:val="none" w:sz="0" w:space="0" w:color="auto"/>
        <w:right w:val="none" w:sz="0" w:space="0" w:color="auto"/>
      </w:divBdr>
    </w:div>
    <w:div w:id="1069766663">
      <w:marLeft w:val="0"/>
      <w:marRight w:val="0"/>
      <w:marTop w:val="0"/>
      <w:marBottom w:val="0"/>
      <w:divBdr>
        <w:top w:val="none" w:sz="0" w:space="0" w:color="auto"/>
        <w:left w:val="none" w:sz="0" w:space="0" w:color="auto"/>
        <w:bottom w:val="none" w:sz="0" w:space="0" w:color="auto"/>
        <w:right w:val="none" w:sz="0" w:space="0" w:color="auto"/>
      </w:divBdr>
    </w:div>
    <w:div w:id="1069766664">
      <w:marLeft w:val="0"/>
      <w:marRight w:val="0"/>
      <w:marTop w:val="0"/>
      <w:marBottom w:val="0"/>
      <w:divBdr>
        <w:top w:val="none" w:sz="0" w:space="0" w:color="auto"/>
        <w:left w:val="none" w:sz="0" w:space="0" w:color="auto"/>
        <w:bottom w:val="none" w:sz="0" w:space="0" w:color="auto"/>
        <w:right w:val="none" w:sz="0" w:space="0" w:color="auto"/>
      </w:divBdr>
    </w:div>
    <w:div w:id="1069766665">
      <w:marLeft w:val="0"/>
      <w:marRight w:val="0"/>
      <w:marTop w:val="0"/>
      <w:marBottom w:val="0"/>
      <w:divBdr>
        <w:top w:val="none" w:sz="0" w:space="0" w:color="auto"/>
        <w:left w:val="none" w:sz="0" w:space="0" w:color="auto"/>
        <w:bottom w:val="none" w:sz="0" w:space="0" w:color="auto"/>
        <w:right w:val="none" w:sz="0" w:space="0" w:color="auto"/>
      </w:divBdr>
    </w:div>
    <w:div w:id="1069766666">
      <w:marLeft w:val="0"/>
      <w:marRight w:val="0"/>
      <w:marTop w:val="0"/>
      <w:marBottom w:val="0"/>
      <w:divBdr>
        <w:top w:val="none" w:sz="0" w:space="0" w:color="auto"/>
        <w:left w:val="none" w:sz="0" w:space="0" w:color="auto"/>
        <w:bottom w:val="none" w:sz="0" w:space="0" w:color="auto"/>
        <w:right w:val="none" w:sz="0" w:space="0" w:color="auto"/>
      </w:divBdr>
    </w:div>
    <w:div w:id="1069766667">
      <w:marLeft w:val="0"/>
      <w:marRight w:val="0"/>
      <w:marTop w:val="0"/>
      <w:marBottom w:val="0"/>
      <w:divBdr>
        <w:top w:val="none" w:sz="0" w:space="0" w:color="auto"/>
        <w:left w:val="none" w:sz="0" w:space="0" w:color="auto"/>
        <w:bottom w:val="none" w:sz="0" w:space="0" w:color="auto"/>
        <w:right w:val="none" w:sz="0" w:space="0" w:color="auto"/>
      </w:divBdr>
      <w:divsChild>
        <w:div w:id="1069766536">
          <w:marLeft w:val="248"/>
          <w:marRight w:val="248"/>
          <w:marTop w:val="0"/>
          <w:marBottom w:val="248"/>
          <w:divBdr>
            <w:top w:val="none" w:sz="0" w:space="0" w:color="auto"/>
            <w:left w:val="none" w:sz="0" w:space="0" w:color="auto"/>
            <w:bottom w:val="none" w:sz="0" w:space="0" w:color="auto"/>
            <w:right w:val="none" w:sz="0" w:space="0" w:color="auto"/>
          </w:divBdr>
        </w:div>
      </w:divsChild>
    </w:div>
    <w:div w:id="1069766669">
      <w:marLeft w:val="0"/>
      <w:marRight w:val="0"/>
      <w:marTop w:val="0"/>
      <w:marBottom w:val="0"/>
      <w:divBdr>
        <w:top w:val="none" w:sz="0" w:space="0" w:color="auto"/>
        <w:left w:val="none" w:sz="0" w:space="0" w:color="auto"/>
        <w:bottom w:val="none" w:sz="0" w:space="0" w:color="auto"/>
        <w:right w:val="none" w:sz="0" w:space="0" w:color="auto"/>
      </w:divBdr>
    </w:div>
    <w:div w:id="1069766670">
      <w:marLeft w:val="0"/>
      <w:marRight w:val="0"/>
      <w:marTop w:val="0"/>
      <w:marBottom w:val="0"/>
      <w:divBdr>
        <w:top w:val="none" w:sz="0" w:space="0" w:color="auto"/>
        <w:left w:val="none" w:sz="0" w:space="0" w:color="auto"/>
        <w:bottom w:val="none" w:sz="0" w:space="0" w:color="auto"/>
        <w:right w:val="none" w:sz="0" w:space="0" w:color="auto"/>
      </w:divBdr>
    </w:div>
    <w:div w:id="1069766671">
      <w:marLeft w:val="0"/>
      <w:marRight w:val="0"/>
      <w:marTop w:val="0"/>
      <w:marBottom w:val="0"/>
      <w:divBdr>
        <w:top w:val="none" w:sz="0" w:space="0" w:color="auto"/>
        <w:left w:val="none" w:sz="0" w:space="0" w:color="auto"/>
        <w:bottom w:val="none" w:sz="0" w:space="0" w:color="auto"/>
        <w:right w:val="none" w:sz="0" w:space="0" w:color="auto"/>
      </w:divBdr>
    </w:div>
    <w:div w:id="1069766672">
      <w:marLeft w:val="0"/>
      <w:marRight w:val="0"/>
      <w:marTop w:val="0"/>
      <w:marBottom w:val="0"/>
      <w:divBdr>
        <w:top w:val="none" w:sz="0" w:space="0" w:color="auto"/>
        <w:left w:val="none" w:sz="0" w:space="0" w:color="auto"/>
        <w:bottom w:val="none" w:sz="0" w:space="0" w:color="auto"/>
        <w:right w:val="none" w:sz="0" w:space="0" w:color="auto"/>
      </w:divBdr>
    </w:div>
    <w:div w:id="1069766673">
      <w:marLeft w:val="0"/>
      <w:marRight w:val="0"/>
      <w:marTop w:val="0"/>
      <w:marBottom w:val="0"/>
      <w:divBdr>
        <w:top w:val="none" w:sz="0" w:space="0" w:color="auto"/>
        <w:left w:val="none" w:sz="0" w:space="0" w:color="auto"/>
        <w:bottom w:val="none" w:sz="0" w:space="0" w:color="auto"/>
        <w:right w:val="none" w:sz="0" w:space="0" w:color="auto"/>
      </w:divBdr>
      <w:divsChild>
        <w:div w:id="1069766500">
          <w:marLeft w:val="0"/>
          <w:marRight w:val="0"/>
          <w:marTop w:val="0"/>
          <w:marBottom w:val="0"/>
          <w:divBdr>
            <w:top w:val="none" w:sz="0" w:space="0" w:color="auto"/>
            <w:left w:val="none" w:sz="0" w:space="0" w:color="auto"/>
            <w:bottom w:val="none" w:sz="0" w:space="0" w:color="auto"/>
            <w:right w:val="none" w:sz="0" w:space="0" w:color="auto"/>
          </w:divBdr>
        </w:div>
      </w:divsChild>
    </w:div>
    <w:div w:id="1069766674">
      <w:marLeft w:val="0"/>
      <w:marRight w:val="0"/>
      <w:marTop w:val="0"/>
      <w:marBottom w:val="0"/>
      <w:divBdr>
        <w:top w:val="none" w:sz="0" w:space="0" w:color="auto"/>
        <w:left w:val="none" w:sz="0" w:space="0" w:color="auto"/>
        <w:bottom w:val="none" w:sz="0" w:space="0" w:color="auto"/>
        <w:right w:val="none" w:sz="0" w:space="0" w:color="auto"/>
      </w:divBdr>
    </w:div>
    <w:div w:id="1069766676">
      <w:marLeft w:val="0"/>
      <w:marRight w:val="0"/>
      <w:marTop w:val="0"/>
      <w:marBottom w:val="0"/>
      <w:divBdr>
        <w:top w:val="none" w:sz="0" w:space="0" w:color="auto"/>
        <w:left w:val="none" w:sz="0" w:space="0" w:color="auto"/>
        <w:bottom w:val="none" w:sz="0" w:space="0" w:color="auto"/>
        <w:right w:val="none" w:sz="0" w:space="0" w:color="auto"/>
      </w:divBdr>
      <w:divsChild>
        <w:div w:id="1069766477">
          <w:marLeft w:val="0"/>
          <w:marRight w:val="0"/>
          <w:marTop w:val="0"/>
          <w:marBottom w:val="0"/>
          <w:divBdr>
            <w:top w:val="none" w:sz="0" w:space="0" w:color="auto"/>
            <w:left w:val="none" w:sz="0" w:space="0" w:color="auto"/>
            <w:bottom w:val="none" w:sz="0" w:space="0" w:color="auto"/>
            <w:right w:val="none" w:sz="0" w:space="0" w:color="auto"/>
          </w:divBdr>
        </w:div>
      </w:divsChild>
    </w:div>
    <w:div w:id="1069766678">
      <w:marLeft w:val="0"/>
      <w:marRight w:val="0"/>
      <w:marTop w:val="0"/>
      <w:marBottom w:val="0"/>
      <w:divBdr>
        <w:top w:val="none" w:sz="0" w:space="0" w:color="auto"/>
        <w:left w:val="none" w:sz="0" w:space="0" w:color="auto"/>
        <w:bottom w:val="none" w:sz="0" w:space="0" w:color="auto"/>
        <w:right w:val="none" w:sz="0" w:space="0" w:color="auto"/>
      </w:divBdr>
    </w:div>
    <w:div w:id="1069766679">
      <w:marLeft w:val="0"/>
      <w:marRight w:val="0"/>
      <w:marTop w:val="0"/>
      <w:marBottom w:val="0"/>
      <w:divBdr>
        <w:top w:val="none" w:sz="0" w:space="0" w:color="auto"/>
        <w:left w:val="none" w:sz="0" w:space="0" w:color="auto"/>
        <w:bottom w:val="none" w:sz="0" w:space="0" w:color="auto"/>
        <w:right w:val="none" w:sz="0" w:space="0" w:color="auto"/>
      </w:divBdr>
      <w:divsChild>
        <w:div w:id="1069766434">
          <w:marLeft w:val="0"/>
          <w:marRight w:val="0"/>
          <w:marTop w:val="0"/>
          <w:marBottom w:val="0"/>
          <w:divBdr>
            <w:top w:val="none" w:sz="0" w:space="0" w:color="auto"/>
            <w:left w:val="none" w:sz="0" w:space="0" w:color="auto"/>
            <w:bottom w:val="none" w:sz="0" w:space="0" w:color="auto"/>
            <w:right w:val="none" w:sz="0" w:space="0" w:color="auto"/>
          </w:divBdr>
        </w:div>
      </w:divsChild>
    </w:div>
    <w:div w:id="1069766683">
      <w:marLeft w:val="0"/>
      <w:marRight w:val="0"/>
      <w:marTop w:val="0"/>
      <w:marBottom w:val="0"/>
      <w:divBdr>
        <w:top w:val="none" w:sz="0" w:space="0" w:color="auto"/>
        <w:left w:val="none" w:sz="0" w:space="0" w:color="auto"/>
        <w:bottom w:val="none" w:sz="0" w:space="0" w:color="auto"/>
        <w:right w:val="none" w:sz="0" w:space="0" w:color="auto"/>
      </w:divBdr>
    </w:div>
    <w:div w:id="1069766684">
      <w:marLeft w:val="0"/>
      <w:marRight w:val="0"/>
      <w:marTop w:val="0"/>
      <w:marBottom w:val="0"/>
      <w:divBdr>
        <w:top w:val="none" w:sz="0" w:space="0" w:color="auto"/>
        <w:left w:val="none" w:sz="0" w:space="0" w:color="auto"/>
        <w:bottom w:val="none" w:sz="0" w:space="0" w:color="auto"/>
        <w:right w:val="none" w:sz="0" w:space="0" w:color="auto"/>
      </w:divBdr>
      <w:divsChild>
        <w:div w:id="1069766425">
          <w:marLeft w:val="547"/>
          <w:marRight w:val="0"/>
          <w:marTop w:val="96"/>
          <w:marBottom w:val="0"/>
          <w:divBdr>
            <w:top w:val="none" w:sz="0" w:space="0" w:color="auto"/>
            <w:left w:val="none" w:sz="0" w:space="0" w:color="auto"/>
            <w:bottom w:val="none" w:sz="0" w:space="0" w:color="auto"/>
            <w:right w:val="none" w:sz="0" w:space="0" w:color="auto"/>
          </w:divBdr>
        </w:div>
      </w:divsChild>
    </w:div>
    <w:div w:id="1069766685">
      <w:marLeft w:val="0"/>
      <w:marRight w:val="0"/>
      <w:marTop w:val="0"/>
      <w:marBottom w:val="0"/>
      <w:divBdr>
        <w:top w:val="none" w:sz="0" w:space="0" w:color="auto"/>
        <w:left w:val="none" w:sz="0" w:space="0" w:color="auto"/>
        <w:bottom w:val="none" w:sz="0" w:space="0" w:color="auto"/>
        <w:right w:val="none" w:sz="0" w:space="0" w:color="auto"/>
      </w:divBdr>
    </w:div>
    <w:div w:id="1069766686">
      <w:marLeft w:val="0"/>
      <w:marRight w:val="0"/>
      <w:marTop w:val="0"/>
      <w:marBottom w:val="0"/>
      <w:divBdr>
        <w:top w:val="none" w:sz="0" w:space="0" w:color="auto"/>
        <w:left w:val="none" w:sz="0" w:space="0" w:color="auto"/>
        <w:bottom w:val="none" w:sz="0" w:space="0" w:color="auto"/>
        <w:right w:val="none" w:sz="0" w:space="0" w:color="auto"/>
      </w:divBdr>
    </w:div>
    <w:div w:id="1069766687">
      <w:marLeft w:val="0"/>
      <w:marRight w:val="0"/>
      <w:marTop w:val="0"/>
      <w:marBottom w:val="0"/>
      <w:divBdr>
        <w:top w:val="none" w:sz="0" w:space="0" w:color="auto"/>
        <w:left w:val="none" w:sz="0" w:space="0" w:color="auto"/>
        <w:bottom w:val="none" w:sz="0" w:space="0" w:color="auto"/>
        <w:right w:val="none" w:sz="0" w:space="0" w:color="auto"/>
      </w:divBdr>
      <w:divsChild>
        <w:div w:id="1069766643">
          <w:marLeft w:val="0"/>
          <w:marRight w:val="0"/>
          <w:marTop w:val="0"/>
          <w:marBottom w:val="0"/>
          <w:divBdr>
            <w:top w:val="none" w:sz="0" w:space="0" w:color="auto"/>
            <w:left w:val="none" w:sz="0" w:space="0" w:color="auto"/>
            <w:bottom w:val="none" w:sz="0" w:space="0" w:color="auto"/>
            <w:right w:val="none" w:sz="0" w:space="0" w:color="auto"/>
          </w:divBdr>
        </w:div>
      </w:divsChild>
    </w:div>
    <w:div w:id="1069766688">
      <w:marLeft w:val="0"/>
      <w:marRight w:val="0"/>
      <w:marTop w:val="0"/>
      <w:marBottom w:val="0"/>
      <w:divBdr>
        <w:top w:val="none" w:sz="0" w:space="0" w:color="auto"/>
        <w:left w:val="none" w:sz="0" w:space="0" w:color="auto"/>
        <w:bottom w:val="none" w:sz="0" w:space="0" w:color="auto"/>
        <w:right w:val="none" w:sz="0" w:space="0" w:color="auto"/>
      </w:divBdr>
    </w:div>
    <w:div w:id="1069766689">
      <w:marLeft w:val="0"/>
      <w:marRight w:val="0"/>
      <w:marTop w:val="0"/>
      <w:marBottom w:val="0"/>
      <w:divBdr>
        <w:top w:val="none" w:sz="0" w:space="0" w:color="auto"/>
        <w:left w:val="none" w:sz="0" w:space="0" w:color="auto"/>
        <w:bottom w:val="none" w:sz="0" w:space="0" w:color="auto"/>
        <w:right w:val="none" w:sz="0" w:space="0" w:color="auto"/>
      </w:divBdr>
    </w:div>
    <w:div w:id="1069766691">
      <w:marLeft w:val="0"/>
      <w:marRight w:val="0"/>
      <w:marTop w:val="0"/>
      <w:marBottom w:val="0"/>
      <w:divBdr>
        <w:top w:val="none" w:sz="0" w:space="0" w:color="auto"/>
        <w:left w:val="none" w:sz="0" w:space="0" w:color="auto"/>
        <w:bottom w:val="none" w:sz="0" w:space="0" w:color="auto"/>
        <w:right w:val="none" w:sz="0" w:space="0" w:color="auto"/>
      </w:divBdr>
    </w:div>
    <w:div w:id="1069766692">
      <w:marLeft w:val="0"/>
      <w:marRight w:val="0"/>
      <w:marTop w:val="0"/>
      <w:marBottom w:val="0"/>
      <w:divBdr>
        <w:top w:val="none" w:sz="0" w:space="0" w:color="auto"/>
        <w:left w:val="none" w:sz="0" w:space="0" w:color="auto"/>
        <w:bottom w:val="none" w:sz="0" w:space="0" w:color="auto"/>
        <w:right w:val="none" w:sz="0" w:space="0" w:color="auto"/>
      </w:divBdr>
      <w:divsChild>
        <w:div w:id="1069766334">
          <w:marLeft w:val="0"/>
          <w:marRight w:val="0"/>
          <w:marTop w:val="0"/>
          <w:marBottom w:val="0"/>
          <w:divBdr>
            <w:top w:val="none" w:sz="0" w:space="0" w:color="auto"/>
            <w:left w:val="none" w:sz="0" w:space="0" w:color="auto"/>
            <w:bottom w:val="none" w:sz="0" w:space="0" w:color="auto"/>
            <w:right w:val="none" w:sz="0" w:space="0" w:color="auto"/>
          </w:divBdr>
        </w:div>
      </w:divsChild>
    </w:div>
    <w:div w:id="1069766693">
      <w:marLeft w:val="0"/>
      <w:marRight w:val="0"/>
      <w:marTop w:val="0"/>
      <w:marBottom w:val="0"/>
      <w:divBdr>
        <w:top w:val="none" w:sz="0" w:space="0" w:color="auto"/>
        <w:left w:val="none" w:sz="0" w:space="0" w:color="auto"/>
        <w:bottom w:val="none" w:sz="0" w:space="0" w:color="auto"/>
        <w:right w:val="none" w:sz="0" w:space="0" w:color="auto"/>
      </w:divBdr>
    </w:div>
    <w:div w:id="1069766695">
      <w:marLeft w:val="0"/>
      <w:marRight w:val="0"/>
      <w:marTop w:val="0"/>
      <w:marBottom w:val="0"/>
      <w:divBdr>
        <w:top w:val="none" w:sz="0" w:space="0" w:color="auto"/>
        <w:left w:val="none" w:sz="0" w:space="0" w:color="auto"/>
        <w:bottom w:val="none" w:sz="0" w:space="0" w:color="auto"/>
        <w:right w:val="none" w:sz="0" w:space="0" w:color="auto"/>
      </w:divBdr>
    </w:div>
    <w:div w:id="1069766696">
      <w:marLeft w:val="0"/>
      <w:marRight w:val="0"/>
      <w:marTop w:val="0"/>
      <w:marBottom w:val="0"/>
      <w:divBdr>
        <w:top w:val="none" w:sz="0" w:space="0" w:color="auto"/>
        <w:left w:val="none" w:sz="0" w:space="0" w:color="auto"/>
        <w:bottom w:val="none" w:sz="0" w:space="0" w:color="auto"/>
        <w:right w:val="none" w:sz="0" w:space="0" w:color="auto"/>
      </w:divBdr>
    </w:div>
    <w:div w:id="1069766697">
      <w:marLeft w:val="0"/>
      <w:marRight w:val="0"/>
      <w:marTop w:val="0"/>
      <w:marBottom w:val="0"/>
      <w:divBdr>
        <w:top w:val="none" w:sz="0" w:space="0" w:color="auto"/>
        <w:left w:val="none" w:sz="0" w:space="0" w:color="auto"/>
        <w:bottom w:val="none" w:sz="0" w:space="0" w:color="auto"/>
        <w:right w:val="none" w:sz="0" w:space="0" w:color="auto"/>
      </w:divBdr>
    </w:div>
    <w:div w:id="1069766700">
      <w:marLeft w:val="0"/>
      <w:marRight w:val="0"/>
      <w:marTop w:val="0"/>
      <w:marBottom w:val="0"/>
      <w:divBdr>
        <w:top w:val="none" w:sz="0" w:space="0" w:color="auto"/>
        <w:left w:val="none" w:sz="0" w:space="0" w:color="auto"/>
        <w:bottom w:val="none" w:sz="0" w:space="0" w:color="auto"/>
        <w:right w:val="none" w:sz="0" w:space="0" w:color="auto"/>
      </w:divBdr>
    </w:div>
    <w:div w:id="1069766701">
      <w:marLeft w:val="0"/>
      <w:marRight w:val="0"/>
      <w:marTop w:val="0"/>
      <w:marBottom w:val="0"/>
      <w:divBdr>
        <w:top w:val="none" w:sz="0" w:space="0" w:color="auto"/>
        <w:left w:val="none" w:sz="0" w:space="0" w:color="auto"/>
        <w:bottom w:val="none" w:sz="0" w:space="0" w:color="auto"/>
        <w:right w:val="none" w:sz="0" w:space="0" w:color="auto"/>
      </w:divBdr>
      <w:divsChild>
        <w:div w:id="1069766483">
          <w:marLeft w:val="0"/>
          <w:marRight w:val="0"/>
          <w:marTop w:val="0"/>
          <w:marBottom w:val="0"/>
          <w:divBdr>
            <w:top w:val="none" w:sz="0" w:space="0" w:color="auto"/>
            <w:left w:val="none" w:sz="0" w:space="0" w:color="auto"/>
            <w:bottom w:val="dashed" w:sz="6" w:space="0" w:color="CCCCCC"/>
            <w:right w:val="none" w:sz="0" w:space="0" w:color="auto"/>
          </w:divBdr>
        </w:div>
        <w:div w:id="1069766871">
          <w:marLeft w:val="0"/>
          <w:marRight w:val="0"/>
          <w:marTop w:val="0"/>
          <w:marBottom w:val="0"/>
          <w:divBdr>
            <w:top w:val="none" w:sz="0" w:space="0" w:color="auto"/>
            <w:left w:val="none" w:sz="0" w:space="0" w:color="auto"/>
            <w:bottom w:val="none" w:sz="0" w:space="0" w:color="auto"/>
            <w:right w:val="none" w:sz="0" w:space="0" w:color="auto"/>
          </w:divBdr>
        </w:div>
      </w:divsChild>
    </w:div>
    <w:div w:id="1069766703">
      <w:marLeft w:val="0"/>
      <w:marRight w:val="0"/>
      <w:marTop w:val="0"/>
      <w:marBottom w:val="0"/>
      <w:divBdr>
        <w:top w:val="none" w:sz="0" w:space="0" w:color="auto"/>
        <w:left w:val="none" w:sz="0" w:space="0" w:color="auto"/>
        <w:bottom w:val="none" w:sz="0" w:space="0" w:color="auto"/>
        <w:right w:val="none" w:sz="0" w:space="0" w:color="auto"/>
      </w:divBdr>
    </w:div>
    <w:div w:id="1069766704">
      <w:marLeft w:val="0"/>
      <w:marRight w:val="0"/>
      <w:marTop w:val="0"/>
      <w:marBottom w:val="0"/>
      <w:divBdr>
        <w:top w:val="none" w:sz="0" w:space="0" w:color="auto"/>
        <w:left w:val="none" w:sz="0" w:space="0" w:color="auto"/>
        <w:bottom w:val="none" w:sz="0" w:space="0" w:color="auto"/>
        <w:right w:val="none" w:sz="0" w:space="0" w:color="auto"/>
      </w:divBdr>
    </w:div>
    <w:div w:id="1069766706">
      <w:marLeft w:val="0"/>
      <w:marRight w:val="0"/>
      <w:marTop w:val="0"/>
      <w:marBottom w:val="0"/>
      <w:divBdr>
        <w:top w:val="none" w:sz="0" w:space="0" w:color="auto"/>
        <w:left w:val="none" w:sz="0" w:space="0" w:color="auto"/>
        <w:bottom w:val="none" w:sz="0" w:space="0" w:color="auto"/>
        <w:right w:val="none" w:sz="0" w:space="0" w:color="auto"/>
      </w:divBdr>
    </w:div>
    <w:div w:id="1069766709">
      <w:marLeft w:val="0"/>
      <w:marRight w:val="0"/>
      <w:marTop w:val="0"/>
      <w:marBottom w:val="0"/>
      <w:divBdr>
        <w:top w:val="none" w:sz="0" w:space="0" w:color="auto"/>
        <w:left w:val="none" w:sz="0" w:space="0" w:color="auto"/>
        <w:bottom w:val="none" w:sz="0" w:space="0" w:color="auto"/>
        <w:right w:val="none" w:sz="0" w:space="0" w:color="auto"/>
      </w:divBdr>
    </w:div>
    <w:div w:id="1069766710">
      <w:marLeft w:val="0"/>
      <w:marRight w:val="0"/>
      <w:marTop w:val="0"/>
      <w:marBottom w:val="0"/>
      <w:divBdr>
        <w:top w:val="none" w:sz="0" w:space="0" w:color="auto"/>
        <w:left w:val="none" w:sz="0" w:space="0" w:color="auto"/>
        <w:bottom w:val="none" w:sz="0" w:space="0" w:color="auto"/>
        <w:right w:val="none" w:sz="0" w:space="0" w:color="auto"/>
      </w:divBdr>
    </w:div>
    <w:div w:id="1069766712">
      <w:marLeft w:val="0"/>
      <w:marRight w:val="0"/>
      <w:marTop w:val="0"/>
      <w:marBottom w:val="0"/>
      <w:divBdr>
        <w:top w:val="none" w:sz="0" w:space="0" w:color="auto"/>
        <w:left w:val="none" w:sz="0" w:space="0" w:color="auto"/>
        <w:bottom w:val="none" w:sz="0" w:space="0" w:color="auto"/>
        <w:right w:val="none" w:sz="0" w:space="0" w:color="auto"/>
      </w:divBdr>
    </w:div>
    <w:div w:id="1069766713">
      <w:marLeft w:val="0"/>
      <w:marRight w:val="0"/>
      <w:marTop w:val="0"/>
      <w:marBottom w:val="0"/>
      <w:divBdr>
        <w:top w:val="none" w:sz="0" w:space="0" w:color="auto"/>
        <w:left w:val="none" w:sz="0" w:space="0" w:color="auto"/>
        <w:bottom w:val="none" w:sz="0" w:space="0" w:color="auto"/>
        <w:right w:val="none" w:sz="0" w:space="0" w:color="auto"/>
      </w:divBdr>
      <w:divsChild>
        <w:div w:id="1069766644">
          <w:marLeft w:val="0"/>
          <w:marRight w:val="0"/>
          <w:marTop w:val="0"/>
          <w:marBottom w:val="0"/>
          <w:divBdr>
            <w:top w:val="none" w:sz="0" w:space="0" w:color="auto"/>
            <w:left w:val="none" w:sz="0" w:space="0" w:color="auto"/>
            <w:bottom w:val="none" w:sz="0" w:space="0" w:color="auto"/>
            <w:right w:val="none" w:sz="0" w:space="0" w:color="auto"/>
          </w:divBdr>
          <w:divsChild>
            <w:div w:id="1069766776">
              <w:marLeft w:val="0"/>
              <w:marRight w:val="0"/>
              <w:marTop w:val="0"/>
              <w:marBottom w:val="0"/>
              <w:divBdr>
                <w:top w:val="none" w:sz="0" w:space="0" w:color="auto"/>
                <w:left w:val="none" w:sz="0" w:space="0" w:color="auto"/>
                <w:bottom w:val="none" w:sz="0" w:space="0" w:color="auto"/>
                <w:right w:val="none" w:sz="0" w:space="0" w:color="auto"/>
              </w:divBdr>
              <w:divsChild>
                <w:div w:id="1069766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714">
      <w:marLeft w:val="0"/>
      <w:marRight w:val="0"/>
      <w:marTop w:val="0"/>
      <w:marBottom w:val="0"/>
      <w:divBdr>
        <w:top w:val="none" w:sz="0" w:space="0" w:color="auto"/>
        <w:left w:val="none" w:sz="0" w:space="0" w:color="auto"/>
        <w:bottom w:val="none" w:sz="0" w:space="0" w:color="auto"/>
        <w:right w:val="none" w:sz="0" w:space="0" w:color="auto"/>
      </w:divBdr>
    </w:div>
    <w:div w:id="1069766715">
      <w:marLeft w:val="0"/>
      <w:marRight w:val="0"/>
      <w:marTop w:val="0"/>
      <w:marBottom w:val="0"/>
      <w:divBdr>
        <w:top w:val="none" w:sz="0" w:space="0" w:color="auto"/>
        <w:left w:val="none" w:sz="0" w:space="0" w:color="auto"/>
        <w:bottom w:val="none" w:sz="0" w:space="0" w:color="auto"/>
        <w:right w:val="none" w:sz="0" w:space="0" w:color="auto"/>
      </w:divBdr>
    </w:div>
    <w:div w:id="1069766716">
      <w:marLeft w:val="0"/>
      <w:marRight w:val="0"/>
      <w:marTop w:val="0"/>
      <w:marBottom w:val="0"/>
      <w:divBdr>
        <w:top w:val="none" w:sz="0" w:space="0" w:color="auto"/>
        <w:left w:val="none" w:sz="0" w:space="0" w:color="auto"/>
        <w:bottom w:val="none" w:sz="0" w:space="0" w:color="auto"/>
        <w:right w:val="none" w:sz="0" w:space="0" w:color="auto"/>
      </w:divBdr>
    </w:div>
    <w:div w:id="1069766718">
      <w:marLeft w:val="0"/>
      <w:marRight w:val="0"/>
      <w:marTop w:val="0"/>
      <w:marBottom w:val="0"/>
      <w:divBdr>
        <w:top w:val="none" w:sz="0" w:space="0" w:color="auto"/>
        <w:left w:val="none" w:sz="0" w:space="0" w:color="auto"/>
        <w:bottom w:val="none" w:sz="0" w:space="0" w:color="auto"/>
        <w:right w:val="none" w:sz="0" w:space="0" w:color="auto"/>
      </w:divBdr>
    </w:div>
    <w:div w:id="1069766720">
      <w:marLeft w:val="0"/>
      <w:marRight w:val="0"/>
      <w:marTop w:val="0"/>
      <w:marBottom w:val="0"/>
      <w:divBdr>
        <w:top w:val="none" w:sz="0" w:space="0" w:color="auto"/>
        <w:left w:val="none" w:sz="0" w:space="0" w:color="auto"/>
        <w:bottom w:val="none" w:sz="0" w:space="0" w:color="auto"/>
        <w:right w:val="none" w:sz="0" w:space="0" w:color="auto"/>
      </w:divBdr>
    </w:div>
    <w:div w:id="1069766721">
      <w:marLeft w:val="0"/>
      <w:marRight w:val="0"/>
      <w:marTop w:val="0"/>
      <w:marBottom w:val="0"/>
      <w:divBdr>
        <w:top w:val="none" w:sz="0" w:space="0" w:color="auto"/>
        <w:left w:val="none" w:sz="0" w:space="0" w:color="auto"/>
        <w:bottom w:val="none" w:sz="0" w:space="0" w:color="auto"/>
        <w:right w:val="none" w:sz="0" w:space="0" w:color="auto"/>
      </w:divBdr>
    </w:div>
    <w:div w:id="1069766722">
      <w:marLeft w:val="0"/>
      <w:marRight w:val="0"/>
      <w:marTop w:val="0"/>
      <w:marBottom w:val="0"/>
      <w:divBdr>
        <w:top w:val="none" w:sz="0" w:space="0" w:color="auto"/>
        <w:left w:val="none" w:sz="0" w:space="0" w:color="auto"/>
        <w:bottom w:val="none" w:sz="0" w:space="0" w:color="auto"/>
        <w:right w:val="none" w:sz="0" w:space="0" w:color="auto"/>
      </w:divBdr>
    </w:div>
    <w:div w:id="1069766723">
      <w:marLeft w:val="0"/>
      <w:marRight w:val="0"/>
      <w:marTop w:val="0"/>
      <w:marBottom w:val="0"/>
      <w:divBdr>
        <w:top w:val="none" w:sz="0" w:space="0" w:color="auto"/>
        <w:left w:val="none" w:sz="0" w:space="0" w:color="auto"/>
        <w:bottom w:val="none" w:sz="0" w:space="0" w:color="auto"/>
        <w:right w:val="none" w:sz="0" w:space="0" w:color="auto"/>
      </w:divBdr>
    </w:div>
    <w:div w:id="1069766725">
      <w:marLeft w:val="0"/>
      <w:marRight w:val="0"/>
      <w:marTop w:val="0"/>
      <w:marBottom w:val="0"/>
      <w:divBdr>
        <w:top w:val="none" w:sz="0" w:space="0" w:color="auto"/>
        <w:left w:val="none" w:sz="0" w:space="0" w:color="auto"/>
        <w:bottom w:val="none" w:sz="0" w:space="0" w:color="auto"/>
        <w:right w:val="none" w:sz="0" w:space="0" w:color="auto"/>
      </w:divBdr>
    </w:div>
    <w:div w:id="1069766726">
      <w:marLeft w:val="0"/>
      <w:marRight w:val="0"/>
      <w:marTop w:val="0"/>
      <w:marBottom w:val="0"/>
      <w:divBdr>
        <w:top w:val="none" w:sz="0" w:space="0" w:color="auto"/>
        <w:left w:val="none" w:sz="0" w:space="0" w:color="auto"/>
        <w:bottom w:val="none" w:sz="0" w:space="0" w:color="auto"/>
        <w:right w:val="none" w:sz="0" w:space="0" w:color="auto"/>
      </w:divBdr>
    </w:div>
    <w:div w:id="1069766727">
      <w:marLeft w:val="0"/>
      <w:marRight w:val="0"/>
      <w:marTop w:val="0"/>
      <w:marBottom w:val="0"/>
      <w:divBdr>
        <w:top w:val="none" w:sz="0" w:space="0" w:color="auto"/>
        <w:left w:val="none" w:sz="0" w:space="0" w:color="auto"/>
        <w:bottom w:val="none" w:sz="0" w:space="0" w:color="auto"/>
        <w:right w:val="none" w:sz="0" w:space="0" w:color="auto"/>
      </w:divBdr>
    </w:div>
    <w:div w:id="1069766728">
      <w:marLeft w:val="0"/>
      <w:marRight w:val="0"/>
      <w:marTop w:val="0"/>
      <w:marBottom w:val="0"/>
      <w:divBdr>
        <w:top w:val="none" w:sz="0" w:space="0" w:color="auto"/>
        <w:left w:val="none" w:sz="0" w:space="0" w:color="auto"/>
        <w:bottom w:val="none" w:sz="0" w:space="0" w:color="auto"/>
        <w:right w:val="none" w:sz="0" w:space="0" w:color="auto"/>
      </w:divBdr>
    </w:div>
    <w:div w:id="1069766729">
      <w:marLeft w:val="0"/>
      <w:marRight w:val="0"/>
      <w:marTop w:val="0"/>
      <w:marBottom w:val="0"/>
      <w:divBdr>
        <w:top w:val="none" w:sz="0" w:space="0" w:color="auto"/>
        <w:left w:val="none" w:sz="0" w:space="0" w:color="auto"/>
        <w:bottom w:val="none" w:sz="0" w:space="0" w:color="auto"/>
        <w:right w:val="none" w:sz="0" w:space="0" w:color="auto"/>
      </w:divBdr>
    </w:div>
    <w:div w:id="1069766730">
      <w:marLeft w:val="0"/>
      <w:marRight w:val="0"/>
      <w:marTop w:val="0"/>
      <w:marBottom w:val="0"/>
      <w:divBdr>
        <w:top w:val="none" w:sz="0" w:space="0" w:color="auto"/>
        <w:left w:val="none" w:sz="0" w:space="0" w:color="auto"/>
        <w:bottom w:val="none" w:sz="0" w:space="0" w:color="auto"/>
        <w:right w:val="none" w:sz="0" w:space="0" w:color="auto"/>
      </w:divBdr>
    </w:div>
    <w:div w:id="1069766731">
      <w:marLeft w:val="0"/>
      <w:marRight w:val="0"/>
      <w:marTop w:val="0"/>
      <w:marBottom w:val="0"/>
      <w:divBdr>
        <w:top w:val="none" w:sz="0" w:space="0" w:color="auto"/>
        <w:left w:val="none" w:sz="0" w:space="0" w:color="auto"/>
        <w:bottom w:val="none" w:sz="0" w:space="0" w:color="auto"/>
        <w:right w:val="none" w:sz="0" w:space="0" w:color="auto"/>
      </w:divBdr>
      <w:divsChild>
        <w:div w:id="1069766336">
          <w:marLeft w:val="0"/>
          <w:marRight w:val="0"/>
          <w:marTop w:val="0"/>
          <w:marBottom w:val="0"/>
          <w:divBdr>
            <w:top w:val="none" w:sz="0" w:space="0" w:color="auto"/>
            <w:left w:val="none" w:sz="0" w:space="0" w:color="auto"/>
            <w:bottom w:val="none" w:sz="0" w:space="0" w:color="auto"/>
            <w:right w:val="none" w:sz="0" w:space="0" w:color="auto"/>
          </w:divBdr>
        </w:div>
      </w:divsChild>
    </w:div>
    <w:div w:id="1069766734">
      <w:marLeft w:val="0"/>
      <w:marRight w:val="0"/>
      <w:marTop w:val="0"/>
      <w:marBottom w:val="0"/>
      <w:divBdr>
        <w:top w:val="none" w:sz="0" w:space="0" w:color="auto"/>
        <w:left w:val="none" w:sz="0" w:space="0" w:color="auto"/>
        <w:bottom w:val="none" w:sz="0" w:space="0" w:color="auto"/>
        <w:right w:val="none" w:sz="0" w:space="0" w:color="auto"/>
      </w:divBdr>
    </w:div>
    <w:div w:id="1069766736">
      <w:marLeft w:val="0"/>
      <w:marRight w:val="0"/>
      <w:marTop w:val="0"/>
      <w:marBottom w:val="0"/>
      <w:divBdr>
        <w:top w:val="none" w:sz="0" w:space="0" w:color="auto"/>
        <w:left w:val="none" w:sz="0" w:space="0" w:color="auto"/>
        <w:bottom w:val="none" w:sz="0" w:space="0" w:color="auto"/>
        <w:right w:val="none" w:sz="0" w:space="0" w:color="auto"/>
      </w:divBdr>
    </w:div>
    <w:div w:id="1069766738">
      <w:marLeft w:val="0"/>
      <w:marRight w:val="0"/>
      <w:marTop w:val="0"/>
      <w:marBottom w:val="0"/>
      <w:divBdr>
        <w:top w:val="none" w:sz="0" w:space="0" w:color="auto"/>
        <w:left w:val="none" w:sz="0" w:space="0" w:color="auto"/>
        <w:bottom w:val="none" w:sz="0" w:space="0" w:color="auto"/>
        <w:right w:val="none" w:sz="0" w:space="0" w:color="auto"/>
      </w:divBdr>
    </w:div>
    <w:div w:id="1069766740">
      <w:marLeft w:val="0"/>
      <w:marRight w:val="0"/>
      <w:marTop w:val="0"/>
      <w:marBottom w:val="0"/>
      <w:divBdr>
        <w:top w:val="none" w:sz="0" w:space="0" w:color="auto"/>
        <w:left w:val="none" w:sz="0" w:space="0" w:color="auto"/>
        <w:bottom w:val="none" w:sz="0" w:space="0" w:color="auto"/>
        <w:right w:val="none" w:sz="0" w:space="0" w:color="auto"/>
      </w:divBdr>
      <w:divsChild>
        <w:div w:id="1069766771">
          <w:marLeft w:val="0"/>
          <w:marRight w:val="0"/>
          <w:marTop w:val="0"/>
          <w:marBottom w:val="0"/>
          <w:divBdr>
            <w:top w:val="none" w:sz="0" w:space="0" w:color="auto"/>
            <w:left w:val="none" w:sz="0" w:space="0" w:color="auto"/>
            <w:bottom w:val="none" w:sz="0" w:space="0" w:color="auto"/>
            <w:right w:val="none" w:sz="0" w:space="0" w:color="auto"/>
          </w:divBdr>
        </w:div>
      </w:divsChild>
    </w:div>
    <w:div w:id="1069766742">
      <w:marLeft w:val="0"/>
      <w:marRight w:val="0"/>
      <w:marTop w:val="0"/>
      <w:marBottom w:val="0"/>
      <w:divBdr>
        <w:top w:val="none" w:sz="0" w:space="0" w:color="auto"/>
        <w:left w:val="none" w:sz="0" w:space="0" w:color="auto"/>
        <w:bottom w:val="none" w:sz="0" w:space="0" w:color="auto"/>
        <w:right w:val="none" w:sz="0" w:space="0" w:color="auto"/>
      </w:divBdr>
    </w:div>
    <w:div w:id="1069766743">
      <w:marLeft w:val="0"/>
      <w:marRight w:val="0"/>
      <w:marTop w:val="0"/>
      <w:marBottom w:val="0"/>
      <w:divBdr>
        <w:top w:val="none" w:sz="0" w:space="0" w:color="auto"/>
        <w:left w:val="none" w:sz="0" w:space="0" w:color="auto"/>
        <w:bottom w:val="none" w:sz="0" w:space="0" w:color="auto"/>
        <w:right w:val="none" w:sz="0" w:space="0" w:color="auto"/>
      </w:divBdr>
    </w:div>
    <w:div w:id="1069766744">
      <w:marLeft w:val="0"/>
      <w:marRight w:val="0"/>
      <w:marTop w:val="0"/>
      <w:marBottom w:val="0"/>
      <w:divBdr>
        <w:top w:val="none" w:sz="0" w:space="0" w:color="auto"/>
        <w:left w:val="none" w:sz="0" w:space="0" w:color="auto"/>
        <w:bottom w:val="none" w:sz="0" w:space="0" w:color="auto"/>
        <w:right w:val="none" w:sz="0" w:space="0" w:color="auto"/>
      </w:divBdr>
      <w:divsChild>
        <w:div w:id="1069766553">
          <w:marLeft w:val="0"/>
          <w:marRight w:val="0"/>
          <w:marTop w:val="0"/>
          <w:marBottom w:val="0"/>
          <w:divBdr>
            <w:top w:val="none" w:sz="0" w:space="0" w:color="auto"/>
            <w:left w:val="none" w:sz="0" w:space="0" w:color="auto"/>
            <w:bottom w:val="none" w:sz="0" w:space="0" w:color="auto"/>
            <w:right w:val="none" w:sz="0" w:space="0" w:color="auto"/>
          </w:divBdr>
          <w:divsChild>
            <w:div w:id="1069766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745">
      <w:marLeft w:val="0"/>
      <w:marRight w:val="0"/>
      <w:marTop w:val="0"/>
      <w:marBottom w:val="0"/>
      <w:divBdr>
        <w:top w:val="none" w:sz="0" w:space="0" w:color="auto"/>
        <w:left w:val="none" w:sz="0" w:space="0" w:color="auto"/>
        <w:bottom w:val="none" w:sz="0" w:space="0" w:color="auto"/>
        <w:right w:val="none" w:sz="0" w:space="0" w:color="auto"/>
      </w:divBdr>
    </w:div>
    <w:div w:id="1069766746">
      <w:marLeft w:val="0"/>
      <w:marRight w:val="0"/>
      <w:marTop w:val="0"/>
      <w:marBottom w:val="0"/>
      <w:divBdr>
        <w:top w:val="none" w:sz="0" w:space="0" w:color="auto"/>
        <w:left w:val="none" w:sz="0" w:space="0" w:color="auto"/>
        <w:bottom w:val="none" w:sz="0" w:space="0" w:color="auto"/>
        <w:right w:val="none" w:sz="0" w:space="0" w:color="auto"/>
      </w:divBdr>
    </w:div>
    <w:div w:id="1069766747">
      <w:marLeft w:val="0"/>
      <w:marRight w:val="0"/>
      <w:marTop w:val="0"/>
      <w:marBottom w:val="0"/>
      <w:divBdr>
        <w:top w:val="none" w:sz="0" w:space="0" w:color="auto"/>
        <w:left w:val="none" w:sz="0" w:space="0" w:color="auto"/>
        <w:bottom w:val="none" w:sz="0" w:space="0" w:color="auto"/>
        <w:right w:val="none" w:sz="0" w:space="0" w:color="auto"/>
      </w:divBdr>
    </w:div>
    <w:div w:id="1069766748">
      <w:marLeft w:val="0"/>
      <w:marRight w:val="0"/>
      <w:marTop w:val="0"/>
      <w:marBottom w:val="0"/>
      <w:divBdr>
        <w:top w:val="none" w:sz="0" w:space="0" w:color="auto"/>
        <w:left w:val="none" w:sz="0" w:space="0" w:color="auto"/>
        <w:bottom w:val="none" w:sz="0" w:space="0" w:color="auto"/>
        <w:right w:val="none" w:sz="0" w:space="0" w:color="auto"/>
      </w:divBdr>
    </w:div>
    <w:div w:id="1069766749">
      <w:marLeft w:val="0"/>
      <w:marRight w:val="0"/>
      <w:marTop w:val="0"/>
      <w:marBottom w:val="0"/>
      <w:divBdr>
        <w:top w:val="none" w:sz="0" w:space="0" w:color="auto"/>
        <w:left w:val="none" w:sz="0" w:space="0" w:color="auto"/>
        <w:bottom w:val="none" w:sz="0" w:space="0" w:color="auto"/>
        <w:right w:val="none" w:sz="0" w:space="0" w:color="auto"/>
      </w:divBdr>
      <w:divsChild>
        <w:div w:id="1069766311">
          <w:marLeft w:val="0"/>
          <w:marRight w:val="0"/>
          <w:marTop w:val="0"/>
          <w:marBottom w:val="0"/>
          <w:divBdr>
            <w:top w:val="none" w:sz="0" w:space="0" w:color="auto"/>
            <w:left w:val="none" w:sz="0" w:space="0" w:color="auto"/>
            <w:bottom w:val="dashed" w:sz="6" w:space="0" w:color="CCCCCC"/>
            <w:right w:val="none" w:sz="0" w:space="0" w:color="auto"/>
          </w:divBdr>
        </w:div>
        <w:div w:id="1069766457">
          <w:marLeft w:val="0"/>
          <w:marRight w:val="0"/>
          <w:marTop w:val="0"/>
          <w:marBottom w:val="0"/>
          <w:divBdr>
            <w:top w:val="none" w:sz="0" w:space="0" w:color="auto"/>
            <w:left w:val="none" w:sz="0" w:space="0" w:color="auto"/>
            <w:bottom w:val="none" w:sz="0" w:space="0" w:color="auto"/>
            <w:right w:val="none" w:sz="0" w:space="0" w:color="auto"/>
          </w:divBdr>
          <w:divsChild>
            <w:div w:id="1069766581">
              <w:marLeft w:val="136"/>
              <w:marRight w:val="136"/>
              <w:marTop w:val="0"/>
              <w:marBottom w:val="136"/>
              <w:divBdr>
                <w:top w:val="none" w:sz="0" w:space="0" w:color="auto"/>
                <w:left w:val="none" w:sz="0" w:space="0" w:color="auto"/>
                <w:bottom w:val="none" w:sz="0" w:space="0" w:color="auto"/>
                <w:right w:val="none" w:sz="0" w:space="0" w:color="auto"/>
              </w:divBdr>
            </w:div>
          </w:divsChild>
        </w:div>
      </w:divsChild>
    </w:div>
    <w:div w:id="1069766750">
      <w:marLeft w:val="0"/>
      <w:marRight w:val="0"/>
      <w:marTop w:val="0"/>
      <w:marBottom w:val="0"/>
      <w:divBdr>
        <w:top w:val="none" w:sz="0" w:space="0" w:color="auto"/>
        <w:left w:val="none" w:sz="0" w:space="0" w:color="auto"/>
        <w:bottom w:val="none" w:sz="0" w:space="0" w:color="auto"/>
        <w:right w:val="none" w:sz="0" w:space="0" w:color="auto"/>
      </w:divBdr>
    </w:div>
    <w:div w:id="1069766751">
      <w:marLeft w:val="0"/>
      <w:marRight w:val="0"/>
      <w:marTop w:val="0"/>
      <w:marBottom w:val="0"/>
      <w:divBdr>
        <w:top w:val="none" w:sz="0" w:space="0" w:color="auto"/>
        <w:left w:val="none" w:sz="0" w:space="0" w:color="auto"/>
        <w:bottom w:val="none" w:sz="0" w:space="0" w:color="auto"/>
        <w:right w:val="none" w:sz="0" w:space="0" w:color="auto"/>
      </w:divBdr>
      <w:divsChild>
        <w:div w:id="1069766603">
          <w:marLeft w:val="547"/>
          <w:marRight w:val="0"/>
          <w:marTop w:val="77"/>
          <w:marBottom w:val="0"/>
          <w:divBdr>
            <w:top w:val="none" w:sz="0" w:space="0" w:color="auto"/>
            <w:left w:val="none" w:sz="0" w:space="0" w:color="auto"/>
            <w:bottom w:val="none" w:sz="0" w:space="0" w:color="auto"/>
            <w:right w:val="none" w:sz="0" w:space="0" w:color="auto"/>
          </w:divBdr>
        </w:div>
        <w:div w:id="1069766733">
          <w:marLeft w:val="547"/>
          <w:marRight w:val="0"/>
          <w:marTop w:val="77"/>
          <w:marBottom w:val="0"/>
          <w:divBdr>
            <w:top w:val="none" w:sz="0" w:space="0" w:color="auto"/>
            <w:left w:val="none" w:sz="0" w:space="0" w:color="auto"/>
            <w:bottom w:val="none" w:sz="0" w:space="0" w:color="auto"/>
            <w:right w:val="none" w:sz="0" w:space="0" w:color="auto"/>
          </w:divBdr>
        </w:div>
      </w:divsChild>
    </w:div>
    <w:div w:id="1069766754">
      <w:marLeft w:val="0"/>
      <w:marRight w:val="0"/>
      <w:marTop w:val="0"/>
      <w:marBottom w:val="0"/>
      <w:divBdr>
        <w:top w:val="none" w:sz="0" w:space="0" w:color="auto"/>
        <w:left w:val="none" w:sz="0" w:space="0" w:color="auto"/>
        <w:bottom w:val="none" w:sz="0" w:space="0" w:color="auto"/>
        <w:right w:val="none" w:sz="0" w:space="0" w:color="auto"/>
      </w:divBdr>
    </w:div>
    <w:div w:id="1069766755">
      <w:marLeft w:val="0"/>
      <w:marRight w:val="0"/>
      <w:marTop w:val="0"/>
      <w:marBottom w:val="0"/>
      <w:divBdr>
        <w:top w:val="none" w:sz="0" w:space="0" w:color="auto"/>
        <w:left w:val="none" w:sz="0" w:space="0" w:color="auto"/>
        <w:bottom w:val="none" w:sz="0" w:space="0" w:color="auto"/>
        <w:right w:val="none" w:sz="0" w:space="0" w:color="auto"/>
      </w:divBdr>
    </w:div>
    <w:div w:id="1069766756">
      <w:marLeft w:val="0"/>
      <w:marRight w:val="0"/>
      <w:marTop w:val="0"/>
      <w:marBottom w:val="0"/>
      <w:divBdr>
        <w:top w:val="none" w:sz="0" w:space="0" w:color="auto"/>
        <w:left w:val="none" w:sz="0" w:space="0" w:color="auto"/>
        <w:bottom w:val="none" w:sz="0" w:space="0" w:color="auto"/>
        <w:right w:val="none" w:sz="0" w:space="0" w:color="auto"/>
      </w:divBdr>
    </w:div>
    <w:div w:id="1069766757">
      <w:marLeft w:val="0"/>
      <w:marRight w:val="0"/>
      <w:marTop w:val="0"/>
      <w:marBottom w:val="0"/>
      <w:divBdr>
        <w:top w:val="none" w:sz="0" w:space="0" w:color="auto"/>
        <w:left w:val="none" w:sz="0" w:space="0" w:color="auto"/>
        <w:bottom w:val="none" w:sz="0" w:space="0" w:color="auto"/>
        <w:right w:val="none" w:sz="0" w:space="0" w:color="auto"/>
      </w:divBdr>
    </w:div>
    <w:div w:id="1069766760">
      <w:marLeft w:val="0"/>
      <w:marRight w:val="0"/>
      <w:marTop w:val="0"/>
      <w:marBottom w:val="0"/>
      <w:divBdr>
        <w:top w:val="none" w:sz="0" w:space="0" w:color="auto"/>
        <w:left w:val="none" w:sz="0" w:space="0" w:color="auto"/>
        <w:bottom w:val="none" w:sz="0" w:space="0" w:color="auto"/>
        <w:right w:val="none" w:sz="0" w:space="0" w:color="auto"/>
      </w:divBdr>
    </w:div>
    <w:div w:id="1069766762">
      <w:marLeft w:val="0"/>
      <w:marRight w:val="0"/>
      <w:marTop w:val="0"/>
      <w:marBottom w:val="0"/>
      <w:divBdr>
        <w:top w:val="none" w:sz="0" w:space="0" w:color="auto"/>
        <w:left w:val="none" w:sz="0" w:space="0" w:color="auto"/>
        <w:bottom w:val="none" w:sz="0" w:space="0" w:color="auto"/>
        <w:right w:val="none" w:sz="0" w:space="0" w:color="auto"/>
      </w:divBdr>
    </w:div>
    <w:div w:id="1069766764">
      <w:marLeft w:val="0"/>
      <w:marRight w:val="0"/>
      <w:marTop w:val="0"/>
      <w:marBottom w:val="0"/>
      <w:divBdr>
        <w:top w:val="none" w:sz="0" w:space="0" w:color="auto"/>
        <w:left w:val="none" w:sz="0" w:space="0" w:color="auto"/>
        <w:bottom w:val="none" w:sz="0" w:space="0" w:color="auto"/>
        <w:right w:val="none" w:sz="0" w:space="0" w:color="auto"/>
      </w:divBdr>
      <w:divsChild>
        <w:div w:id="1069766463">
          <w:marLeft w:val="0"/>
          <w:marRight w:val="0"/>
          <w:marTop w:val="0"/>
          <w:marBottom w:val="0"/>
          <w:divBdr>
            <w:top w:val="none" w:sz="0" w:space="0" w:color="auto"/>
            <w:left w:val="none" w:sz="0" w:space="0" w:color="auto"/>
            <w:bottom w:val="none" w:sz="0" w:space="0" w:color="auto"/>
            <w:right w:val="none" w:sz="0" w:space="0" w:color="auto"/>
          </w:divBdr>
        </w:div>
      </w:divsChild>
    </w:div>
    <w:div w:id="1069766765">
      <w:marLeft w:val="0"/>
      <w:marRight w:val="0"/>
      <w:marTop w:val="0"/>
      <w:marBottom w:val="0"/>
      <w:divBdr>
        <w:top w:val="none" w:sz="0" w:space="0" w:color="auto"/>
        <w:left w:val="none" w:sz="0" w:space="0" w:color="auto"/>
        <w:bottom w:val="none" w:sz="0" w:space="0" w:color="auto"/>
        <w:right w:val="none" w:sz="0" w:space="0" w:color="auto"/>
      </w:divBdr>
      <w:divsChild>
        <w:div w:id="1069766559">
          <w:marLeft w:val="0"/>
          <w:marRight w:val="0"/>
          <w:marTop w:val="0"/>
          <w:marBottom w:val="0"/>
          <w:divBdr>
            <w:top w:val="none" w:sz="0" w:space="0" w:color="auto"/>
            <w:left w:val="none" w:sz="0" w:space="0" w:color="auto"/>
            <w:bottom w:val="none" w:sz="0" w:space="0" w:color="auto"/>
            <w:right w:val="none" w:sz="0" w:space="0" w:color="auto"/>
          </w:divBdr>
        </w:div>
        <w:div w:id="1069766699">
          <w:marLeft w:val="0"/>
          <w:marRight w:val="0"/>
          <w:marTop w:val="0"/>
          <w:marBottom w:val="0"/>
          <w:divBdr>
            <w:top w:val="none" w:sz="0" w:space="0" w:color="auto"/>
            <w:left w:val="none" w:sz="0" w:space="0" w:color="auto"/>
            <w:bottom w:val="none" w:sz="0" w:space="0" w:color="auto"/>
            <w:right w:val="none" w:sz="0" w:space="0" w:color="auto"/>
          </w:divBdr>
          <w:divsChild>
            <w:div w:id="1069766625">
              <w:marLeft w:val="0"/>
              <w:marRight w:val="0"/>
              <w:marTop w:val="0"/>
              <w:marBottom w:val="0"/>
              <w:divBdr>
                <w:top w:val="none" w:sz="0" w:space="0" w:color="auto"/>
                <w:left w:val="none" w:sz="0" w:space="0" w:color="auto"/>
                <w:bottom w:val="none" w:sz="0" w:space="0" w:color="auto"/>
                <w:right w:val="none" w:sz="0" w:space="0" w:color="auto"/>
              </w:divBdr>
              <w:divsChild>
                <w:div w:id="1069766414">
                  <w:marLeft w:val="0"/>
                  <w:marRight w:val="0"/>
                  <w:marTop w:val="0"/>
                  <w:marBottom w:val="0"/>
                  <w:divBdr>
                    <w:top w:val="none" w:sz="0" w:space="0" w:color="auto"/>
                    <w:left w:val="none" w:sz="0" w:space="0" w:color="auto"/>
                    <w:bottom w:val="none" w:sz="0" w:space="0" w:color="auto"/>
                    <w:right w:val="none" w:sz="0" w:space="0" w:color="auto"/>
                  </w:divBdr>
                  <w:divsChild>
                    <w:div w:id="1069766614">
                      <w:marLeft w:val="0"/>
                      <w:marRight w:val="0"/>
                      <w:marTop w:val="0"/>
                      <w:marBottom w:val="0"/>
                      <w:divBdr>
                        <w:top w:val="none" w:sz="0" w:space="0" w:color="auto"/>
                        <w:left w:val="none" w:sz="0" w:space="0" w:color="auto"/>
                        <w:bottom w:val="none" w:sz="0" w:space="0" w:color="auto"/>
                        <w:right w:val="none" w:sz="0" w:space="0" w:color="auto"/>
                      </w:divBdr>
                      <w:divsChild>
                        <w:div w:id="1069766702">
                          <w:marLeft w:val="0"/>
                          <w:marRight w:val="0"/>
                          <w:marTop w:val="0"/>
                          <w:marBottom w:val="0"/>
                          <w:divBdr>
                            <w:top w:val="none" w:sz="0" w:space="0" w:color="auto"/>
                            <w:left w:val="none" w:sz="0" w:space="0" w:color="auto"/>
                            <w:bottom w:val="none" w:sz="0" w:space="0" w:color="auto"/>
                            <w:right w:val="none" w:sz="0" w:space="0" w:color="auto"/>
                          </w:divBdr>
                          <w:divsChild>
                            <w:div w:id="1069766790">
                              <w:marLeft w:val="0"/>
                              <w:marRight w:val="0"/>
                              <w:marTop w:val="0"/>
                              <w:marBottom w:val="0"/>
                              <w:divBdr>
                                <w:top w:val="none" w:sz="0" w:space="0" w:color="auto"/>
                                <w:left w:val="none" w:sz="0" w:space="0" w:color="auto"/>
                                <w:bottom w:val="none" w:sz="0" w:space="0" w:color="auto"/>
                                <w:right w:val="none" w:sz="0" w:space="0" w:color="auto"/>
                              </w:divBdr>
                              <w:divsChild>
                                <w:div w:id="1069766780">
                                  <w:marLeft w:val="0"/>
                                  <w:marRight w:val="0"/>
                                  <w:marTop w:val="0"/>
                                  <w:marBottom w:val="0"/>
                                  <w:divBdr>
                                    <w:top w:val="none" w:sz="0" w:space="0" w:color="auto"/>
                                    <w:left w:val="none" w:sz="0" w:space="0" w:color="auto"/>
                                    <w:bottom w:val="none" w:sz="0" w:space="0" w:color="auto"/>
                                    <w:right w:val="none" w:sz="0" w:space="0" w:color="auto"/>
                                  </w:divBdr>
                                  <w:divsChild>
                                    <w:div w:id="1069766539">
                                      <w:marLeft w:val="0"/>
                                      <w:marRight w:val="0"/>
                                      <w:marTop w:val="0"/>
                                      <w:marBottom w:val="0"/>
                                      <w:divBdr>
                                        <w:top w:val="none" w:sz="0" w:space="0" w:color="auto"/>
                                        <w:left w:val="none" w:sz="0" w:space="0" w:color="auto"/>
                                        <w:bottom w:val="none" w:sz="0" w:space="0" w:color="auto"/>
                                        <w:right w:val="none" w:sz="0" w:space="0" w:color="auto"/>
                                      </w:divBdr>
                                      <w:divsChild>
                                        <w:div w:id="1069766365">
                                          <w:marLeft w:val="0"/>
                                          <w:marRight w:val="0"/>
                                          <w:marTop w:val="0"/>
                                          <w:marBottom w:val="0"/>
                                          <w:divBdr>
                                            <w:top w:val="none" w:sz="0" w:space="0" w:color="auto"/>
                                            <w:left w:val="none" w:sz="0" w:space="0" w:color="auto"/>
                                            <w:bottom w:val="none" w:sz="0" w:space="0" w:color="auto"/>
                                            <w:right w:val="none" w:sz="0" w:space="0" w:color="auto"/>
                                          </w:divBdr>
                                          <w:divsChild>
                                            <w:div w:id="1069766838">
                                              <w:marLeft w:val="0"/>
                                              <w:marRight w:val="0"/>
                                              <w:marTop w:val="0"/>
                                              <w:marBottom w:val="0"/>
                                              <w:divBdr>
                                                <w:top w:val="none" w:sz="0" w:space="0" w:color="auto"/>
                                                <w:left w:val="none" w:sz="0" w:space="0" w:color="auto"/>
                                                <w:bottom w:val="none" w:sz="0" w:space="0" w:color="auto"/>
                                                <w:right w:val="none" w:sz="0" w:space="0" w:color="auto"/>
                                              </w:divBdr>
                                              <w:divsChild>
                                                <w:div w:id="1069766297">
                                                  <w:marLeft w:val="0"/>
                                                  <w:marRight w:val="0"/>
                                                  <w:marTop w:val="0"/>
                                                  <w:marBottom w:val="0"/>
                                                  <w:divBdr>
                                                    <w:top w:val="none" w:sz="0" w:space="0" w:color="auto"/>
                                                    <w:left w:val="none" w:sz="0" w:space="0" w:color="auto"/>
                                                    <w:bottom w:val="none" w:sz="0" w:space="0" w:color="auto"/>
                                                    <w:right w:val="none" w:sz="0" w:space="0" w:color="auto"/>
                                                  </w:divBdr>
                                                  <w:divsChild>
                                                    <w:div w:id="106976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69766766">
      <w:marLeft w:val="0"/>
      <w:marRight w:val="0"/>
      <w:marTop w:val="0"/>
      <w:marBottom w:val="0"/>
      <w:divBdr>
        <w:top w:val="none" w:sz="0" w:space="0" w:color="auto"/>
        <w:left w:val="none" w:sz="0" w:space="0" w:color="auto"/>
        <w:bottom w:val="none" w:sz="0" w:space="0" w:color="auto"/>
        <w:right w:val="none" w:sz="0" w:space="0" w:color="auto"/>
      </w:divBdr>
    </w:div>
    <w:div w:id="1069766767">
      <w:marLeft w:val="0"/>
      <w:marRight w:val="0"/>
      <w:marTop w:val="0"/>
      <w:marBottom w:val="0"/>
      <w:divBdr>
        <w:top w:val="none" w:sz="0" w:space="0" w:color="auto"/>
        <w:left w:val="none" w:sz="0" w:space="0" w:color="auto"/>
        <w:bottom w:val="none" w:sz="0" w:space="0" w:color="auto"/>
        <w:right w:val="none" w:sz="0" w:space="0" w:color="auto"/>
      </w:divBdr>
    </w:div>
    <w:div w:id="1069766768">
      <w:marLeft w:val="0"/>
      <w:marRight w:val="0"/>
      <w:marTop w:val="0"/>
      <w:marBottom w:val="0"/>
      <w:divBdr>
        <w:top w:val="none" w:sz="0" w:space="0" w:color="auto"/>
        <w:left w:val="none" w:sz="0" w:space="0" w:color="auto"/>
        <w:bottom w:val="none" w:sz="0" w:space="0" w:color="auto"/>
        <w:right w:val="none" w:sz="0" w:space="0" w:color="auto"/>
      </w:divBdr>
    </w:div>
    <w:div w:id="1069766770">
      <w:marLeft w:val="0"/>
      <w:marRight w:val="0"/>
      <w:marTop w:val="0"/>
      <w:marBottom w:val="0"/>
      <w:divBdr>
        <w:top w:val="none" w:sz="0" w:space="0" w:color="auto"/>
        <w:left w:val="none" w:sz="0" w:space="0" w:color="auto"/>
        <w:bottom w:val="none" w:sz="0" w:space="0" w:color="auto"/>
        <w:right w:val="none" w:sz="0" w:space="0" w:color="auto"/>
      </w:divBdr>
    </w:div>
    <w:div w:id="1069766774">
      <w:marLeft w:val="0"/>
      <w:marRight w:val="0"/>
      <w:marTop w:val="0"/>
      <w:marBottom w:val="0"/>
      <w:divBdr>
        <w:top w:val="none" w:sz="0" w:space="0" w:color="auto"/>
        <w:left w:val="none" w:sz="0" w:space="0" w:color="auto"/>
        <w:bottom w:val="none" w:sz="0" w:space="0" w:color="auto"/>
        <w:right w:val="none" w:sz="0" w:space="0" w:color="auto"/>
      </w:divBdr>
    </w:div>
    <w:div w:id="1069766777">
      <w:marLeft w:val="0"/>
      <w:marRight w:val="0"/>
      <w:marTop w:val="0"/>
      <w:marBottom w:val="0"/>
      <w:divBdr>
        <w:top w:val="none" w:sz="0" w:space="0" w:color="auto"/>
        <w:left w:val="none" w:sz="0" w:space="0" w:color="auto"/>
        <w:bottom w:val="none" w:sz="0" w:space="0" w:color="auto"/>
        <w:right w:val="none" w:sz="0" w:space="0" w:color="auto"/>
      </w:divBdr>
      <w:divsChild>
        <w:div w:id="1069766719">
          <w:marLeft w:val="0"/>
          <w:marRight w:val="0"/>
          <w:marTop w:val="0"/>
          <w:marBottom w:val="0"/>
          <w:divBdr>
            <w:top w:val="none" w:sz="0" w:space="0" w:color="auto"/>
            <w:left w:val="none" w:sz="0" w:space="0" w:color="auto"/>
            <w:bottom w:val="none" w:sz="0" w:space="0" w:color="auto"/>
            <w:right w:val="none" w:sz="0" w:space="0" w:color="auto"/>
          </w:divBdr>
        </w:div>
      </w:divsChild>
    </w:div>
    <w:div w:id="1069766778">
      <w:marLeft w:val="0"/>
      <w:marRight w:val="0"/>
      <w:marTop w:val="0"/>
      <w:marBottom w:val="0"/>
      <w:divBdr>
        <w:top w:val="none" w:sz="0" w:space="0" w:color="auto"/>
        <w:left w:val="none" w:sz="0" w:space="0" w:color="auto"/>
        <w:bottom w:val="none" w:sz="0" w:space="0" w:color="auto"/>
        <w:right w:val="none" w:sz="0" w:space="0" w:color="auto"/>
      </w:divBdr>
    </w:div>
    <w:div w:id="1069766779">
      <w:marLeft w:val="0"/>
      <w:marRight w:val="0"/>
      <w:marTop w:val="0"/>
      <w:marBottom w:val="0"/>
      <w:divBdr>
        <w:top w:val="none" w:sz="0" w:space="0" w:color="auto"/>
        <w:left w:val="none" w:sz="0" w:space="0" w:color="auto"/>
        <w:bottom w:val="none" w:sz="0" w:space="0" w:color="auto"/>
        <w:right w:val="none" w:sz="0" w:space="0" w:color="auto"/>
      </w:divBdr>
    </w:div>
    <w:div w:id="1069766781">
      <w:marLeft w:val="0"/>
      <w:marRight w:val="0"/>
      <w:marTop w:val="0"/>
      <w:marBottom w:val="0"/>
      <w:divBdr>
        <w:top w:val="none" w:sz="0" w:space="0" w:color="auto"/>
        <w:left w:val="none" w:sz="0" w:space="0" w:color="auto"/>
        <w:bottom w:val="none" w:sz="0" w:space="0" w:color="auto"/>
        <w:right w:val="none" w:sz="0" w:space="0" w:color="auto"/>
      </w:divBdr>
    </w:div>
    <w:div w:id="1069766784">
      <w:marLeft w:val="0"/>
      <w:marRight w:val="0"/>
      <w:marTop w:val="0"/>
      <w:marBottom w:val="0"/>
      <w:divBdr>
        <w:top w:val="none" w:sz="0" w:space="0" w:color="auto"/>
        <w:left w:val="none" w:sz="0" w:space="0" w:color="auto"/>
        <w:bottom w:val="none" w:sz="0" w:space="0" w:color="auto"/>
        <w:right w:val="none" w:sz="0" w:space="0" w:color="auto"/>
      </w:divBdr>
    </w:div>
    <w:div w:id="1069766785">
      <w:marLeft w:val="0"/>
      <w:marRight w:val="0"/>
      <w:marTop w:val="0"/>
      <w:marBottom w:val="0"/>
      <w:divBdr>
        <w:top w:val="none" w:sz="0" w:space="0" w:color="auto"/>
        <w:left w:val="none" w:sz="0" w:space="0" w:color="auto"/>
        <w:bottom w:val="none" w:sz="0" w:space="0" w:color="auto"/>
        <w:right w:val="none" w:sz="0" w:space="0" w:color="auto"/>
      </w:divBdr>
    </w:div>
    <w:div w:id="1069766786">
      <w:marLeft w:val="0"/>
      <w:marRight w:val="0"/>
      <w:marTop w:val="0"/>
      <w:marBottom w:val="0"/>
      <w:divBdr>
        <w:top w:val="none" w:sz="0" w:space="0" w:color="auto"/>
        <w:left w:val="none" w:sz="0" w:space="0" w:color="auto"/>
        <w:bottom w:val="none" w:sz="0" w:space="0" w:color="auto"/>
        <w:right w:val="none" w:sz="0" w:space="0" w:color="auto"/>
      </w:divBdr>
    </w:div>
    <w:div w:id="1069766787">
      <w:marLeft w:val="0"/>
      <w:marRight w:val="0"/>
      <w:marTop w:val="0"/>
      <w:marBottom w:val="0"/>
      <w:divBdr>
        <w:top w:val="none" w:sz="0" w:space="0" w:color="auto"/>
        <w:left w:val="none" w:sz="0" w:space="0" w:color="auto"/>
        <w:bottom w:val="none" w:sz="0" w:space="0" w:color="auto"/>
        <w:right w:val="none" w:sz="0" w:space="0" w:color="auto"/>
      </w:divBdr>
    </w:div>
    <w:div w:id="1069766791">
      <w:marLeft w:val="0"/>
      <w:marRight w:val="0"/>
      <w:marTop w:val="0"/>
      <w:marBottom w:val="0"/>
      <w:divBdr>
        <w:top w:val="none" w:sz="0" w:space="0" w:color="auto"/>
        <w:left w:val="none" w:sz="0" w:space="0" w:color="auto"/>
        <w:bottom w:val="none" w:sz="0" w:space="0" w:color="auto"/>
        <w:right w:val="none" w:sz="0" w:space="0" w:color="auto"/>
      </w:divBdr>
      <w:divsChild>
        <w:div w:id="1069766846">
          <w:marLeft w:val="0"/>
          <w:marRight w:val="0"/>
          <w:marTop w:val="0"/>
          <w:marBottom w:val="0"/>
          <w:divBdr>
            <w:top w:val="none" w:sz="0" w:space="0" w:color="auto"/>
            <w:left w:val="none" w:sz="0" w:space="0" w:color="auto"/>
            <w:bottom w:val="none" w:sz="0" w:space="0" w:color="auto"/>
            <w:right w:val="none" w:sz="0" w:space="0" w:color="auto"/>
          </w:divBdr>
        </w:div>
      </w:divsChild>
    </w:div>
    <w:div w:id="1069766792">
      <w:marLeft w:val="0"/>
      <w:marRight w:val="0"/>
      <w:marTop w:val="0"/>
      <w:marBottom w:val="0"/>
      <w:divBdr>
        <w:top w:val="none" w:sz="0" w:space="0" w:color="auto"/>
        <w:left w:val="none" w:sz="0" w:space="0" w:color="auto"/>
        <w:bottom w:val="none" w:sz="0" w:space="0" w:color="auto"/>
        <w:right w:val="none" w:sz="0" w:space="0" w:color="auto"/>
      </w:divBdr>
    </w:div>
    <w:div w:id="1069766795">
      <w:marLeft w:val="0"/>
      <w:marRight w:val="0"/>
      <w:marTop w:val="0"/>
      <w:marBottom w:val="0"/>
      <w:divBdr>
        <w:top w:val="none" w:sz="0" w:space="0" w:color="auto"/>
        <w:left w:val="none" w:sz="0" w:space="0" w:color="auto"/>
        <w:bottom w:val="none" w:sz="0" w:space="0" w:color="auto"/>
        <w:right w:val="none" w:sz="0" w:space="0" w:color="auto"/>
      </w:divBdr>
    </w:div>
    <w:div w:id="1069766796">
      <w:marLeft w:val="0"/>
      <w:marRight w:val="0"/>
      <w:marTop w:val="0"/>
      <w:marBottom w:val="0"/>
      <w:divBdr>
        <w:top w:val="none" w:sz="0" w:space="0" w:color="auto"/>
        <w:left w:val="none" w:sz="0" w:space="0" w:color="auto"/>
        <w:bottom w:val="none" w:sz="0" w:space="0" w:color="auto"/>
        <w:right w:val="none" w:sz="0" w:space="0" w:color="auto"/>
      </w:divBdr>
    </w:div>
    <w:div w:id="1069766798">
      <w:marLeft w:val="0"/>
      <w:marRight w:val="0"/>
      <w:marTop w:val="0"/>
      <w:marBottom w:val="0"/>
      <w:divBdr>
        <w:top w:val="none" w:sz="0" w:space="0" w:color="auto"/>
        <w:left w:val="none" w:sz="0" w:space="0" w:color="auto"/>
        <w:bottom w:val="none" w:sz="0" w:space="0" w:color="auto"/>
        <w:right w:val="none" w:sz="0" w:space="0" w:color="auto"/>
      </w:divBdr>
    </w:div>
    <w:div w:id="1069766799">
      <w:marLeft w:val="0"/>
      <w:marRight w:val="0"/>
      <w:marTop w:val="0"/>
      <w:marBottom w:val="0"/>
      <w:divBdr>
        <w:top w:val="none" w:sz="0" w:space="0" w:color="auto"/>
        <w:left w:val="none" w:sz="0" w:space="0" w:color="auto"/>
        <w:bottom w:val="none" w:sz="0" w:space="0" w:color="auto"/>
        <w:right w:val="none" w:sz="0" w:space="0" w:color="auto"/>
      </w:divBdr>
    </w:div>
    <w:div w:id="1069766800">
      <w:marLeft w:val="0"/>
      <w:marRight w:val="0"/>
      <w:marTop w:val="0"/>
      <w:marBottom w:val="0"/>
      <w:divBdr>
        <w:top w:val="none" w:sz="0" w:space="0" w:color="auto"/>
        <w:left w:val="none" w:sz="0" w:space="0" w:color="auto"/>
        <w:bottom w:val="none" w:sz="0" w:space="0" w:color="auto"/>
        <w:right w:val="none" w:sz="0" w:space="0" w:color="auto"/>
      </w:divBdr>
    </w:div>
    <w:div w:id="1069766801">
      <w:marLeft w:val="0"/>
      <w:marRight w:val="0"/>
      <w:marTop w:val="0"/>
      <w:marBottom w:val="0"/>
      <w:divBdr>
        <w:top w:val="none" w:sz="0" w:space="0" w:color="auto"/>
        <w:left w:val="none" w:sz="0" w:space="0" w:color="auto"/>
        <w:bottom w:val="none" w:sz="0" w:space="0" w:color="auto"/>
        <w:right w:val="none" w:sz="0" w:space="0" w:color="auto"/>
      </w:divBdr>
    </w:div>
    <w:div w:id="1069766802">
      <w:marLeft w:val="0"/>
      <w:marRight w:val="0"/>
      <w:marTop w:val="0"/>
      <w:marBottom w:val="0"/>
      <w:divBdr>
        <w:top w:val="none" w:sz="0" w:space="0" w:color="auto"/>
        <w:left w:val="none" w:sz="0" w:space="0" w:color="auto"/>
        <w:bottom w:val="none" w:sz="0" w:space="0" w:color="auto"/>
        <w:right w:val="none" w:sz="0" w:space="0" w:color="auto"/>
      </w:divBdr>
    </w:div>
    <w:div w:id="1069766805">
      <w:marLeft w:val="0"/>
      <w:marRight w:val="0"/>
      <w:marTop w:val="0"/>
      <w:marBottom w:val="0"/>
      <w:divBdr>
        <w:top w:val="none" w:sz="0" w:space="0" w:color="auto"/>
        <w:left w:val="none" w:sz="0" w:space="0" w:color="auto"/>
        <w:bottom w:val="none" w:sz="0" w:space="0" w:color="auto"/>
        <w:right w:val="none" w:sz="0" w:space="0" w:color="auto"/>
      </w:divBdr>
    </w:div>
    <w:div w:id="1069766806">
      <w:marLeft w:val="0"/>
      <w:marRight w:val="0"/>
      <w:marTop w:val="0"/>
      <w:marBottom w:val="0"/>
      <w:divBdr>
        <w:top w:val="none" w:sz="0" w:space="0" w:color="auto"/>
        <w:left w:val="none" w:sz="0" w:space="0" w:color="auto"/>
        <w:bottom w:val="none" w:sz="0" w:space="0" w:color="auto"/>
        <w:right w:val="none" w:sz="0" w:space="0" w:color="auto"/>
      </w:divBdr>
      <w:divsChild>
        <w:div w:id="1069766546">
          <w:marLeft w:val="0"/>
          <w:marRight w:val="0"/>
          <w:marTop w:val="0"/>
          <w:marBottom w:val="0"/>
          <w:divBdr>
            <w:top w:val="none" w:sz="0" w:space="0" w:color="auto"/>
            <w:left w:val="none" w:sz="0" w:space="0" w:color="auto"/>
            <w:bottom w:val="none" w:sz="0" w:space="0" w:color="auto"/>
            <w:right w:val="none" w:sz="0" w:space="0" w:color="auto"/>
          </w:divBdr>
          <w:divsChild>
            <w:div w:id="1069766812">
              <w:marLeft w:val="15"/>
              <w:marRight w:val="0"/>
              <w:marTop w:val="0"/>
              <w:marBottom w:val="0"/>
              <w:divBdr>
                <w:top w:val="single" w:sz="6" w:space="0" w:color="C7C9CB"/>
                <w:left w:val="single" w:sz="6" w:space="8" w:color="C7C9CB"/>
                <w:bottom w:val="single" w:sz="6" w:space="0" w:color="C7C9CB"/>
                <w:right w:val="single" w:sz="6" w:space="8" w:color="C7C9CB"/>
              </w:divBdr>
              <w:divsChild>
                <w:div w:id="1069766828">
                  <w:marLeft w:val="0"/>
                  <w:marRight w:val="0"/>
                  <w:marTop w:val="0"/>
                  <w:marBottom w:val="0"/>
                  <w:divBdr>
                    <w:top w:val="none" w:sz="0" w:space="0" w:color="auto"/>
                    <w:left w:val="none" w:sz="0" w:space="0" w:color="auto"/>
                    <w:bottom w:val="none" w:sz="0" w:space="0" w:color="auto"/>
                    <w:right w:val="none" w:sz="0" w:space="0" w:color="auto"/>
                  </w:divBdr>
                  <w:divsChild>
                    <w:div w:id="106976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9766808">
      <w:marLeft w:val="0"/>
      <w:marRight w:val="0"/>
      <w:marTop w:val="0"/>
      <w:marBottom w:val="0"/>
      <w:divBdr>
        <w:top w:val="none" w:sz="0" w:space="0" w:color="auto"/>
        <w:left w:val="none" w:sz="0" w:space="0" w:color="auto"/>
        <w:bottom w:val="none" w:sz="0" w:space="0" w:color="auto"/>
        <w:right w:val="none" w:sz="0" w:space="0" w:color="auto"/>
      </w:divBdr>
      <w:divsChild>
        <w:div w:id="1069766622">
          <w:marLeft w:val="0"/>
          <w:marRight w:val="0"/>
          <w:marTop w:val="0"/>
          <w:marBottom w:val="0"/>
          <w:divBdr>
            <w:top w:val="none" w:sz="0" w:space="0" w:color="auto"/>
            <w:left w:val="none" w:sz="0" w:space="0" w:color="auto"/>
            <w:bottom w:val="none" w:sz="0" w:space="0" w:color="auto"/>
            <w:right w:val="none" w:sz="0" w:space="0" w:color="auto"/>
          </w:divBdr>
        </w:div>
      </w:divsChild>
    </w:div>
    <w:div w:id="1069766813">
      <w:marLeft w:val="0"/>
      <w:marRight w:val="0"/>
      <w:marTop w:val="0"/>
      <w:marBottom w:val="0"/>
      <w:divBdr>
        <w:top w:val="none" w:sz="0" w:space="0" w:color="auto"/>
        <w:left w:val="none" w:sz="0" w:space="0" w:color="auto"/>
        <w:bottom w:val="none" w:sz="0" w:space="0" w:color="auto"/>
        <w:right w:val="none" w:sz="0" w:space="0" w:color="auto"/>
      </w:divBdr>
    </w:div>
    <w:div w:id="1069766814">
      <w:marLeft w:val="0"/>
      <w:marRight w:val="0"/>
      <w:marTop w:val="0"/>
      <w:marBottom w:val="0"/>
      <w:divBdr>
        <w:top w:val="none" w:sz="0" w:space="0" w:color="auto"/>
        <w:left w:val="none" w:sz="0" w:space="0" w:color="auto"/>
        <w:bottom w:val="none" w:sz="0" w:space="0" w:color="auto"/>
        <w:right w:val="none" w:sz="0" w:space="0" w:color="auto"/>
      </w:divBdr>
    </w:div>
    <w:div w:id="1069766815">
      <w:marLeft w:val="0"/>
      <w:marRight w:val="0"/>
      <w:marTop w:val="0"/>
      <w:marBottom w:val="0"/>
      <w:divBdr>
        <w:top w:val="none" w:sz="0" w:space="0" w:color="auto"/>
        <w:left w:val="none" w:sz="0" w:space="0" w:color="auto"/>
        <w:bottom w:val="none" w:sz="0" w:space="0" w:color="auto"/>
        <w:right w:val="none" w:sz="0" w:space="0" w:color="auto"/>
      </w:divBdr>
    </w:div>
    <w:div w:id="1069766816">
      <w:marLeft w:val="0"/>
      <w:marRight w:val="0"/>
      <w:marTop w:val="0"/>
      <w:marBottom w:val="0"/>
      <w:divBdr>
        <w:top w:val="none" w:sz="0" w:space="0" w:color="auto"/>
        <w:left w:val="none" w:sz="0" w:space="0" w:color="auto"/>
        <w:bottom w:val="none" w:sz="0" w:space="0" w:color="auto"/>
        <w:right w:val="none" w:sz="0" w:space="0" w:color="auto"/>
      </w:divBdr>
    </w:div>
    <w:div w:id="1069766818">
      <w:marLeft w:val="0"/>
      <w:marRight w:val="0"/>
      <w:marTop w:val="0"/>
      <w:marBottom w:val="0"/>
      <w:divBdr>
        <w:top w:val="none" w:sz="0" w:space="0" w:color="auto"/>
        <w:left w:val="none" w:sz="0" w:space="0" w:color="auto"/>
        <w:bottom w:val="none" w:sz="0" w:space="0" w:color="auto"/>
        <w:right w:val="none" w:sz="0" w:space="0" w:color="auto"/>
      </w:divBdr>
    </w:div>
    <w:div w:id="1069766819">
      <w:marLeft w:val="0"/>
      <w:marRight w:val="0"/>
      <w:marTop w:val="0"/>
      <w:marBottom w:val="0"/>
      <w:divBdr>
        <w:top w:val="none" w:sz="0" w:space="0" w:color="auto"/>
        <w:left w:val="none" w:sz="0" w:space="0" w:color="auto"/>
        <w:bottom w:val="none" w:sz="0" w:space="0" w:color="auto"/>
        <w:right w:val="none" w:sz="0" w:space="0" w:color="auto"/>
      </w:divBdr>
    </w:div>
    <w:div w:id="1069766820">
      <w:marLeft w:val="0"/>
      <w:marRight w:val="0"/>
      <w:marTop w:val="0"/>
      <w:marBottom w:val="0"/>
      <w:divBdr>
        <w:top w:val="none" w:sz="0" w:space="0" w:color="auto"/>
        <w:left w:val="none" w:sz="0" w:space="0" w:color="auto"/>
        <w:bottom w:val="none" w:sz="0" w:space="0" w:color="auto"/>
        <w:right w:val="none" w:sz="0" w:space="0" w:color="auto"/>
      </w:divBdr>
    </w:div>
    <w:div w:id="1069766821">
      <w:marLeft w:val="0"/>
      <w:marRight w:val="0"/>
      <w:marTop w:val="0"/>
      <w:marBottom w:val="0"/>
      <w:divBdr>
        <w:top w:val="none" w:sz="0" w:space="0" w:color="auto"/>
        <w:left w:val="none" w:sz="0" w:space="0" w:color="auto"/>
        <w:bottom w:val="none" w:sz="0" w:space="0" w:color="auto"/>
        <w:right w:val="none" w:sz="0" w:space="0" w:color="auto"/>
      </w:divBdr>
    </w:div>
    <w:div w:id="1069766822">
      <w:marLeft w:val="0"/>
      <w:marRight w:val="0"/>
      <w:marTop w:val="0"/>
      <w:marBottom w:val="0"/>
      <w:divBdr>
        <w:top w:val="none" w:sz="0" w:space="0" w:color="auto"/>
        <w:left w:val="none" w:sz="0" w:space="0" w:color="auto"/>
        <w:bottom w:val="none" w:sz="0" w:space="0" w:color="auto"/>
        <w:right w:val="none" w:sz="0" w:space="0" w:color="auto"/>
      </w:divBdr>
    </w:div>
    <w:div w:id="1069766827">
      <w:marLeft w:val="0"/>
      <w:marRight w:val="0"/>
      <w:marTop w:val="0"/>
      <w:marBottom w:val="0"/>
      <w:divBdr>
        <w:top w:val="none" w:sz="0" w:space="0" w:color="auto"/>
        <w:left w:val="none" w:sz="0" w:space="0" w:color="auto"/>
        <w:bottom w:val="none" w:sz="0" w:space="0" w:color="auto"/>
        <w:right w:val="none" w:sz="0" w:space="0" w:color="auto"/>
      </w:divBdr>
    </w:div>
    <w:div w:id="1069766829">
      <w:marLeft w:val="0"/>
      <w:marRight w:val="0"/>
      <w:marTop w:val="0"/>
      <w:marBottom w:val="0"/>
      <w:divBdr>
        <w:top w:val="none" w:sz="0" w:space="0" w:color="auto"/>
        <w:left w:val="none" w:sz="0" w:space="0" w:color="auto"/>
        <w:bottom w:val="none" w:sz="0" w:space="0" w:color="auto"/>
        <w:right w:val="none" w:sz="0" w:space="0" w:color="auto"/>
      </w:divBdr>
    </w:div>
    <w:div w:id="1069766830">
      <w:marLeft w:val="0"/>
      <w:marRight w:val="0"/>
      <w:marTop w:val="0"/>
      <w:marBottom w:val="0"/>
      <w:divBdr>
        <w:top w:val="none" w:sz="0" w:space="0" w:color="auto"/>
        <w:left w:val="none" w:sz="0" w:space="0" w:color="auto"/>
        <w:bottom w:val="none" w:sz="0" w:space="0" w:color="auto"/>
        <w:right w:val="none" w:sz="0" w:space="0" w:color="auto"/>
      </w:divBdr>
    </w:div>
    <w:div w:id="1069766831">
      <w:marLeft w:val="0"/>
      <w:marRight w:val="0"/>
      <w:marTop w:val="0"/>
      <w:marBottom w:val="0"/>
      <w:divBdr>
        <w:top w:val="none" w:sz="0" w:space="0" w:color="auto"/>
        <w:left w:val="none" w:sz="0" w:space="0" w:color="auto"/>
        <w:bottom w:val="none" w:sz="0" w:space="0" w:color="auto"/>
        <w:right w:val="none" w:sz="0" w:space="0" w:color="auto"/>
      </w:divBdr>
      <w:divsChild>
        <w:div w:id="1069766444">
          <w:marLeft w:val="0"/>
          <w:marRight w:val="0"/>
          <w:marTop w:val="0"/>
          <w:marBottom w:val="0"/>
          <w:divBdr>
            <w:top w:val="none" w:sz="0" w:space="0" w:color="auto"/>
            <w:left w:val="none" w:sz="0" w:space="0" w:color="auto"/>
            <w:bottom w:val="none" w:sz="0" w:space="0" w:color="auto"/>
            <w:right w:val="none" w:sz="0" w:space="0" w:color="auto"/>
          </w:divBdr>
          <w:divsChild>
            <w:div w:id="1069766475">
              <w:marLeft w:val="0"/>
              <w:marRight w:val="0"/>
              <w:marTop w:val="0"/>
              <w:marBottom w:val="0"/>
              <w:divBdr>
                <w:top w:val="none" w:sz="0" w:space="0" w:color="auto"/>
                <w:left w:val="none" w:sz="0" w:space="0" w:color="auto"/>
                <w:bottom w:val="none" w:sz="0" w:space="0" w:color="auto"/>
                <w:right w:val="none" w:sz="0" w:space="0" w:color="auto"/>
              </w:divBdr>
              <w:divsChild>
                <w:div w:id="1069766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832">
      <w:marLeft w:val="0"/>
      <w:marRight w:val="0"/>
      <w:marTop w:val="0"/>
      <w:marBottom w:val="0"/>
      <w:divBdr>
        <w:top w:val="none" w:sz="0" w:space="0" w:color="auto"/>
        <w:left w:val="none" w:sz="0" w:space="0" w:color="auto"/>
        <w:bottom w:val="none" w:sz="0" w:space="0" w:color="auto"/>
        <w:right w:val="none" w:sz="0" w:space="0" w:color="auto"/>
      </w:divBdr>
    </w:div>
    <w:div w:id="1069766833">
      <w:marLeft w:val="0"/>
      <w:marRight w:val="0"/>
      <w:marTop w:val="0"/>
      <w:marBottom w:val="0"/>
      <w:divBdr>
        <w:top w:val="none" w:sz="0" w:space="0" w:color="auto"/>
        <w:left w:val="none" w:sz="0" w:space="0" w:color="auto"/>
        <w:bottom w:val="none" w:sz="0" w:space="0" w:color="auto"/>
        <w:right w:val="none" w:sz="0" w:space="0" w:color="auto"/>
      </w:divBdr>
    </w:div>
    <w:div w:id="1069766834">
      <w:marLeft w:val="0"/>
      <w:marRight w:val="0"/>
      <w:marTop w:val="0"/>
      <w:marBottom w:val="0"/>
      <w:divBdr>
        <w:top w:val="none" w:sz="0" w:space="0" w:color="auto"/>
        <w:left w:val="none" w:sz="0" w:space="0" w:color="auto"/>
        <w:bottom w:val="none" w:sz="0" w:space="0" w:color="auto"/>
        <w:right w:val="none" w:sz="0" w:space="0" w:color="auto"/>
      </w:divBdr>
    </w:div>
    <w:div w:id="1069766836">
      <w:marLeft w:val="0"/>
      <w:marRight w:val="0"/>
      <w:marTop w:val="0"/>
      <w:marBottom w:val="0"/>
      <w:divBdr>
        <w:top w:val="none" w:sz="0" w:space="0" w:color="auto"/>
        <w:left w:val="none" w:sz="0" w:space="0" w:color="auto"/>
        <w:bottom w:val="none" w:sz="0" w:space="0" w:color="auto"/>
        <w:right w:val="none" w:sz="0" w:space="0" w:color="auto"/>
      </w:divBdr>
    </w:div>
    <w:div w:id="1069766837">
      <w:marLeft w:val="0"/>
      <w:marRight w:val="0"/>
      <w:marTop w:val="0"/>
      <w:marBottom w:val="0"/>
      <w:divBdr>
        <w:top w:val="none" w:sz="0" w:space="0" w:color="auto"/>
        <w:left w:val="none" w:sz="0" w:space="0" w:color="auto"/>
        <w:bottom w:val="none" w:sz="0" w:space="0" w:color="auto"/>
        <w:right w:val="none" w:sz="0" w:space="0" w:color="auto"/>
      </w:divBdr>
    </w:div>
    <w:div w:id="1069766841">
      <w:marLeft w:val="0"/>
      <w:marRight w:val="0"/>
      <w:marTop w:val="0"/>
      <w:marBottom w:val="0"/>
      <w:divBdr>
        <w:top w:val="none" w:sz="0" w:space="0" w:color="auto"/>
        <w:left w:val="none" w:sz="0" w:space="0" w:color="auto"/>
        <w:bottom w:val="none" w:sz="0" w:space="0" w:color="auto"/>
        <w:right w:val="none" w:sz="0" w:space="0" w:color="auto"/>
      </w:divBdr>
    </w:div>
    <w:div w:id="1069766842">
      <w:marLeft w:val="0"/>
      <w:marRight w:val="0"/>
      <w:marTop w:val="0"/>
      <w:marBottom w:val="0"/>
      <w:divBdr>
        <w:top w:val="none" w:sz="0" w:space="0" w:color="auto"/>
        <w:left w:val="none" w:sz="0" w:space="0" w:color="auto"/>
        <w:bottom w:val="none" w:sz="0" w:space="0" w:color="auto"/>
        <w:right w:val="none" w:sz="0" w:space="0" w:color="auto"/>
      </w:divBdr>
    </w:div>
    <w:div w:id="1069766843">
      <w:marLeft w:val="0"/>
      <w:marRight w:val="0"/>
      <w:marTop w:val="0"/>
      <w:marBottom w:val="0"/>
      <w:divBdr>
        <w:top w:val="none" w:sz="0" w:space="0" w:color="auto"/>
        <w:left w:val="none" w:sz="0" w:space="0" w:color="auto"/>
        <w:bottom w:val="none" w:sz="0" w:space="0" w:color="auto"/>
        <w:right w:val="none" w:sz="0" w:space="0" w:color="auto"/>
      </w:divBdr>
    </w:div>
    <w:div w:id="1069766844">
      <w:marLeft w:val="0"/>
      <w:marRight w:val="0"/>
      <w:marTop w:val="0"/>
      <w:marBottom w:val="0"/>
      <w:divBdr>
        <w:top w:val="none" w:sz="0" w:space="0" w:color="auto"/>
        <w:left w:val="none" w:sz="0" w:space="0" w:color="auto"/>
        <w:bottom w:val="none" w:sz="0" w:space="0" w:color="auto"/>
        <w:right w:val="none" w:sz="0" w:space="0" w:color="auto"/>
      </w:divBdr>
    </w:div>
    <w:div w:id="1069766845">
      <w:marLeft w:val="0"/>
      <w:marRight w:val="0"/>
      <w:marTop w:val="0"/>
      <w:marBottom w:val="0"/>
      <w:divBdr>
        <w:top w:val="none" w:sz="0" w:space="0" w:color="auto"/>
        <w:left w:val="none" w:sz="0" w:space="0" w:color="auto"/>
        <w:bottom w:val="none" w:sz="0" w:space="0" w:color="auto"/>
        <w:right w:val="none" w:sz="0" w:space="0" w:color="auto"/>
      </w:divBdr>
    </w:div>
    <w:div w:id="1069766847">
      <w:marLeft w:val="0"/>
      <w:marRight w:val="0"/>
      <w:marTop w:val="0"/>
      <w:marBottom w:val="0"/>
      <w:divBdr>
        <w:top w:val="none" w:sz="0" w:space="0" w:color="auto"/>
        <w:left w:val="none" w:sz="0" w:space="0" w:color="auto"/>
        <w:bottom w:val="none" w:sz="0" w:space="0" w:color="auto"/>
        <w:right w:val="none" w:sz="0" w:space="0" w:color="auto"/>
      </w:divBdr>
    </w:div>
    <w:div w:id="1069766848">
      <w:marLeft w:val="0"/>
      <w:marRight w:val="0"/>
      <w:marTop w:val="0"/>
      <w:marBottom w:val="0"/>
      <w:divBdr>
        <w:top w:val="none" w:sz="0" w:space="0" w:color="auto"/>
        <w:left w:val="none" w:sz="0" w:space="0" w:color="auto"/>
        <w:bottom w:val="none" w:sz="0" w:space="0" w:color="auto"/>
        <w:right w:val="none" w:sz="0" w:space="0" w:color="auto"/>
      </w:divBdr>
      <w:divsChild>
        <w:div w:id="1069766458">
          <w:marLeft w:val="0"/>
          <w:marRight w:val="0"/>
          <w:marTop w:val="0"/>
          <w:marBottom w:val="0"/>
          <w:divBdr>
            <w:top w:val="none" w:sz="0" w:space="0" w:color="auto"/>
            <w:left w:val="none" w:sz="0" w:space="0" w:color="auto"/>
            <w:bottom w:val="none" w:sz="0" w:space="0" w:color="auto"/>
            <w:right w:val="none" w:sz="0" w:space="0" w:color="auto"/>
          </w:divBdr>
        </w:div>
      </w:divsChild>
    </w:div>
    <w:div w:id="1069766850">
      <w:marLeft w:val="0"/>
      <w:marRight w:val="0"/>
      <w:marTop w:val="0"/>
      <w:marBottom w:val="0"/>
      <w:divBdr>
        <w:top w:val="none" w:sz="0" w:space="0" w:color="auto"/>
        <w:left w:val="none" w:sz="0" w:space="0" w:color="auto"/>
        <w:bottom w:val="none" w:sz="0" w:space="0" w:color="auto"/>
        <w:right w:val="none" w:sz="0" w:space="0" w:color="auto"/>
      </w:divBdr>
      <w:divsChild>
        <w:div w:id="1069766788">
          <w:marLeft w:val="0"/>
          <w:marRight w:val="0"/>
          <w:marTop w:val="0"/>
          <w:marBottom w:val="0"/>
          <w:divBdr>
            <w:top w:val="none" w:sz="0" w:space="0" w:color="auto"/>
            <w:left w:val="none" w:sz="0" w:space="0" w:color="auto"/>
            <w:bottom w:val="none" w:sz="0" w:space="0" w:color="auto"/>
            <w:right w:val="none" w:sz="0" w:space="0" w:color="auto"/>
          </w:divBdr>
        </w:div>
      </w:divsChild>
    </w:div>
    <w:div w:id="1069766851">
      <w:marLeft w:val="0"/>
      <w:marRight w:val="0"/>
      <w:marTop w:val="0"/>
      <w:marBottom w:val="0"/>
      <w:divBdr>
        <w:top w:val="none" w:sz="0" w:space="0" w:color="auto"/>
        <w:left w:val="none" w:sz="0" w:space="0" w:color="auto"/>
        <w:bottom w:val="none" w:sz="0" w:space="0" w:color="auto"/>
        <w:right w:val="none" w:sz="0" w:space="0" w:color="auto"/>
      </w:divBdr>
    </w:div>
    <w:div w:id="1069766852">
      <w:marLeft w:val="0"/>
      <w:marRight w:val="0"/>
      <w:marTop w:val="0"/>
      <w:marBottom w:val="0"/>
      <w:divBdr>
        <w:top w:val="none" w:sz="0" w:space="0" w:color="auto"/>
        <w:left w:val="none" w:sz="0" w:space="0" w:color="auto"/>
        <w:bottom w:val="none" w:sz="0" w:space="0" w:color="auto"/>
        <w:right w:val="none" w:sz="0" w:space="0" w:color="auto"/>
      </w:divBdr>
      <w:divsChild>
        <w:div w:id="1069766775">
          <w:marLeft w:val="0"/>
          <w:marRight w:val="0"/>
          <w:marTop w:val="0"/>
          <w:marBottom w:val="0"/>
          <w:divBdr>
            <w:top w:val="none" w:sz="0" w:space="0" w:color="auto"/>
            <w:left w:val="none" w:sz="0" w:space="0" w:color="auto"/>
            <w:bottom w:val="none" w:sz="0" w:space="0" w:color="auto"/>
            <w:right w:val="none" w:sz="0" w:space="0" w:color="auto"/>
          </w:divBdr>
        </w:div>
      </w:divsChild>
    </w:div>
    <w:div w:id="1069766853">
      <w:marLeft w:val="0"/>
      <w:marRight w:val="0"/>
      <w:marTop w:val="0"/>
      <w:marBottom w:val="0"/>
      <w:divBdr>
        <w:top w:val="none" w:sz="0" w:space="0" w:color="auto"/>
        <w:left w:val="none" w:sz="0" w:space="0" w:color="auto"/>
        <w:bottom w:val="none" w:sz="0" w:space="0" w:color="auto"/>
        <w:right w:val="none" w:sz="0" w:space="0" w:color="auto"/>
      </w:divBdr>
      <w:divsChild>
        <w:div w:id="1069766555">
          <w:marLeft w:val="0"/>
          <w:marRight w:val="0"/>
          <w:marTop w:val="0"/>
          <w:marBottom w:val="0"/>
          <w:divBdr>
            <w:top w:val="none" w:sz="0" w:space="0" w:color="auto"/>
            <w:left w:val="none" w:sz="0" w:space="0" w:color="auto"/>
            <w:bottom w:val="none" w:sz="0" w:space="0" w:color="auto"/>
            <w:right w:val="none" w:sz="0" w:space="0" w:color="auto"/>
          </w:divBdr>
          <w:divsChild>
            <w:div w:id="1069766593">
              <w:marLeft w:val="0"/>
              <w:marRight w:val="0"/>
              <w:marTop w:val="0"/>
              <w:marBottom w:val="0"/>
              <w:divBdr>
                <w:top w:val="none" w:sz="0" w:space="0" w:color="auto"/>
                <w:left w:val="none" w:sz="0" w:space="0" w:color="auto"/>
                <w:bottom w:val="none" w:sz="0" w:space="0" w:color="auto"/>
                <w:right w:val="none" w:sz="0" w:space="0" w:color="auto"/>
              </w:divBdr>
              <w:divsChild>
                <w:div w:id="1069766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854">
      <w:marLeft w:val="0"/>
      <w:marRight w:val="0"/>
      <w:marTop w:val="0"/>
      <w:marBottom w:val="0"/>
      <w:divBdr>
        <w:top w:val="none" w:sz="0" w:space="0" w:color="auto"/>
        <w:left w:val="none" w:sz="0" w:space="0" w:color="auto"/>
        <w:bottom w:val="none" w:sz="0" w:space="0" w:color="auto"/>
        <w:right w:val="none" w:sz="0" w:space="0" w:color="auto"/>
      </w:divBdr>
    </w:div>
    <w:div w:id="1069766855">
      <w:marLeft w:val="0"/>
      <w:marRight w:val="0"/>
      <w:marTop w:val="0"/>
      <w:marBottom w:val="0"/>
      <w:divBdr>
        <w:top w:val="none" w:sz="0" w:space="0" w:color="auto"/>
        <w:left w:val="none" w:sz="0" w:space="0" w:color="auto"/>
        <w:bottom w:val="none" w:sz="0" w:space="0" w:color="auto"/>
        <w:right w:val="none" w:sz="0" w:space="0" w:color="auto"/>
      </w:divBdr>
      <w:divsChild>
        <w:div w:id="1069766668">
          <w:marLeft w:val="0"/>
          <w:marRight w:val="0"/>
          <w:marTop w:val="0"/>
          <w:marBottom w:val="0"/>
          <w:divBdr>
            <w:top w:val="none" w:sz="0" w:space="0" w:color="auto"/>
            <w:left w:val="none" w:sz="0" w:space="0" w:color="auto"/>
            <w:bottom w:val="none" w:sz="0" w:space="0" w:color="auto"/>
            <w:right w:val="none" w:sz="0" w:space="0" w:color="auto"/>
          </w:divBdr>
        </w:div>
      </w:divsChild>
    </w:div>
    <w:div w:id="1069766856">
      <w:marLeft w:val="0"/>
      <w:marRight w:val="0"/>
      <w:marTop w:val="0"/>
      <w:marBottom w:val="0"/>
      <w:divBdr>
        <w:top w:val="none" w:sz="0" w:space="0" w:color="auto"/>
        <w:left w:val="none" w:sz="0" w:space="0" w:color="auto"/>
        <w:bottom w:val="none" w:sz="0" w:space="0" w:color="auto"/>
        <w:right w:val="none" w:sz="0" w:space="0" w:color="auto"/>
      </w:divBdr>
    </w:div>
    <w:div w:id="1069766857">
      <w:marLeft w:val="0"/>
      <w:marRight w:val="0"/>
      <w:marTop w:val="0"/>
      <w:marBottom w:val="0"/>
      <w:divBdr>
        <w:top w:val="none" w:sz="0" w:space="0" w:color="auto"/>
        <w:left w:val="none" w:sz="0" w:space="0" w:color="auto"/>
        <w:bottom w:val="none" w:sz="0" w:space="0" w:color="auto"/>
        <w:right w:val="none" w:sz="0" w:space="0" w:color="auto"/>
      </w:divBdr>
    </w:div>
    <w:div w:id="1069766859">
      <w:marLeft w:val="0"/>
      <w:marRight w:val="0"/>
      <w:marTop w:val="0"/>
      <w:marBottom w:val="0"/>
      <w:divBdr>
        <w:top w:val="none" w:sz="0" w:space="0" w:color="auto"/>
        <w:left w:val="none" w:sz="0" w:space="0" w:color="auto"/>
        <w:bottom w:val="none" w:sz="0" w:space="0" w:color="auto"/>
        <w:right w:val="none" w:sz="0" w:space="0" w:color="auto"/>
      </w:divBdr>
    </w:div>
    <w:div w:id="1069766860">
      <w:marLeft w:val="0"/>
      <w:marRight w:val="0"/>
      <w:marTop w:val="0"/>
      <w:marBottom w:val="0"/>
      <w:divBdr>
        <w:top w:val="none" w:sz="0" w:space="0" w:color="auto"/>
        <w:left w:val="none" w:sz="0" w:space="0" w:color="auto"/>
        <w:bottom w:val="none" w:sz="0" w:space="0" w:color="auto"/>
        <w:right w:val="none" w:sz="0" w:space="0" w:color="auto"/>
      </w:divBdr>
      <w:divsChild>
        <w:div w:id="1069766378">
          <w:marLeft w:val="0"/>
          <w:marRight w:val="0"/>
          <w:marTop w:val="0"/>
          <w:marBottom w:val="0"/>
          <w:divBdr>
            <w:top w:val="none" w:sz="0" w:space="0" w:color="auto"/>
            <w:left w:val="none" w:sz="0" w:space="0" w:color="auto"/>
            <w:bottom w:val="none" w:sz="0" w:space="0" w:color="auto"/>
            <w:right w:val="none" w:sz="0" w:space="0" w:color="auto"/>
          </w:divBdr>
        </w:div>
      </w:divsChild>
    </w:div>
    <w:div w:id="1069766861">
      <w:marLeft w:val="0"/>
      <w:marRight w:val="0"/>
      <w:marTop w:val="0"/>
      <w:marBottom w:val="0"/>
      <w:divBdr>
        <w:top w:val="none" w:sz="0" w:space="0" w:color="auto"/>
        <w:left w:val="none" w:sz="0" w:space="0" w:color="auto"/>
        <w:bottom w:val="none" w:sz="0" w:space="0" w:color="auto"/>
        <w:right w:val="none" w:sz="0" w:space="0" w:color="auto"/>
      </w:divBdr>
    </w:div>
    <w:div w:id="1069766862">
      <w:marLeft w:val="0"/>
      <w:marRight w:val="0"/>
      <w:marTop w:val="0"/>
      <w:marBottom w:val="0"/>
      <w:divBdr>
        <w:top w:val="none" w:sz="0" w:space="0" w:color="auto"/>
        <w:left w:val="none" w:sz="0" w:space="0" w:color="auto"/>
        <w:bottom w:val="none" w:sz="0" w:space="0" w:color="auto"/>
        <w:right w:val="none" w:sz="0" w:space="0" w:color="auto"/>
      </w:divBdr>
    </w:div>
    <w:div w:id="1069766863">
      <w:marLeft w:val="0"/>
      <w:marRight w:val="0"/>
      <w:marTop w:val="0"/>
      <w:marBottom w:val="0"/>
      <w:divBdr>
        <w:top w:val="none" w:sz="0" w:space="0" w:color="auto"/>
        <w:left w:val="none" w:sz="0" w:space="0" w:color="auto"/>
        <w:bottom w:val="none" w:sz="0" w:space="0" w:color="auto"/>
        <w:right w:val="none" w:sz="0" w:space="0" w:color="auto"/>
      </w:divBdr>
    </w:div>
    <w:div w:id="1069766864">
      <w:marLeft w:val="0"/>
      <w:marRight w:val="0"/>
      <w:marTop w:val="0"/>
      <w:marBottom w:val="0"/>
      <w:divBdr>
        <w:top w:val="none" w:sz="0" w:space="0" w:color="auto"/>
        <w:left w:val="none" w:sz="0" w:space="0" w:color="auto"/>
        <w:bottom w:val="none" w:sz="0" w:space="0" w:color="auto"/>
        <w:right w:val="none" w:sz="0" w:space="0" w:color="auto"/>
      </w:divBdr>
    </w:div>
    <w:div w:id="1069766865">
      <w:marLeft w:val="0"/>
      <w:marRight w:val="0"/>
      <w:marTop w:val="0"/>
      <w:marBottom w:val="0"/>
      <w:divBdr>
        <w:top w:val="none" w:sz="0" w:space="0" w:color="auto"/>
        <w:left w:val="none" w:sz="0" w:space="0" w:color="auto"/>
        <w:bottom w:val="none" w:sz="0" w:space="0" w:color="auto"/>
        <w:right w:val="none" w:sz="0" w:space="0" w:color="auto"/>
      </w:divBdr>
    </w:div>
    <w:div w:id="1069766868">
      <w:marLeft w:val="0"/>
      <w:marRight w:val="0"/>
      <w:marTop w:val="0"/>
      <w:marBottom w:val="0"/>
      <w:divBdr>
        <w:top w:val="none" w:sz="0" w:space="0" w:color="auto"/>
        <w:left w:val="none" w:sz="0" w:space="0" w:color="auto"/>
        <w:bottom w:val="none" w:sz="0" w:space="0" w:color="auto"/>
        <w:right w:val="none" w:sz="0" w:space="0" w:color="auto"/>
      </w:divBdr>
    </w:div>
    <w:div w:id="1069766872">
      <w:marLeft w:val="0"/>
      <w:marRight w:val="0"/>
      <w:marTop w:val="0"/>
      <w:marBottom w:val="0"/>
      <w:divBdr>
        <w:top w:val="none" w:sz="0" w:space="0" w:color="auto"/>
        <w:left w:val="none" w:sz="0" w:space="0" w:color="auto"/>
        <w:bottom w:val="none" w:sz="0" w:space="0" w:color="auto"/>
        <w:right w:val="none" w:sz="0" w:space="0" w:color="auto"/>
      </w:divBdr>
    </w:div>
    <w:div w:id="1069766873">
      <w:marLeft w:val="0"/>
      <w:marRight w:val="0"/>
      <w:marTop w:val="0"/>
      <w:marBottom w:val="0"/>
      <w:divBdr>
        <w:top w:val="none" w:sz="0" w:space="0" w:color="auto"/>
        <w:left w:val="none" w:sz="0" w:space="0" w:color="auto"/>
        <w:bottom w:val="none" w:sz="0" w:space="0" w:color="auto"/>
        <w:right w:val="none" w:sz="0" w:space="0" w:color="auto"/>
      </w:divBdr>
    </w:div>
    <w:div w:id="1069766875">
      <w:marLeft w:val="0"/>
      <w:marRight w:val="0"/>
      <w:marTop w:val="0"/>
      <w:marBottom w:val="0"/>
      <w:divBdr>
        <w:top w:val="none" w:sz="0" w:space="0" w:color="auto"/>
        <w:left w:val="none" w:sz="0" w:space="0" w:color="auto"/>
        <w:bottom w:val="none" w:sz="0" w:space="0" w:color="auto"/>
        <w:right w:val="none" w:sz="0" w:space="0" w:color="auto"/>
      </w:divBdr>
      <w:divsChild>
        <w:div w:id="1069766391">
          <w:marLeft w:val="0"/>
          <w:marRight w:val="0"/>
          <w:marTop w:val="0"/>
          <w:marBottom w:val="0"/>
          <w:divBdr>
            <w:top w:val="none" w:sz="0" w:space="0" w:color="auto"/>
            <w:left w:val="none" w:sz="0" w:space="0" w:color="auto"/>
            <w:bottom w:val="none" w:sz="0" w:space="0" w:color="auto"/>
            <w:right w:val="none" w:sz="0" w:space="0" w:color="auto"/>
          </w:divBdr>
          <w:divsChild>
            <w:div w:id="1069766602">
              <w:marLeft w:val="0"/>
              <w:marRight w:val="0"/>
              <w:marTop w:val="0"/>
              <w:marBottom w:val="0"/>
              <w:divBdr>
                <w:top w:val="none" w:sz="0" w:space="0" w:color="auto"/>
                <w:left w:val="none" w:sz="0" w:space="0" w:color="auto"/>
                <w:bottom w:val="none" w:sz="0" w:space="0" w:color="auto"/>
                <w:right w:val="none" w:sz="0" w:space="0" w:color="auto"/>
              </w:divBdr>
              <w:divsChild>
                <w:div w:id="1069766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877">
      <w:marLeft w:val="0"/>
      <w:marRight w:val="0"/>
      <w:marTop w:val="0"/>
      <w:marBottom w:val="0"/>
      <w:divBdr>
        <w:top w:val="none" w:sz="0" w:space="0" w:color="auto"/>
        <w:left w:val="none" w:sz="0" w:space="0" w:color="auto"/>
        <w:bottom w:val="none" w:sz="0" w:space="0" w:color="auto"/>
        <w:right w:val="none" w:sz="0" w:space="0" w:color="auto"/>
      </w:divBdr>
    </w:div>
    <w:div w:id="1069766878">
      <w:marLeft w:val="0"/>
      <w:marRight w:val="0"/>
      <w:marTop w:val="0"/>
      <w:marBottom w:val="0"/>
      <w:divBdr>
        <w:top w:val="none" w:sz="0" w:space="0" w:color="auto"/>
        <w:left w:val="none" w:sz="0" w:space="0" w:color="auto"/>
        <w:bottom w:val="none" w:sz="0" w:space="0" w:color="auto"/>
        <w:right w:val="none" w:sz="0" w:space="0" w:color="auto"/>
      </w:divBdr>
      <w:divsChild>
        <w:div w:id="1069766761">
          <w:marLeft w:val="0"/>
          <w:marRight w:val="0"/>
          <w:marTop w:val="0"/>
          <w:marBottom w:val="0"/>
          <w:divBdr>
            <w:top w:val="none" w:sz="0" w:space="0" w:color="auto"/>
            <w:left w:val="none" w:sz="0" w:space="0" w:color="auto"/>
            <w:bottom w:val="none" w:sz="0" w:space="0" w:color="auto"/>
            <w:right w:val="none" w:sz="0" w:space="0" w:color="auto"/>
          </w:divBdr>
          <w:divsChild>
            <w:div w:id="1069766705">
              <w:marLeft w:val="0"/>
              <w:marRight w:val="0"/>
              <w:marTop w:val="0"/>
              <w:marBottom w:val="0"/>
              <w:divBdr>
                <w:top w:val="none" w:sz="0" w:space="0" w:color="auto"/>
                <w:left w:val="none" w:sz="0" w:space="0" w:color="auto"/>
                <w:bottom w:val="none" w:sz="0" w:space="0" w:color="auto"/>
                <w:right w:val="none" w:sz="0" w:space="0" w:color="auto"/>
              </w:divBdr>
              <w:divsChild>
                <w:div w:id="106976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9766879">
      <w:marLeft w:val="0"/>
      <w:marRight w:val="0"/>
      <w:marTop w:val="0"/>
      <w:marBottom w:val="0"/>
      <w:divBdr>
        <w:top w:val="none" w:sz="0" w:space="0" w:color="auto"/>
        <w:left w:val="none" w:sz="0" w:space="0" w:color="auto"/>
        <w:bottom w:val="none" w:sz="0" w:space="0" w:color="auto"/>
        <w:right w:val="none" w:sz="0" w:space="0" w:color="auto"/>
      </w:divBdr>
    </w:div>
    <w:div w:id="1069766880">
      <w:marLeft w:val="0"/>
      <w:marRight w:val="0"/>
      <w:marTop w:val="0"/>
      <w:marBottom w:val="0"/>
      <w:divBdr>
        <w:top w:val="none" w:sz="0" w:space="0" w:color="auto"/>
        <w:left w:val="none" w:sz="0" w:space="0" w:color="auto"/>
        <w:bottom w:val="none" w:sz="0" w:space="0" w:color="auto"/>
        <w:right w:val="none" w:sz="0" w:space="0" w:color="auto"/>
      </w:divBdr>
    </w:div>
    <w:div w:id="1069766881">
      <w:marLeft w:val="0"/>
      <w:marRight w:val="0"/>
      <w:marTop w:val="0"/>
      <w:marBottom w:val="0"/>
      <w:divBdr>
        <w:top w:val="none" w:sz="0" w:space="0" w:color="auto"/>
        <w:left w:val="none" w:sz="0" w:space="0" w:color="auto"/>
        <w:bottom w:val="none" w:sz="0" w:space="0" w:color="auto"/>
        <w:right w:val="none" w:sz="0" w:space="0" w:color="auto"/>
      </w:divBdr>
      <w:divsChild>
        <w:div w:id="1069766759">
          <w:marLeft w:val="0"/>
          <w:marRight w:val="0"/>
          <w:marTop w:val="0"/>
          <w:marBottom w:val="0"/>
          <w:divBdr>
            <w:top w:val="none" w:sz="0" w:space="0" w:color="auto"/>
            <w:left w:val="none" w:sz="0" w:space="0" w:color="auto"/>
            <w:bottom w:val="none" w:sz="0" w:space="0" w:color="auto"/>
            <w:right w:val="none" w:sz="0" w:space="0" w:color="auto"/>
          </w:divBdr>
        </w:div>
      </w:divsChild>
    </w:div>
    <w:div w:id="1069766882">
      <w:marLeft w:val="0"/>
      <w:marRight w:val="0"/>
      <w:marTop w:val="0"/>
      <w:marBottom w:val="0"/>
      <w:divBdr>
        <w:top w:val="none" w:sz="0" w:space="0" w:color="auto"/>
        <w:left w:val="none" w:sz="0" w:space="0" w:color="auto"/>
        <w:bottom w:val="none" w:sz="0" w:space="0" w:color="auto"/>
        <w:right w:val="none" w:sz="0" w:space="0" w:color="auto"/>
      </w:divBdr>
    </w:div>
    <w:div w:id="1069766884">
      <w:marLeft w:val="0"/>
      <w:marRight w:val="0"/>
      <w:marTop w:val="0"/>
      <w:marBottom w:val="0"/>
      <w:divBdr>
        <w:top w:val="none" w:sz="0" w:space="0" w:color="auto"/>
        <w:left w:val="none" w:sz="0" w:space="0" w:color="auto"/>
        <w:bottom w:val="none" w:sz="0" w:space="0" w:color="auto"/>
        <w:right w:val="none" w:sz="0" w:space="0" w:color="auto"/>
      </w:divBdr>
    </w:div>
    <w:div w:id="1069766885">
      <w:marLeft w:val="0"/>
      <w:marRight w:val="0"/>
      <w:marTop w:val="0"/>
      <w:marBottom w:val="0"/>
      <w:divBdr>
        <w:top w:val="none" w:sz="0" w:space="0" w:color="auto"/>
        <w:left w:val="none" w:sz="0" w:space="0" w:color="auto"/>
        <w:bottom w:val="none" w:sz="0" w:space="0" w:color="auto"/>
        <w:right w:val="none" w:sz="0" w:space="0" w:color="auto"/>
      </w:divBdr>
      <w:divsChild>
        <w:div w:id="1069766899">
          <w:marLeft w:val="0"/>
          <w:marRight w:val="0"/>
          <w:marTop w:val="0"/>
          <w:marBottom w:val="0"/>
          <w:divBdr>
            <w:top w:val="none" w:sz="0" w:space="0" w:color="auto"/>
            <w:left w:val="none" w:sz="0" w:space="0" w:color="auto"/>
            <w:bottom w:val="none" w:sz="0" w:space="0" w:color="auto"/>
            <w:right w:val="none" w:sz="0" w:space="0" w:color="auto"/>
          </w:divBdr>
          <w:divsChild>
            <w:div w:id="1069766892">
              <w:marLeft w:val="0"/>
              <w:marRight w:val="0"/>
              <w:marTop w:val="0"/>
              <w:marBottom w:val="0"/>
              <w:divBdr>
                <w:top w:val="none" w:sz="0" w:space="0" w:color="auto"/>
                <w:left w:val="none" w:sz="0" w:space="0" w:color="auto"/>
                <w:bottom w:val="none" w:sz="0" w:space="0" w:color="auto"/>
                <w:right w:val="none" w:sz="0" w:space="0" w:color="auto"/>
              </w:divBdr>
            </w:div>
            <w:div w:id="106976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888">
      <w:marLeft w:val="0"/>
      <w:marRight w:val="0"/>
      <w:marTop w:val="0"/>
      <w:marBottom w:val="0"/>
      <w:divBdr>
        <w:top w:val="none" w:sz="0" w:space="0" w:color="auto"/>
        <w:left w:val="none" w:sz="0" w:space="0" w:color="auto"/>
        <w:bottom w:val="none" w:sz="0" w:space="0" w:color="auto"/>
        <w:right w:val="none" w:sz="0" w:space="0" w:color="auto"/>
      </w:divBdr>
      <w:divsChild>
        <w:div w:id="1069766889">
          <w:marLeft w:val="0"/>
          <w:marRight w:val="0"/>
          <w:marTop w:val="0"/>
          <w:marBottom w:val="0"/>
          <w:divBdr>
            <w:top w:val="none" w:sz="0" w:space="0" w:color="auto"/>
            <w:left w:val="none" w:sz="0" w:space="0" w:color="auto"/>
            <w:bottom w:val="none" w:sz="0" w:space="0" w:color="auto"/>
            <w:right w:val="none" w:sz="0" w:space="0" w:color="auto"/>
          </w:divBdr>
          <w:divsChild>
            <w:div w:id="1069766896">
              <w:marLeft w:val="0"/>
              <w:marRight w:val="0"/>
              <w:marTop w:val="0"/>
              <w:marBottom w:val="0"/>
              <w:divBdr>
                <w:top w:val="none" w:sz="0" w:space="0" w:color="auto"/>
                <w:left w:val="none" w:sz="0" w:space="0" w:color="auto"/>
                <w:bottom w:val="none" w:sz="0" w:space="0" w:color="auto"/>
                <w:right w:val="none" w:sz="0" w:space="0" w:color="auto"/>
              </w:divBdr>
            </w:div>
            <w:div w:id="106976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895">
      <w:marLeft w:val="0"/>
      <w:marRight w:val="0"/>
      <w:marTop w:val="0"/>
      <w:marBottom w:val="0"/>
      <w:divBdr>
        <w:top w:val="none" w:sz="0" w:space="0" w:color="auto"/>
        <w:left w:val="none" w:sz="0" w:space="0" w:color="auto"/>
        <w:bottom w:val="none" w:sz="0" w:space="0" w:color="auto"/>
        <w:right w:val="none" w:sz="0" w:space="0" w:color="auto"/>
      </w:divBdr>
      <w:divsChild>
        <w:div w:id="1069766898">
          <w:marLeft w:val="0"/>
          <w:marRight w:val="0"/>
          <w:marTop w:val="0"/>
          <w:marBottom w:val="0"/>
          <w:divBdr>
            <w:top w:val="none" w:sz="0" w:space="0" w:color="auto"/>
            <w:left w:val="none" w:sz="0" w:space="0" w:color="auto"/>
            <w:bottom w:val="none" w:sz="0" w:space="0" w:color="auto"/>
            <w:right w:val="none" w:sz="0" w:space="0" w:color="auto"/>
          </w:divBdr>
          <w:divsChild>
            <w:div w:id="1069766886">
              <w:marLeft w:val="0"/>
              <w:marRight w:val="0"/>
              <w:marTop w:val="0"/>
              <w:marBottom w:val="0"/>
              <w:divBdr>
                <w:top w:val="none" w:sz="0" w:space="0" w:color="auto"/>
                <w:left w:val="none" w:sz="0" w:space="0" w:color="auto"/>
                <w:bottom w:val="none" w:sz="0" w:space="0" w:color="auto"/>
                <w:right w:val="none" w:sz="0" w:space="0" w:color="auto"/>
              </w:divBdr>
            </w:div>
            <w:div w:id="106976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900">
      <w:marLeft w:val="0"/>
      <w:marRight w:val="0"/>
      <w:marTop w:val="0"/>
      <w:marBottom w:val="0"/>
      <w:divBdr>
        <w:top w:val="none" w:sz="0" w:space="0" w:color="auto"/>
        <w:left w:val="none" w:sz="0" w:space="0" w:color="auto"/>
        <w:bottom w:val="none" w:sz="0" w:space="0" w:color="auto"/>
        <w:right w:val="none" w:sz="0" w:space="0" w:color="auto"/>
      </w:divBdr>
      <w:divsChild>
        <w:div w:id="1069766890">
          <w:marLeft w:val="0"/>
          <w:marRight w:val="0"/>
          <w:marTop w:val="0"/>
          <w:marBottom w:val="0"/>
          <w:divBdr>
            <w:top w:val="none" w:sz="0" w:space="0" w:color="auto"/>
            <w:left w:val="none" w:sz="0" w:space="0" w:color="auto"/>
            <w:bottom w:val="none" w:sz="0" w:space="0" w:color="auto"/>
            <w:right w:val="none" w:sz="0" w:space="0" w:color="auto"/>
          </w:divBdr>
          <w:divsChild>
            <w:div w:id="1069766887">
              <w:marLeft w:val="0"/>
              <w:marRight w:val="0"/>
              <w:marTop w:val="0"/>
              <w:marBottom w:val="0"/>
              <w:divBdr>
                <w:top w:val="none" w:sz="0" w:space="0" w:color="auto"/>
                <w:left w:val="none" w:sz="0" w:space="0" w:color="auto"/>
                <w:bottom w:val="none" w:sz="0" w:space="0" w:color="auto"/>
                <w:right w:val="none" w:sz="0" w:space="0" w:color="auto"/>
              </w:divBdr>
            </w:div>
            <w:div w:id="1069766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766901">
      <w:marLeft w:val="0"/>
      <w:marRight w:val="0"/>
      <w:marTop w:val="0"/>
      <w:marBottom w:val="0"/>
      <w:divBdr>
        <w:top w:val="none" w:sz="0" w:space="0" w:color="auto"/>
        <w:left w:val="none" w:sz="0" w:space="0" w:color="auto"/>
        <w:bottom w:val="none" w:sz="0" w:space="0" w:color="auto"/>
        <w:right w:val="none" w:sz="0" w:space="0" w:color="auto"/>
      </w:divBdr>
    </w:div>
    <w:div w:id="1078401868">
      <w:bodyDiv w:val="1"/>
      <w:marLeft w:val="0"/>
      <w:marRight w:val="0"/>
      <w:marTop w:val="0"/>
      <w:marBottom w:val="0"/>
      <w:divBdr>
        <w:top w:val="none" w:sz="0" w:space="0" w:color="auto"/>
        <w:left w:val="none" w:sz="0" w:space="0" w:color="auto"/>
        <w:bottom w:val="none" w:sz="0" w:space="0" w:color="auto"/>
        <w:right w:val="none" w:sz="0" w:space="0" w:color="auto"/>
      </w:divBdr>
    </w:div>
    <w:div w:id="1097559497">
      <w:bodyDiv w:val="1"/>
      <w:marLeft w:val="0"/>
      <w:marRight w:val="0"/>
      <w:marTop w:val="0"/>
      <w:marBottom w:val="0"/>
      <w:divBdr>
        <w:top w:val="none" w:sz="0" w:space="0" w:color="auto"/>
        <w:left w:val="none" w:sz="0" w:space="0" w:color="auto"/>
        <w:bottom w:val="none" w:sz="0" w:space="0" w:color="auto"/>
        <w:right w:val="none" w:sz="0" w:space="0" w:color="auto"/>
      </w:divBdr>
    </w:div>
    <w:div w:id="1115977639">
      <w:bodyDiv w:val="1"/>
      <w:marLeft w:val="0"/>
      <w:marRight w:val="0"/>
      <w:marTop w:val="0"/>
      <w:marBottom w:val="0"/>
      <w:divBdr>
        <w:top w:val="none" w:sz="0" w:space="0" w:color="auto"/>
        <w:left w:val="none" w:sz="0" w:space="0" w:color="auto"/>
        <w:bottom w:val="none" w:sz="0" w:space="0" w:color="auto"/>
        <w:right w:val="none" w:sz="0" w:space="0" w:color="auto"/>
      </w:divBdr>
    </w:div>
    <w:div w:id="1122071843">
      <w:bodyDiv w:val="1"/>
      <w:marLeft w:val="0"/>
      <w:marRight w:val="0"/>
      <w:marTop w:val="0"/>
      <w:marBottom w:val="0"/>
      <w:divBdr>
        <w:top w:val="none" w:sz="0" w:space="0" w:color="auto"/>
        <w:left w:val="none" w:sz="0" w:space="0" w:color="auto"/>
        <w:bottom w:val="none" w:sz="0" w:space="0" w:color="auto"/>
        <w:right w:val="none" w:sz="0" w:space="0" w:color="auto"/>
      </w:divBdr>
    </w:div>
    <w:div w:id="1125738262">
      <w:bodyDiv w:val="1"/>
      <w:marLeft w:val="0"/>
      <w:marRight w:val="0"/>
      <w:marTop w:val="0"/>
      <w:marBottom w:val="0"/>
      <w:divBdr>
        <w:top w:val="none" w:sz="0" w:space="0" w:color="auto"/>
        <w:left w:val="none" w:sz="0" w:space="0" w:color="auto"/>
        <w:bottom w:val="none" w:sz="0" w:space="0" w:color="auto"/>
        <w:right w:val="none" w:sz="0" w:space="0" w:color="auto"/>
      </w:divBdr>
    </w:div>
    <w:div w:id="1129711487">
      <w:bodyDiv w:val="1"/>
      <w:marLeft w:val="0"/>
      <w:marRight w:val="0"/>
      <w:marTop w:val="0"/>
      <w:marBottom w:val="0"/>
      <w:divBdr>
        <w:top w:val="none" w:sz="0" w:space="0" w:color="auto"/>
        <w:left w:val="none" w:sz="0" w:space="0" w:color="auto"/>
        <w:bottom w:val="none" w:sz="0" w:space="0" w:color="auto"/>
        <w:right w:val="none" w:sz="0" w:space="0" w:color="auto"/>
      </w:divBdr>
    </w:div>
    <w:div w:id="1130562125">
      <w:bodyDiv w:val="1"/>
      <w:marLeft w:val="0"/>
      <w:marRight w:val="0"/>
      <w:marTop w:val="0"/>
      <w:marBottom w:val="0"/>
      <w:divBdr>
        <w:top w:val="none" w:sz="0" w:space="0" w:color="auto"/>
        <w:left w:val="none" w:sz="0" w:space="0" w:color="auto"/>
        <w:bottom w:val="none" w:sz="0" w:space="0" w:color="auto"/>
        <w:right w:val="none" w:sz="0" w:space="0" w:color="auto"/>
      </w:divBdr>
    </w:div>
    <w:div w:id="1160195570">
      <w:bodyDiv w:val="1"/>
      <w:marLeft w:val="0"/>
      <w:marRight w:val="0"/>
      <w:marTop w:val="0"/>
      <w:marBottom w:val="0"/>
      <w:divBdr>
        <w:top w:val="none" w:sz="0" w:space="0" w:color="auto"/>
        <w:left w:val="none" w:sz="0" w:space="0" w:color="auto"/>
        <w:bottom w:val="none" w:sz="0" w:space="0" w:color="auto"/>
        <w:right w:val="none" w:sz="0" w:space="0" w:color="auto"/>
      </w:divBdr>
    </w:div>
    <w:div w:id="1173448861">
      <w:bodyDiv w:val="1"/>
      <w:marLeft w:val="0"/>
      <w:marRight w:val="0"/>
      <w:marTop w:val="0"/>
      <w:marBottom w:val="0"/>
      <w:divBdr>
        <w:top w:val="none" w:sz="0" w:space="0" w:color="auto"/>
        <w:left w:val="none" w:sz="0" w:space="0" w:color="auto"/>
        <w:bottom w:val="none" w:sz="0" w:space="0" w:color="auto"/>
        <w:right w:val="none" w:sz="0" w:space="0" w:color="auto"/>
      </w:divBdr>
    </w:div>
    <w:div w:id="1180700659">
      <w:bodyDiv w:val="1"/>
      <w:marLeft w:val="0"/>
      <w:marRight w:val="0"/>
      <w:marTop w:val="0"/>
      <w:marBottom w:val="0"/>
      <w:divBdr>
        <w:top w:val="none" w:sz="0" w:space="0" w:color="auto"/>
        <w:left w:val="none" w:sz="0" w:space="0" w:color="auto"/>
        <w:bottom w:val="none" w:sz="0" w:space="0" w:color="auto"/>
        <w:right w:val="none" w:sz="0" w:space="0" w:color="auto"/>
      </w:divBdr>
    </w:div>
    <w:div w:id="1196118529">
      <w:bodyDiv w:val="1"/>
      <w:marLeft w:val="0"/>
      <w:marRight w:val="0"/>
      <w:marTop w:val="0"/>
      <w:marBottom w:val="0"/>
      <w:divBdr>
        <w:top w:val="none" w:sz="0" w:space="0" w:color="auto"/>
        <w:left w:val="none" w:sz="0" w:space="0" w:color="auto"/>
        <w:bottom w:val="none" w:sz="0" w:space="0" w:color="auto"/>
        <w:right w:val="none" w:sz="0" w:space="0" w:color="auto"/>
      </w:divBdr>
    </w:div>
    <w:div w:id="1220434024">
      <w:bodyDiv w:val="1"/>
      <w:marLeft w:val="0"/>
      <w:marRight w:val="0"/>
      <w:marTop w:val="0"/>
      <w:marBottom w:val="0"/>
      <w:divBdr>
        <w:top w:val="none" w:sz="0" w:space="0" w:color="auto"/>
        <w:left w:val="none" w:sz="0" w:space="0" w:color="auto"/>
        <w:bottom w:val="none" w:sz="0" w:space="0" w:color="auto"/>
        <w:right w:val="none" w:sz="0" w:space="0" w:color="auto"/>
      </w:divBdr>
    </w:div>
    <w:div w:id="1243488491">
      <w:bodyDiv w:val="1"/>
      <w:marLeft w:val="0"/>
      <w:marRight w:val="0"/>
      <w:marTop w:val="0"/>
      <w:marBottom w:val="0"/>
      <w:divBdr>
        <w:top w:val="none" w:sz="0" w:space="0" w:color="auto"/>
        <w:left w:val="none" w:sz="0" w:space="0" w:color="auto"/>
        <w:bottom w:val="none" w:sz="0" w:space="0" w:color="auto"/>
        <w:right w:val="none" w:sz="0" w:space="0" w:color="auto"/>
      </w:divBdr>
    </w:div>
    <w:div w:id="1248803111">
      <w:bodyDiv w:val="1"/>
      <w:marLeft w:val="0"/>
      <w:marRight w:val="0"/>
      <w:marTop w:val="0"/>
      <w:marBottom w:val="0"/>
      <w:divBdr>
        <w:top w:val="none" w:sz="0" w:space="0" w:color="auto"/>
        <w:left w:val="none" w:sz="0" w:space="0" w:color="auto"/>
        <w:bottom w:val="none" w:sz="0" w:space="0" w:color="auto"/>
        <w:right w:val="none" w:sz="0" w:space="0" w:color="auto"/>
      </w:divBdr>
    </w:div>
    <w:div w:id="1254975179">
      <w:bodyDiv w:val="1"/>
      <w:marLeft w:val="0"/>
      <w:marRight w:val="0"/>
      <w:marTop w:val="0"/>
      <w:marBottom w:val="0"/>
      <w:divBdr>
        <w:top w:val="none" w:sz="0" w:space="0" w:color="auto"/>
        <w:left w:val="none" w:sz="0" w:space="0" w:color="auto"/>
        <w:bottom w:val="none" w:sz="0" w:space="0" w:color="auto"/>
        <w:right w:val="none" w:sz="0" w:space="0" w:color="auto"/>
      </w:divBdr>
    </w:div>
    <w:div w:id="1255473394">
      <w:bodyDiv w:val="1"/>
      <w:marLeft w:val="0"/>
      <w:marRight w:val="0"/>
      <w:marTop w:val="0"/>
      <w:marBottom w:val="0"/>
      <w:divBdr>
        <w:top w:val="none" w:sz="0" w:space="0" w:color="auto"/>
        <w:left w:val="none" w:sz="0" w:space="0" w:color="auto"/>
        <w:bottom w:val="none" w:sz="0" w:space="0" w:color="auto"/>
        <w:right w:val="none" w:sz="0" w:space="0" w:color="auto"/>
      </w:divBdr>
    </w:div>
    <w:div w:id="1260411710">
      <w:bodyDiv w:val="1"/>
      <w:marLeft w:val="0"/>
      <w:marRight w:val="0"/>
      <w:marTop w:val="0"/>
      <w:marBottom w:val="0"/>
      <w:divBdr>
        <w:top w:val="none" w:sz="0" w:space="0" w:color="auto"/>
        <w:left w:val="none" w:sz="0" w:space="0" w:color="auto"/>
        <w:bottom w:val="none" w:sz="0" w:space="0" w:color="auto"/>
        <w:right w:val="none" w:sz="0" w:space="0" w:color="auto"/>
      </w:divBdr>
    </w:div>
    <w:div w:id="1270356781">
      <w:bodyDiv w:val="1"/>
      <w:marLeft w:val="0"/>
      <w:marRight w:val="0"/>
      <w:marTop w:val="0"/>
      <w:marBottom w:val="0"/>
      <w:divBdr>
        <w:top w:val="none" w:sz="0" w:space="0" w:color="auto"/>
        <w:left w:val="none" w:sz="0" w:space="0" w:color="auto"/>
        <w:bottom w:val="none" w:sz="0" w:space="0" w:color="auto"/>
        <w:right w:val="none" w:sz="0" w:space="0" w:color="auto"/>
      </w:divBdr>
    </w:div>
    <w:div w:id="1277979705">
      <w:bodyDiv w:val="1"/>
      <w:marLeft w:val="0"/>
      <w:marRight w:val="0"/>
      <w:marTop w:val="0"/>
      <w:marBottom w:val="0"/>
      <w:divBdr>
        <w:top w:val="none" w:sz="0" w:space="0" w:color="auto"/>
        <w:left w:val="none" w:sz="0" w:space="0" w:color="auto"/>
        <w:bottom w:val="none" w:sz="0" w:space="0" w:color="auto"/>
        <w:right w:val="none" w:sz="0" w:space="0" w:color="auto"/>
      </w:divBdr>
    </w:div>
    <w:div w:id="1282767243">
      <w:bodyDiv w:val="1"/>
      <w:marLeft w:val="0"/>
      <w:marRight w:val="0"/>
      <w:marTop w:val="0"/>
      <w:marBottom w:val="0"/>
      <w:divBdr>
        <w:top w:val="none" w:sz="0" w:space="0" w:color="auto"/>
        <w:left w:val="none" w:sz="0" w:space="0" w:color="auto"/>
        <w:bottom w:val="none" w:sz="0" w:space="0" w:color="auto"/>
        <w:right w:val="none" w:sz="0" w:space="0" w:color="auto"/>
      </w:divBdr>
    </w:div>
    <w:div w:id="1283079171">
      <w:bodyDiv w:val="1"/>
      <w:marLeft w:val="0"/>
      <w:marRight w:val="0"/>
      <w:marTop w:val="0"/>
      <w:marBottom w:val="0"/>
      <w:divBdr>
        <w:top w:val="none" w:sz="0" w:space="0" w:color="auto"/>
        <w:left w:val="none" w:sz="0" w:space="0" w:color="auto"/>
        <w:bottom w:val="none" w:sz="0" w:space="0" w:color="auto"/>
        <w:right w:val="none" w:sz="0" w:space="0" w:color="auto"/>
      </w:divBdr>
    </w:div>
    <w:div w:id="1296373613">
      <w:bodyDiv w:val="1"/>
      <w:marLeft w:val="0"/>
      <w:marRight w:val="0"/>
      <w:marTop w:val="0"/>
      <w:marBottom w:val="0"/>
      <w:divBdr>
        <w:top w:val="none" w:sz="0" w:space="0" w:color="auto"/>
        <w:left w:val="none" w:sz="0" w:space="0" w:color="auto"/>
        <w:bottom w:val="none" w:sz="0" w:space="0" w:color="auto"/>
        <w:right w:val="none" w:sz="0" w:space="0" w:color="auto"/>
      </w:divBdr>
    </w:div>
    <w:div w:id="1301808982">
      <w:bodyDiv w:val="1"/>
      <w:marLeft w:val="0"/>
      <w:marRight w:val="0"/>
      <w:marTop w:val="0"/>
      <w:marBottom w:val="0"/>
      <w:divBdr>
        <w:top w:val="none" w:sz="0" w:space="0" w:color="auto"/>
        <w:left w:val="none" w:sz="0" w:space="0" w:color="auto"/>
        <w:bottom w:val="none" w:sz="0" w:space="0" w:color="auto"/>
        <w:right w:val="none" w:sz="0" w:space="0" w:color="auto"/>
      </w:divBdr>
    </w:div>
    <w:div w:id="1306009832">
      <w:bodyDiv w:val="1"/>
      <w:marLeft w:val="0"/>
      <w:marRight w:val="0"/>
      <w:marTop w:val="0"/>
      <w:marBottom w:val="0"/>
      <w:divBdr>
        <w:top w:val="none" w:sz="0" w:space="0" w:color="auto"/>
        <w:left w:val="none" w:sz="0" w:space="0" w:color="auto"/>
        <w:bottom w:val="none" w:sz="0" w:space="0" w:color="auto"/>
        <w:right w:val="none" w:sz="0" w:space="0" w:color="auto"/>
      </w:divBdr>
    </w:div>
    <w:div w:id="1324746592">
      <w:bodyDiv w:val="1"/>
      <w:marLeft w:val="0"/>
      <w:marRight w:val="0"/>
      <w:marTop w:val="0"/>
      <w:marBottom w:val="0"/>
      <w:divBdr>
        <w:top w:val="none" w:sz="0" w:space="0" w:color="auto"/>
        <w:left w:val="none" w:sz="0" w:space="0" w:color="auto"/>
        <w:bottom w:val="none" w:sz="0" w:space="0" w:color="auto"/>
        <w:right w:val="none" w:sz="0" w:space="0" w:color="auto"/>
      </w:divBdr>
    </w:div>
    <w:div w:id="1333099704">
      <w:bodyDiv w:val="1"/>
      <w:marLeft w:val="0"/>
      <w:marRight w:val="0"/>
      <w:marTop w:val="0"/>
      <w:marBottom w:val="0"/>
      <w:divBdr>
        <w:top w:val="none" w:sz="0" w:space="0" w:color="auto"/>
        <w:left w:val="none" w:sz="0" w:space="0" w:color="auto"/>
        <w:bottom w:val="none" w:sz="0" w:space="0" w:color="auto"/>
        <w:right w:val="none" w:sz="0" w:space="0" w:color="auto"/>
      </w:divBdr>
    </w:div>
    <w:div w:id="1343777873">
      <w:bodyDiv w:val="1"/>
      <w:marLeft w:val="0"/>
      <w:marRight w:val="0"/>
      <w:marTop w:val="0"/>
      <w:marBottom w:val="0"/>
      <w:divBdr>
        <w:top w:val="none" w:sz="0" w:space="0" w:color="auto"/>
        <w:left w:val="none" w:sz="0" w:space="0" w:color="auto"/>
        <w:bottom w:val="none" w:sz="0" w:space="0" w:color="auto"/>
        <w:right w:val="none" w:sz="0" w:space="0" w:color="auto"/>
      </w:divBdr>
    </w:div>
    <w:div w:id="1357149526">
      <w:bodyDiv w:val="1"/>
      <w:marLeft w:val="0"/>
      <w:marRight w:val="0"/>
      <w:marTop w:val="0"/>
      <w:marBottom w:val="0"/>
      <w:divBdr>
        <w:top w:val="none" w:sz="0" w:space="0" w:color="auto"/>
        <w:left w:val="none" w:sz="0" w:space="0" w:color="auto"/>
        <w:bottom w:val="none" w:sz="0" w:space="0" w:color="auto"/>
        <w:right w:val="none" w:sz="0" w:space="0" w:color="auto"/>
      </w:divBdr>
    </w:div>
    <w:div w:id="1362782305">
      <w:bodyDiv w:val="1"/>
      <w:marLeft w:val="0"/>
      <w:marRight w:val="0"/>
      <w:marTop w:val="0"/>
      <w:marBottom w:val="0"/>
      <w:divBdr>
        <w:top w:val="none" w:sz="0" w:space="0" w:color="auto"/>
        <w:left w:val="none" w:sz="0" w:space="0" w:color="auto"/>
        <w:bottom w:val="none" w:sz="0" w:space="0" w:color="auto"/>
        <w:right w:val="none" w:sz="0" w:space="0" w:color="auto"/>
      </w:divBdr>
    </w:div>
    <w:div w:id="1377583832">
      <w:bodyDiv w:val="1"/>
      <w:marLeft w:val="0"/>
      <w:marRight w:val="0"/>
      <w:marTop w:val="0"/>
      <w:marBottom w:val="0"/>
      <w:divBdr>
        <w:top w:val="none" w:sz="0" w:space="0" w:color="auto"/>
        <w:left w:val="none" w:sz="0" w:space="0" w:color="auto"/>
        <w:bottom w:val="none" w:sz="0" w:space="0" w:color="auto"/>
        <w:right w:val="none" w:sz="0" w:space="0" w:color="auto"/>
      </w:divBdr>
    </w:div>
    <w:div w:id="1385829608">
      <w:bodyDiv w:val="1"/>
      <w:marLeft w:val="0"/>
      <w:marRight w:val="0"/>
      <w:marTop w:val="0"/>
      <w:marBottom w:val="0"/>
      <w:divBdr>
        <w:top w:val="none" w:sz="0" w:space="0" w:color="auto"/>
        <w:left w:val="none" w:sz="0" w:space="0" w:color="auto"/>
        <w:bottom w:val="none" w:sz="0" w:space="0" w:color="auto"/>
        <w:right w:val="none" w:sz="0" w:space="0" w:color="auto"/>
      </w:divBdr>
    </w:div>
    <w:div w:id="1398237022">
      <w:bodyDiv w:val="1"/>
      <w:marLeft w:val="0"/>
      <w:marRight w:val="0"/>
      <w:marTop w:val="0"/>
      <w:marBottom w:val="0"/>
      <w:divBdr>
        <w:top w:val="none" w:sz="0" w:space="0" w:color="auto"/>
        <w:left w:val="none" w:sz="0" w:space="0" w:color="auto"/>
        <w:bottom w:val="none" w:sz="0" w:space="0" w:color="auto"/>
        <w:right w:val="none" w:sz="0" w:space="0" w:color="auto"/>
      </w:divBdr>
    </w:div>
    <w:div w:id="1403530244">
      <w:bodyDiv w:val="1"/>
      <w:marLeft w:val="0"/>
      <w:marRight w:val="0"/>
      <w:marTop w:val="0"/>
      <w:marBottom w:val="0"/>
      <w:divBdr>
        <w:top w:val="none" w:sz="0" w:space="0" w:color="auto"/>
        <w:left w:val="none" w:sz="0" w:space="0" w:color="auto"/>
        <w:bottom w:val="none" w:sz="0" w:space="0" w:color="auto"/>
        <w:right w:val="none" w:sz="0" w:space="0" w:color="auto"/>
      </w:divBdr>
    </w:div>
    <w:div w:id="1410426691">
      <w:bodyDiv w:val="1"/>
      <w:marLeft w:val="0"/>
      <w:marRight w:val="0"/>
      <w:marTop w:val="0"/>
      <w:marBottom w:val="0"/>
      <w:divBdr>
        <w:top w:val="none" w:sz="0" w:space="0" w:color="auto"/>
        <w:left w:val="none" w:sz="0" w:space="0" w:color="auto"/>
        <w:bottom w:val="none" w:sz="0" w:space="0" w:color="auto"/>
        <w:right w:val="none" w:sz="0" w:space="0" w:color="auto"/>
      </w:divBdr>
    </w:div>
    <w:div w:id="1430930181">
      <w:bodyDiv w:val="1"/>
      <w:marLeft w:val="0"/>
      <w:marRight w:val="0"/>
      <w:marTop w:val="0"/>
      <w:marBottom w:val="0"/>
      <w:divBdr>
        <w:top w:val="none" w:sz="0" w:space="0" w:color="auto"/>
        <w:left w:val="none" w:sz="0" w:space="0" w:color="auto"/>
        <w:bottom w:val="none" w:sz="0" w:space="0" w:color="auto"/>
        <w:right w:val="none" w:sz="0" w:space="0" w:color="auto"/>
      </w:divBdr>
    </w:div>
    <w:div w:id="1443576431">
      <w:bodyDiv w:val="1"/>
      <w:marLeft w:val="0"/>
      <w:marRight w:val="0"/>
      <w:marTop w:val="0"/>
      <w:marBottom w:val="0"/>
      <w:divBdr>
        <w:top w:val="none" w:sz="0" w:space="0" w:color="auto"/>
        <w:left w:val="none" w:sz="0" w:space="0" w:color="auto"/>
        <w:bottom w:val="none" w:sz="0" w:space="0" w:color="auto"/>
        <w:right w:val="none" w:sz="0" w:space="0" w:color="auto"/>
      </w:divBdr>
    </w:div>
    <w:div w:id="1462461249">
      <w:bodyDiv w:val="1"/>
      <w:marLeft w:val="0"/>
      <w:marRight w:val="0"/>
      <w:marTop w:val="0"/>
      <w:marBottom w:val="0"/>
      <w:divBdr>
        <w:top w:val="none" w:sz="0" w:space="0" w:color="auto"/>
        <w:left w:val="none" w:sz="0" w:space="0" w:color="auto"/>
        <w:bottom w:val="none" w:sz="0" w:space="0" w:color="auto"/>
        <w:right w:val="none" w:sz="0" w:space="0" w:color="auto"/>
      </w:divBdr>
    </w:div>
    <w:div w:id="1481076752">
      <w:bodyDiv w:val="1"/>
      <w:marLeft w:val="0"/>
      <w:marRight w:val="0"/>
      <w:marTop w:val="0"/>
      <w:marBottom w:val="0"/>
      <w:divBdr>
        <w:top w:val="none" w:sz="0" w:space="0" w:color="auto"/>
        <w:left w:val="none" w:sz="0" w:space="0" w:color="auto"/>
        <w:bottom w:val="none" w:sz="0" w:space="0" w:color="auto"/>
        <w:right w:val="none" w:sz="0" w:space="0" w:color="auto"/>
      </w:divBdr>
    </w:div>
    <w:div w:id="1494372583">
      <w:bodyDiv w:val="1"/>
      <w:marLeft w:val="0"/>
      <w:marRight w:val="0"/>
      <w:marTop w:val="0"/>
      <w:marBottom w:val="0"/>
      <w:divBdr>
        <w:top w:val="none" w:sz="0" w:space="0" w:color="auto"/>
        <w:left w:val="none" w:sz="0" w:space="0" w:color="auto"/>
        <w:bottom w:val="none" w:sz="0" w:space="0" w:color="auto"/>
        <w:right w:val="none" w:sz="0" w:space="0" w:color="auto"/>
      </w:divBdr>
    </w:div>
    <w:div w:id="1503593442">
      <w:bodyDiv w:val="1"/>
      <w:marLeft w:val="0"/>
      <w:marRight w:val="0"/>
      <w:marTop w:val="0"/>
      <w:marBottom w:val="0"/>
      <w:divBdr>
        <w:top w:val="none" w:sz="0" w:space="0" w:color="auto"/>
        <w:left w:val="none" w:sz="0" w:space="0" w:color="auto"/>
        <w:bottom w:val="none" w:sz="0" w:space="0" w:color="auto"/>
        <w:right w:val="none" w:sz="0" w:space="0" w:color="auto"/>
      </w:divBdr>
    </w:div>
    <w:div w:id="1517888369">
      <w:bodyDiv w:val="1"/>
      <w:marLeft w:val="0"/>
      <w:marRight w:val="0"/>
      <w:marTop w:val="0"/>
      <w:marBottom w:val="0"/>
      <w:divBdr>
        <w:top w:val="none" w:sz="0" w:space="0" w:color="auto"/>
        <w:left w:val="none" w:sz="0" w:space="0" w:color="auto"/>
        <w:bottom w:val="none" w:sz="0" w:space="0" w:color="auto"/>
        <w:right w:val="none" w:sz="0" w:space="0" w:color="auto"/>
      </w:divBdr>
    </w:div>
    <w:div w:id="1525679444">
      <w:bodyDiv w:val="1"/>
      <w:marLeft w:val="0"/>
      <w:marRight w:val="0"/>
      <w:marTop w:val="0"/>
      <w:marBottom w:val="0"/>
      <w:divBdr>
        <w:top w:val="none" w:sz="0" w:space="0" w:color="auto"/>
        <w:left w:val="none" w:sz="0" w:space="0" w:color="auto"/>
        <w:bottom w:val="none" w:sz="0" w:space="0" w:color="auto"/>
        <w:right w:val="none" w:sz="0" w:space="0" w:color="auto"/>
      </w:divBdr>
    </w:div>
    <w:div w:id="1531340352">
      <w:bodyDiv w:val="1"/>
      <w:marLeft w:val="0"/>
      <w:marRight w:val="0"/>
      <w:marTop w:val="0"/>
      <w:marBottom w:val="0"/>
      <w:divBdr>
        <w:top w:val="none" w:sz="0" w:space="0" w:color="auto"/>
        <w:left w:val="none" w:sz="0" w:space="0" w:color="auto"/>
        <w:bottom w:val="none" w:sz="0" w:space="0" w:color="auto"/>
        <w:right w:val="none" w:sz="0" w:space="0" w:color="auto"/>
      </w:divBdr>
    </w:div>
    <w:div w:id="1532918969">
      <w:bodyDiv w:val="1"/>
      <w:marLeft w:val="0"/>
      <w:marRight w:val="0"/>
      <w:marTop w:val="0"/>
      <w:marBottom w:val="0"/>
      <w:divBdr>
        <w:top w:val="none" w:sz="0" w:space="0" w:color="auto"/>
        <w:left w:val="none" w:sz="0" w:space="0" w:color="auto"/>
        <w:bottom w:val="none" w:sz="0" w:space="0" w:color="auto"/>
        <w:right w:val="none" w:sz="0" w:space="0" w:color="auto"/>
      </w:divBdr>
    </w:div>
    <w:div w:id="1533228043">
      <w:bodyDiv w:val="1"/>
      <w:marLeft w:val="0"/>
      <w:marRight w:val="0"/>
      <w:marTop w:val="0"/>
      <w:marBottom w:val="0"/>
      <w:divBdr>
        <w:top w:val="none" w:sz="0" w:space="0" w:color="auto"/>
        <w:left w:val="none" w:sz="0" w:space="0" w:color="auto"/>
        <w:bottom w:val="none" w:sz="0" w:space="0" w:color="auto"/>
        <w:right w:val="none" w:sz="0" w:space="0" w:color="auto"/>
      </w:divBdr>
    </w:div>
    <w:div w:id="1536233463">
      <w:bodyDiv w:val="1"/>
      <w:marLeft w:val="0"/>
      <w:marRight w:val="0"/>
      <w:marTop w:val="0"/>
      <w:marBottom w:val="0"/>
      <w:divBdr>
        <w:top w:val="none" w:sz="0" w:space="0" w:color="auto"/>
        <w:left w:val="none" w:sz="0" w:space="0" w:color="auto"/>
        <w:bottom w:val="none" w:sz="0" w:space="0" w:color="auto"/>
        <w:right w:val="none" w:sz="0" w:space="0" w:color="auto"/>
      </w:divBdr>
    </w:div>
    <w:div w:id="1571112075">
      <w:bodyDiv w:val="1"/>
      <w:marLeft w:val="0"/>
      <w:marRight w:val="0"/>
      <w:marTop w:val="0"/>
      <w:marBottom w:val="0"/>
      <w:divBdr>
        <w:top w:val="none" w:sz="0" w:space="0" w:color="auto"/>
        <w:left w:val="none" w:sz="0" w:space="0" w:color="auto"/>
        <w:bottom w:val="none" w:sz="0" w:space="0" w:color="auto"/>
        <w:right w:val="none" w:sz="0" w:space="0" w:color="auto"/>
      </w:divBdr>
    </w:div>
    <w:div w:id="1578859790">
      <w:bodyDiv w:val="1"/>
      <w:marLeft w:val="0"/>
      <w:marRight w:val="0"/>
      <w:marTop w:val="0"/>
      <w:marBottom w:val="0"/>
      <w:divBdr>
        <w:top w:val="none" w:sz="0" w:space="0" w:color="auto"/>
        <w:left w:val="none" w:sz="0" w:space="0" w:color="auto"/>
        <w:bottom w:val="none" w:sz="0" w:space="0" w:color="auto"/>
        <w:right w:val="none" w:sz="0" w:space="0" w:color="auto"/>
      </w:divBdr>
    </w:div>
    <w:div w:id="1588003735">
      <w:bodyDiv w:val="1"/>
      <w:marLeft w:val="0"/>
      <w:marRight w:val="0"/>
      <w:marTop w:val="0"/>
      <w:marBottom w:val="0"/>
      <w:divBdr>
        <w:top w:val="none" w:sz="0" w:space="0" w:color="auto"/>
        <w:left w:val="none" w:sz="0" w:space="0" w:color="auto"/>
        <w:bottom w:val="none" w:sz="0" w:space="0" w:color="auto"/>
        <w:right w:val="none" w:sz="0" w:space="0" w:color="auto"/>
      </w:divBdr>
    </w:div>
    <w:div w:id="1591112781">
      <w:bodyDiv w:val="1"/>
      <w:marLeft w:val="0"/>
      <w:marRight w:val="0"/>
      <w:marTop w:val="0"/>
      <w:marBottom w:val="0"/>
      <w:divBdr>
        <w:top w:val="none" w:sz="0" w:space="0" w:color="auto"/>
        <w:left w:val="none" w:sz="0" w:space="0" w:color="auto"/>
        <w:bottom w:val="none" w:sz="0" w:space="0" w:color="auto"/>
        <w:right w:val="none" w:sz="0" w:space="0" w:color="auto"/>
      </w:divBdr>
    </w:div>
    <w:div w:id="1599286024">
      <w:bodyDiv w:val="1"/>
      <w:marLeft w:val="0"/>
      <w:marRight w:val="0"/>
      <w:marTop w:val="0"/>
      <w:marBottom w:val="0"/>
      <w:divBdr>
        <w:top w:val="none" w:sz="0" w:space="0" w:color="auto"/>
        <w:left w:val="none" w:sz="0" w:space="0" w:color="auto"/>
        <w:bottom w:val="none" w:sz="0" w:space="0" w:color="auto"/>
        <w:right w:val="none" w:sz="0" w:space="0" w:color="auto"/>
      </w:divBdr>
    </w:div>
    <w:div w:id="1609199617">
      <w:bodyDiv w:val="1"/>
      <w:marLeft w:val="0"/>
      <w:marRight w:val="0"/>
      <w:marTop w:val="0"/>
      <w:marBottom w:val="0"/>
      <w:divBdr>
        <w:top w:val="none" w:sz="0" w:space="0" w:color="auto"/>
        <w:left w:val="none" w:sz="0" w:space="0" w:color="auto"/>
        <w:bottom w:val="none" w:sz="0" w:space="0" w:color="auto"/>
        <w:right w:val="none" w:sz="0" w:space="0" w:color="auto"/>
      </w:divBdr>
    </w:div>
    <w:div w:id="1627278799">
      <w:bodyDiv w:val="1"/>
      <w:marLeft w:val="0"/>
      <w:marRight w:val="0"/>
      <w:marTop w:val="0"/>
      <w:marBottom w:val="0"/>
      <w:divBdr>
        <w:top w:val="none" w:sz="0" w:space="0" w:color="auto"/>
        <w:left w:val="none" w:sz="0" w:space="0" w:color="auto"/>
        <w:bottom w:val="none" w:sz="0" w:space="0" w:color="auto"/>
        <w:right w:val="none" w:sz="0" w:space="0" w:color="auto"/>
      </w:divBdr>
    </w:div>
    <w:div w:id="1638876530">
      <w:bodyDiv w:val="1"/>
      <w:marLeft w:val="0"/>
      <w:marRight w:val="0"/>
      <w:marTop w:val="0"/>
      <w:marBottom w:val="0"/>
      <w:divBdr>
        <w:top w:val="none" w:sz="0" w:space="0" w:color="auto"/>
        <w:left w:val="none" w:sz="0" w:space="0" w:color="auto"/>
        <w:bottom w:val="none" w:sz="0" w:space="0" w:color="auto"/>
        <w:right w:val="none" w:sz="0" w:space="0" w:color="auto"/>
      </w:divBdr>
    </w:div>
    <w:div w:id="1639873469">
      <w:bodyDiv w:val="1"/>
      <w:marLeft w:val="0"/>
      <w:marRight w:val="0"/>
      <w:marTop w:val="0"/>
      <w:marBottom w:val="0"/>
      <w:divBdr>
        <w:top w:val="none" w:sz="0" w:space="0" w:color="auto"/>
        <w:left w:val="none" w:sz="0" w:space="0" w:color="auto"/>
        <w:bottom w:val="none" w:sz="0" w:space="0" w:color="auto"/>
        <w:right w:val="none" w:sz="0" w:space="0" w:color="auto"/>
      </w:divBdr>
    </w:div>
    <w:div w:id="1662469933">
      <w:bodyDiv w:val="1"/>
      <w:marLeft w:val="0"/>
      <w:marRight w:val="0"/>
      <w:marTop w:val="0"/>
      <w:marBottom w:val="0"/>
      <w:divBdr>
        <w:top w:val="none" w:sz="0" w:space="0" w:color="auto"/>
        <w:left w:val="none" w:sz="0" w:space="0" w:color="auto"/>
        <w:bottom w:val="none" w:sz="0" w:space="0" w:color="auto"/>
        <w:right w:val="none" w:sz="0" w:space="0" w:color="auto"/>
      </w:divBdr>
    </w:div>
    <w:div w:id="1668482249">
      <w:bodyDiv w:val="1"/>
      <w:marLeft w:val="0"/>
      <w:marRight w:val="0"/>
      <w:marTop w:val="0"/>
      <w:marBottom w:val="0"/>
      <w:divBdr>
        <w:top w:val="none" w:sz="0" w:space="0" w:color="auto"/>
        <w:left w:val="none" w:sz="0" w:space="0" w:color="auto"/>
        <w:bottom w:val="none" w:sz="0" w:space="0" w:color="auto"/>
        <w:right w:val="none" w:sz="0" w:space="0" w:color="auto"/>
      </w:divBdr>
    </w:div>
    <w:div w:id="1668903952">
      <w:bodyDiv w:val="1"/>
      <w:marLeft w:val="0"/>
      <w:marRight w:val="0"/>
      <w:marTop w:val="0"/>
      <w:marBottom w:val="0"/>
      <w:divBdr>
        <w:top w:val="none" w:sz="0" w:space="0" w:color="auto"/>
        <w:left w:val="none" w:sz="0" w:space="0" w:color="auto"/>
        <w:bottom w:val="none" w:sz="0" w:space="0" w:color="auto"/>
        <w:right w:val="none" w:sz="0" w:space="0" w:color="auto"/>
      </w:divBdr>
    </w:div>
    <w:div w:id="1695382702">
      <w:bodyDiv w:val="1"/>
      <w:marLeft w:val="0"/>
      <w:marRight w:val="0"/>
      <w:marTop w:val="0"/>
      <w:marBottom w:val="0"/>
      <w:divBdr>
        <w:top w:val="none" w:sz="0" w:space="0" w:color="auto"/>
        <w:left w:val="none" w:sz="0" w:space="0" w:color="auto"/>
        <w:bottom w:val="none" w:sz="0" w:space="0" w:color="auto"/>
        <w:right w:val="none" w:sz="0" w:space="0" w:color="auto"/>
      </w:divBdr>
    </w:div>
    <w:div w:id="1712420550">
      <w:bodyDiv w:val="1"/>
      <w:marLeft w:val="0"/>
      <w:marRight w:val="0"/>
      <w:marTop w:val="0"/>
      <w:marBottom w:val="0"/>
      <w:divBdr>
        <w:top w:val="none" w:sz="0" w:space="0" w:color="auto"/>
        <w:left w:val="none" w:sz="0" w:space="0" w:color="auto"/>
        <w:bottom w:val="none" w:sz="0" w:space="0" w:color="auto"/>
        <w:right w:val="none" w:sz="0" w:space="0" w:color="auto"/>
      </w:divBdr>
    </w:div>
    <w:div w:id="1719934383">
      <w:bodyDiv w:val="1"/>
      <w:marLeft w:val="0"/>
      <w:marRight w:val="0"/>
      <w:marTop w:val="0"/>
      <w:marBottom w:val="0"/>
      <w:divBdr>
        <w:top w:val="none" w:sz="0" w:space="0" w:color="auto"/>
        <w:left w:val="none" w:sz="0" w:space="0" w:color="auto"/>
        <w:bottom w:val="none" w:sz="0" w:space="0" w:color="auto"/>
        <w:right w:val="none" w:sz="0" w:space="0" w:color="auto"/>
      </w:divBdr>
    </w:div>
    <w:div w:id="1720738193">
      <w:bodyDiv w:val="1"/>
      <w:marLeft w:val="0"/>
      <w:marRight w:val="0"/>
      <w:marTop w:val="0"/>
      <w:marBottom w:val="0"/>
      <w:divBdr>
        <w:top w:val="none" w:sz="0" w:space="0" w:color="auto"/>
        <w:left w:val="none" w:sz="0" w:space="0" w:color="auto"/>
        <w:bottom w:val="none" w:sz="0" w:space="0" w:color="auto"/>
        <w:right w:val="none" w:sz="0" w:space="0" w:color="auto"/>
      </w:divBdr>
    </w:div>
    <w:div w:id="1723020051">
      <w:bodyDiv w:val="1"/>
      <w:marLeft w:val="0"/>
      <w:marRight w:val="0"/>
      <w:marTop w:val="0"/>
      <w:marBottom w:val="0"/>
      <w:divBdr>
        <w:top w:val="none" w:sz="0" w:space="0" w:color="auto"/>
        <w:left w:val="none" w:sz="0" w:space="0" w:color="auto"/>
        <w:bottom w:val="none" w:sz="0" w:space="0" w:color="auto"/>
        <w:right w:val="none" w:sz="0" w:space="0" w:color="auto"/>
      </w:divBdr>
    </w:div>
    <w:div w:id="1725832047">
      <w:bodyDiv w:val="1"/>
      <w:marLeft w:val="0"/>
      <w:marRight w:val="0"/>
      <w:marTop w:val="0"/>
      <w:marBottom w:val="0"/>
      <w:divBdr>
        <w:top w:val="none" w:sz="0" w:space="0" w:color="auto"/>
        <w:left w:val="none" w:sz="0" w:space="0" w:color="auto"/>
        <w:bottom w:val="none" w:sz="0" w:space="0" w:color="auto"/>
        <w:right w:val="none" w:sz="0" w:space="0" w:color="auto"/>
      </w:divBdr>
    </w:div>
    <w:div w:id="1734084227">
      <w:bodyDiv w:val="1"/>
      <w:marLeft w:val="0"/>
      <w:marRight w:val="0"/>
      <w:marTop w:val="0"/>
      <w:marBottom w:val="0"/>
      <w:divBdr>
        <w:top w:val="none" w:sz="0" w:space="0" w:color="auto"/>
        <w:left w:val="none" w:sz="0" w:space="0" w:color="auto"/>
        <w:bottom w:val="none" w:sz="0" w:space="0" w:color="auto"/>
        <w:right w:val="none" w:sz="0" w:space="0" w:color="auto"/>
      </w:divBdr>
    </w:div>
    <w:div w:id="1771897025">
      <w:bodyDiv w:val="1"/>
      <w:marLeft w:val="0"/>
      <w:marRight w:val="0"/>
      <w:marTop w:val="0"/>
      <w:marBottom w:val="0"/>
      <w:divBdr>
        <w:top w:val="none" w:sz="0" w:space="0" w:color="auto"/>
        <w:left w:val="none" w:sz="0" w:space="0" w:color="auto"/>
        <w:bottom w:val="none" w:sz="0" w:space="0" w:color="auto"/>
        <w:right w:val="none" w:sz="0" w:space="0" w:color="auto"/>
      </w:divBdr>
    </w:div>
    <w:div w:id="1775973862">
      <w:bodyDiv w:val="1"/>
      <w:marLeft w:val="0"/>
      <w:marRight w:val="0"/>
      <w:marTop w:val="0"/>
      <w:marBottom w:val="0"/>
      <w:divBdr>
        <w:top w:val="none" w:sz="0" w:space="0" w:color="auto"/>
        <w:left w:val="none" w:sz="0" w:space="0" w:color="auto"/>
        <w:bottom w:val="none" w:sz="0" w:space="0" w:color="auto"/>
        <w:right w:val="none" w:sz="0" w:space="0" w:color="auto"/>
      </w:divBdr>
    </w:div>
    <w:div w:id="1782728088">
      <w:bodyDiv w:val="1"/>
      <w:marLeft w:val="0"/>
      <w:marRight w:val="0"/>
      <w:marTop w:val="0"/>
      <w:marBottom w:val="0"/>
      <w:divBdr>
        <w:top w:val="none" w:sz="0" w:space="0" w:color="auto"/>
        <w:left w:val="none" w:sz="0" w:space="0" w:color="auto"/>
        <w:bottom w:val="none" w:sz="0" w:space="0" w:color="auto"/>
        <w:right w:val="none" w:sz="0" w:space="0" w:color="auto"/>
      </w:divBdr>
    </w:div>
    <w:div w:id="1783303158">
      <w:bodyDiv w:val="1"/>
      <w:marLeft w:val="0"/>
      <w:marRight w:val="0"/>
      <w:marTop w:val="0"/>
      <w:marBottom w:val="0"/>
      <w:divBdr>
        <w:top w:val="none" w:sz="0" w:space="0" w:color="auto"/>
        <w:left w:val="none" w:sz="0" w:space="0" w:color="auto"/>
        <w:bottom w:val="none" w:sz="0" w:space="0" w:color="auto"/>
        <w:right w:val="none" w:sz="0" w:space="0" w:color="auto"/>
      </w:divBdr>
    </w:div>
    <w:div w:id="1829899388">
      <w:bodyDiv w:val="1"/>
      <w:marLeft w:val="0"/>
      <w:marRight w:val="0"/>
      <w:marTop w:val="0"/>
      <w:marBottom w:val="0"/>
      <w:divBdr>
        <w:top w:val="none" w:sz="0" w:space="0" w:color="auto"/>
        <w:left w:val="none" w:sz="0" w:space="0" w:color="auto"/>
        <w:bottom w:val="none" w:sz="0" w:space="0" w:color="auto"/>
        <w:right w:val="none" w:sz="0" w:space="0" w:color="auto"/>
      </w:divBdr>
    </w:div>
    <w:div w:id="1840274011">
      <w:bodyDiv w:val="1"/>
      <w:marLeft w:val="0"/>
      <w:marRight w:val="0"/>
      <w:marTop w:val="0"/>
      <w:marBottom w:val="0"/>
      <w:divBdr>
        <w:top w:val="none" w:sz="0" w:space="0" w:color="auto"/>
        <w:left w:val="none" w:sz="0" w:space="0" w:color="auto"/>
        <w:bottom w:val="none" w:sz="0" w:space="0" w:color="auto"/>
        <w:right w:val="none" w:sz="0" w:space="0" w:color="auto"/>
      </w:divBdr>
    </w:div>
    <w:div w:id="1841118534">
      <w:bodyDiv w:val="1"/>
      <w:marLeft w:val="0"/>
      <w:marRight w:val="0"/>
      <w:marTop w:val="0"/>
      <w:marBottom w:val="0"/>
      <w:divBdr>
        <w:top w:val="none" w:sz="0" w:space="0" w:color="auto"/>
        <w:left w:val="none" w:sz="0" w:space="0" w:color="auto"/>
        <w:bottom w:val="none" w:sz="0" w:space="0" w:color="auto"/>
        <w:right w:val="none" w:sz="0" w:space="0" w:color="auto"/>
      </w:divBdr>
    </w:div>
    <w:div w:id="1841234908">
      <w:bodyDiv w:val="1"/>
      <w:marLeft w:val="0"/>
      <w:marRight w:val="0"/>
      <w:marTop w:val="0"/>
      <w:marBottom w:val="0"/>
      <w:divBdr>
        <w:top w:val="none" w:sz="0" w:space="0" w:color="auto"/>
        <w:left w:val="none" w:sz="0" w:space="0" w:color="auto"/>
        <w:bottom w:val="none" w:sz="0" w:space="0" w:color="auto"/>
        <w:right w:val="none" w:sz="0" w:space="0" w:color="auto"/>
      </w:divBdr>
    </w:div>
    <w:div w:id="1845514496">
      <w:bodyDiv w:val="1"/>
      <w:marLeft w:val="0"/>
      <w:marRight w:val="0"/>
      <w:marTop w:val="0"/>
      <w:marBottom w:val="0"/>
      <w:divBdr>
        <w:top w:val="none" w:sz="0" w:space="0" w:color="auto"/>
        <w:left w:val="none" w:sz="0" w:space="0" w:color="auto"/>
        <w:bottom w:val="none" w:sz="0" w:space="0" w:color="auto"/>
        <w:right w:val="none" w:sz="0" w:space="0" w:color="auto"/>
      </w:divBdr>
    </w:div>
    <w:div w:id="1857695770">
      <w:bodyDiv w:val="1"/>
      <w:marLeft w:val="0"/>
      <w:marRight w:val="0"/>
      <w:marTop w:val="0"/>
      <w:marBottom w:val="0"/>
      <w:divBdr>
        <w:top w:val="none" w:sz="0" w:space="0" w:color="auto"/>
        <w:left w:val="none" w:sz="0" w:space="0" w:color="auto"/>
        <w:bottom w:val="none" w:sz="0" w:space="0" w:color="auto"/>
        <w:right w:val="none" w:sz="0" w:space="0" w:color="auto"/>
      </w:divBdr>
    </w:div>
    <w:div w:id="1857965721">
      <w:bodyDiv w:val="1"/>
      <w:marLeft w:val="0"/>
      <w:marRight w:val="0"/>
      <w:marTop w:val="0"/>
      <w:marBottom w:val="0"/>
      <w:divBdr>
        <w:top w:val="none" w:sz="0" w:space="0" w:color="auto"/>
        <w:left w:val="none" w:sz="0" w:space="0" w:color="auto"/>
        <w:bottom w:val="none" w:sz="0" w:space="0" w:color="auto"/>
        <w:right w:val="none" w:sz="0" w:space="0" w:color="auto"/>
      </w:divBdr>
    </w:div>
    <w:div w:id="1918637308">
      <w:bodyDiv w:val="1"/>
      <w:marLeft w:val="0"/>
      <w:marRight w:val="0"/>
      <w:marTop w:val="0"/>
      <w:marBottom w:val="0"/>
      <w:divBdr>
        <w:top w:val="none" w:sz="0" w:space="0" w:color="auto"/>
        <w:left w:val="none" w:sz="0" w:space="0" w:color="auto"/>
        <w:bottom w:val="none" w:sz="0" w:space="0" w:color="auto"/>
        <w:right w:val="none" w:sz="0" w:space="0" w:color="auto"/>
      </w:divBdr>
    </w:div>
    <w:div w:id="1932854305">
      <w:bodyDiv w:val="1"/>
      <w:marLeft w:val="0"/>
      <w:marRight w:val="0"/>
      <w:marTop w:val="0"/>
      <w:marBottom w:val="0"/>
      <w:divBdr>
        <w:top w:val="none" w:sz="0" w:space="0" w:color="auto"/>
        <w:left w:val="none" w:sz="0" w:space="0" w:color="auto"/>
        <w:bottom w:val="none" w:sz="0" w:space="0" w:color="auto"/>
        <w:right w:val="none" w:sz="0" w:space="0" w:color="auto"/>
      </w:divBdr>
    </w:div>
    <w:div w:id="1950503875">
      <w:bodyDiv w:val="1"/>
      <w:marLeft w:val="0"/>
      <w:marRight w:val="0"/>
      <w:marTop w:val="0"/>
      <w:marBottom w:val="0"/>
      <w:divBdr>
        <w:top w:val="none" w:sz="0" w:space="0" w:color="auto"/>
        <w:left w:val="none" w:sz="0" w:space="0" w:color="auto"/>
        <w:bottom w:val="none" w:sz="0" w:space="0" w:color="auto"/>
        <w:right w:val="none" w:sz="0" w:space="0" w:color="auto"/>
      </w:divBdr>
    </w:div>
    <w:div w:id="1963263676">
      <w:bodyDiv w:val="1"/>
      <w:marLeft w:val="0"/>
      <w:marRight w:val="0"/>
      <w:marTop w:val="0"/>
      <w:marBottom w:val="0"/>
      <w:divBdr>
        <w:top w:val="none" w:sz="0" w:space="0" w:color="auto"/>
        <w:left w:val="none" w:sz="0" w:space="0" w:color="auto"/>
        <w:bottom w:val="none" w:sz="0" w:space="0" w:color="auto"/>
        <w:right w:val="none" w:sz="0" w:space="0" w:color="auto"/>
      </w:divBdr>
    </w:div>
    <w:div w:id="1984577813">
      <w:bodyDiv w:val="1"/>
      <w:marLeft w:val="0"/>
      <w:marRight w:val="0"/>
      <w:marTop w:val="0"/>
      <w:marBottom w:val="0"/>
      <w:divBdr>
        <w:top w:val="none" w:sz="0" w:space="0" w:color="auto"/>
        <w:left w:val="none" w:sz="0" w:space="0" w:color="auto"/>
        <w:bottom w:val="none" w:sz="0" w:space="0" w:color="auto"/>
        <w:right w:val="none" w:sz="0" w:space="0" w:color="auto"/>
      </w:divBdr>
    </w:div>
    <w:div w:id="1985350454">
      <w:bodyDiv w:val="1"/>
      <w:marLeft w:val="0"/>
      <w:marRight w:val="0"/>
      <w:marTop w:val="0"/>
      <w:marBottom w:val="0"/>
      <w:divBdr>
        <w:top w:val="none" w:sz="0" w:space="0" w:color="auto"/>
        <w:left w:val="none" w:sz="0" w:space="0" w:color="auto"/>
        <w:bottom w:val="none" w:sz="0" w:space="0" w:color="auto"/>
        <w:right w:val="none" w:sz="0" w:space="0" w:color="auto"/>
      </w:divBdr>
    </w:div>
    <w:div w:id="1992251735">
      <w:bodyDiv w:val="1"/>
      <w:marLeft w:val="0"/>
      <w:marRight w:val="0"/>
      <w:marTop w:val="0"/>
      <w:marBottom w:val="0"/>
      <w:divBdr>
        <w:top w:val="none" w:sz="0" w:space="0" w:color="auto"/>
        <w:left w:val="none" w:sz="0" w:space="0" w:color="auto"/>
        <w:bottom w:val="none" w:sz="0" w:space="0" w:color="auto"/>
        <w:right w:val="none" w:sz="0" w:space="0" w:color="auto"/>
      </w:divBdr>
    </w:div>
    <w:div w:id="2032100478">
      <w:bodyDiv w:val="1"/>
      <w:marLeft w:val="0"/>
      <w:marRight w:val="0"/>
      <w:marTop w:val="0"/>
      <w:marBottom w:val="0"/>
      <w:divBdr>
        <w:top w:val="none" w:sz="0" w:space="0" w:color="auto"/>
        <w:left w:val="none" w:sz="0" w:space="0" w:color="auto"/>
        <w:bottom w:val="none" w:sz="0" w:space="0" w:color="auto"/>
        <w:right w:val="none" w:sz="0" w:space="0" w:color="auto"/>
      </w:divBdr>
    </w:div>
    <w:div w:id="2034720648">
      <w:bodyDiv w:val="1"/>
      <w:marLeft w:val="0"/>
      <w:marRight w:val="0"/>
      <w:marTop w:val="0"/>
      <w:marBottom w:val="0"/>
      <w:divBdr>
        <w:top w:val="none" w:sz="0" w:space="0" w:color="auto"/>
        <w:left w:val="none" w:sz="0" w:space="0" w:color="auto"/>
        <w:bottom w:val="none" w:sz="0" w:space="0" w:color="auto"/>
        <w:right w:val="none" w:sz="0" w:space="0" w:color="auto"/>
      </w:divBdr>
    </w:div>
    <w:div w:id="2037383676">
      <w:bodyDiv w:val="1"/>
      <w:marLeft w:val="0"/>
      <w:marRight w:val="0"/>
      <w:marTop w:val="0"/>
      <w:marBottom w:val="0"/>
      <w:divBdr>
        <w:top w:val="none" w:sz="0" w:space="0" w:color="auto"/>
        <w:left w:val="none" w:sz="0" w:space="0" w:color="auto"/>
        <w:bottom w:val="none" w:sz="0" w:space="0" w:color="auto"/>
        <w:right w:val="none" w:sz="0" w:space="0" w:color="auto"/>
      </w:divBdr>
    </w:div>
    <w:div w:id="2041735836">
      <w:bodyDiv w:val="1"/>
      <w:marLeft w:val="0"/>
      <w:marRight w:val="0"/>
      <w:marTop w:val="0"/>
      <w:marBottom w:val="0"/>
      <w:divBdr>
        <w:top w:val="none" w:sz="0" w:space="0" w:color="auto"/>
        <w:left w:val="none" w:sz="0" w:space="0" w:color="auto"/>
        <w:bottom w:val="none" w:sz="0" w:space="0" w:color="auto"/>
        <w:right w:val="none" w:sz="0" w:space="0" w:color="auto"/>
      </w:divBdr>
    </w:div>
    <w:div w:id="2041854929">
      <w:bodyDiv w:val="1"/>
      <w:marLeft w:val="0"/>
      <w:marRight w:val="0"/>
      <w:marTop w:val="0"/>
      <w:marBottom w:val="0"/>
      <w:divBdr>
        <w:top w:val="none" w:sz="0" w:space="0" w:color="auto"/>
        <w:left w:val="none" w:sz="0" w:space="0" w:color="auto"/>
        <w:bottom w:val="none" w:sz="0" w:space="0" w:color="auto"/>
        <w:right w:val="none" w:sz="0" w:space="0" w:color="auto"/>
      </w:divBdr>
    </w:div>
    <w:div w:id="2045247669">
      <w:bodyDiv w:val="1"/>
      <w:marLeft w:val="0"/>
      <w:marRight w:val="0"/>
      <w:marTop w:val="0"/>
      <w:marBottom w:val="0"/>
      <w:divBdr>
        <w:top w:val="none" w:sz="0" w:space="0" w:color="auto"/>
        <w:left w:val="none" w:sz="0" w:space="0" w:color="auto"/>
        <w:bottom w:val="none" w:sz="0" w:space="0" w:color="auto"/>
        <w:right w:val="none" w:sz="0" w:space="0" w:color="auto"/>
      </w:divBdr>
    </w:div>
    <w:div w:id="2045514401">
      <w:bodyDiv w:val="1"/>
      <w:marLeft w:val="0"/>
      <w:marRight w:val="0"/>
      <w:marTop w:val="0"/>
      <w:marBottom w:val="0"/>
      <w:divBdr>
        <w:top w:val="none" w:sz="0" w:space="0" w:color="auto"/>
        <w:left w:val="none" w:sz="0" w:space="0" w:color="auto"/>
        <w:bottom w:val="none" w:sz="0" w:space="0" w:color="auto"/>
        <w:right w:val="none" w:sz="0" w:space="0" w:color="auto"/>
      </w:divBdr>
    </w:div>
    <w:div w:id="2053653029">
      <w:bodyDiv w:val="1"/>
      <w:marLeft w:val="0"/>
      <w:marRight w:val="0"/>
      <w:marTop w:val="0"/>
      <w:marBottom w:val="0"/>
      <w:divBdr>
        <w:top w:val="none" w:sz="0" w:space="0" w:color="auto"/>
        <w:left w:val="none" w:sz="0" w:space="0" w:color="auto"/>
        <w:bottom w:val="none" w:sz="0" w:space="0" w:color="auto"/>
        <w:right w:val="none" w:sz="0" w:space="0" w:color="auto"/>
      </w:divBdr>
    </w:div>
    <w:div w:id="2064983014">
      <w:bodyDiv w:val="1"/>
      <w:marLeft w:val="0"/>
      <w:marRight w:val="0"/>
      <w:marTop w:val="0"/>
      <w:marBottom w:val="0"/>
      <w:divBdr>
        <w:top w:val="none" w:sz="0" w:space="0" w:color="auto"/>
        <w:left w:val="none" w:sz="0" w:space="0" w:color="auto"/>
        <w:bottom w:val="none" w:sz="0" w:space="0" w:color="auto"/>
        <w:right w:val="none" w:sz="0" w:space="0" w:color="auto"/>
      </w:divBdr>
    </w:div>
    <w:div w:id="2084525263">
      <w:bodyDiv w:val="1"/>
      <w:marLeft w:val="0"/>
      <w:marRight w:val="0"/>
      <w:marTop w:val="0"/>
      <w:marBottom w:val="0"/>
      <w:divBdr>
        <w:top w:val="none" w:sz="0" w:space="0" w:color="auto"/>
        <w:left w:val="none" w:sz="0" w:space="0" w:color="auto"/>
        <w:bottom w:val="none" w:sz="0" w:space="0" w:color="auto"/>
        <w:right w:val="none" w:sz="0" w:space="0" w:color="auto"/>
      </w:divBdr>
    </w:div>
    <w:div w:id="2111850304">
      <w:bodyDiv w:val="1"/>
      <w:marLeft w:val="0"/>
      <w:marRight w:val="0"/>
      <w:marTop w:val="0"/>
      <w:marBottom w:val="0"/>
      <w:divBdr>
        <w:top w:val="none" w:sz="0" w:space="0" w:color="auto"/>
        <w:left w:val="none" w:sz="0" w:space="0" w:color="auto"/>
        <w:bottom w:val="none" w:sz="0" w:space="0" w:color="auto"/>
        <w:right w:val="none" w:sz="0" w:space="0" w:color="auto"/>
      </w:divBdr>
    </w:div>
    <w:div w:id="2125802830">
      <w:bodyDiv w:val="1"/>
      <w:marLeft w:val="0"/>
      <w:marRight w:val="0"/>
      <w:marTop w:val="0"/>
      <w:marBottom w:val="0"/>
      <w:divBdr>
        <w:top w:val="none" w:sz="0" w:space="0" w:color="auto"/>
        <w:left w:val="none" w:sz="0" w:space="0" w:color="auto"/>
        <w:bottom w:val="none" w:sz="0" w:space="0" w:color="auto"/>
        <w:right w:val="none" w:sz="0" w:space="0" w:color="auto"/>
      </w:divBdr>
    </w:div>
    <w:div w:id="2137329034">
      <w:bodyDiv w:val="1"/>
      <w:marLeft w:val="0"/>
      <w:marRight w:val="0"/>
      <w:marTop w:val="0"/>
      <w:marBottom w:val="0"/>
      <w:divBdr>
        <w:top w:val="none" w:sz="0" w:space="0" w:color="auto"/>
        <w:left w:val="none" w:sz="0" w:space="0" w:color="auto"/>
        <w:bottom w:val="none" w:sz="0" w:space="0" w:color="auto"/>
        <w:right w:val="none" w:sz="0" w:space="0" w:color="auto"/>
      </w:divBdr>
    </w:div>
    <w:div w:id="2137480680">
      <w:bodyDiv w:val="1"/>
      <w:marLeft w:val="0"/>
      <w:marRight w:val="0"/>
      <w:marTop w:val="0"/>
      <w:marBottom w:val="0"/>
      <w:divBdr>
        <w:top w:val="none" w:sz="0" w:space="0" w:color="auto"/>
        <w:left w:val="none" w:sz="0" w:space="0" w:color="auto"/>
        <w:bottom w:val="none" w:sz="0" w:space="0" w:color="auto"/>
        <w:right w:val="none" w:sz="0" w:space="0" w:color="auto"/>
      </w:divBdr>
    </w:div>
    <w:div w:id="2141341196">
      <w:bodyDiv w:val="1"/>
      <w:marLeft w:val="0"/>
      <w:marRight w:val="0"/>
      <w:marTop w:val="0"/>
      <w:marBottom w:val="0"/>
      <w:divBdr>
        <w:top w:val="none" w:sz="0" w:space="0" w:color="auto"/>
        <w:left w:val="none" w:sz="0" w:space="0" w:color="auto"/>
        <w:bottom w:val="none" w:sz="0" w:space="0" w:color="auto"/>
        <w:right w:val="none" w:sz="0" w:space="0" w:color="auto"/>
      </w:divBdr>
    </w:div>
    <w:div w:id="2144304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chart" Target="charts/chart81.xml"/><Relationship Id="rId21" Type="http://schemas.openxmlformats.org/officeDocument/2006/relationships/image" Target="media/image10.png"/><Relationship Id="rId42" Type="http://schemas.openxmlformats.org/officeDocument/2006/relationships/chart" Target="charts/chart13.xml"/><Relationship Id="rId47" Type="http://schemas.openxmlformats.org/officeDocument/2006/relationships/chart" Target="charts/chart18.xml"/><Relationship Id="rId63" Type="http://schemas.openxmlformats.org/officeDocument/2006/relationships/chart" Target="charts/chart32.xml"/><Relationship Id="rId68" Type="http://schemas.openxmlformats.org/officeDocument/2006/relationships/chart" Target="charts/chart37.xml"/><Relationship Id="rId84" Type="http://schemas.openxmlformats.org/officeDocument/2006/relationships/chart" Target="charts/chart48.xml"/><Relationship Id="rId89" Type="http://schemas.openxmlformats.org/officeDocument/2006/relationships/chart" Target="charts/chart53.xml"/><Relationship Id="rId112" Type="http://schemas.openxmlformats.org/officeDocument/2006/relationships/chart" Target="charts/chart76.xml"/><Relationship Id="rId133" Type="http://schemas.openxmlformats.org/officeDocument/2006/relationships/hyperlink" Target="http://ppg.naif.org.tw/naif/MarketInformation/Poultry/TranStatistics.aspx" TargetMode="External"/><Relationship Id="rId138" Type="http://schemas.openxmlformats.org/officeDocument/2006/relationships/hyperlink" Target="http://fund.bot.com.tw/z/ze/zeq/zeqa_D0190020.djhtm" TargetMode="External"/><Relationship Id="rId154" Type="http://schemas.openxmlformats.org/officeDocument/2006/relationships/image" Target="media/image33.emf"/><Relationship Id="rId159" Type="http://schemas.openxmlformats.org/officeDocument/2006/relationships/image" Target="media/image38.emf"/><Relationship Id="rId170" Type="http://schemas.openxmlformats.org/officeDocument/2006/relationships/footer" Target="footer12.xml"/><Relationship Id="rId16" Type="http://schemas.openxmlformats.org/officeDocument/2006/relationships/image" Target="media/image5.png"/><Relationship Id="rId107" Type="http://schemas.openxmlformats.org/officeDocument/2006/relationships/chart" Target="charts/chart71.xml"/><Relationship Id="rId11" Type="http://schemas.openxmlformats.org/officeDocument/2006/relationships/footer" Target="footer3.xml"/><Relationship Id="rId32" Type="http://schemas.openxmlformats.org/officeDocument/2006/relationships/chart" Target="charts/chart3.xml"/><Relationship Id="rId37" Type="http://schemas.openxmlformats.org/officeDocument/2006/relationships/chart" Target="charts/chart8.xml"/><Relationship Id="rId53" Type="http://schemas.openxmlformats.org/officeDocument/2006/relationships/chart" Target="charts/chart23.xml"/><Relationship Id="rId58" Type="http://schemas.openxmlformats.org/officeDocument/2006/relationships/chart" Target="charts/chart28.xml"/><Relationship Id="rId74" Type="http://schemas.openxmlformats.org/officeDocument/2006/relationships/chart" Target="charts/chart42.xml"/><Relationship Id="rId79" Type="http://schemas.openxmlformats.org/officeDocument/2006/relationships/chart" Target="charts/chart46.xml"/><Relationship Id="rId102" Type="http://schemas.openxmlformats.org/officeDocument/2006/relationships/chart" Target="charts/chart66.xml"/><Relationship Id="rId123" Type="http://schemas.openxmlformats.org/officeDocument/2006/relationships/chart" Target="charts/chart84.xml"/><Relationship Id="rId128" Type="http://schemas.openxmlformats.org/officeDocument/2006/relationships/footer" Target="footer5.xml"/><Relationship Id="rId144" Type="http://schemas.openxmlformats.org/officeDocument/2006/relationships/footer" Target="footer7.xml"/><Relationship Id="rId149" Type="http://schemas.openxmlformats.org/officeDocument/2006/relationships/image" Target="media/image29.png"/><Relationship Id="rId5" Type="http://schemas.openxmlformats.org/officeDocument/2006/relationships/settings" Target="settings.xml"/><Relationship Id="rId90" Type="http://schemas.openxmlformats.org/officeDocument/2006/relationships/chart" Target="charts/chart54.xml"/><Relationship Id="rId95" Type="http://schemas.openxmlformats.org/officeDocument/2006/relationships/chart" Target="charts/chart59.xml"/><Relationship Id="rId160" Type="http://schemas.openxmlformats.org/officeDocument/2006/relationships/image" Target="media/image39.emf"/><Relationship Id="rId165" Type="http://schemas.openxmlformats.org/officeDocument/2006/relationships/image" Target="media/image44.emf"/><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chart" Target="charts/chart14.xml"/><Relationship Id="rId48" Type="http://schemas.openxmlformats.org/officeDocument/2006/relationships/chart" Target="charts/chart19.xml"/><Relationship Id="rId64" Type="http://schemas.openxmlformats.org/officeDocument/2006/relationships/chart" Target="charts/chart33.xml"/><Relationship Id="rId69" Type="http://schemas.openxmlformats.org/officeDocument/2006/relationships/chart" Target="charts/chart38.xml"/><Relationship Id="rId113" Type="http://schemas.openxmlformats.org/officeDocument/2006/relationships/chart" Target="charts/chart77.xml"/><Relationship Id="rId118" Type="http://schemas.openxmlformats.org/officeDocument/2006/relationships/image" Target="media/image25.png"/><Relationship Id="rId134" Type="http://schemas.openxmlformats.org/officeDocument/2006/relationships/hyperlink" Target="http://www.naif.org.tw/naifOrigin.aspx?frontTitleMenuID=7" TargetMode="External"/><Relationship Id="rId139" Type="http://schemas.openxmlformats.org/officeDocument/2006/relationships/hyperlink" Target="http://www.moeaboe.gov.tw/" TargetMode="External"/><Relationship Id="rId80" Type="http://schemas.openxmlformats.org/officeDocument/2006/relationships/chart" Target="charts/chart47.xml"/><Relationship Id="rId85" Type="http://schemas.openxmlformats.org/officeDocument/2006/relationships/chart" Target="charts/chart49.xml"/><Relationship Id="rId150" Type="http://schemas.openxmlformats.org/officeDocument/2006/relationships/image" Target="media/image30.png"/><Relationship Id="rId155" Type="http://schemas.openxmlformats.org/officeDocument/2006/relationships/image" Target="media/image34.emf"/><Relationship Id="rId171" Type="http://schemas.openxmlformats.org/officeDocument/2006/relationships/footer" Target="footer13.xml"/><Relationship Id="rId12" Type="http://schemas.openxmlformats.org/officeDocument/2006/relationships/image" Target="media/image1.png"/><Relationship Id="rId17" Type="http://schemas.openxmlformats.org/officeDocument/2006/relationships/image" Target="media/image6.png"/><Relationship Id="rId33" Type="http://schemas.openxmlformats.org/officeDocument/2006/relationships/chart" Target="charts/chart4.xml"/><Relationship Id="rId38" Type="http://schemas.openxmlformats.org/officeDocument/2006/relationships/chart" Target="charts/chart9.xml"/><Relationship Id="rId59" Type="http://schemas.openxmlformats.org/officeDocument/2006/relationships/image" Target="media/image20.emf"/><Relationship Id="rId103" Type="http://schemas.openxmlformats.org/officeDocument/2006/relationships/chart" Target="charts/chart67.xml"/><Relationship Id="rId108" Type="http://schemas.openxmlformats.org/officeDocument/2006/relationships/chart" Target="charts/chart72.xml"/><Relationship Id="rId124" Type="http://schemas.openxmlformats.org/officeDocument/2006/relationships/chart" Target="charts/chart85.xml"/><Relationship Id="rId129" Type="http://schemas.openxmlformats.org/officeDocument/2006/relationships/hyperlink" Target="http://www.cwb.gov.tw/V7/index.htm" TargetMode="External"/><Relationship Id="rId54" Type="http://schemas.openxmlformats.org/officeDocument/2006/relationships/chart" Target="charts/chart24.xml"/><Relationship Id="rId70" Type="http://schemas.openxmlformats.org/officeDocument/2006/relationships/chart" Target="charts/chart39.xml"/><Relationship Id="rId75" Type="http://schemas.openxmlformats.org/officeDocument/2006/relationships/chart" Target="charts/chart43.xml"/><Relationship Id="rId91" Type="http://schemas.openxmlformats.org/officeDocument/2006/relationships/chart" Target="charts/chart55.xml"/><Relationship Id="rId96" Type="http://schemas.openxmlformats.org/officeDocument/2006/relationships/chart" Target="charts/chart60.xml"/><Relationship Id="rId140" Type="http://schemas.openxmlformats.org/officeDocument/2006/relationships/hyperlink" Target="http://www.usda.gov" TargetMode="External"/><Relationship Id="rId145" Type="http://schemas.openxmlformats.org/officeDocument/2006/relationships/footer" Target="footer8.xml"/><Relationship Id="rId161" Type="http://schemas.openxmlformats.org/officeDocument/2006/relationships/image" Target="media/image40.emf"/><Relationship Id="rId166" Type="http://schemas.openxmlformats.org/officeDocument/2006/relationships/image" Target="media/image45.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gif"/><Relationship Id="rId36" Type="http://schemas.openxmlformats.org/officeDocument/2006/relationships/chart" Target="charts/chart7.xml"/><Relationship Id="rId49" Type="http://schemas.openxmlformats.org/officeDocument/2006/relationships/image" Target="media/image19.wmf"/><Relationship Id="rId57" Type="http://schemas.openxmlformats.org/officeDocument/2006/relationships/chart" Target="charts/chart27.xml"/><Relationship Id="rId106" Type="http://schemas.openxmlformats.org/officeDocument/2006/relationships/chart" Target="charts/chart70.xml"/><Relationship Id="rId114" Type="http://schemas.openxmlformats.org/officeDocument/2006/relationships/chart" Target="charts/chart78.xml"/><Relationship Id="rId119" Type="http://schemas.openxmlformats.org/officeDocument/2006/relationships/image" Target="media/image26.png"/><Relationship Id="rId127" Type="http://schemas.openxmlformats.org/officeDocument/2006/relationships/chart" Target="charts/chart88.xml"/><Relationship Id="rId10" Type="http://schemas.openxmlformats.org/officeDocument/2006/relationships/footer" Target="footer2.xml"/><Relationship Id="rId31" Type="http://schemas.openxmlformats.org/officeDocument/2006/relationships/chart" Target="charts/chart2.xml"/><Relationship Id="rId44" Type="http://schemas.openxmlformats.org/officeDocument/2006/relationships/chart" Target="charts/chart15.xml"/><Relationship Id="rId52" Type="http://schemas.openxmlformats.org/officeDocument/2006/relationships/chart" Target="charts/chart22.xml"/><Relationship Id="rId60" Type="http://schemas.openxmlformats.org/officeDocument/2006/relationships/chart" Target="charts/chart29.xml"/><Relationship Id="rId65" Type="http://schemas.openxmlformats.org/officeDocument/2006/relationships/chart" Target="charts/chart34.xml"/><Relationship Id="rId73" Type="http://schemas.openxmlformats.org/officeDocument/2006/relationships/image" Target="media/image21.png"/><Relationship Id="rId78" Type="http://schemas.openxmlformats.org/officeDocument/2006/relationships/chart" Target="charts/chart45.xml"/><Relationship Id="rId81" Type="http://schemas.openxmlformats.org/officeDocument/2006/relationships/footer" Target="footer4.xml"/><Relationship Id="rId86" Type="http://schemas.openxmlformats.org/officeDocument/2006/relationships/chart" Target="charts/chart50.xml"/><Relationship Id="rId94" Type="http://schemas.openxmlformats.org/officeDocument/2006/relationships/chart" Target="charts/chart58.xml"/><Relationship Id="rId99" Type="http://schemas.openxmlformats.org/officeDocument/2006/relationships/chart" Target="charts/chart63.xml"/><Relationship Id="rId101" Type="http://schemas.openxmlformats.org/officeDocument/2006/relationships/chart" Target="charts/chart65.xml"/><Relationship Id="rId122" Type="http://schemas.openxmlformats.org/officeDocument/2006/relationships/chart" Target="charts/chart83.xml"/><Relationship Id="rId130" Type="http://schemas.openxmlformats.org/officeDocument/2006/relationships/hyperlink" Target="http://www.wra.gov.tw/" TargetMode="External"/><Relationship Id="rId135" Type="http://schemas.openxmlformats.org/officeDocument/2006/relationships/hyperlink" Target="http://www.poultry.org.tw/" TargetMode="External"/><Relationship Id="rId143" Type="http://schemas.openxmlformats.org/officeDocument/2006/relationships/footer" Target="footer6.xml"/><Relationship Id="rId148" Type="http://schemas.openxmlformats.org/officeDocument/2006/relationships/footer" Target="footer10.xml"/><Relationship Id="rId151" Type="http://schemas.openxmlformats.org/officeDocument/2006/relationships/chart" Target="charts/chart89.xml"/><Relationship Id="rId156" Type="http://schemas.openxmlformats.org/officeDocument/2006/relationships/image" Target="media/image35.emf"/><Relationship Id="rId164" Type="http://schemas.openxmlformats.org/officeDocument/2006/relationships/image" Target="media/image43.emf"/><Relationship Id="rId169" Type="http://schemas.openxmlformats.org/officeDocument/2006/relationships/hyperlink" Target="http://www.fao.org/worldfoodsituation/foodpricesindex/en/" TargetMode="External"/><Relationship Id="rId4" Type="http://schemas.microsoft.com/office/2007/relationships/stylesWithEffects" Target="stylesWithEffects.xml"/><Relationship Id="rId9" Type="http://schemas.openxmlformats.org/officeDocument/2006/relationships/footer" Target="footer1.xml"/><Relationship Id="rId172" Type="http://schemas.openxmlformats.org/officeDocument/2006/relationships/fontTable" Target="fontTable.xm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chart" Target="charts/chart10.xml"/><Relationship Id="rId109" Type="http://schemas.openxmlformats.org/officeDocument/2006/relationships/chart" Target="charts/chart73.xml"/><Relationship Id="rId34" Type="http://schemas.openxmlformats.org/officeDocument/2006/relationships/chart" Target="charts/chart5.xml"/><Relationship Id="rId50" Type="http://schemas.openxmlformats.org/officeDocument/2006/relationships/chart" Target="charts/chart20.xml"/><Relationship Id="rId55" Type="http://schemas.openxmlformats.org/officeDocument/2006/relationships/chart" Target="charts/chart25.xml"/><Relationship Id="rId76" Type="http://schemas.openxmlformats.org/officeDocument/2006/relationships/image" Target="media/image22.png"/><Relationship Id="rId97" Type="http://schemas.openxmlformats.org/officeDocument/2006/relationships/chart" Target="charts/chart61.xml"/><Relationship Id="rId104" Type="http://schemas.openxmlformats.org/officeDocument/2006/relationships/chart" Target="charts/chart68.xml"/><Relationship Id="rId120" Type="http://schemas.openxmlformats.org/officeDocument/2006/relationships/image" Target="media/image27.png"/><Relationship Id="rId125" Type="http://schemas.openxmlformats.org/officeDocument/2006/relationships/chart" Target="charts/chart86.xml"/><Relationship Id="rId141" Type="http://schemas.openxmlformats.org/officeDocument/2006/relationships/hyperlink" Target="http://www.igc.int/" TargetMode="External"/><Relationship Id="rId146" Type="http://schemas.openxmlformats.org/officeDocument/2006/relationships/hyperlink" Target="http://www.npf.org.tw/printfriendly/4365" TargetMode="External"/><Relationship Id="rId167" Type="http://schemas.openxmlformats.org/officeDocument/2006/relationships/image" Target="media/image46.emf"/><Relationship Id="rId7" Type="http://schemas.openxmlformats.org/officeDocument/2006/relationships/footnotes" Target="footnotes.xml"/><Relationship Id="rId71" Type="http://schemas.openxmlformats.org/officeDocument/2006/relationships/chart" Target="charts/chart40.xml"/><Relationship Id="rId92" Type="http://schemas.openxmlformats.org/officeDocument/2006/relationships/chart" Target="charts/chart56.xml"/><Relationship Id="rId162" Type="http://schemas.openxmlformats.org/officeDocument/2006/relationships/image" Target="media/image41.emf"/><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chart" Target="charts/chart11.xml"/><Relationship Id="rId45" Type="http://schemas.openxmlformats.org/officeDocument/2006/relationships/chart" Target="charts/chart16.xml"/><Relationship Id="rId66" Type="http://schemas.openxmlformats.org/officeDocument/2006/relationships/chart" Target="charts/chart35.xml"/><Relationship Id="rId87" Type="http://schemas.openxmlformats.org/officeDocument/2006/relationships/chart" Target="charts/chart51.xml"/><Relationship Id="rId110" Type="http://schemas.openxmlformats.org/officeDocument/2006/relationships/chart" Target="charts/chart74.xml"/><Relationship Id="rId115" Type="http://schemas.openxmlformats.org/officeDocument/2006/relationships/chart" Target="charts/chart79.xml"/><Relationship Id="rId131" Type="http://schemas.openxmlformats.org/officeDocument/2006/relationships/hyperlink" Target="http://agrstat.coa.gov.tw/sdweb/public/book/Book.aspx" TargetMode="External"/><Relationship Id="rId136" Type="http://schemas.openxmlformats.org/officeDocument/2006/relationships/hyperlink" Target="https://apps.fas.usda.gov/psdonline/circulars/sugar.pdf" TargetMode="External"/><Relationship Id="rId157" Type="http://schemas.openxmlformats.org/officeDocument/2006/relationships/image" Target="media/image36.emf"/><Relationship Id="rId61" Type="http://schemas.openxmlformats.org/officeDocument/2006/relationships/chart" Target="charts/chart30.xml"/><Relationship Id="rId82" Type="http://schemas.openxmlformats.org/officeDocument/2006/relationships/image" Target="media/image23.jpeg"/><Relationship Id="rId152" Type="http://schemas.openxmlformats.org/officeDocument/2006/relationships/image" Target="media/image31.emf"/><Relationship Id="rId173"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3.png"/><Relationship Id="rId30" Type="http://schemas.openxmlformats.org/officeDocument/2006/relationships/chart" Target="charts/chart1.xml"/><Relationship Id="rId35" Type="http://schemas.openxmlformats.org/officeDocument/2006/relationships/chart" Target="charts/chart6.xml"/><Relationship Id="rId56" Type="http://schemas.openxmlformats.org/officeDocument/2006/relationships/chart" Target="charts/chart26.xml"/><Relationship Id="rId77" Type="http://schemas.openxmlformats.org/officeDocument/2006/relationships/chart" Target="charts/chart44.xml"/><Relationship Id="rId100" Type="http://schemas.openxmlformats.org/officeDocument/2006/relationships/chart" Target="charts/chart64.xml"/><Relationship Id="rId105" Type="http://schemas.openxmlformats.org/officeDocument/2006/relationships/chart" Target="charts/chart69.xml"/><Relationship Id="rId126" Type="http://schemas.openxmlformats.org/officeDocument/2006/relationships/chart" Target="charts/chart87.xml"/><Relationship Id="rId147" Type="http://schemas.openxmlformats.org/officeDocument/2006/relationships/footer" Target="footer9.xml"/><Relationship Id="rId168" Type="http://schemas.openxmlformats.org/officeDocument/2006/relationships/footer" Target="footer11.xml"/><Relationship Id="rId8" Type="http://schemas.openxmlformats.org/officeDocument/2006/relationships/endnotes" Target="endnotes.xml"/><Relationship Id="rId51" Type="http://schemas.openxmlformats.org/officeDocument/2006/relationships/chart" Target="charts/chart21.xml"/><Relationship Id="rId72" Type="http://schemas.openxmlformats.org/officeDocument/2006/relationships/chart" Target="charts/chart41.xml"/><Relationship Id="rId93" Type="http://schemas.openxmlformats.org/officeDocument/2006/relationships/chart" Target="charts/chart57.xml"/><Relationship Id="rId98" Type="http://schemas.openxmlformats.org/officeDocument/2006/relationships/chart" Target="charts/chart62.xml"/><Relationship Id="rId121" Type="http://schemas.openxmlformats.org/officeDocument/2006/relationships/chart" Target="charts/chart82.xml"/><Relationship Id="rId142" Type="http://schemas.openxmlformats.org/officeDocument/2006/relationships/header" Target="header1.xml"/><Relationship Id="rId163" Type="http://schemas.openxmlformats.org/officeDocument/2006/relationships/image" Target="media/image42.emf"/><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chart" Target="charts/chart17.xml"/><Relationship Id="rId67" Type="http://schemas.openxmlformats.org/officeDocument/2006/relationships/chart" Target="charts/chart36.xml"/><Relationship Id="rId116" Type="http://schemas.openxmlformats.org/officeDocument/2006/relationships/chart" Target="charts/chart80.xml"/><Relationship Id="rId137" Type="http://schemas.openxmlformats.org/officeDocument/2006/relationships/hyperlink" Target="http://www.trade.gov.tw/" TargetMode="External"/><Relationship Id="rId158" Type="http://schemas.openxmlformats.org/officeDocument/2006/relationships/image" Target="media/image37.emf"/><Relationship Id="rId20" Type="http://schemas.openxmlformats.org/officeDocument/2006/relationships/image" Target="media/image9.png"/><Relationship Id="rId41" Type="http://schemas.openxmlformats.org/officeDocument/2006/relationships/chart" Target="charts/chart12.xml"/><Relationship Id="rId62" Type="http://schemas.openxmlformats.org/officeDocument/2006/relationships/chart" Target="charts/chart31.xml"/><Relationship Id="rId83" Type="http://schemas.openxmlformats.org/officeDocument/2006/relationships/image" Target="media/image24.jpeg"/><Relationship Id="rId88" Type="http://schemas.openxmlformats.org/officeDocument/2006/relationships/chart" Target="charts/chart52.xml"/><Relationship Id="rId111" Type="http://schemas.openxmlformats.org/officeDocument/2006/relationships/chart" Target="charts/chart75.xml"/><Relationship Id="rId132" Type="http://schemas.openxmlformats.org/officeDocument/2006/relationships/hyperlink" Target="http://ai.gov.tw/index.php?id=230" TargetMode="External"/><Relationship Id="rId153" Type="http://schemas.openxmlformats.org/officeDocument/2006/relationships/image" Target="media/image32.emf"/></Relationships>
</file>

<file path=word/_rels/header1.xml.rels><?xml version="1.0" encoding="UTF-8" standalone="yes"?>
<Relationships xmlns="http://schemas.openxmlformats.org/package/2006/relationships"><Relationship Id="rId3" Type="http://schemas.openxmlformats.org/officeDocument/2006/relationships/image" Target="media/image48.gif"/><Relationship Id="rId2" Type="http://schemas.openxmlformats.org/officeDocument/2006/relationships/image" Target="media/image280.jpeg"/><Relationship Id="rId1" Type="http://schemas.openxmlformats.org/officeDocument/2006/relationships/image" Target="media/image28.jpeg"/><Relationship Id="rId4" Type="http://schemas.openxmlformats.org/officeDocument/2006/relationships/image" Target="media/image49.gif"/></Relationships>
</file>

<file path=word/charts/_rels/chart1.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I:\&#22823;&#23447;&#29289;&#36039;new\&#26399;&#26411;&#22577;&#21578;\1040701%20104&#26399;&#26411;-&#22823;&#23447;&#29289;&#36039;&#35069;&#22294;-v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PC630B\Downloads\Food_price_indices_data.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PC630B\Downloads\igc_goi.xlsb"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5.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6.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7.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2.xlsx" TargetMode="External"/></Relationships>
</file>

<file path=word/charts/_rels/chart38.xml.rels><?xml version="1.0" encoding="UTF-8" standalone="yes"?>
<Relationships xmlns="http://schemas.openxmlformats.org/package/2006/relationships"><Relationship Id="rId1" Type="http://schemas.openxmlformats.org/officeDocument/2006/relationships/oleObject" Target="file:///I:\&#22823;&#23447;&#29289;&#36039;new\&#26399;&#26411;&#22577;&#21578;\1040701%20104&#26399;&#26411;-&#22823;&#23447;&#29289;&#36039;&#35069;&#22294;-v3.xlsx" TargetMode="External"/></Relationships>
</file>

<file path=word/charts/_rels/chart39.xml.rels><?xml version="1.0" encoding="UTF-8" standalone="yes"?>
<Relationships xmlns="http://schemas.openxmlformats.org/package/2006/relationships"><Relationship Id="rId1" Type="http://schemas.openxmlformats.org/officeDocument/2006/relationships/oleObject" Target="file:///I:\&#22823;&#23447;&#29289;&#36039;new\&#26399;&#26411;&#22577;&#21578;\1040701%20104&#26399;&#26411;-&#22823;&#23447;&#29289;&#36039;&#35069;&#22294;-v3.xlsx"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3.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G:\&#22823;&#23447;&#29289;&#36039;new\&#26399;&#26411;&#22577;&#21578;\1040701%20104&#26399;&#26411;-&#22823;&#23447;&#29289;&#36039;&#35069;&#22294;-v3.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D:\&#23395;&#22577;&#12289;&#38617;&#36913;&#22577;\&#37325;&#35201;&#21407;&#29289;&#26009;&#20998;&#26512;&#23395;&#22577;\&#31532;&#22235;&#23395;&#26399;&#26411;&#22577;&#21578;\1041124%20104Q4-&#22823;&#23447;&#29289;&#36039;&#35069;&#22294;-v1.xlsx" TargetMode="External"/></Relationships>
</file>

<file path=word/charts/_rels/chart45.xml.rels><?xml version="1.0" encoding="UTF-8" standalone="yes"?>
<Relationships xmlns="http://schemas.openxmlformats.org/package/2006/relationships"><Relationship Id="rId1" Type="http://schemas.openxmlformats.org/officeDocument/2006/relationships/oleObject" Target="file:///C:\Users\PC622F\Desktop\&#22823;&#23447;&#29289;&#36039;new\&#26399;&#20013;&#22577;&#21578;0729\&#20729;&#26684;&#38928;&#28204;\&#37628;.xlsx" TargetMode="External"/></Relationships>
</file>

<file path=word/charts/_rels/chart46.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xml"/></Relationships>
</file>

<file path=word/charts/_rels/chart4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PC427C\Desktop\&#23637;&#26395;&#20013;&#24515;&#21161;&#29702;\&#29289;&#20729;\&#21322;&#24180;&#22577;%20&#24180;&#22577;\201507\&#38477;&#38632;&#37327;&#27511;&#21490;&#36039;&#26009;.xlsx" TargetMode="External"/></Relationships>
</file>

<file path=word/charts/_rels/chart48.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2.xml"/></Relationships>
</file>

<file path=word/charts/_rels/chart4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PC427C\Desktop\&#23637;&#26395;&#20013;&#24515;&#21161;&#29702;\&#29289;&#20729;\&#21322;&#24180;&#22577;%20&#24180;&#22577;\20150731&#26399;&#20013;&#22577;&#21578;\&#22294;&#34920;\&#38622;&#40232;&#20729;&#26684;&#36208;&#21218;.xlsx" TargetMode="External"/></Relationships>
</file>

<file path=word/charts/_rels/chart50.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C:\Users\PC427C\Desktop\&#23637;&#26395;&#20013;&#24515;&#21161;&#29702;\&#29289;&#20729;\&#21322;&#24180;&#22577;%20&#24180;&#22577;\201507\&#38622;&#34507;&#20729;&#26684;&#27511;&#21490;&#36039;&#26009;.xls" TargetMode="External"/></Relationships>
</file>

<file path=word/charts/_rels/chart51.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C:\Users\PC427C\Desktop\&#23637;&#26395;&#20013;&#24515;&#21161;&#29702;\&#29289;&#20729;\&#21322;&#24180;&#22577;%20&#24180;&#22577;\201507\&#40232;&#34507;&#20729;&#26684;&#36208;&#21218;.xlsx" TargetMode="External"/></Relationships>
</file>

<file path=word/charts/_rels/chart52.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file:///C:\Users\PC427C\Desktop\&#23637;&#26395;&#20013;&#24515;&#21161;&#29702;\&#29289;&#20729;\&#21322;&#24180;&#22577;%20&#24180;&#22577;\20150731&#26399;&#20013;&#22577;&#21578;\&#22294;&#34920;\&#40232;&#34507;&#20729;&#26684;&#36208;&#21218;.xlsx" TargetMode="External"/><Relationship Id="rId1" Type="http://schemas.openxmlformats.org/officeDocument/2006/relationships/themeOverride" Target="../theme/themeOverride3.xml"/></Relationships>
</file>

<file path=word/charts/_rels/chart53.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4.xml"/></Relationships>
</file>

<file path=word/charts/_rels/chart54.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0731&#26399;&#20013;&#22577;&#21578;\&#22294;&#34920;\&#26032;&#21488;&#24163;&#21295;&#29575;&#36208;&#21218;.xls"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1123_&#23567;&#40613;&#35722;&#21205;&#34920;.xls" TargetMode="External"/></Relationships>
</file>

<file path=word/charts/_rels/chart56.xml.rels><?xml version="1.0" encoding="UTF-8" standalone="yes"?>
<Relationships xmlns="http://schemas.openxmlformats.org/package/2006/relationships"><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5.xml"/></Relationships>
</file>

<file path=word/charts/_rels/chart57.xml.rels><?xml version="1.0" encoding="UTF-8" standalone="yes"?>
<Relationships xmlns="http://schemas.openxmlformats.org/package/2006/relationships"><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6.xml"/></Relationships>
</file>

<file path=word/charts/_rels/chart58.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7.xml"/></Relationships>
</file>

<file path=word/charts/_rels/chart59.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60.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61.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62.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63.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64.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65.xml.rels><?xml version="1.0" encoding="UTF-8" standalone="yes"?>
<Relationships xmlns="http://schemas.openxmlformats.org/package/2006/relationships"><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8.xml"/></Relationships>
</file>

<file path=word/charts/_rels/chart66.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9.xml"/></Relationships>
</file>

<file path=word/charts/_rels/chart67.xml.rels><?xml version="1.0" encoding="UTF-8" standalone="yes"?>
<Relationships xmlns="http://schemas.openxmlformats.org/package/2006/relationships"><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0.xml"/></Relationships>
</file>

<file path=word/charts/_rels/chart68.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file:///C:\Users\PC427C\Desktop\&#23637;&#26395;&#20013;&#24515;&#21161;&#29702;\&#29289;&#20729;\&#21322;&#24180;&#22577;%20&#24180;&#22577;\20150731&#26399;&#20013;&#22577;&#21578;\&#22294;&#34920;\&#22902;&#31881;&#36914;&#21475;&#37327;.xls" TargetMode="External"/></Relationships>
</file>

<file path=word/charts/_rels/chart69.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oleObject" Target="file:///C:\Users\PC427C\Desktop\&#23637;&#26395;&#20013;&#24515;&#21161;&#29702;\&#29289;&#20729;\&#21322;&#24180;&#22577;%20&#24180;&#22577;\20150731&#26399;&#20013;&#22577;&#21578;\&#22294;&#34920;\&#22902;&#31881;&#36914;&#21475;&#37327;.xls" TargetMode="External"/></Relationships>
</file>

<file path=word/charts/_rels/chart70.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0731&#26399;&#20013;&#22577;&#21578;\&#22294;&#34920;\&#22902;&#31881;&#36914;&#21475;&#22283;&#21295;&#29575;&#36208;&#21218;.xls" TargetMode="External"/></Relationships>
</file>

<file path=word/charts/_rels/chart71.xml.rels><?xml version="1.0" encoding="UTF-8" standalone="yes"?>
<Relationships xmlns="http://schemas.openxmlformats.org/package/2006/relationships"><Relationship Id="rId3" Type="http://schemas.openxmlformats.org/officeDocument/2006/relationships/chartUserShapes" Target="../drawings/drawing13.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1.xml"/></Relationships>
</file>

<file path=word/charts/_rels/chart72.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oleObject" Target="file:///C:\Users\PC427C\Desktop\&#23637;&#26395;&#20013;&#24515;&#21161;&#29702;\&#29289;&#20729;\&#21322;&#24180;&#22577;%20&#24180;&#22577;\20150731&#26399;&#20013;&#22577;&#21578;\&#22294;&#34920;\&#33909;&#33457;&#23376;&#21407;&#27833;&#36914;&#21475;&#37327;.xls" TargetMode="External"/></Relationships>
</file>

<file path=word/charts/_rels/chart73.xml.rels><?xml version="1.0" encoding="UTF-8" standalone="yes"?>
<Relationships xmlns="http://schemas.openxmlformats.org/package/2006/relationships"><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2.xml"/></Relationships>
</file>

<file path=word/charts/_rels/chart74.xml.rels><?xml version="1.0" encoding="UTF-8" standalone="yes"?>
<Relationships xmlns="http://schemas.openxmlformats.org/package/2006/relationships"><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3.xml"/></Relationships>
</file>

<file path=word/charts/_rels/chart75.xml.rels><?xml version="1.0" encoding="UTF-8" standalone="yes"?>
<Relationships xmlns="http://schemas.openxmlformats.org/package/2006/relationships"><Relationship Id="rId3" Type="http://schemas.openxmlformats.org/officeDocument/2006/relationships/chartUserShapes" Target="../drawings/drawing15.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4.xml"/></Relationships>
</file>

<file path=word/charts/_rels/chart76.xml.rels><?xml version="1.0" encoding="UTF-8" standalone="yes"?>
<Relationships xmlns="http://schemas.openxmlformats.org/package/2006/relationships"><Relationship Id="rId3" Type="http://schemas.openxmlformats.org/officeDocument/2006/relationships/chartUserShapes" Target="../drawings/drawing16.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5.xml"/></Relationships>
</file>

<file path=word/charts/_rels/chart77.xml.rels><?xml version="1.0" encoding="UTF-8" standalone="yes"?>
<Relationships xmlns="http://schemas.openxmlformats.org/package/2006/relationships"><Relationship Id="rId3" Type="http://schemas.openxmlformats.org/officeDocument/2006/relationships/chartUserShapes" Target="../drawings/drawing17.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6.xml"/></Relationships>
</file>

<file path=word/charts/_rels/chart78.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79.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80.xml.rels><?xml version="1.0" encoding="UTF-8" standalone="yes"?>
<Relationships xmlns="http://schemas.openxmlformats.org/package/2006/relationships"><Relationship Id="rId3" Type="http://schemas.openxmlformats.org/officeDocument/2006/relationships/chartUserShapes" Target="../drawings/drawing18.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7.xml"/></Relationships>
</file>

<file path=word/charts/_rels/chart81.xml.rels><?xml version="1.0" encoding="UTF-8" standalone="yes"?>
<Relationships xmlns="http://schemas.openxmlformats.org/package/2006/relationships"><Relationship Id="rId3" Type="http://schemas.openxmlformats.org/officeDocument/2006/relationships/chartUserShapes" Target="../drawings/drawing19.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8.xml"/></Relationships>
</file>

<file path=word/charts/_rels/chart82.xml.rels><?xml version="1.0" encoding="UTF-8" standalone="yes"?>
<Relationships xmlns="http://schemas.openxmlformats.org/package/2006/relationships"><Relationship Id="rId3" Type="http://schemas.openxmlformats.org/officeDocument/2006/relationships/chartUserShapes" Target="../drawings/drawing20.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19.xml"/></Relationships>
</file>

<file path=word/charts/_rels/chart83.xml.rels><?xml version="1.0" encoding="UTF-8" standalone="yes"?>
<Relationships xmlns="http://schemas.openxmlformats.org/package/2006/relationships"><Relationship Id="rId3" Type="http://schemas.openxmlformats.org/officeDocument/2006/relationships/chartUserShapes" Target="../drawings/drawing21.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20.xml"/></Relationships>
</file>

<file path=word/charts/_rels/chart84.xml.rels><?xml version="1.0" encoding="UTF-8" standalone="yes"?>
<Relationships xmlns="http://schemas.openxmlformats.org/package/2006/relationships"><Relationship Id="rId3" Type="http://schemas.openxmlformats.org/officeDocument/2006/relationships/chartUserShapes" Target="../drawings/drawing22.xml"/><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21.xml"/></Relationships>
</file>

<file path=word/charts/_rels/chart85.xml.rels><?xml version="1.0" encoding="UTF-8" standalone="yes"?>
<Relationships xmlns="http://schemas.openxmlformats.org/package/2006/relationships"><Relationship Id="rId2" Type="http://schemas.openxmlformats.org/officeDocument/2006/relationships/oleObject" Target="file:///D:\&#29289;&#20729;\&#36913;&#22577;\&#36913;&#19968;_&#29289;&#20729;&#21839;&#21367;\20151123\20151123&#37325;&#35201;&#27665;&#29983;&#29289;&#36039;&#20729;&#26684;&#26597;&#23519;&#24773;&#24418;.xls" TargetMode="External"/><Relationship Id="rId1" Type="http://schemas.openxmlformats.org/officeDocument/2006/relationships/themeOverride" Target="../theme/themeOverride22.xml"/></Relationships>
</file>

<file path=word/charts/_rels/chart86.xml.rels><?xml version="1.0" encoding="UTF-8" standalone="yes"?>
<Relationships xmlns="http://schemas.openxmlformats.org/package/2006/relationships"><Relationship Id="rId2" Type="http://schemas.openxmlformats.org/officeDocument/2006/relationships/chartUserShapes" Target="../drawings/drawing23.xml"/><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87.xml.rels><?xml version="1.0" encoding="UTF-8" standalone="yes"?>
<Relationships xmlns="http://schemas.openxmlformats.org/package/2006/relationships"><Relationship Id="rId2" Type="http://schemas.openxmlformats.org/officeDocument/2006/relationships/chartUserShapes" Target="../drawings/drawing24.xml"/><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88.xml.rels><?xml version="1.0" encoding="UTF-8" standalone="yes"?>
<Relationships xmlns="http://schemas.openxmlformats.org/package/2006/relationships"><Relationship Id="rId1" Type="http://schemas.openxmlformats.org/officeDocument/2006/relationships/oleObject" Target="file:///C:\Users\PC427C\Desktop\&#23637;&#26395;&#20013;&#24515;&#21161;&#29702;\&#29289;&#20729;\&#21322;&#24180;&#22577;%20&#24180;&#22577;\20151127&#26399;&#26411;&#22577;&#21578;\&#20854;&#20182;&#21697;&#38917;.xlsx" TargetMode="External"/></Relationships>
</file>

<file path=word/charts/_rels/chart89.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2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587251850744696E-2"/>
          <c:y val="3.6842132217418957E-2"/>
          <c:w val="0.88237321886073217"/>
          <c:h val="0.64178601689007952"/>
        </c:manualLayout>
      </c:layout>
      <c:lineChart>
        <c:grouping val="standard"/>
        <c:varyColors val="0"/>
        <c:ser>
          <c:idx val="0"/>
          <c:order val="0"/>
          <c:tx>
            <c:strRef>
              <c:f>CRU、布蘭特、BDI!$B$1</c:f>
              <c:strCache>
                <c:ptCount val="1"/>
                <c:pt idx="0">
                  <c:v>TRJ-CRB全球商品指數收盤指數</c:v>
                </c:pt>
              </c:strCache>
            </c:strRef>
          </c:tx>
          <c:spPr>
            <a:ln>
              <a:prstDash val="solid"/>
            </a:ln>
          </c:spPr>
          <c:marker>
            <c:symbol val="none"/>
          </c:marker>
          <c:cat>
            <c:numRef>
              <c:f>CRU、布蘭特、BDI!$A$216:$A$539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CRU、布蘭特、BDI!$B$216:$B$539</c:f>
              <c:numCache>
                <c:formatCode>General</c:formatCode>
                <c:ptCount val="324"/>
                <c:pt idx="0">
                  <c:v>229.95790000000005</c:v>
                </c:pt>
                <c:pt idx="1">
                  <c:v>228.41379999999998</c:v>
                </c:pt>
                <c:pt idx="2">
                  <c:v>228.41379999999998</c:v>
                </c:pt>
                <c:pt idx="3">
                  <c:v>228.41379999999998</c:v>
                </c:pt>
                <c:pt idx="4">
                  <c:v>226.727</c:v>
                </c:pt>
                <c:pt idx="5">
                  <c:v>225.38380000000001</c:v>
                </c:pt>
                <c:pt idx="6">
                  <c:v>225.05500000000001</c:v>
                </c:pt>
                <c:pt idx="7">
                  <c:v>225.87969999999999</c:v>
                </c:pt>
                <c:pt idx="8">
                  <c:v>225.57059999999998</c:v>
                </c:pt>
                <c:pt idx="9">
                  <c:v>225.57059999999998</c:v>
                </c:pt>
                <c:pt idx="10">
                  <c:v>225.57059999999998</c:v>
                </c:pt>
                <c:pt idx="11">
                  <c:v>220.82580000000004</c:v>
                </c:pt>
                <c:pt idx="12">
                  <c:v>219.69900000000001</c:v>
                </c:pt>
                <c:pt idx="13">
                  <c:v>223.27619999999999</c:v>
                </c:pt>
                <c:pt idx="14">
                  <c:v>220.42500000000001</c:v>
                </c:pt>
                <c:pt idx="15">
                  <c:v>224.23599999999999</c:v>
                </c:pt>
                <c:pt idx="16">
                  <c:v>224.23599999999999</c:v>
                </c:pt>
                <c:pt idx="17">
                  <c:v>224.23599999999999</c:v>
                </c:pt>
                <c:pt idx="18">
                  <c:v>224.23599999999999</c:v>
                </c:pt>
                <c:pt idx="19">
                  <c:v>218.96640000000005</c:v>
                </c:pt>
                <c:pt idx="20">
                  <c:v>221.2319</c:v>
                </c:pt>
                <c:pt idx="21">
                  <c:v>218.33920000000001</c:v>
                </c:pt>
                <c:pt idx="22">
                  <c:v>216.6087</c:v>
                </c:pt>
                <c:pt idx="23">
                  <c:v>216.6087</c:v>
                </c:pt>
                <c:pt idx="24">
                  <c:v>216.6087</c:v>
                </c:pt>
                <c:pt idx="25">
                  <c:v>216.04730000000001</c:v>
                </c:pt>
                <c:pt idx="26">
                  <c:v>217.9127</c:v>
                </c:pt>
                <c:pt idx="27">
                  <c:v>214.98680000000004</c:v>
                </c:pt>
                <c:pt idx="28">
                  <c:v>212.64299999999997</c:v>
                </c:pt>
                <c:pt idx="29">
                  <c:v>218.84020000000001</c:v>
                </c:pt>
                <c:pt idx="30">
                  <c:v>218.84020000000001</c:v>
                </c:pt>
                <c:pt idx="31">
                  <c:v>218.84020000000001</c:v>
                </c:pt>
                <c:pt idx="32">
                  <c:v>220.4401</c:v>
                </c:pt>
                <c:pt idx="33">
                  <c:v>227.4179</c:v>
                </c:pt>
                <c:pt idx="34">
                  <c:v>220.48260000000005</c:v>
                </c:pt>
                <c:pt idx="35">
                  <c:v>223.17</c:v>
                </c:pt>
                <c:pt idx="36">
                  <c:v>224.85300000000001</c:v>
                </c:pt>
                <c:pt idx="37">
                  <c:v>224.85300000000001</c:v>
                </c:pt>
                <c:pt idx="38">
                  <c:v>224.85300000000001</c:v>
                </c:pt>
                <c:pt idx="39">
                  <c:v>227.90640000000005</c:v>
                </c:pt>
                <c:pt idx="40">
                  <c:v>223.65450000000001</c:v>
                </c:pt>
                <c:pt idx="41">
                  <c:v>221.99250000000001</c:v>
                </c:pt>
                <c:pt idx="42">
                  <c:v>226.09690000000001</c:v>
                </c:pt>
                <c:pt idx="43">
                  <c:v>229.18959999999998</c:v>
                </c:pt>
                <c:pt idx="44">
                  <c:v>229.18959999999998</c:v>
                </c:pt>
                <c:pt idx="45">
                  <c:v>229.18959999999998</c:v>
                </c:pt>
                <c:pt idx="46">
                  <c:v>229.18959999999998</c:v>
                </c:pt>
                <c:pt idx="47">
                  <c:v>228.7953</c:v>
                </c:pt>
                <c:pt idx="48">
                  <c:v>227.27519999999998</c:v>
                </c:pt>
                <c:pt idx="49">
                  <c:v>226.25379999999998</c:v>
                </c:pt>
                <c:pt idx="50">
                  <c:v>224.7576</c:v>
                </c:pt>
                <c:pt idx="51">
                  <c:v>224.7576</c:v>
                </c:pt>
                <c:pt idx="52">
                  <c:v>224.7576</c:v>
                </c:pt>
                <c:pt idx="53">
                  <c:v>221.96510000000001</c:v>
                </c:pt>
                <c:pt idx="54">
                  <c:v>222.25450000000001</c:v>
                </c:pt>
                <c:pt idx="55">
                  <c:v>223.9478</c:v>
                </c:pt>
                <c:pt idx="56">
                  <c:v>220.95180000000005</c:v>
                </c:pt>
                <c:pt idx="57">
                  <c:v>224.0779</c:v>
                </c:pt>
                <c:pt idx="58">
                  <c:v>224.0779</c:v>
                </c:pt>
                <c:pt idx="59">
                  <c:v>224.0779</c:v>
                </c:pt>
                <c:pt idx="60">
                  <c:v>221.97890000000001</c:v>
                </c:pt>
                <c:pt idx="61">
                  <c:v>222.0249</c:v>
                </c:pt>
                <c:pt idx="62">
                  <c:v>223.20009999999999</c:v>
                </c:pt>
                <c:pt idx="63">
                  <c:v>222.11579999999998</c:v>
                </c:pt>
                <c:pt idx="64">
                  <c:v>220.13650000000001</c:v>
                </c:pt>
                <c:pt idx="65">
                  <c:v>220.13650000000001</c:v>
                </c:pt>
                <c:pt idx="66">
                  <c:v>220.13650000000001</c:v>
                </c:pt>
                <c:pt idx="67">
                  <c:v>219.3117</c:v>
                </c:pt>
                <c:pt idx="68">
                  <c:v>216.04769999999999</c:v>
                </c:pt>
                <c:pt idx="69">
                  <c:v>215.89340000000001</c:v>
                </c:pt>
                <c:pt idx="70">
                  <c:v>214.65989999999999</c:v>
                </c:pt>
                <c:pt idx="71">
                  <c:v>210.69979999999998</c:v>
                </c:pt>
                <c:pt idx="72">
                  <c:v>210.69979999999998</c:v>
                </c:pt>
                <c:pt idx="73">
                  <c:v>210.69979999999998</c:v>
                </c:pt>
                <c:pt idx="74">
                  <c:v>210.11769999999999</c:v>
                </c:pt>
                <c:pt idx="75">
                  <c:v>209.00150000000002</c:v>
                </c:pt>
                <c:pt idx="76">
                  <c:v>212.0402</c:v>
                </c:pt>
                <c:pt idx="77">
                  <c:v>210.99100000000001</c:v>
                </c:pt>
                <c:pt idx="78">
                  <c:v>214.10890000000001</c:v>
                </c:pt>
                <c:pt idx="79">
                  <c:v>214.10890000000001</c:v>
                </c:pt>
                <c:pt idx="80">
                  <c:v>214.10890000000001</c:v>
                </c:pt>
                <c:pt idx="81">
                  <c:v>215.75540000000001</c:v>
                </c:pt>
                <c:pt idx="82">
                  <c:v>215.5309</c:v>
                </c:pt>
                <c:pt idx="83">
                  <c:v>217.15720000000005</c:v>
                </c:pt>
                <c:pt idx="84">
                  <c:v>219.48870000000005</c:v>
                </c:pt>
                <c:pt idx="85">
                  <c:v>215.16250000000002</c:v>
                </c:pt>
                <c:pt idx="86">
                  <c:v>215.16250000000002</c:v>
                </c:pt>
                <c:pt idx="87">
                  <c:v>215.16250000000002</c:v>
                </c:pt>
                <c:pt idx="88">
                  <c:v>214.25399999999999</c:v>
                </c:pt>
                <c:pt idx="89">
                  <c:v>211.8596</c:v>
                </c:pt>
                <c:pt idx="90">
                  <c:v>216.12130000000005</c:v>
                </c:pt>
                <c:pt idx="91">
                  <c:v>216.08830000000006</c:v>
                </c:pt>
                <c:pt idx="92">
                  <c:v>216.08830000000006</c:v>
                </c:pt>
                <c:pt idx="93">
                  <c:v>216.08830000000006</c:v>
                </c:pt>
                <c:pt idx="94">
                  <c:v>216.08830000000006</c:v>
                </c:pt>
                <c:pt idx="95">
                  <c:v>220.02130000000005</c:v>
                </c:pt>
                <c:pt idx="96">
                  <c:v>221.84790000000001</c:v>
                </c:pt>
                <c:pt idx="97">
                  <c:v>216.3965</c:v>
                </c:pt>
                <c:pt idx="98">
                  <c:v>216.1343</c:v>
                </c:pt>
                <c:pt idx="99">
                  <c:v>217.124</c:v>
                </c:pt>
                <c:pt idx="100">
                  <c:v>217.124</c:v>
                </c:pt>
                <c:pt idx="101">
                  <c:v>217.124</c:v>
                </c:pt>
                <c:pt idx="102">
                  <c:v>216.82500000000005</c:v>
                </c:pt>
                <c:pt idx="103">
                  <c:v>219.03659999999999</c:v>
                </c:pt>
                <c:pt idx="104">
                  <c:v>223.57979999999998</c:v>
                </c:pt>
                <c:pt idx="105">
                  <c:v>225.72190000000001</c:v>
                </c:pt>
                <c:pt idx="106">
                  <c:v>223.9442</c:v>
                </c:pt>
                <c:pt idx="107">
                  <c:v>223.9442</c:v>
                </c:pt>
                <c:pt idx="108">
                  <c:v>223.9442</c:v>
                </c:pt>
                <c:pt idx="109">
                  <c:v>222.71989999999994</c:v>
                </c:pt>
                <c:pt idx="110">
                  <c:v>221.04</c:v>
                </c:pt>
                <c:pt idx="111">
                  <c:v>220.78059999999999</c:v>
                </c:pt>
                <c:pt idx="112">
                  <c:v>223.68880000000001</c:v>
                </c:pt>
                <c:pt idx="113">
                  <c:v>224.05290000000005</c:v>
                </c:pt>
                <c:pt idx="114">
                  <c:v>224.05290000000005</c:v>
                </c:pt>
                <c:pt idx="115">
                  <c:v>224.05290000000005</c:v>
                </c:pt>
                <c:pt idx="116">
                  <c:v>223.9667</c:v>
                </c:pt>
                <c:pt idx="117">
                  <c:v>224.69210000000001</c:v>
                </c:pt>
                <c:pt idx="118">
                  <c:v>227.29150000000001</c:v>
                </c:pt>
                <c:pt idx="119">
                  <c:v>229.48560000000001</c:v>
                </c:pt>
                <c:pt idx="120">
                  <c:v>227.95080000000004</c:v>
                </c:pt>
                <c:pt idx="121">
                  <c:v>227.95080000000004</c:v>
                </c:pt>
                <c:pt idx="122">
                  <c:v>227.95080000000004</c:v>
                </c:pt>
                <c:pt idx="123">
                  <c:v>227.8355</c:v>
                </c:pt>
                <c:pt idx="124">
                  <c:v>230.84230000000005</c:v>
                </c:pt>
                <c:pt idx="125">
                  <c:v>230.26309999999998</c:v>
                </c:pt>
                <c:pt idx="126">
                  <c:v>226.82800000000006</c:v>
                </c:pt>
                <c:pt idx="127">
                  <c:v>229.15860000000001</c:v>
                </c:pt>
                <c:pt idx="128">
                  <c:v>229.15860000000001</c:v>
                </c:pt>
                <c:pt idx="129">
                  <c:v>229.15860000000001</c:v>
                </c:pt>
                <c:pt idx="130">
                  <c:v>228.2704</c:v>
                </c:pt>
                <c:pt idx="131">
                  <c:v>231.09140000000005</c:v>
                </c:pt>
                <c:pt idx="132">
                  <c:v>231.1414</c:v>
                </c:pt>
                <c:pt idx="133">
                  <c:v>231.76900000000001</c:v>
                </c:pt>
                <c:pt idx="134">
                  <c:v>231.45740000000006</c:v>
                </c:pt>
                <c:pt idx="135">
                  <c:v>231.45740000000006</c:v>
                </c:pt>
                <c:pt idx="136">
                  <c:v>231.45740000000006</c:v>
                </c:pt>
                <c:pt idx="137">
                  <c:v>230.678</c:v>
                </c:pt>
                <c:pt idx="138">
                  <c:v>226.21719999999999</c:v>
                </c:pt>
                <c:pt idx="139">
                  <c:v>226.42940000000004</c:v>
                </c:pt>
                <c:pt idx="140">
                  <c:v>228.23869999999999</c:v>
                </c:pt>
                <c:pt idx="141">
                  <c:v>225.56369999999998</c:v>
                </c:pt>
                <c:pt idx="142">
                  <c:v>225.56369999999998</c:v>
                </c:pt>
                <c:pt idx="143">
                  <c:v>225.56369999999998</c:v>
                </c:pt>
                <c:pt idx="144">
                  <c:v>225.56369999999998</c:v>
                </c:pt>
                <c:pt idx="145">
                  <c:v>221.72309999999999</c:v>
                </c:pt>
                <c:pt idx="146">
                  <c:v>220.185</c:v>
                </c:pt>
                <c:pt idx="147">
                  <c:v>220.91300000000001</c:v>
                </c:pt>
                <c:pt idx="148">
                  <c:v>223.1754</c:v>
                </c:pt>
                <c:pt idx="149">
                  <c:v>223.1754</c:v>
                </c:pt>
                <c:pt idx="150">
                  <c:v>223.1754</c:v>
                </c:pt>
                <c:pt idx="151">
                  <c:v>223.47750000000002</c:v>
                </c:pt>
                <c:pt idx="152">
                  <c:v>225.8194</c:v>
                </c:pt>
                <c:pt idx="153">
                  <c:v>223.58160000000001</c:v>
                </c:pt>
                <c:pt idx="154">
                  <c:v>221.6601</c:v>
                </c:pt>
                <c:pt idx="155">
                  <c:v>222.52890000000005</c:v>
                </c:pt>
                <c:pt idx="156">
                  <c:v>222.52890000000005</c:v>
                </c:pt>
                <c:pt idx="157">
                  <c:v>222.52890000000005</c:v>
                </c:pt>
                <c:pt idx="158">
                  <c:v>223.0334</c:v>
                </c:pt>
                <c:pt idx="159">
                  <c:v>226.42710000000005</c:v>
                </c:pt>
                <c:pt idx="160">
                  <c:v>228.18359999999998</c:v>
                </c:pt>
                <c:pt idx="161">
                  <c:v>225.30500000000001</c:v>
                </c:pt>
                <c:pt idx="162">
                  <c:v>223.529</c:v>
                </c:pt>
                <c:pt idx="163">
                  <c:v>223.529</c:v>
                </c:pt>
                <c:pt idx="164">
                  <c:v>223.529</c:v>
                </c:pt>
                <c:pt idx="165">
                  <c:v>222.54519999999999</c:v>
                </c:pt>
                <c:pt idx="166">
                  <c:v>222.54519999999999</c:v>
                </c:pt>
                <c:pt idx="167">
                  <c:v>223.5154</c:v>
                </c:pt>
                <c:pt idx="168">
                  <c:v>224.11979999999994</c:v>
                </c:pt>
                <c:pt idx="169">
                  <c:v>222.1267</c:v>
                </c:pt>
                <c:pt idx="170">
                  <c:v>222.1267</c:v>
                </c:pt>
                <c:pt idx="171">
                  <c:v>222.1267</c:v>
                </c:pt>
                <c:pt idx="172">
                  <c:v>223.23179999999999</c:v>
                </c:pt>
                <c:pt idx="173">
                  <c:v>224.35740000000007</c:v>
                </c:pt>
                <c:pt idx="174">
                  <c:v>224.04169999999999</c:v>
                </c:pt>
                <c:pt idx="175">
                  <c:v>224.34559999999999</c:v>
                </c:pt>
                <c:pt idx="176">
                  <c:v>224.87979999999999</c:v>
                </c:pt>
                <c:pt idx="177">
                  <c:v>224.87979999999999</c:v>
                </c:pt>
                <c:pt idx="178">
                  <c:v>224.87979999999999</c:v>
                </c:pt>
                <c:pt idx="179">
                  <c:v>223.584</c:v>
                </c:pt>
                <c:pt idx="180">
                  <c:v>227.17019999999999</c:v>
                </c:pt>
                <c:pt idx="181">
                  <c:v>224.06230000000005</c:v>
                </c:pt>
                <c:pt idx="182">
                  <c:v>224.55190000000005</c:v>
                </c:pt>
                <c:pt idx="183">
                  <c:v>224.55190000000005</c:v>
                </c:pt>
                <c:pt idx="184">
                  <c:v>224.55190000000005</c:v>
                </c:pt>
                <c:pt idx="185">
                  <c:v>224.55190000000005</c:v>
                </c:pt>
                <c:pt idx="186">
                  <c:v>217.86969999999999</c:v>
                </c:pt>
                <c:pt idx="187">
                  <c:v>215.5343</c:v>
                </c:pt>
                <c:pt idx="188">
                  <c:v>215.26159999999999</c:v>
                </c:pt>
                <c:pt idx="189">
                  <c:v>217.58959999999999</c:v>
                </c:pt>
                <c:pt idx="190">
                  <c:v>218.25309999999999</c:v>
                </c:pt>
                <c:pt idx="191">
                  <c:v>218.25309999999999</c:v>
                </c:pt>
                <c:pt idx="192">
                  <c:v>218.25309999999999</c:v>
                </c:pt>
                <c:pt idx="193">
                  <c:v>218.51389999999998</c:v>
                </c:pt>
                <c:pt idx="194">
                  <c:v>219.3837</c:v>
                </c:pt>
                <c:pt idx="195">
                  <c:v>216.62309999999999</c:v>
                </c:pt>
                <c:pt idx="196">
                  <c:v>215.55430000000001</c:v>
                </c:pt>
                <c:pt idx="197">
                  <c:v>214.54159999999999</c:v>
                </c:pt>
                <c:pt idx="198">
                  <c:v>214.54159999999999</c:v>
                </c:pt>
                <c:pt idx="199">
                  <c:v>214.54159999999999</c:v>
                </c:pt>
                <c:pt idx="200">
                  <c:v>211.8441</c:v>
                </c:pt>
                <c:pt idx="201">
                  <c:v>212.0051</c:v>
                </c:pt>
                <c:pt idx="202">
                  <c:v>209.29509999999999</c:v>
                </c:pt>
                <c:pt idx="203">
                  <c:v>206.97399999999999</c:v>
                </c:pt>
                <c:pt idx="204">
                  <c:v>205.03989999999999</c:v>
                </c:pt>
                <c:pt idx="205">
                  <c:v>205.03989999999999</c:v>
                </c:pt>
                <c:pt idx="206">
                  <c:v>205.03989999999999</c:v>
                </c:pt>
                <c:pt idx="207" formatCode="General;General;;">
                  <c:v>202.68600000000001</c:v>
                </c:pt>
                <c:pt idx="208" formatCode="General;General;;">
                  <c:v>204.39110000000005</c:v>
                </c:pt>
                <c:pt idx="209" formatCode="General;General;;">
                  <c:v>205.48620000000005</c:v>
                </c:pt>
                <c:pt idx="210" formatCode="General;General;;">
                  <c:v>204.71659999999994</c:v>
                </c:pt>
                <c:pt idx="211" formatCode="General;General;;">
                  <c:v>202.572</c:v>
                </c:pt>
                <c:pt idx="212" formatCode="General;General;;">
                  <c:v>202.572</c:v>
                </c:pt>
                <c:pt idx="213" formatCode="General;General;;">
                  <c:v>202.572</c:v>
                </c:pt>
                <c:pt idx="214" formatCode="General;General;;">
                  <c:v>199.30260000000001</c:v>
                </c:pt>
                <c:pt idx="215" formatCode="General;General;;">
                  <c:v>200.87020000000001</c:v>
                </c:pt>
                <c:pt idx="216" formatCode="General;General;;">
                  <c:v>199.77769999999998</c:v>
                </c:pt>
                <c:pt idx="217" formatCode="General;General;;">
                  <c:v>198.5403</c:v>
                </c:pt>
                <c:pt idx="218" formatCode="General;General;;">
                  <c:v>198.32300000000001</c:v>
                </c:pt>
                <c:pt idx="219" formatCode="General;General;;">
                  <c:v>198.32300000000001</c:v>
                </c:pt>
                <c:pt idx="220" formatCode="General;General;;">
                  <c:v>198.32300000000001</c:v>
                </c:pt>
                <c:pt idx="221" formatCode="General;General;;">
                  <c:v>202.45160000000001</c:v>
                </c:pt>
                <c:pt idx="222" formatCode="General;General;;">
                  <c:v>199.3117</c:v>
                </c:pt>
                <c:pt idx="223" formatCode="General;General;;">
                  <c:v>198.89670000000001</c:v>
                </c:pt>
                <c:pt idx="224" formatCode="General;General;;">
                  <c:v>197.8296</c:v>
                </c:pt>
                <c:pt idx="225" formatCode="General;General;;">
                  <c:v>197.96890000000005</c:v>
                </c:pt>
                <c:pt idx="226" formatCode="General;General;;">
                  <c:v>197.96890000000005</c:v>
                </c:pt>
                <c:pt idx="227" formatCode="General;General;;">
                  <c:v>197.96890000000005</c:v>
                </c:pt>
                <c:pt idx="228" formatCode="General;General;;">
                  <c:v>196.52940000000001</c:v>
                </c:pt>
                <c:pt idx="229" formatCode="General;General;;">
                  <c:v>196.77099999999999</c:v>
                </c:pt>
                <c:pt idx="230" formatCode="General;General;;">
                  <c:v>193.7534</c:v>
                </c:pt>
                <c:pt idx="231" formatCode="General;General;;">
                  <c:v>194.6576</c:v>
                </c:pt>
                <c:pt idx="232" formatCode="General;General;;">
                  <c:v>191.34100000000001</c:v>
                </c:pt>
                <c:pt idx="233" formatCode="General;General;;">
                  <c:v>191.34100000000001</c:v>
                </c:pt>
                <c:pt idx="234" formatCode="General;General;;">
                  <c:v>191.34100000000001</c:v>
                </c:pt>
                <c:pt idx="235" formatCode="General;General;;">
                  <c:v>186.221</c:v>
                </c:pt>
                <c:pt idx="236" formatCode="General;General;;">
                  <c:v>187.6591</c:v>
                </c:pt>
                <c:pt idx="237" formatCode="General;General;;">
                  <c:v>185.27629999999999</c:v>
                </c:pt>
                <c:pt idx="238" formatCode="General;General;;">
                  <c:v>192.63489999999999</c:v>
                </c:pt>
                <c:pt idx="239" formatCode="General;General;;">
                  <c:v>197.10059999999999</c:v>
                </c:pt>
                <c:pt idx="240" formatCode="General;General;;">
                  <c:v>197.10059999999999</c:v>
                </c:pt>
                <c:pt idx="241" formatCode="General;General;;">
                  <c:v>197.10059999999999</c:v>
                </c:pt>
                <c:pt idx="242" formatCode="General;General;;">
                  <c:v>202.09059999999999</c:v>
                </c:pt>
                <c:pt idx="243" formatCode="General;General;;">
                  <c:v>195.99850000000001</c:v>
                </c:pt>
                <c:pt idx="244" formatCode="General;General;;">
                  <c:v>196.77549999999999</c:v>
                </c:pt>
                <c:pt idx="245" formatCode="General;General;;">
                  <c:v>198.49870000000001</c:v>
                </c:pt>
                <c:pt idx="246" formatCode="General;General;;">
                  <c:v>196.69909999999999</c:v>
                </c:pt>
                <c:pt idx="247" formatCode="General;General;;">
                  <c:v>196.69909999999999</c:v>
                </c:pt>
                <c:pt idx="248" formatCode="General;General;;">
                  <c:v>196.69909999999999</c:v>
                </c:pt>
                <c:pt idx="249" formatCode="General;General;;">
                  <c:v>196.69909999999999</c:v>
                </c:pt>
                <c:pt idx="250" formatCode="General;General;;">
                  <c:v>198.38720000000006</c:v>
                </c:pt>
                <c:pt idx="251" formatCode="General;General;;">
                  <c:v>195.79509999999999</c:v>
                </c:pt>
                <c:pt idx="252" formatCode="General;General;;">
                  <c:v>198.0067</c:v>
                </c:pt>
                <c:pt idx="253" formatCode="General;General;;">
                  <c:v>196.7208</c:v>
                </c:pt>
                <c:pt idx="254" formatCode="General;General;;">
                  <c:v>196.7208</c:v>
                </c:pt>
                <c:pt idx="255" formatCode="General;General;;">
                  <c:v>196.7208</c:v>
                </c:pt>
                <c:pt idx="256" formatCode="General;General;;">
                  <c:v>195.79929999999999</c:v>
                </c:pt>
                <c:pt idx="257" formatCode="General;General;;">
                  <c:v>196.01509999999999</c:v>
                </c:pt>
                <c:pt idx="258" formatCode="General;General;;">
                  <c:v>198.97579999999999</c:v>
                </c:pt>
                <c:pt idx="259" formatCode="General;General;;">
                  <c:v>198.21519999999998</c:v>
                </c:pt>
                <c:pt idx="260" formatCode="General;General;;">
                  <c:v>194.184</c:v>
                </c:pt>
                <c:pt idx="261" formatCode="General;General;;">
                  <c:v>194.184</c:v>
                </c:pt>
                <c:pt idx="262" formatCode="General;General;;">
                  <c:v>194.184</c:v>
                </c:pt>
                <c:pt idx="263" formatCode="General;General;;">
                  <c:v>196.84640000000005</c:v>
                </c:pt>
                <c:pt idx="264" formatCode="General;General;;">
                  <c:v>194.81909999999999</c:v>
                </c:pt>
                <c:pt idx="265" formatCode="General;General;;">
                  <c:v>192.37640000000005</c:v>
                </c:pt>
                <c:pt idx="266" formatCode="General;General;;">
                  <c:v>193.5806</c:v>
                </c:pt>
                <c:pt idx="267" formatCode="General;General;;">
                  <c:v>193.5806</c:v>
                </c:pt>
                <c:pt idx="268" formatCode="General;General;;">
                  <c:v>195.71189999999999</c:v>
                </c:pt>
                <c:pt idx="269" formatCode="General;General;;">
                  <c:v>195.71189999999999</c:v>
                </c:pt>
                <c:pt idx="270" formatCode="General;General;;">
                  <c:v>192.80420000000001</c:v>
                </c:pt>
                <c:pt idx="271" formatCode="General;General;;">
                  <c:v>193.57479999999998</c:v>
                </c:pt>
                <c:pt idx="272" formatCode="General;General;;">
                  <c:v>193.76479999999998</c:v>
                </c:pt>
                <c:pt idx="273" formatCode="General;General;;">
                  <c:v>192.5104</c:v>
                </c:pt>
                <c:pt idx="274" formatCode="General;General;;">
                  <c:v>194.10589999999999</c:v>
                </c:pt>
                <c:pt idx="275" formatCode="General;General;;">
                  <c:v>194.10589999999999</c:v>
                </c:pt>
                <c:pt idx="276" formatCode="General;General;;">
                  <c:v>194.10589999999999</c:v>
                </c:pt>
                <c:pt idx="277" formatCode="General;General;;">
                  <c:v>196.3824000000001</c:v>
                </c:pt>
                <c:pt idx="278" formatCode="General;General;;">
                  <c:v>200.13359999999994</c:v>
                </c:pt>
                <c:pt idx="279" formatCode="General;General;;">
                  <c:v>199.59469999999999</c:v>
                </c:pt>
                <c:pt idx="280" formatCode="General;General;;">
                  <c:v>201.303</c:v>
                </c:pt>
                <c:pt idx="281" formatCode="General;General;;">
                  <c:v>202.6893</c:v>
                </c:pt>
                <c:pt idx="282" formatCode="General;General;;">
                  <c:v>202.6893</c:v>
                </c:pt>
                <c:pt idx="283" formatCode="General;General;;">
                  <c:v>202.6893</c:v>
                </c:pt>
                <c:pt idx="284" formatCode="General;General;;">
                  <c:v>199.72909999999999</c:v>
                </c:pt>
                <c:pt idx="285" formatCode="General;General;;">
                  <c:v>199.46030000000005</c:v>
                </c:pt>
                <c:pt idx="286" formatCode="General;General;;">
                  <c:v>199.82890000000006</c:v>
                </c:pt>
                <c:pt idx="287" formatCode="General;General;;">
                  <c:v>198.99090000000001</c:v>
                </c:pt>
                <c:pt idx="288" formatCode="General;General;;">
                  <c:v>199.44740000000004</c:v>
                </c:pt>
                <c:pt idx="289" formatCode="General;General;;">
                  <c:v>199.44740000000004</c:v>
                </c:pt>
                <c:pt idx="290" formatCode="General;General;;">
                  <c:v>199.44740000000004</c:v>
                </c:pt>
                <c:pt idx="291" formatCode="General;General;;">
                  <c:v>196.7286</c:v>
                </c:pt>
                <c:pt idx="292" formatCode="General;General;;">
                  <c:v>197.4247</c:v>
                </c:pt>
                <c:pt idx="293" formatCode="General;General;;">
                  <c:v>195.58710000000005</c:v>
                </c:pt>
                <c:pt idx="294" formatCode="General;General;;">
                  <c:v>195.6112</c:v>
                </c:pt>
                <c:pt idx="295" formatCode="General;General;;">
                  <c:v>193.71459999999993</c:v>
                </c:pt>
                <c:pt idx="296" formatCode="General;General;;">
                  <c:v>193.71459999999993</c:v>
                </c:pt>
                <c:pt idx="297" formatCode="General;General;;">
                  <c:v>193.71459999999993</c:v>
                </c:pt>
                <c:pt idx="298" formatCode="General;General;;">
                  <c:v>192.28030000000001</c:v>
                </c:pt>
                <c:pt idx="299" formatCode="General;General;;">
                  <c:v>191.3357</c:v>
                </c:pt>
                <c:pt idx="300" formatCode="General;General;;">
                  <c:v>195.07429999999999</c:v>
                </c:pt>
                <c:pt idx="301" formatCode="General;General;;">
                  <c:v>194.1585</c:v>
                </c:pt>
                <c:pt idx="302" formatCode="General;General;;">
                  <c:v>195.6069</c:v>
                </c:pt>
                <c:pt idx="303" formatCode="General;General;;">
                  <c:v>195.6069</c:v>
                </c:pt>
                <c:pt idx="304" formatCode="General;General;;">
                  <c:v>195.6069</c:v>
                </c:pt>
                <c:pt idx="305" formatCode="General;General;;">
                  <c:v>194.91379999999998</c:v>
                </c:pt>
                <c:pt idx="306" formatCode="General;General;;">
                  <c:v>197.5565</c:v>
                </c:pt>
                <c:pt idx="307" formatCode="General;General;;">
                  <c:v>194.13389999999998</c:v>
                </c:pt>
                <c:pt idx="308" formatCode="General;General;;">
                  <c:v>192.43530000000001</c:v>
                </c:pt>
                <c:pt idx="309" formatCode="General;General;;">
                  <c:v>191.03379999999999</c:v>
                </c:pt>
                <c:pt idx="310" formatCode="General;General;;">
                  <c:v>191.03379999999999</c:v>
                </c:pt>
                <c:pt idx="311" formatCode="General;General;;">
                  <c:v>191.03379999999999</c:v>
                </c:pt>
                <c:pt idx="312" formatCode="General;General;;">
                  <c:v>189.22290000000001</c:v>
                </c:pt>
                <c:pt idx="313" formatCode="General;General;;">
                  <c:v>189.41550000000001</c:v>
                </c:pt>
                <c:pt idx="314" formatCode="General;General;;">
                  <c:v>188.3477</c:v>
                </c:pt>
                <c:pt idx="315" formatCode="General;General;;">
                  <c:v>186.42760000000001</c:v>
                </c:pt>
                <c:pt idx="316" formatCode="General;General;;">
                  <c:v>184.76679999999999</c:v>
                </c:pt>
                <c:pt idx="317" formatCode="General;General;;">
                  <c:v>184.76679999999999</c:v>
                </c:pt>
                <c:pt idx="318" formatCode="General;General;;">
                  <c:v>184.76679999999999</c:v>
                </c:pt>
                <c:pt idx="319" formatCode="General;General;;">
                  <c:v>185.41640000000001</c:v>
                </c:pt>
                <c:pt idx="320" formatCode="General;General;;">
                  <c:v>183.71299999999999</c:v>
                </c:pt>
                <c:pt idx="321" formatCode="General;General;;">
                  <c:v>183.60409999999999</c:v>
                </c:pt>
                <c:pt idx="322" formatCode="General;General;;">
                  <c:v>184.11649999999997</c:v>
                </c:pt>
                <c:pt idx="323" formatCode="General;General;;">
                  <c:v>183.73349999999999</c:v>
                </c:pt>
              </c:numCache>
            </c:numRef>
          </c:val>
          <c:smooth val="0"/>
        </c:ser>
        <c:dLbls>
          <c:showLegendKey val="0"/>
          <c:showVal val="0"/>
          <c:showCatName val="0"/>
          <c:showSerName val="0"/>
          <c:showPercent val="0"/>
          <c:showBubbleSize val="0"/>
        </c:dLbls>
        <c:marker val="1"/>
        <c:smooth val="0"/>
        <c:axId val="251142144"/>
        <c:axId val="251143680"/>
      </c:lineChart>
      <c:dateAx>
        <c:axId val="251142144"/>
        <c:scaling>
          <c:orientation val="minMax"/>
          <c:max val="42328"/>
        </c:scaling>
        <c:delete val="0"/>
        <c:axPos val="b"/>
        <c:numFmt formatCode="m/d/yyyy" sourceLinked="1"/>
        <c:majorTickMark val="none"/>
        <c:minorTickMark val="none"/>
        <c:tickLblPos val="nextTo"/>
        <c:crossAx val="251143680"/>
        <c:crosses val="autoZero"/>
        <c:auto val="1"/>
        <c:lblOffset val="100"/>
        <c:baseTimeUnit val="days"/>
        <c:majorUnit val="1"/>
        <c:majorTimeUnit val="months"/>
        <c:minorUnit val="1"/>
        <c:minorTimeUnit val="months"/>
      </c:dateAx>
      <c:valAx>
        <c:axId val="251143680"/>
        <c:scaling>
          <c:orientation val="minMax"/>
          <c:min val="150"/>
        </c:scaling>
        <c:delete val="0"/>
        <c:axPos val="l"/>
        <c:majorGridlines/>
        <c:numFmt formatCode="General" sourceLinked="1"/>
        <c:majorTickMark val="none"/>
        <c:minorTickMark val="none"/>
        <c:tickLblPos val="nextTo"/>
        <c:spPr>
          <a:ln w="9525">
            <a:noFill/>
          </a:ln>
        </c:spPr>
        <c:crossAx val="251142144"/>
        <c:crosses val="autoZero"/>
        <c:crossBetween val="between"/>
      </c:valAx>
    </c:plotArea>
    <c:legend>
      <c:legendPos val="b"/>
      <c:layout>
        <c:manualLayout>
          <c:xMode val="edge"/>
          <c:yMode val="edge"/>
          <c:x val="9.5979978757934362E-2"/>
          <c:y val="0.85679822552312812"/>
          <c:w val="0.77095305427065952"/>
          <c:h val="0.12933954004643364"/>
        </c:manualLayout>
      </c:layou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988407699037624E-2"/>
          <c:y val="5.1400554097404488E-2"/>
          <c:w val="0.87245603674540684"/>
          <c:h val="0.69731502312210969"/>
        </c:manualLayout>
      </c:layout>
      <c:lineChart>
        <c:grouping val="standard"/>
        <c:varyColors val="0"/>
        <c:ser>
          <c:idx val="0"/>
          <c:order val="0"/>
          <c:tx>
            <c:strRef>
              <c:f>CRB、布蘭特原油、波羅的海BDI!$C$1</c:f>
              <c:strCache>
                <c:ptCount val="1"/>
                <c:pt idx="0">
                  <c:v>原油 布蘭特 北海 現貨價(美元/桶)</c:v>
                </c:pt>
              </c:strCache>
            </c:strRef>
          </c:tx>
          <c:marker>
            <c:symbol val="none"/>
          </c:marker>
          <c:cat>
            <c:numRef>
              <c:f>CRB、布蘭特原油、波羅的海BDI!$A$216:$A$539</c:f>
              <c:numCache>
                <c:formatCode>yyyy/m/d</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CRB、布蘭特原油、波羅的海BDI!$C$216:$C$539</c:f>
              <c:numCache>
                <c:formatCode>General</c:formatCode>
                <c:ptCount val="324"/>
                <c:pt idx="0">
                  <c:v>56.08</c:v>
                </c:pt>
                <c:pt idx="1">
                  <c:v>55.58</c:v>
                </c:pt>
                <c:pt idx="2">
                  <c:v>55.58</c:v>
                </c:pt>
                <c:pt idx="3">
                  <c:v>55.58</c:v>
                </c:pt>
                <c:pt idx="4">
                  <c:v>51.28</c:v>
                </c:pt>
                <c:pt idx="5">
                  <c:v>50.32</c:v>
                </c:pt>
                <c:pt idx="6">
                  <c:v>49.260000000000005</c:v>
                </c:pt>
                <c:pt idx="7">
                  <c:v>49.58</c:v>
                </c:pt>
                <c:pt idx="8">
                  <c:v>47.790000000000006</c:v>
                </c:pt>
                <c:pt idx="9">
                  <c:v>47.790000000000006</c:v>
                </c:pt>
                <c:pt idx="10">
                  <c:v>47.790000000000006</c:v>
                </c:pt>
                <c:pt idx="11">
                  <c:v>47.05</c:v>
                </c:pt>
                <c:pt idx="12">
                  <c:v>45.08</c:v>
                </c:pt>
                <c:pt idx="13">
                  <c:v>45.77</c:v>
                </c:pt>
                <c:pt idx="14">
                  <c:v>47.61</c:v>
                </c:pt>
                <c:pt idx="15">
                  <c:v>47.03</c:v>
                </c:pt>
                <c:pt idx="16">
                  <c:v>47.03</c:v>
                </c:pt>
                <c:pt idx="17">
                  <c:v>47.03</c:v>
                </c:pt>
                <c:pt idx="18">
                  <c:v>46.08</c:v>
                </c:pt>
                <c:pt idx="19">
                  <c:v>45.89</c:v>
                </c:pt>
                <c:pt idx="20">
                  <c:v>45.9</c:v>
                </c:pt>
                <c:pt idx="21">
                  <c:v>45.49</c:v>
                </c:pt>
                <c:pt idx="22">
                  <c:v>46.09</c:v>
                </c:pt>
                <c:pt idx="23">
                  <c:v>46.09</c:v>
                </c:pt>
                <c:pt idx="24">
                  <c:v>46.09</c:v>
                </c:pt>
                <c:pt idx="25">
                  <c:v>45.47</c:v>
                </c:pt>
                <c:pt idx="26">
                  <c:v>45.949999999999996</c:v>
                </c:pt>
                <c:pt idx="27">
                  <c:v>46.47</c:v>
                </c:pt>
                <c:pt idx="28">
                  <c:v>46.01</c:v>
                </c:pt>
                <c:pt idx="29">
                  <c:v>46.92</c:v>
                </c:pt>
                <c:pt idx="30">
                  <c:v>46.92</c:v>
                </c:pt>
                <c:pt idx="31">
                  <c:v>46.92</c:v>
                </c:pt>
                <c:pt idx="32">
                  <c:v>51.14</c:v>
                </c:pt>
                <c:pt idx="33">
                  <c:v>53.809999999999995</c:v>
                </c:pt>
                <c:pt idx="34">
                  <c:v>54.47</c:v>
                </c:pt>
                <c:pt idx="35">
                  <c:v>55.43</c:v>
                </c:pt>
                <c:pt idx="36">
                  <c:v>55.33</c:v>
                </c:pt>
                <c:pt idx="37">
                  <c:v>55.33</c:v>
                </c:pt>
                <c:pt idx="38">
                  <c:v>55.33</c:v>
                </c:pt>
                <c:pt idx="39">
                  <c:v>56.449999999999996</c:v>
                </c:pt>
                <c:pt idx="40">
                  <c:v>55.24</c:v>
                </c:pt>
                <c:pt idx="41">
                  <c:v>52.93</c:v>
                </c:pt>
                <c:pt idx="42">
                  <c:v>55.83</c:v>
                </c:pt>
                <c:pt idx="43">
                  <c:v>59.93</c:v>
                </c:pt>
                <c:pt idx="44">
                  <c:v>59.93</c:v>
                </c:pt>
                <c:pt idx="45">
                  <c:v>59.93</c:v>
                </c:pt>
                <c:pt idx="46">
                  <c:v>61.57</c:v>
                </c:pt>
                <c:pt idx="47">
                  <c:v>60.78</c:v>
                </c:pt>
                <c:pt idx="48">
                  <c:v>60.720000000000006</c:v>
                </c:pt>
                <c:pt idx="49">
                  <c:v>58.78</c:v>
                </c:pt>
                <c:pt idx="50">
                  <c:v>60.99</c:v>
                </c:pt>
                <c:pt idx="51">
                  <c:v>60.99</c:v>
                </c:pt>
                <c:pt idx="52">
                  <c:v>60.99</c:v>
                </c:pt>
                <c:pt idx="53">
                  <c:v>59.78</c:v>
                </c:pt>
                <c:pt idx="54">
                  <c:v>60.98</c:v>
                </c:pt>
                <c:pt idx="55">
                  <c:v>60.42</c:v>
                </c:pt>
                <c:pt idx="56">
                  <c:v>62.04</c:v>
                </c:pt>
                <c:pt idx="57">
                  <c:v>62.54</c:v>
                </c:pt>
                <c:pt idx="58">
                  <c:v>62.54</c:v>
                </c:pt>
                <c:pt idx="59">
                  <c:v>62.54</c:v>
                </c:pt>
                <c:pt idx="60">
                  <c:v>61.4</c:v>
                </c:pt>
                <c:pt idx="61">
                  <c:v>61.83</c:v>
                </c:pt>
                <c:pt idx="62">
                  <c:v>59.83</c:v>
                </c:pt>
                <c:pt idx="63">
                  <c:v>60.98</c:v>
                </c:pt>
                <c:pt idx="64">
                  <c:v>59.8</c:v>
                </c:pt>
                <c:pt idx="65">
                  <c:v>59.8</c:v>
                </c:pt>
                <c:pt idx="66">
                  <c:v>59.8</c:v>
                </c:pt>
                <c:pt idx="67">
                  <c:v>59.32</c:v>
                </c:pt>
                <c:pt idx="68">
                  <c:v>56.6</c:v>
                </c:pt>
                <c:pt idx="69">
                  <c:v>57.11</c:v>
                </c:pt>
                <c:pt idx="70">
                  <c:v>57.309999999999995</c:v>
                </c:pt>
                <c:pt idx="71">
                  <c:v>55.449999999999996</c:v>
                </c:pt>
                <c:pt idx="72">
                  <c:v>55.449999999999996</c:v>
                </c:pt>
                <c:pt idx="73">
                  <c:v>55.449999999999996</c:v>
                </c:pt>
                <c:pt idx="74">
                  <c:v>52.65</c:v>
                </c:pt>
                <c:pt idx="75">
                  <c:v>52.82</c:v>
                </c:pt>
                <c:pt idx="76">
                  <c:v>53.24</c:v>
                </c:pt>
                <c:pt idx="77">
                  <c:v>53.61</c:v>
                </c:pt>
                <c:pt idx="78">
                  <c:v>54.53</c:v>
                </c:pt>
                <c:pt idx="79">
                  <c:v>54.53</c:v>
                </c:pt>
                <c:pt idx="80">
                  <c:v>54.53</c:v>
                </c:pt>
                <c:pt idx="81">
                  <c:v>53.92</c:v>
                </c:pt>
                <c:pt idx="82">
                  <c:v>53.71</c:v>
                </c:pt>
                <c:pt idx="83">
                  <c:v>54.28</c:v>
                </c:pt>
                <c:pt idx="84">
                  <c:v>56.92</c:v>
                </c:pt>
                <c:pt idx="85">
                  <c:v>56.339999999999996</c:v>
                </c:pt>
                <c:pt idx="86">
                  <c:v>56.339999999999996</c:v>
                </c:pt>
                <c:pt idx="87">
                  <c:v>56.339999999999996</c:v>
                </c:pt>
                <c:pt idx="88">
                  <c:v>53.64</c:v>
                </c:pt>
                <c:pt idx="89">
                  <c:v>53.290000000000006</c:v>
                </c:pt>
                <c:pt idx="90">
                  <c:v>55.48</c:v>
                </c:pt>
                <c:pt idx="91">
                  <c:v>53.71</c:v>
                </c:pt>
                <c:pt idx="92">
                  <c:v>53.71</c:v>
                </c:pt>
                <c:pt idx="93">
                  <c:v>53.71</c:v>
                </c:pt>
                <c:pt idx="94">
                  <c:v>53.71</c:v>
                </c:pt>
                <c:pt idx="95">
                  <c:v>56.660000000000004</c:v>
                </c:pt>
                <c:pt idx="96">
                  <c:v>57.3</c:v>
                </c:pt>
                <c:pt idx="97">
                  <c:v>56.220000000000006</c:v>
                </c:pt>
                <c:pt idx="98">
                  <c:v>55.790000000000006</c:v>
                </c:pt>
                <c:pt idx="99">
                  <c:v>56.67</c:v>
                </c:pt>
                <c:pt idx="100">
                  <c:v>56.67</c:v>
                </c:pt>
                <c:pt idx="101">
                  <c:v>56.67</c:v>
                </c:pt>
                <c:pt idx="102">
                  <c:v>56.99</c:v>
                </c:pt>
                <c:pt idx="103">
                  <c:v>57.54</c:v>
                </c:pt>
                <c:pt idx="104">
                  <c:v>59.17</c:v>
                </c:pt>
                <c:pt idx="105">
                  <c:v>59.98</c:v>
                </c:pt>
                <c:pt idx="106">
                  <c:v>61.160000000000004</c:v>
                </c:pt>
                <c:pt idx="107">
                  <c:v>61.160000000000004</c:v>
                </c:pt>
                <c:pt idx="108">
                  <c:v>61.160000000000004</c:v>
                </c:pt>
                <c:pt idx="109">
                  <c:v>61.05</c:v>
                </c:pt>
                <c:pt idx="110">
                  <c:v>59.97</c:v>
                </c:pt>
                <c:pt idx="111">
                  <c:v>59.97</c:v>
                </c:pt>
                <c:pt idx="112">
                  <c:v>62.51</c:v>
                </c:pt>
                <c:pt idx="113">
                  <c:v>62.809999999999995</c:v>
                </c:pt>
                <c:pt idx="114">
                  <c:v>62.809999999999995</c:v>
                </c:pt>
                <c:pt idx="115">
                  <c:v>62.809999999999995</c:v>
                </c:pt>
                <c:pt idx="116">
                  <c:v>62.71</c:v>
                </c:pt>
                <c:pt idx="117">
                  <c:v>62.46</c:v>
                </c:pt>
                <c:pt idx="118">
                  <c:v>63.82</c:v>
                </c:pt>
                <c:pt idx="119">
                  <c:v>63.75</c:v>
                </c:pt>
                <c:pt idx="120">
                  <c:v>63.98</c:v>
                </c:pt>
                <c:pt idx="121">
                  <c:v>63.98</c:v>
                </c:pt>
                <c:pt idx="122">
                  <c:v>63.98</c:v>
                </c:pt>
                <c:pt idx="123">
                  <c:v>64.47</c:v>
                </c:pt>
                <c:pt idx="124">
                  <c:v>65.290000000000006</c:v>
                </c:pt>
                <c:pt idx="125">
                  <c:v>66.069999999999993</c:v>
                </c:pt>
                <c:pt idx="126">
                  <c:v>64.73</c:v>
                </c:pt>
                <c:pt idx="127">
                  <c:v>63.52</c:v>
                </c:pt>
                <c:pt idx="128">
                  <c:v>63.52</c:v>
                </c:pt>
                <c:pt idx="129">
                  <c:v>63.52</c:v>
                </c:pt>
                <c:pt idx="130">
                  <c:v>62.52</c:v>
                </c:pt>
                <c:pt idx="131">
                  <c:v>64.790000000000006</c:v>
                </c:pt>
                <c:pt idx="132">
                  <c:v>66.03</c:v>
                </c:pt>
                <c:pt idx="133">
                  <c:v>65.28</c:v>
                </c:pt>
                <c:pt idx="134">
                  <c:v>64.39</c:v>
                </c:pt>
                <c:pt idx="135">
                  <c:v>64.39</c:v>
                </c:pt>
                <c:pt idx="136">
                  <c:v>64.39</c:v>
                </c:pt>
                <c:pt idx="137">
                  <c:v>64.849999999999994</c:v>
                </c:pt>
                <c:pt idx="138">
                  <c:v>63.18</c:v>
                </c:pt>
                <c:pt idx="139">
                  <c:v>63.220000000000006</c:v>
                </c:pt>
                <c:pt idx="140">
                  <c:v>64.400000000000006</c:v>
                </c:pt>
                <c:pt idx="141">
                  <c:v>63.260000000000005</c:v>
                </c:pt>
                <c:pt idx="142">
                  <c:v>63.260000000000005</c:v>
                </c:pt>
                <c:pt idx="143">
                  <c:v>63.260000000000005</c:v>
                </c:pt>
                <c:pt idx="144">
                  <c:v>63.82</c:v>
                </c:pt>
                <c:pt idx="145">
                  <c:v>61.349999999999994</c:v>
                </c:pt>
                <c:pt idx="146">
                  <c:v>61.05</c:v>
                </c:pt>
                <c:pt idx="147">
                  <c:v>59.82</c:v>
                </c:pt>
                <c:pt idx="148">
                  <c:v>62.86</c:v>
                </c:pt>
                <c:pt idx="149">
                  <c:v>62.86</c:v>
                </c:pt>
                <c:pt idx="150">
                  <c:v>62.86</c:v>
                </c:pt>
                <c:pt idx="151">
                  <c:v>62.57</c:v>
                </c:pt>
                <c:pt idx="152">
                  <c:v>62.839999999999996</c:v>
                </c:pt>
                <c:pt idx="153">
                  <c:v>62.33</c:v>
                </c:pt>
                <c:pt idx="154">
                  <c:v>59.839999999999996</c:v>
                </c:pt>
                <c:pt idx="155">
                  <c:v>59.96</c:v>
                </c:pt>
                <c:pt idx="156">
                  <c:v>59.96</c:v>
                </c:pt>
                <c:pt idx="157">
                  <c:v>59.96</c:v>
                </c:pt>
                <c:pt idx="158">
                  <c:v>60.93</c:v>
                </c:pt>
                <c:pt idx="159">
                  <c:v>62.879999999999995</c:v>
                </c:pt>
                <c:pt idx="160">
                  <c:v>64.33</c:v>
                </c:pt>
                <c:pt idx="161">
                  <c:v>63.41</c:v>
                </c:pt>
                <c:pt idx="162">
                  <c:v>62.839999999999996</c:v>
                </c:pt>
                <c:pt idx="163">
                  <c:v>62.839999999999996</c:v>
                </c:pt>
                <c:pt idx="164">
                  <c:v>62.839999999999996</c:v>
                </c:pt>
                <c:pt idx="165">
                  <c:v>59.94</c:v>
                </c:pt>
                <c:pt idx="166">
                  <c:v>59.3</c:v>
                </c:pt>
                <c:pt idx="167">
                  <c:v>59.3</c:v>
                </c:pt>
                <c:pt idx="168">
                  <c:v>59.92</c:v>
                </c:pt>
                <c:pt idx="169">
                  <c:v>57.96</c:v>
                </c:pt>
                <c:pt idx="170">
                  <c:v>57.96</c:v>
                </c:pt>
                <c:pt idx="171">
                  <c:v>57.96</c:v>
                </c:pt>
                <c:pt idx="172">
                  <c:v>59.09</c:v>
                </c:pt>
                <c:pt idx="173">
                  <c:v>60.220000000000006</c:v>
                </c:pt>
                <c:pt idx="174">
                  <c:v>60.18</c:v>
                </c:pt>
                <c:pt idx="175">
                  <c:v>58.790000000000006</c:v>
                </c:pt>
                <c:pt idx="176">
                  <c:v>58.690000000000005</c:v>
                </c:pt>
                <c:pt idx="177">
                  <c:v>58.690000000000005</c:v>
                </c:pt>
                <c:pt idx="178">
                  <c:v>58.690000000000005</c:v>
                </c:pt>
                <c:pt idx="179">
                  <c:v>57.58</c:v>
                </c:pt>
                <c:pt idx="180">
                  <c:v>58.86</c:v>
                </c:pt>
                <c:pt idx="181">
                  <c:v>60.2</c:v>
                </c:pt>
                <c:pt idx="182">
                  <c:v>60.28</c:v>
                </c:pt>
                <c:pt idx="183">
                  <c:v>58.660000000000004</c:v>
                </c:pt>
                <c:pt idx="184">
                  <c:v>58.660000000000004</c:v>
                </c:pt>
                <c:pt idx="185">
                  <c:v>58.660000000000004</c:v>
                </c:pt>
                <c:pt idx="186">
                  <c:v>56.790000000000006</c:v>
                </c:pt>
                <c:pt idx="187">
                  <c:v>54.32</c:v>
                </c:pt>
                <c:pt idx="188">
                  <c:v>55.3</c:v>
                </c:pt>
                <c:pt idx="189">
                  <c:v>57.43</c:v>
                </c:pt>
                <c:pt idx="190">
                  <c:v>57.32</c:v>
                </c:pt>
                <c:pt idx="191">
                  <c:v>57.32</c:v>
                </c:pt>
                <c:pt idx="192">
                  <c:v>57.32</c:v>
                </c:pt>
                <c:pt idx="193">
                  <c:v>57.53</c:v>
                </c:pt>
                <c:pt idx="194">
                  <c:v>57.1</c:v>
                </c:pt>
                <c:pt idx="195">
                  <c:v>57.39</c:v>
                </c:pt>
                <c:pt idx="196">
                  <c:v>57.36</c:v>
                </c:pt>
                <c:pt idx="197">
                  <c:v>56.43</c:v>
                </c:pt>
                <c:pt idx="198">
                  <c:v>56.43</c:v>
                </c:pt>
                <c:pt idx="199">
                  <c:v>56.43</c:v>
                </c:pt>
                <c:pt idx="200">
                  <c:v>56.47</c:v>
                </c:pt>
                <c:pt idx="201">
                  <c:v>55.690000000000005</c:v>
                </c:pt>
                <c:pt idx="202">
                  <c:v>56.46</c:v>
                </c:pt>
                <c:pt idx="203">
                  <c:v>55.86</c:v>
                </c:pt>
                <c:pt idx="204">
                  <c:v>54.39</c:v>
                </c:pt>
                <c:pt idx="205">
                  <c:v>54.39</c:v>
                </c:pt>
                <c:pt idx="206">
                  <c:v>54.39</c:v>
                </c:pt>
                <c:pt idx="207">
                  <c:v>54.77</c:v>
                </c:pt>
                <c:pt idx="208">
                  <c:v>55.3</c:v>
                </c:pt>
                <c:pt idx="209">
                  <c:v>55.43</c:v>
                </c:pt>
                <c:pt idx="210">
                  <c:v>54.92</c:v>
                </c:pt>
                <c:pt idx="211">
                  <c:v>53.64</c:v>
                </c:pt>
                <c:pt idx="212">
                  <c:v>53.64</c:v>
                </c:pt>
                <c:pt idx="213">
                  <c:v>53.64</c:v>
                </c:pt>
                <c:pt idx="214">
                  <c:v>49.839999999999996</c:v>
                </c:pt>
                <c:pt idx="215">
                  <c:v>49.43</c:v>
                </c:pt>
                <c:pt idx="216">
                  <c:v>49.39</c:v>
                </c:pt>
                <c:pt idx="217">
                  <c:v>48.15</c:v>
                </c:pt>
                <c:pt idx="218">
                  <c:v>47.74</c:v>
                </c:pt>
                <c:pt idx="219">
                  <c:v>47.74</c:v>
                </c:pt>
                <c:pt idx="220">
                  <c:v>47.74</c:v>
                </c:pt>
                <c:pt idx="221">
                  <c:v>47.8</c:v>
                </c:pt>
                <c:pt idx="222">
                  <c:v>46.83</c:v>
                </c:pt>
                <c:pt idx="223">
                  <c:v>47.790000000000006</c:v>
                </c:pt>
                <c:pt idx="224">
                  <c:v>47.51</c:v>
                </c:pt>
                <c:pt idx="225">
                  <c:v>47.49</c:v>
                </c:pt>
                <c:pt idx="226">
                  <c:v>47.49</c:v>
                </c:pt>
                <c:pt idx="227">
                  <c:v>47.49</c:v>
                </c:pt>
                <c:pt idx="228">
                  <c:v>47.47</c:v>
                </c:pt>
                <c:pt idx="229">
                  <c:v>46.7</c:v>
                </c:pt>
                <c:pt idx="230">
                  <c:v>45.449999999999996</c:v>
                </c:pt>
                <c:pt idx="231">
                  <c:v>45.33</c:v>
                </c:pt>
                <c:pt idx="232">
                  <c:v>43.96</c:v>
                </c:pt>
                <c:pt idx="233">
                  <c:v>43.96</c:v>
                </c:pt>
                <c:pt idx="234">
                  <c:v>43.96</c:v>
                </c:pt>
                <c:pt idx="235">
                  <c:v>41.290000000000006</c:v>
                </c:pt>
                <c:pt idx="236">
                  <c:v>41.56</c:v>
                </c:pt>
                <c:pt idx="237">
                  <c:v>41.46</c:v>
                </c:pt>
                <c:pt idx="238">
                  <c:v>44.160000000000004</c:v>
                </c:pt>
                <c:pt idx="239">
                  <c:v>47.67</c:v>
                </c:pt>
                <c:pt idx="240">
                  <c:v>47.67</c:v>
                </c:pt>
                <c:pt idx="241">
                  <c:v>47.67</c:v>
                </c:pt>
                <c:pt idx="242">
                  <c:v>48.51</c:v>
                </c:pt>
                <c:pt idx="243">
                  <c:v>48.5</c:v>
                </c:pt>
                <c:pt idx="244">
                  <c:v>47.37</c:v>
                </c:pt>
                <c:pt idx="245">
                  <c:v>49.86</c:v>
                </c:pt>
                <c:pt idx="246">
                  <c:v>48.04</c:v>
                </c:pt>
                <c:pt idx="247">
                  <c:v>48.04</c:v>
                </c:pt>
                <c:pt idx="248">
                  <c:v>48.04</c:v>
                </c:pt>
                <c:pt idx="249">
                  <c:v>45.87</c:v>
                </c:pt>
                <c:pt idx="250">
                  <c:v>48.33</c:v>
                </c:pt>
                <c:pt idx="251">
                  <c:v>47.49</c:v>
                </c:pt>
                <c:pt idx="252">
                  <c:v>47.220000000000006</c:v>
                </c:pt>
                <c:pt idx="253">
                  <c:v>46.32</c:v>
                </c:pt>
                <c:pt idx="254">
                  <c:v>46.32</c:v>
                </c:pt>
                <c:pt idx="255">
                  <c:v>46.32</c:v>
                </c:pt>
                <c:pt idx="256">
                  <c:v>45.87</c:v>
                </c:pt>
                <c:pt idx="257">
                  <c:v>45.91</c:v>
                </c:pt>
                <c:pt idx="258">
                  <c:v>49.349999999999994</c:v>
                </c:pt>
                <c:pt idx="259">
                  <c:v>48.27</c:v>
                </c:pt>
                <c:pt idx="260">
                  <c:v>47.28</c:v>
                </c:pt>
                <c:pt idx="261">
                  <c:v>47.28</c:v>
                </c:pt>
                <c:pt idx="262">
                  <c:v>47.28</c:v>
                </c:pt>
                <c:pt idx="263">
                  <c:v>47.64</c:v>
                </c:pt>
                <c:pt idx="264">
                  <c:v>46.790000000000006</c:v>
                </c:pt>
                <c:pt idx="265">
                  <c:v>48.1</c:v>
                </c:pt>
                <c:pt idx="266">
                  <c:v>47.160000000000004</c:v>
                </c:pt>
                <c:pt idx="267">
                  <c:v>47.08</c:v>
                </c:pt>
                <c:pt idx="268">
                  <c:v>47.08</c:v>
                </c:pt>
                <c:pt idx="269">
                  <c:v>47.08</c:v>
                </c:pt>
                <c:pt idx="270">
                  <c:v>45.99</c:v>
                </c:pt>
                <c:pt idx="271">
                  <c:v>47.53</c:v>
                </c:pt>
                <c:pt idx="272">
                  <c:v>47.04</c:v>
                </c:pt>
                <c:pt idx="273">
                  <c:v>47.379999999999995</c:v>
                </c:pt>
                <c:pt idx="274">
                  <c:v>46.5</c:v>
                </c:pt>
                <c:pt idx="275">
                  <c:v>46.5</c:v>
                </c:pt>
                <c:pt idx="276">
                  <c:v>46.5</c:v>
                </c:pt>
                <c:pt idx="277">
                  <c:v>49.4</c:v>
                </c:pt>
                <c:pt idx="278">
                  <c:v>51.290000000000006</c:v>
                </c:pt>
                <c:pt idx="279">
                  <c:v>51.61</c:v>
                </c:pt>
                <c:pt idx="280">
                  <c:v>52.28</c:v>
                </c:pt>
                <c:pt idx="281">
                  <c:v>52.230000000000004</c:v>
                </c:pt>
                <c:pt idx="282">
                  <c:v>52.230000000000004</c:v>
                </c:pt>
                <c:pt idx="283">
                  <c:v>52.230000000000004</c:v>
                </c:pt>
                <c:pt idx="284">
                  <c:v>51.1</c:v>
                </c:pt>
                <c:pt idx="285">
                  <c:v>48.839999999999996</c:v>
                </c:pt>
                <c:pt idx="286">
                  <c:v>48.15</c:v>
                </c:pt>
                <c:pt idx="287">
                  <c:v>47.77</c:v>
                </c:pt>
                <c:pt idx="288">
                  <c:v>49.01</c:v>
                </c:pt>
                <c:pt idx="289">
                  <c:v>49.01</c:v>
                </c:pt>
                <c:pt idx="290">
                  <c:v>49.01</c:v>
                </c:pt>
                <c:pt idx="291">
                  <c:v>47.21</c:v>
                </c:pt>
                <c:pt idx="292">
                  <c:v>46.58</c:v>
                </c:pt>
                <c:pt idx="293">
                  <c:v>46.37</c:v>
                </c:pt>
                <c:pt idx="294">
                  <c:v>46.55</c:v>
                </c:pt>
                <c:pt idx="295">
                  <c:v>46.05</c:v>
                </c:pt>
                <c:pt idx="296">
                  <c:v>46.05</c:v>
                </c:pt>
                <c:pt idx="297">
                  <c:v>46.05</c:v>
                </c:pt>
                <c:pt idx="298">
                  <c:v>46.49</c:v>
                </c:pt>
                <c:pt idx="299">
                  <c:v>45.54</c:v>
                </c:pt>
                <c:pt idx="300">
                  <c:v>47.6</c:v>
                </c:pt>
                <c:pt idx="301">
                  <c:v>48.04</c:v>
                </c:pt>
                <c:pt idx="302">
                  <c:v>48</c:v>
                </c:pt>
                <c:pt idx="303">
                  <c:v>48</c:v>
                </c:pt>
                <c:pt idx="304">
                  <c:v>48</c:v>
                </c:pt>
                <c:pt idx="305">
                  <c:v>47.51</c:v>
                </c:pt>
                <c:pt idx="306">
                  <c:v>47.1</c:v>
                </c:pt>
                <c:pt idx="307">
                  <c:v>46.06</c:v>
                </c:pt>
                <c:pt idx="308">
                  <c:v>46.690000000000005</c:v>
                </c:pt>
                <c:pt idx="309">
                  <c:v>45.59</c:v>
                </c:pt>
                <c:pt idx="310">
                  <c:v>45.59</c:v>
                </c:pt>
                <c:pt idx="311">
                  <c:v>45.59</c:v>
                </c:pt>
                <c:pt idx="312">
                  <c:v>44.879999999999995</c:v>
                </c:pt>
                <c:pt idx="313">
                  <c:v>45.94</c:v>
                </c:pt>
                <c:pt idx="314">
                  <c:v>44.63</c:v>
                </c:pt>
                <c:pt idx="315">
                  <c:v>43.290000000000006</c:v>
                </c:pt>
                <c:pt idx="316">
                  <c:v>41.63</c:v>
                </c:pt>
                <c:pt idx="317">
                  <c:v>41.63</c:v>
                </c:pt>
                <c:pt idx="318">
                  <c:v>41.63</c:v>
                </c:pt>
                <c:pt idx="319">
                  <c:v>39.93</c:v>
                </c:pt>
                <c:pt idx="320">
                  <c:v>40.93</c:v>
                </c:pt>
                <c:pt idx="321">
                  <c:v>41.1</c:v>
                </c:pt>
                <c:pt idx="322">
                  <c:v>41.67</c:v>
                </c:pt>
                <c:pt idx="323">
                  <c:v>41.94</c:v>
                </c:pt>
              </c:numCache>
            </c:numRef>
          </c:val>
          <c:smooth val="0"/>
        </c:ser>
        <c:dLbls>
          <c:showLegendKey val="0"/>
          <c:showVal val="0"/>
          <c:showCatName val="0"/>
          <c:showSerName val="0"/>
          <c:showPercent val="0"/>
          <c:showBubbleSize val="0"/>
        </c:dLbls>
        <c:marker val="1"/>
        <c:smooth val="0"/>
        <c:axId val="251167872"/>
        <c:axId val="251169408"/>
      </c:lineChart>
      <c:dateAx>
        <c:axId val="251167872"/>
        <c:scaling>
          <c:orientation val="minMax"/>
          <c:max val="42328"/>
        </c:scaling>
        <c:delete val="0"/>
        <c:axPos val="b"/>
        <c:numFmt formatCode="yyyy/m/d" sourceLinked="1"/>
        <c:majorTickMark val="out"/>
        <c:minorTickMark val="none"/>
        <c:tickLblPos val="nextTo"/>
        <c:crossAx val="251169408"/>
        <c:crosses val="autoZero"/>
        <c:auto val="1"/>
        <c:lblOffset val="100"/>
        <c:baseTimeUnit val="days"/>
        <c:majorUnit val="1"/>
        <c:majorTimeUnit val="months"/>
        <c:minorUnit val="1"/>
        <c:minorTimeUnit val="months"/>
      </c:dateAx>
      <c:valAx>
        <c:axId val="251169408"/>
        <c:scaling>
          <c:orientation val="minMax"/>
          <c:min val="35"/>
        </c:scaling>
        <c:delete val="0"/>
        <c:axPos val="l"/>
        <c:majorGridlines/>
        <c:numFmt formatCode="General" sourceLinked="1"/>
        <c:majorTickMark val="out"/>
        <c:minorTickMark val="none"/>
        <c:tickLblPos val="nextTo"/>
        <c:crossAx val="251167872"/>
        <c:crosses val="autoZero"/>
        <c:crossBetween val="between"/>
      </c:valAx>
    </c:plotArea>
    <c:legend>
      <c:legendPos val="b"/>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1388016409329175E-2"/>
          <c:y val="3.5851630020238286E-2"/>
          <c:w val="0.86531421114810259"/>
          <c:h val="0.62631264164041478"/>
        </c:manualLayout>
      </c:layout>
      <c:lineChart>
        <c:grouping val="standard"/>
        <c:varyColors val="0"/>
        <c:ser>
          <c:idx val="0"/>
          <c:order val="0"/>
          <c:tx>
            <c:strRef>
              <c:f>CRU、布蘭特、BDI!$D$1</c:f>
              <c:strCache>
                <c:ptCount val="1"/>
                <c:pt idx="0">
                  <c:v>航運指數波羅的海乾散裝綜合指BDI_x000d_</c:v>
                </c:pt>
              </c:strCache>
            </c:strRef>
          </c:tx>
          <c:spPr>
            <a:ln>
              <a:prstDash val="solid"/>
            </a:ln>
          </c:spPr>
          <c:marker>
            <c:symbol val="none"/>
          </c:marker>
          <c:cat>
            <c:numRef>
              <c:f>CRU、布蘭特、BDI!$A$216:$A$539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CRU、布蘭特、BDI!$D$216:$D$539</c:f>
              <c:numCache>
                <c:formatCode>General</c:formatCode>
                <c:ptCount val="324"/>
                <c:pt idx="0">
                  <c:v>782</c:v>
                </c:pt>
                <c:pt idx="1">
                  <c:v>771</c:v>
                </c:pt>
                <c:pt idx="2">
                  <c:v>771</c:v>
                </c:pt>
                <c:pt idx="3">
                  <c:v>771</c:v>
                </c:pt>
                <c:pt idx="4">
                  <c:v>761</c:v>
                </c:pt>
                <c:pt idx="5">
                  <c:v>758</c:v>
                </c:pt>
                <c:pt idx="6">
                  <c:v>744</c:v>
                </c:pt>
                <c:pt idx="7">
                  <c:v>724</c:v>
                </c:pt>
                <c:pt idx="8">
                  <c:v>709</c:v>
                </c:pt>
                <c:pt idx="9">
                  <c:v>709</c:v>
                </c:pt>
                <c:pt idx="10">
                  <c:v>709</c:v>
                </c:pt>
                <c:pt idx="11">
                  <c:v>723</c:v>
                </c:pt>
                <c:pt idx="12">
                  <c:v>762</c:v>
                </c:pt>
                <c:pt idx="13">
                  <c:v>757</c:v>
                </c:pt>
                <c:pt idx="14">
                  <c:v>749</c:v>
                </c:pt>
                <c:pt idx="15">
                  <c:v>741</c:v>
                </c:pt>
                <c:pt idx="16">
                  <c:v>741</c:v>
                </c:pt>
                <c:pt idx="17">
                  <c:v>741</c:v>
                </c:pt>
                <c:pt idx="18">
                  <c:v>739</c:v>
                </c:pt>
                <c:pt idx="19">
                  <c:v>753</c:v>
                </c:pt>
                <c:pt idx="20">
                  <c:v>770</c:v>
                </c:pt>
                <c:pt idx="21">
                  <c:v>751</c:v>
                </c:pt>
                <c:pt idx="22">
                  <c:v>720</c:v>
                </c:pt>
                <c:pt idx="23">
                  <c:v>720</c:v>
                </c:pt>
                <c:pt idx="24">
                  <c:v>720</c:v>
                </c:pt>
                <c:pt idx="25">
                  <c:v>703</c:v>
                </c:pt>
                <c:pt idx="26">
                  <c:v>688</c:v>
                </c:pt>
                <c:pt idx="27">
                  <c:v>666</c:v>
                </c:pt>
                <c:pt idx="28">
                  <c:v>632</c:v>
                </c:pt>
                <c:pt idx="29">
                  <c:v>608</c:v>
                </c:pt>
                <c:pt idx="30">
                  <c:v>608</c:v>
                </c:pt>
                <c:pt idx="31">
                  <c:v>608</c:v>
                </c:pt>
                <c:pt idx="32">
                  <c:v>590</c:v>
                </c:pt>
                <c:pt idx="33">
                  <c:v>577</c:v>
                </c:pt>
                <c:pt idx="34">
                  <c:v>569</c:v>
                </c:pt>
                <c:pt idx="35">
                  <c:v>564</c:v>
                </c:pt>
                <c:pt idx="36">
                  <c:v>559</c:v>
                </c:pt>
                <c:pt idx="37">
                  <c:v>559</c:v>
                </c:pt>
                <c:pt idx="38">
                  <c:v>559</c:v>
                </c:pt>
                <c:pt idx="39">
                  <c:v>554</c:v>
                </c:pt>
                <c:pt idx="40">
                  <c:v>556</c:v>
                </c:pt>
                <c:pt idx="41">
                  <c:v>553</c:v>
                </c:pt>
                <c:pt idx="42">
                  <c:v>540</c:v>
                </c:pt>
                <c:pt idx="43">
                  <c:v>530</c:v>
                </c:pt>
                <c:pt idx="44">
                  <c:v>530</c:v>
                </c:pt>
                <c:pt idx="45">
                  <c:v>530</c:v>
                </c:pt>
                <c:pt idx="46">
                  <c:v>522</c:v>
                </c:pt>
                <c:pt idx="47">
                  <c:v>516</c:v>
                </c:pt>
                <c:pt idx="48">
                  <c:v>509</c:v>
                </c:pt>
                <c:pt idx="49">
                  <c:v>511</c:v>
                </c:pt>
                <c:pt idx="50">
                  <c:v>513</c:v>
                </c:pt>
                <c:pt idx="51">
                  <c:v>513</c:v>
                </c:pt>
                <c:pt idx="52">
                  <c:v>513</c:v>
                </c:pt>
                <c:pt idx="53">
                  <c:v>512</c:v>
                </c:pt>
                <c:pt idx="54">
                  <c:v>516</c:v>
                </c:pt>
                <c:pt idx="55">
                  <c:v>524</c:v>
                </c:pt>
                <c:pt idx="56">
                  <c:v>533</c:v>
                </c:pt>
                <c:pt idx="57">
                  <c:v>540</c:v>
                </c:pt>
                <c:pt idx="58">
                  <c:v>540</c:v>
                </c:pt>
                <c:pt idx="59">
                  <c:v>540</c:v>
                </c:pt>
                <c:pt idx="60">
                  <c:v>548</c:v>
                </c:pt>
                <c:pt idx="61">
                  <c:v>553</c:v>
                </c:pt>
                <c:pt idx="62">
                  <c:v>559</c:v>
                </c:pt>
                <c:pt idx="63">
                  <c:v>561</c:v>
                </c:pt>
                <c:pt idx="64">
                  <c:v>565</c:v>
                </c:pt>
                <c:pt idx="65">
                  <c:v>565</c:v>
                </c:pt>
                <c:pt idx="66">
                  <c:v>565</c:v>
                </c:pt>
                <c:pt idx="67">
                  <c:v>568</c:v>
                </c:pt>
                <c:pt idx="68">
                  <c:v>568</c:v>
                </c:pt>
                <c:pt idx="69">
                  <c:v>565</c:v>
                </c:pt>
                <c:pt idx="70">
                  <c:v>560</c:v>
                </c:pt>
                <c:pt idx="71">
                  <c:v>562</c:v>
                </c:pt>
                <c:pt idx="72">
                  <c:v>562</c:v>
                </c:pt>
                <c:pt idx="73">
                  <c:v>562</c:v>
                </c:pt>
                <c:pt idx="74">
                  <c:v>564</c:v>
                </c:pt>
                <c:pt idx="75">
                  <c:v>568</c:v>
                </c:pt>
                <c:pt idx="76">
                  <c:v>571</c:v>
                </c:pt>
                <c:pt idx="77">
                  <c:v>584</c:v>
                </c:pt>
                <c:pt idx="78">
                  <c:v>591</c:v>
                </c:pt>
                <c:pt idx="79">
                  <c:v>591</c:v>
                </c:pt>
                <c:pt idx="80">
                  <c:v>591</c:v>
                </c:pt>
                <c:pt idx="81">
                  <c:v>594</c:v>
                </c:pt>
                <c:pt idx="82">
                  <c:v>597</c:v>
                </c:pt>
                <c:pt idx="83">
                  <c:v>598</c:v>
                </c:pt>
                <c:pt idx="84">
                  <c:v>598</c:v>
                </c:pt>
                <c:pt idx="85">
                  <c:v>596</c:v>
                </c:pt>
                <c:pt idx="86">
                  <c:v>596</c:v>
                </c:pt>
                <c:pt idx="87">
                  <c:v>596</c:v>
                </c:pt>
                <c:pt idx="88">
                  <c:v>599</c:v>
                </c:pt>
                <c:pt idx="89">
                  <c:v>602</c:v>
                </c:pt>
                <c:pt idx="90">
                  <c:v>596</c:v>
                </c:pt>
                <c:pt idx="91">
                  <c:v>588</c:v>
                </c:pt>
                <c:pt idx="92">
                  <c:v>588</c:v>
                </c:pt>
                <c:pt idx="93">
                  <c:v>588</c:v>
                </c:pt>
                <c:pt idx="94">
                  <c:v>588</c:v>
                </c:pt>
                <c:pt idx="95">
                  <c:v>588</c:v>
                </c:pt>
                <c:pt idx="96">
                  <c:v>583</c:v>
                </c:pt>
                <c:pt idx="97">
                  <c:v>580</c:v>
                </c:pt>
                <c:pt idx="98">
                  <c:v>580</c:v>
                </c:pt>
                <c:pt idx="99">
                  <c:v>580</c:v>
                </c:pt>
                <c:pt idx="100">
                  <c:v>580</c:v>
                </c:pt>
                <c:pt idx="101">
                  <c:v>580</c:v>
                </c:pt>
                <c:pt idx="102">
                  <c:v>578</c:v>
                </c:pt>
                <c:pt idx="103">
                  <c:v>581</c:v>
                </c:pt>
                <c:pt idx="104">
                  <c:v>586</c:v>
                </c:pt>
                <c:pt idx="105">
                  <c:v>593</c:v>
                </c:pt>
                <c:pt idx="106">
                  <c:v>597</c:v>
                </c:pt>
                <c:pt idx="107">
                  <c:v>597</c:v>
                </c:pt>
                <c:pt idx="108">
                  <c:v>597</c:v>
                </c:pt>
                <c:pt idx="109">
                  <c:v>598</c:v>
                </c:pt>
                <c:pt idx="110">
                  <c:v>601</c:v>
                </c:pt>
                <c:pt idx="111">
                  <c:v>600</c:v>
                </c:pt>
                <c:pt idx="112">
                  <c:v>599</c:v>
                </c:pt>
                <c:pt idx="113">
                  <c:v>600</c:v>
                </c:pt>
                <c:pt idx="114">
                  <c:v>600</c:v>
                </c:pt>
                <c:pt idx="115">
                  <c:v>600</c:v>
                </c:pt>
                <c:pt idx="116">
                  <c:v>600</c:v>
                </c:pt>
                <c:pt idx="117">
                  <c:v>601</c:v>
                </c:pt>
                <c:pt idx="118">
                  <c:v>595</c:v>
                </c:pt>
                <c:pt idx="119">
                  <c:v>591</c:v>
                </c:pt>
                <c:pt idx="120">
                  <c:v>587</c:v>
                </c:pt>
                <c:pt idx="121">
                  <c:v>587</c:v>
                </c:pt>
                <c:pt idx="122">
                  <c:v>587</c:v>
                </c:pt>
                <c:pt idx="123">
                  <c:v>587</c:v>
                </c:pt>
                <c:pt idx="124">
                  <c:v>580</c:v>
                </c:pt>
                <c:pt idx="125">
                  <c:v>575</c:v>
                </c:pt>
                <c:pt idx="126">
                  <c:v>573</c:v>
                </c:pt>
                <c:pt idx="127">
                  <c:v>574</c:v>
                </c:pt>
                <c:pt idx="128">
                  <c:v>574</c:v>
                </c:pt>
                <c:pt idx="129">
                  <c:v>574</c:v>
                </c:pt>
                <c:pt idx="130">
                  <c:v>578</c:v>
                </c:pt>
                <c:pt idx="131">
                  <c:v>589</c:v>
                </c:pt>
                <c:pt idx="132">
                  <c:v>634</c:v>
                </c:pt>
                <c:pt idx="133">
                  <c:v>637</c:v>
                </c:pt>
                <c:pt idx="134">
                  <c:v>634</c:v>
                </c:pt>
                <c:pt idx="135">
                  <c:v>634</c:v>
                </c:pt>
                <c:pt idx="136">
                  <c:v>634</c:v>
                </c:pt>
                <c:pt idx="137">
                  <c:v>630</c:v>
                </c:pt>
                <c:pt idx="138">
                  <c:v>620</c:v>
                </c:pt>
                <c:pt idx="139">
                  <c:v>606</c:v>
                </c:pt>
                <c:pt idx="140">
                  <c:v>592</c:v>
                </c:pt>
                <c:pt idx="141">
                  <c:v>586</c:v>
                </c:pt>
                <c:pt idx="142">
                  <c:v>586</c:v>
                </c:pt>
                <c:pt idx="143">
                  <c:v>586</c:v>
                </c:pt>
                <c:pt idx="144">
                  <c:v>586</c:v>
                </c:pt>
                <c:pt idx="145">
                  <c:v>584</c:v>
                </c:pt>
                <c:pt idx="146">
                  <c:v>587</c:v>
                </c:pt>
                <c:pt idx="147">
                  <c:v>588</c:v>
                </c:pt>
                <c:pt idx="148">
                  <c:v>589</c:v>
                </c:pt>
                <c:pt idx="149">
                  <c:v>589</c:v>
                </c:pt>
                <c:pt idx="150">
                  <c:v>589</c:v>
                </c:pt>
                <c:pt idx="151">
                  <c:v>589</c:v>
                </c:pt>
                <c:pt idx="152">
                  <c:v>591</c:v>
                </c:pt>
                <c:pt idx="153">
                  <c:v>598</c:v>
                </c:pt>
                <c:pt idx="154">
                  <c:v>603</c:v>
                </c:pt>
                <c:pt idx="155">
                  <c:v>610</c:v>
                </c:pt>
                <c:pt idx="156">
                  <c:v>610</c:v>
                </c:pt>
                <c:pt idx="157">
                  <c:v>610</c:v>
                </c:pt>
                <c:pt idx="158">
                  <c:v>610</c:v>
                </c:pt>
                <c:pt idx="159">
                  <c:v>612</c:v>
                </c:pt>
                <c:pt idx="160">
                  <c:v>618</c:v>
                </c:pt>
                <c:pt idx="161">
                  <c:v>629</c:v>
                </c:pt>
                <c:pt idx="162">
                  <c:v>642</c:v>
                </c:pt>
                <c:pt idx="163">
                  <c:v>642</c:v>
                </c:pt>
                <c:pt idx="164">
                  <c:v>642</c:v>
                </c:pt>
                <c:pt idx="165">
                  <c:v>656</c:v>
                </c:pt>
                <c:pt idx="166">
                  <c:v>681</c:v>
                </c:pt>
                <c:pt idx="167">
                  <c:v>725</c:v>
                </c:pt>
                <c:pt idx="168">
                  <c:v>773</c:v>
                </c:pt>
                <c:pt idx="169">
                  <c:v>779</c:v>
                </c:pt>
                <c:pt idx="170">
                  <c:v>779</c:v>
                </c:pt>
                <c:pt idx="171">
                  <c:v>779</c:v>
                </c:pt>
                <c:pt idx="172">
                  <c:v>779</c:v>
                </c:pt>
                <c:pt idx="173">
                  <c:v>790</c:v>
                </c:pt>
                <c:pt idx="174">
                  <c:v>829</c:v>
                </c:pt>
                <c:pt idx="175">
                  <c:v>829</c:v>
                </c:pt>
                <c:pt idx="176">
                  <c:v>823</c:v>
                </c:pt>
                <c:pt idx="177">
                  <c:v>823</c:v>
                </c:pt>
                <c:pt idx="178">
                  <c:v>823</c:v>
                </c:pt>
                <c:pt idx="179">
                  <c:v>813</c:v>
                </c:pt>
                <c:pt idx="180">
                  <c:v>800</c:v>
                </c:pt>
                <c:pt idx="181">
                  <c:v>794</c:v>
                </c:pt>
                <c:pt idx="182">
                  <c:v>794</c:v>
                </c:pt>
                <c:pt idx="183">
                  <c:v>805</c:v>
                </c:pt>
                <c:pt idx="184">
                  <c:v>805</c:v>
                </c:pt>
                <c:pt idx="185">
                  <c:v>805</c:v>
                </c:pt>
                <c:pt idx="186">
                  <c:v>815</c:v>
                </c:pt>
                <c:pt idx="187">
                  <c:v>830</c:v>
                </c:pt>
                <c:pt idx="188">
                  <c:v>840</c:v>
                </c:pt>
                <c:pt idx="189">
                  <c:v>853</c:v>
                </c:pt>
                <c:pt idx="190">
                  <c:v>874</c:v>
                </c:pt>
                <c:pt idx="191">
                  <c:v>874</c:v>
                </c:pt>
                <c:pt idx="192">
                  <c:v>874</c:v>
                </c:pt>
                <c:pt idx="193">
                  <c:v>900</c:v>
                </c:pt>
                <c:pt idx="194">
                  <c:v>915</c:v>
                </c:pt>
                <c:pt idx="195">
                  <c:v>951</c:v>
                </c:pt>
                <c:pt idx="196">
                  <c:v>1009</c:v>
                </c:pt>
                <c:pt idx="197">
                  <c:v>1048</c:v>
                </c:pt>
                <c:pt idx="198">
                  <c:v>1048</c:v>
                </c:pt>
                <c:pt idx="199">
                  <c:v>1048</c:v>
                </c:pt>
                <c:pt idx="200">
                  <c:v>1067</c:v>
                </c:pt>
                <c:pt idx="201">
                  <c:v>1113</c:v>
                </c:pt>
                <c:pt idx="202">
                  <c:v>1118</c:v>
                </c:pt>
                <c:pt idx="203">
                  <c:v>1102</c:v>
                </c:pt>
                <c:pt idx="204">
                  <c:v>1086</c:v>
                </c:pt>
                <c:pt idx="205">
                  <c:v>1086</c:v>
                </c:pt>
                <c:pt idx="206">
                  <c:v>1086</c:v>
                </c:pt>
                <c:pt idx="207" formatCode="General;General;;">
                  <c:v>1090</c:v>
                </c:pt>
                <c:pt idx="208" formatCode="General;General;;">
                  <c:v>1094</c:v>
                </c:pt>
                <c:pt idx="209" formatCode="General;General;;">
                  <c:v>1104</c:v>
                </c:pt>
                <c:pt idx="210" formatCode="General;General;;">
                  <c:v>1100</c:v>
                </c:pt>
                <c:pt idx="211" formatCode="General;General;;">
                  <c:v>1131</c:v>
                </c:pt>
                <c:pt idx="212" formatCode="General;General;;">
                  <c:v>1131</c:v>
                </c:pt>
                <c:pt idx="213" formatCode="General;General;;">
                  <c:v>1131</c:v>
                </c:pt>
                <c:pt idx="214" formatCode="General;General;;">
                  <c:v>1151</c:v>
                </c:pt>
                <c:pt idx="215" formatCode="General;General;;">
                  <c:v>1200</c:v>
                </c:pt>
                <c:pt idx="216" formatCode="General;General;;">
                  <c:v>1222</c:v>
                </c:pt>
                <c:pt idx="217" formatCode="General;General;;">
                  <c:v>1201</c:v>
                </c:pt>
                <c:pt idx="218" formatCode="General;General;;">
                  <c:v>1200</c:v>
                </c:pt>
                <c:pt idx="219" formatCode="General;General;;">
                  <c:v>1200</c:v>
                </c:pt>
                <c:pt idx="220" formatCode="General;General;;">
                  <c:v>1200</c:v>
                </c:pt>
                <c:pt idx="221" formatCode="General;General;;">
                  <c:v>1197</c:v>
                </c:pt>
                <c:pt idx="222" formatCode="General;General;;">
                  <c:v>1162</c:v>
                </c:pt>
                <c:pt idx="223" formatCode="General;General;;">
                  <c:v>1093</c:v>
                </c:pt>
                <c:pt idx="224" formatCode="General;General;;">
                  <c:v>1046</c:v>
                </c:pt>
                <c:pt idx="225" formatCode="General;General;;">
                  <c:v>1055</c:v>
                </c:pt>
                <c:pt idx="226" formatCode="General;General;;">
                  <c:v>1055</c:v>
                </c:pt>
                <c:pt idx="227" formatCode="General;General;;">
                  <c:v>1055</c:v>
                </c:pt>
                <c:pt idx="228" formatCode="General;General;;">
                  <c:v>1063</c:v>
                </c:pt>
                <c:pt idx="229" formatCode="General;General;;">
                  <c:v>1046</c:v>
                </c:pt>
                <c:pt idx="230" formatCode="General;General;;">
                  <c:v>1031</c:v>
                </c:pt>
                <c:pt idx="231" formatCode="General;General;;">
                  <c:v>1014</c:v>
                </c:pt>
                <c:pt idx="232" formatCode="General;General;;">
                  <c:v>994</c:v>
                </c:pt>
                <c:pt idx="233" formatCode="General;General;;">
                  <c:v>994</c:v>
                </c:pt>
                <c:pt idx="234" formatCode="General;General;;">
                  <c:v>994</c:v>
                </c:pt>
                <c:pt idx="235" formatCode="General;General;;">
                  <c:v>968</c:v>
                </c:pt>
                <c:pt idx="236" formatCode="General;General;;">
                  <c:v>942</c:v>
                </c:pt>
                <c:pt idx="237" formatCode="General;General;;">
                  <c:v>918</c:v>
                </c:pt>
                <c:pt idx="238" formatCode="General;General;;">
                  <c:v>905</c:v>
                </c:pt>
                <c:pt idx="239" formatCode="General;General;;">
                  <c:v>903</c:v>
                </c:pt>
                <c:pt idx="240" formatCode="General;General;;">
                  <c:v>903</c:v>
                </c:pt>
                <c:pt idx="241" formatCode="General;General;;">
                  <c:v>903</c:v>
                </c:pt>
                <c:pt idx="242" formatCode="General;General;;">
                  <c:v>903</c:v>
                </c:pt>
                <c:pt idx="243" formatCode="General;General;;">
                  <c:v>911</c:v>
                </c:pt>
                <c:pt idx="244" formatCode="General;General;;">
                  <c:v>906</c:v>
                </c:pt>
                <c:pt idx="245" formatCode="General;General;;">
                  <c:v>891</c:v>
                </c:pt>
                <c:pt idx="246" formatCode="General;General;;">
                  <c:v>875</c:v>
                </c:pt>
                <c:pt idx="247" formatCode="General;General;;">
                  <c:v>875</c:v>
                </c:pt>
                <c:pt idx="248" formatCode="General;General;;">
                  <c:v>875</c:v>
                </c:pt>
                <c:pt idx="249" formatCode="General;General;;">
                  <c:v>876</c:v>
                </c:pt>
                <c:pt idx="250" formatCode="General;General;;">
                  <c:v>873</c:v>
                </c:pt>
                <c:pt idx="251" formatCode="General;General;;">
                  <c:v>855</c:v>
                </c:pt>
                <c:pt idx="252" formatCode="General;General;;">
                  <c:v>830</c:v>
                </c:pt>
                <c:pt idx="253" formatCode="General;General;;">
                  <c:v>818</c:v>
                </c:pt>
                <c:pt idx="254" formatCode="General;General;;">
                  <c:v>818</c:v>
                </c:pt>
                <c:pt idx="255" formatCode="General;General;;">
                  <c:v>818</c:v>
                </c:pt>
                <c:pt idx="256" formatCode="General;General;;">
                  <c:v>805</c:v>
                </c:pt>
                <c:pt idx="257" formatCode="General;General;;">
                  <c:v>802</c:v>
                </c:pt>
                <c:pt idx="258" formatCode="General;General;;">
                  <c:v>814</c:v>
                </c:pt>
                <c:pt idx="259" formatCode="General;General;;">
                  <c:v>883</c:v>
                </c:pt>
                <c:pt idx="260" formatCode="General;General;;">
                  <c:v>960</c:v>
                </c:pt>
                <c:pt idx="261" formatCode="General;General;;">
                  <c:v>960</c:v>
                </c:pt>
                <c:pt idx="262" formatCode="General;General;;">
                  <c:v>960</c:v>
                </c:pt>
                <c:pt idx="263" formatCode="General;General;;">
                  <c:v>978</c:v>
                </c:pt>
                <c:pt idx="264" formatCode="General;General;;">
                  <c:v>923</c:v>
                </c:pt>
                <c:pt idx="265" formatCode="General;General;;">
                  <c:v>917</c:v>
                </c:pt>
                <c:pt idx="266" formatCode="General;General;;">
                  <c:v>922</c:v>
                </c:pt>
                <c:pt idx="267" formatCode="General;General;;">
                  <c:v>943</c:v>
                </c:pt>
                <c:pt idx="268" formatCode="General;General;;">
                  <c:v>943</c:v>
                </c:pt>
                <c:pt idx="269" formatCode="General;General;;">
                  <c:v>943</c:v>
                </c:pt>
                <c:pt idx="270" formatCode="General;General;;">
                  <c:v>943</c:v>
                </c:pt>
                <c:pt idx="271" formatCode="General;General;;">
                  <c:v>926</c:v>
                </c:pt>
                <c:pt idx="272" formatCode="General;General;;">
                  <c:v>900</c:v>
                </c:pt>
                <c:pt idx="273" formatCode="General;General;;">
                  <c:v>888</c:v>
                </c:pt>
                <c:pt idx="274" formatCode="General;General;;">
                  <c:v>889</c:v>
                </c:pt>
                <c:pt idx="275" formatCode="General;General;;">
                  <c:v>889</c:v>
                </c:pt>
                <c:pt idx="276" formatCode="General;General;;">
                  <c:v>889</c:v>
                </c:pt>
                <c:pt idx="277" formatCode="General;General;;">
                  <c:v>881</c:v>
                </c:pt>
                <c:pt idx="278" formatCode="General;General;;">
                  <c:v>869</c:v>
                </c:pt>
                <c:pt idx="279" formatCode="General;General;;">
                  <c:v>841</c:v>
                </c:pt>
                <c:pt idx="280" formatCode="General;General;;">
                  <c:v>817</c:v>
                </c:pt>
                <c:pt idx="281" formatCode="General;General;;">
                  <c:v>809</c:v>
                </c:pt>
                <c:pt idx="282" formatCode="General;General;;">
                  <c:v>809</c:v>
                </c:pt>
                <c:pt idx="283" formatCode="General;General;;">
                  <c:v>809</c:v>
                </c:pt>
                <c:pt idx="284" formatCode="General;General;;">
                  <c:v>809</c:v>
                </c:pt>
                <c:pt idx="285" formatCode="General;General;;">
                  <c:v>804</c:v>
                </c:pt>
                <c:pt idx="286" formatCode="General;General;;">
                  <c:v>787</c:v>
                </c:pt>
                <c:pt idx="287" formatCode="General;General;;">
                  <c:v>766</c:v>
                </c:pt>
                <c:pt idx="288" formatCode="General;General;;">
                  <c:v>754</c:v>
                </c:pt>
                <c:pt idx="289" formatCode="General;General;;">
                  <c:v>754</c:v>
                </c:pt>
                <c:pt idx="290" formatCode="General;General;;">
                  <c:v>754</c:v>
                </c:pt>
                <c:pt idx="291" formatCode="General;General;;">
                  <c:v>747</c:v>
                </c:pt>
                <c:pt idx="292" formatCode="General;General;;">
                  <c:v>762</c:v>
                </c:pt>
                <c:pt idx="293" formatCode="General;General;;">
                  <c:v>780</c:v>
                </c:pt>
                <c:pt idx="294" formatCode="General;General;;">
                  <c:v>786</c:v>
                </c:pt>
                <c:pt idx="295" formatCode="General;General;;">
                  <c:v>774</c:v>
                </c:pt>
                <c:pt idx="296" formatCode="General;General;;">
                  <c:v>774</c:v>
                </c:pt>
                <c:pt idx="297" formatCode="General;General;;">
                  <c:v>774</c:v>
                </c:pt>
                <c:pt idx="298" formatCode="General;General;;">
                  <c:v>759</c:v>
                </c:pt>
                <c:pt idx="299" formatCode="General;General;;">
                  <c:v>739</c:v>
                </c:pt>
                <c:pt idx="300" formatCode="General;General;;">
                  <c:v>736</c:v>
                </c:pt>
                <c:pt idx="301" formatCode="General;General;;">
                  <c:v>728</c:v>
                </c:pt>
                <c:pt idx="302" formatCode="General;General;;">
                  <c:v>721</c:v>
                </c:pt>
                <c:pt idx="303" formatCode="General;General;;">
                  <c:v>721</c:v>
                </c:pt>
                <c:pt idx="304" formatCode="General;General;;">
                  <c:v>721</c:v>
                </c:pt>
                <c:pt idx="305" formatCode="General;General;;">
                  <c:v>706</c:v>
                </c:pt>
                <c:pt idx="306" formatCode="General;General;;">
                  <c:v>680</c:v>
                </c:pt>
                <c:pt idx="307" formatCode="General;General;;">
                  <c:v>657</c:v>
                </c:pt>
                <c:pt idx="308" formatCode="General;General;;">
                  <c:v>640</c:v>
                </c:pt>
                <c:pt idx="309" formatCode="General;General;;">
                  <c:v>631</c:v>
                </c:pt>
                <c:pt idx="310" formatCode="General;General;;">
                  <c:v>631</c:v>
                </c:pt>
                <c:pt idx="311" formatCode="General;General;;">
                  <c:v>631</c:v>
                </c:pt>
                <c:pt idx="312" formatCode="General;General;;">
                  <c:v>628</c:v>
                </c:pt>
                <c:pt idx="313" formatCode="General;General;;">
                  <c:v>622</c:v>
                </c:pt>
                <c:pt idx="314" formatCode="General;General;;">
                  <c:v>599</c:v>
                </c:pt>
                <c:pt idx="315" formatCode="General;General;;">
                  <c:v>579</c:v>
                </c:pt>
                <c:pt idx="316" formatCode="General;General;;">
                  <c:v>560</c:v>
                </c:pt>
                <c:pt idx="317" formatCode="General;General;;">
                  <c:v>560</c:v>
                </c:pt>
                <c:pt idx="318" formatCode="General;General;;">
                  <c:v>560</c:v>
                </c:pt>
                <c:pt idx="319" formatCode="General;General;;">
                  <c:v>550</c:v>
                </c:pt>
                <c:pt idx="320" formatCode="General;General;;">
                  <c:v>537</c:v>
                </c:pt>
                <c:pt idx="321" formatCode="General;General;;">
                  <c:v>519</c:v>
                </c:pt>
                <c:pt idx="322" formatCode="General;General;;">
                  <c:v>504</c:v>
                </c:pt>
                <c:pt idx="323" formatCode="General;General;;">
                  <c:v>498</c:v>
                </c:pt>
              </c:numCache>
            </c:numRef>
          </c:val>
          <c:smooth val="0"/>
        </c:ser>
        <c:dLbls>
          <c:showLegendKey val="0"/>
          <c:showVal val="0"/>
          <c:showCatName val="0"/>
          <c:showSerName val="0"/>
          <c:showPercent val="0"/>
          <c:showBubbleSize val="0"/>
        </c:dLbls>
        <c:marker val="1"/>
        <c:smooth val="0"/>
        <c:axId val="251189504"/>
        <c:axId val="102686720"/>
      </c:lineChart>
      <c:dateAx>
        <c:axId val="251189504"/>
        <c:scaling>
          <c:orientation val="minMax"/>
        </c:scaling>
        <c:delete val="0"/>
        <c:axPos val="b"/>
        <c:numFmt formatCode="m/d/yyyy" sourceLinked="1"/>
        <c:majorTickMark val="none"/>
        <c:minorTickMark val="none"/>
        <c:tickLblPos val="nextTo"/>
        <c:crossAx val="102686720"/>
        <c:crosses val="autoZero"/>
        <c:auto val="1"/>
        <c:lblOffset val="100"/>
        <c:baseTimeUnit val="days"/>
        <c:majorUnit val="1"/>
        <c:majorTimeUnit val="months"/>
      </c:dateAx>
      <c:valAx>
        <c:axId val="102686720"/>
        <c:scaling>
          <c:orientation val="minMax"/>
          <c:min val="200"/>
        </c:scaling>
        <c:delete val="0"/>
        <c:axPos val="l"/>
        <c:majorGridlines/>
        <c:numFmt formatCode="General" sourceLinked="1"/>
        <c:majorTickMark val="none"/>
        <c:minorTickMark val="none"/>
        <c:tickLblPos val="nextTo"/>
        <c:spPr>
          <a:ln w="9525">
            <a:noFill/>
          </a:ln>
        </c:spPr>
        <c:crossAx val="251189504"/>
        <c:crosses val="autoZero"/>
        <c:crossBetween val="between"/>
      </c:valAx>
    </c:plotArea>
    <c:legend>
      <c:legendPos val="b"/>
      <c:layout>
        <c:manualLayout>
          <c:xMode val="edge"/>
          <c:yMode val="edge"/>
          <c:x val="0.17875915702769746"/>
          <c:y val="0.81468709036139353"/>
          <c:w val="0.67318492074910874"/>
          <c:h val="0.18531279957980784"/>
        </c:manualLayout>
      </c:layout>
      <c:overlay val="0"/>
      <c:txPr>
        <a:bodyPr/>
        <a:lstStyle/>
        <a:p>
          <a:pPr rtl="0">
            <a:defRPr/>
          </a:pPr>
          <a:endParaRPr lang="zh-TW"/>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lineChart>
        <c:grouping val="standard"/>
        <c:varyColors val="0"/>
        <c:ser>
          <c:idx val="0"/>
          <c:order val="0"/>
          <c:tx>
            <c:strRef>
              <c:f>[Food_price_indices_data.xls]Monthly_deflated!$B$3</c:f>
              <c:strCache>
                <c:ptCount val="1"/>
                <c:pt idx="0">
                  <c:v>Food Price Index</c:v>
                </c:pt>
              </c:strCache>
            </c:strRef>
          </c:tx>
          <c:marker>
            <c:symbol val="none"/>
          </c:marker>
          <c:cat>
            <c:strRef>
              <c:f>[Food_price_indices_data.xls]Monthly_deflated!$A$292:$A$313</c:f>
              <c:strCache>
                <c:ptCount val="22"/>
                <c:pt idx="0">
                  <c:v>1/2014</c:v>
                </c:pt>
                <c:pt idx="1">
                  <c:v>2/2014</c:v>
                </c:pt>
                <c:pt idx="2">
                  <c:v>3/2014</c:v>
                </c:pt>
                <c:pt idx="3">
                  <c:v>4/2014</c:v>
                </c:pt>
                <c:pt idx="4">
                  <c:v>5/2014</c:v>
                </c:pt>
                <c:pt idx="5">
                  <c:v>6/2014</c:v>
                </c:pt>
                <c:pt idx="6">
                  <c:v>7/2014</c:v>
                </c:pt>
                <c:pt idx="7">
                  <c:v>8/2014</c:v>
                </c:pt>
                <c:pt idx="8">
                  <c:v>9/2014</c:v>
                </c:pt>
                <c:pt idx="9">
                  <c:v>10/2014</c:v>
                </c:pt>
                <c:pt idx="10">
                  <c:v>11/2014</c:v>
                </c:pt>
                <c:pt idx="11">
                  <c:v>12/2014</c:v>
                </c:pt>
                <c:pt idx="12">
                  <c:v>1/2015</c:v>
                </c:pt>
                <c:pt idx="13">
                  <c:v>2/2015</c:v>
                </c:pt>
                <c:pt idx="14">
                  <c:v>3/2015</c:v>
                </c:pt>
                <c:pt idx="15">
                  <c:v>4/2015</c:v>
                </c:pt>
                <c:pt idx="16">
                  <c:v>5/2015</c:v>
                </c:pt>
                <c:pt idx="17">
                  <c:v>6/2015</c:v>
                </c:pt>
                <c:pt idx="18">
                  <c:v>7/2015</c:v>
                </c:pt>
                <c:pt idx="19">
                  <c:v>8/2015</c:v>
                </c:pt>
                <c:pt idx="20">
                  <c:v>9/2015</c:v>
                </c:pt>
                <c:pt idx="21">
                  <c:v>10/2015</c:v>
                </c:pt>
              </c:strCache>
            </c:strRef>
          </c:cat>
          <c:val>
            <c:numRef>
              <c:f>[Food_price_indices_data.xls]Monthly_deflated!$B$292:$B$313</c:f>
              <c:numCache>
                <c:formatCode>0.0</c:formatCode>
                <c:ptCount val="22"/>
                <c:pt idx="0">
                  <c:v>153.08643647471234</c:v>
                </c:pt>
                <c:pt idx="1">
                  <c:v>157.15280782354444</c:v>
                </c:pt>
                <c:pt idx="2">
                  <c:v>161.05721385773361</c:v>
                </c:pt>
                <c:pt idx="3">
                  <c:v>159.34290993321076</c:v>
                </c:pt>
                <c:pt idx="4">
                  <c:v>158.50637881530886</c:v>
                </c:pt>
                <c:pt idx="5">
                  <c:v>157.38005102300556</c:v>
                </c:pt>
                <c:pt idx="6">
                  <c:v>153.89228986237427</c:v>
                </c:pt>
                <c:pt idx="7">
                  <c:v>149.3608599519556</c:v>
                </c:pt>
                <c:pt idx="8">
                  <c:v>145.14869049651352</c:v>
                </c:pt>
                <c:pt idx="9">
                  <c:v>145.20363518275946</c:v>
                </c:pt>
                <c:pt idx="10">
                  <c:v>144.09071194338782</c:v>
                </c:pt>
                <c:pt idx="11">
                  <c:v>139.99119357393462</c:v>
                </c:pt>
                <c:pt idx="12">
                  <c:v>134.38324255755649</c:v>
                </c:pt>
                <c:pt idx="13">
                  <c:v>132.03050732205941</c:v>
                </c:pt>
                <c:pt idx="14">
                  <c:v>128.81423001066938</c:v>
                </c:pt>
                <c:pt idx="15">
                  <c:v>126.47173746050682</c:v>
                </c:pt>
                <c:pt idx="16">
                  <c:v>125.5923741107524</c:v>
                </c:pt>
                <c:pt idx="17">
                  <c:v>123.8914665189357</c:v>
                </c:pt>
                <c:pt idx="18">
                  <c:v>123.30126305973214</c:v>
                </c:pt>
                <c:pt idx="19">
                  <c:v>116.42213592008045</c:v>
                </c:pt>
                <c:pt idx="20">
                  <c:v>117.08160596352113</c:v>
                </c:pt>
                <c:pt idx="21">
                  <c:v>121.65824694851415</c:v>
                </c:pt>
              </c:numCache>
            </c:numRef>
          </c:val>
          <c:smooth val="0"/>
        </c:ser>
        <c:dLbls>
          <c:showLegendKey val="0"/>
          <c:showVal val="0"/>
          <c:showCatName val="0"/>
          <c:showSerName val="0"/>
          <c:showPercent val="0"/>
          <c:showBubbleSize val="0"/>
        </c:dLbls>
        <c:marker val="1"/>
        <c:smooth val="0"/>
        <c:axId val="149422080"/>
        <c:axId val="149423616"/>
      </c:lineChart>
      <c:catAx>
        <c:axId val="149422080"/>
        <c:scaling>
          <c:orientation val="minMax"/>
        </c:scaling>
        <c:delete val="0"/>
        <c:axPos val="b"/>
        <c:numFmt formatCode="General" sourceLinked="0"/>
        <c:majorTickMark val="out"/>
        <c:minorTickMark val="none"/>
        <c:tickLblPos val="nextTo"/>
        <c:txPr>
          <a:bodyPr rot="-2700000"/>
          <a:lstStyle/>
          <a:p>
            <a:pPr>
              <a:defRPr/>
            </a:pPr>
            <a:endParaRPr lang="zh-TW"/>
          </a:p>
        </c:txPr>
        <c:crossAx val="149423616"/>
        <c:crosses val="autoZero"/>
        <c:auto val="1"/>
        <c:lblAlgn val="ctr"/>
        <c:lblOffset val="100"/>
        <c:tickLblSkip val="1"/>
        <c:noMultiLvlLbl val="0"/>
      </c:catAx>
      <c:valAx>
        <c:axId val="149423616"/>
        <c:scaling>
          <c:orientation val="minMax"/>
        </c:scaling>
        <c:delete val="0"/>
        <c:axPos val="l"/>
        <c:majorGridlines/>
        <c:numFmt formatCode="0.0" sourceLinked="1"/>
        <c:majorTickMark val="out"/>
        <c:minorTickMark val="none"/>
        <c:tickLblPos val="nextTo"/>
        <c:crossAx val="149422080"/>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lineChart>
        <c:grouping val="standard"/>
        <c:varyColors val="0"/>
        <c:ser>
          <c:idx val="0"/>
          <c:order val="0"/>
          <c:tx>
            <c:strRef>
              <c:f>'[igc_goi.xlsb]GOI &amp; Indices'!$A$1</c:f>
              <c:strCache>
                <c:ptCount val="1"/>
                <c:pt idx="0">
                  <c:v>IGC Grains and Oilseeds Index (GOI)</c:v>
                </c:pt>
              </c:strCache>
            </c:strRef>
          </c:tx>
          <c:marker>
            <c:symbol val="none"/>
          </c:marker>
          <c:cat>
            <c:numRef>
              <c:f>'[igc_goi.xlsb]GOI &amp; Indices'!$A$3657:$A$4146</c:f>
              <c:numCache>
                <c:formatCode>General</c:formatCode>
                <c:ptCount val="490"/>
                <c:pt idx="0" formatCode="m/d/yyyy">
                  <c:v>41640</c:v>
                </c:pt>
                <c:pt idx="22" formatCode="m/d/yyyy">
                  <c:v>41670</c:v>
                </c:pt>
                <c:pt idx="42" formatCode="m/d/yyyy">
                  <c:v>41698</c:v>
                </c:pt>
                <c:pt idx="63" formatCode="m/d/yyyy">
                  <c:v>41729</c:v>
                </c:pt>
                <c:pt idx="85" formatCode="m/d/yyyy">
                  <c:v>41759</c:v>
                </c:pt>
                <c:pt idx="107" formatCode="m/d/yyyy">
                  <c:v>41789</c:v>
                </c:pt>
                <c:pt idx="128" formatCode="m/d/yyyy">
                  <c:v>41820</c:v>
                </c:pt>
                <c:pt idx="151" formatCode="m/d/yyyy">
                  <c:v>41851</c:v>
                </c:pt>
                <c:pt idx="172" formatCode="m/d/yyyy">
                  <c:v>41882</c:v>
                </c:pt>
                <c:pt idx="194" formatCode="m/d/yyyy">
                  <c:v>41912</c:v>
                </c:pt>
                <c:pt idx="217" formatCode="m/d/yyyy">
                  <c:v>41943</c:v>
                </c:pt>
                <c:pt idx="237" formatCode="m/d/yyyy">
                  <c:v>41973</c:v>
                </c:pt>
                <c:pt idx="260" formatCode="m/d/yyyy">
                  <c:v>42004</c:v>
                </c:pt>
                <c:pt idx="282" formatCode="m/d/yyyy">
                  <c:v>42035</c:v>
                </c:pt>
                <c:pt idx="302" formatCode="m/d/yyyy">
                  <c:v>42063</c:v>
                </c:pt>
                <c:pt idx="324" formatCode="m/d/yyyy">
                  <c:v>42094</c:v>
                </c:pt>
                <c:pt idx="346" formatCode="m/d/yyyy">
                  <c:v>42124</c:v>
                </c:pt>
                <c:pt idx="367" formatCode="m/d/yyyy">
                  <c:v>42155</c:v>
                </c:pt>
                <c:pt idx="389" formatCode="m/d/yyyy">
                  <c:v>42185</c:v>
                </c:pt>
                <c:pt idx="412" formatCode="m/d/yyyy">
                  <c:v>42216</c:v>
                </c:pt>
                <c:pt idx="433" formatCode="m/d/yyyy">
                  <c:v>42247</c:v>
                </c:pt>
                <c:pt idx="455" formatCode="m/d/yyyy">
                  <c:v>42277</c:v>
                </c:pt>
                <c:pt idx="477" formatCode="m/d/yyyy">
                  <c:v>42308</c:v>
                </c:pt>
                <c:pt idx="478" formatCode="m/d/yyyy">
                  <c:v>42310</c:v>
                </c:pt>
                <c:pt idx="479" formatCode="m/d/yyyy">
                  <c:v>42311</c:v>
                </c:pt>
                <c:pt idx="480" formatCode="m/d/yyyy">
                  <c:v>42312</c:v>
                </c:pt>
                <c:pt idx="481" formatCode="m/d/yyyy">
                  <c:v>42313</c:v>
                </c:pt>
                <c:pt idx="482" formatCode="m/d/yyyy">
                  <c:v>42314</c:v>
                </c:pt>
                <c:pt idx="483" formatCode="m/d/yyyy">
                  <c:v>42317</c:v>
                </c:pt>
                <c:pt idx="484" formatCode="m/d/yyyy">
                  <c:v>42318</c:v>
                </c:pt>
                <c:pt idx="485" formatCode="m/d/yyyy">
                  <c:v>42319</c:v>
                </c:pt>
                <c:pt idx="486" formatCode="m/d/yyyy">
                  <c:v>42320</c:v>
                </c:pt>
                <c:pt idx="487" formatCode="m/d/yyyy">
                  <c:v>42321</c:v>
                </c:pt>
                <c:pt idx="488" formatCode="m/d/yyyy">
                  <c:v>42324</c:v>
                </c:pt>
                <c:pt idx="489" formatCode="m/d/yyyy">
                  <c:v>42325</c:v>
                </c:pt>
              </c:numCache>
            </c:numRef>
          </c:cat>
          <c:val>
            <c:numRef>
              <c:f>'[igc_goi.xlsb]GOI &amp; Indices'!$B$3657:$B$4146</c:f>
              <c:numCache>
                <c:formatCode>0</c:formatCode>
                <c:ptCount val="490"/>
                <c:pt idx="0">
                  <c:v>251.73999999999998</c:v>
                </c:pt>
                <c:pt idx="1">
                  <c:v>249.36</c:v>
                </c:pt>
                <c:pt idx="2">
                  <c:v>250.05</c:v>
                </c:pt>
                <c:pt idx="3">
                  <c:v>250.20999999999998</c:v>
                </c:pt>
                <c:pt idx="4">
                  <c:v>249.79</c:v>
                </c:pt>
                <c:pt idx="5">
                  <c:v>248.75</c:v>
                </c:pt>
                <c:pt idx="6">
                  <c:v>248.37</c:v>
                </c:pt>
                <c:pt idx="7">
                  <c:v>250.2</c:v>
                </c:pt>
                <c:pt idx="8">
                  <c:v>250.55</c:v>
                </c:pt>
                <c:pt idx="9">
                  <c:v>251.87</c:v>
                </c:pt>
                <c:pt idx="10">
                  <c:v>251.76999999999998</c:v>
                </c:pt>
                <c:pt idx="11">
                  <c:v>252.09</c:v>
                </c:pt>
                <c:pt idx="12">
                  <c:v>252.08</c:v>
                </c:pt>
                <c:pt idx="13">
                  <c:v>252.07</c:v>
                </c:pt>
                <c:pt idx="14">
                  <c:v>249.02</c:v>
                </c:pt>
                <c:pt idx="15">
                  <c:v>249.1</c:v>
                </c:pt>
                <c:pt idx="16">
                  <c:v>249.49</c:v>
                </c:pt>
                <c:pt idx="17">
                  <c:v>250.46</c:v>
                </c:pt>
                <c:pt idx="18">
                  <c:v>250.8</c:v>
                </c:pt>
                <c:pt idx="19">
                  <c:v>250.23999999999998</c:v>
                </c:pt>
                <c:pt idx="20">
                  <c:v>248.02</c:v>
                </c:pt>
                <c:pt idx="21">
                  <c:v>248.39000000000001</c:v>
                </c:pt>
                <c:pt idx="22">
                  <c:v>248.37</c:v>
                </c:pt>
                <c:pt idx="23">
                  <c:v>249.76</c:v>
                </c:pt>
                <c:pt idx="24">
                  <c:v>252.46</c:v>
                </c:pt>
                <c:pt idx="25">
                  <c:v>253.07</c:v>
                </c:pt>
                <c:pt idx="26">
                  <c:v>254.18</c:v>
                </c:pt>
                <c:pt idx="27">
                  <c:v>252.95000000000005</c:v>
                </c:pt>
                <c:pt idx="28">
                  <c:v>252.92000000000004</c:v>
                </c:pt>
                <c:pt idx="29">
                  <c:v>253.8</c:v>
                </c:pt>
                <c:pt idx="30">
                  <c:v>252.68</c:v>
                </c:pt>
                <c:pt idx="31">
                  <c:v>255.70999999999998</c:v>
                </c:pt>
                <c:pt idx="32">
                  <c:v>255.58</c:v>
                </c:pt>
                <c:pt idx="33">
                  <c:v>256.01</c:v>
                </c:pt>
                <c:pt idx="34">
                  <c:v>259.33</c:v>
                </c:pt>
                <c:pt idx="35">
                  <c:v>259.38</c:v>
                </c:pt>
                <c:pt idx="36">
                  <c:v>259.55</c:v>
                </c:pt>
                <c:pt idx="37">
                  <c:v>259.54000000000002</c:v>
                </c:pt>
                <c:pt idx="38">
                  <c:v>260.58999999999986</c:v>
                </c:pt>
                <c:pt idx="39">
                  <c:v>262.20999999999987</c:v>
                </c:pt>
                <c:pt idx="40">
                  <c:v>262.36</c:v>
                </c:pt>
                <c:pt idx="41">
                  <c:v>260.27</c:v>
                </c:pt>
                <c:pt idx="42">
                  <c:v>262.87</c:v>
                </c:pt>
                <c:pt idx="43">
                  <c:v>264.45</c:v>
                </c:pt>
                <c:pt idx="44">
                  <c:v>266</c:v>
                </c:pt>
                <c:pt idx="45">
                  <c:v>266.97000000000003</c:v>
                </c:pt>
                <c:pt idx="46">
                  <c:v>269.70999999999987</c:v>
                </c:pt>
                <c:pt idx="47">
                  <c:v>271.77999999999986</c:v>
                </c:pt>
                <c:pt idx="48">
                  <c:v>267.62</c:v>
                </c:pt>
                <c:pt idx="49">
                  <c:v>267.63</c:v>
                </c:pt>
                <c:pt idx="50">
                  <c:v>261.86</c:v>
                </c:pt>
                <c:pt idx="51">
                  <c:v>262.36</c:v>
                </c:pt>
                <c:pt idx="52">
                  <c:v>262.08999999999986</c:v>
                </c:pt>
                <c:pt idx="53">
                  <c:v>261.66000000000008</c:v>
                </c:pt>
                <c:pt idx="54">
                  <c:v>265.08</c:v>
                </c:pt>
                <c:pt idx="55">
                  <c:v>267.3</c:v>
                </c:pt>
                <c:pt idx="56">
                  <c:v>267.01</c:v>
                </c:pt>
                <c:pt idx="57">
                  <c:v>263.66000000000008</c:v>
                </c:pt>
                <c:pt idx="58">
                  <c:v>266.02</c:v>
                </c:pt>
                <c:pt idx="59">
                  <c:v>266.18</c:v>
                </c:pt>
                <c:pt idx="60">
                  <c:v>265.95999999999987</c:v>
                </c:pt>
                <c:pt idx="61">
                  <c:v>266.32</c:v>
                </c:pt>
                <c:pt idx="62">
                  <c:v>265.5</c:v>
                </c:pt>
                <c:pt idx="63">
                  <c:v>268.39999999999986</c:v>
                </c:pt>
                <c:pt idx="64">
                  <c:v>269.47000000000003</c:v>
                </c:pt>
                <c:pt idx="65">
                  <c:v>265.8</c:v>
                </c:pt>
                <c:pt idx="66">
                  <c:v>267.5</c:v>
                </c:pt>
                <c:pt idx="67">
                  <c:v>266.92999999999989</c:v>
                </c:pt>
                <c:pt idx="68">
                  <c:v>265.97000000000003</c:v>
                </c:pt>
                <c:pt idx="69">
                  <c:v>267.86</c:v>
                </c:pt>
                <c:pt idx="70">
                  <c:v>268</c:v>
                </c:pt>
                <c:pt idx="71">
                  <c:v>266.7</c:v>
                </c:pt>
                <c:pt idx="72">
                  <c:v>265.05</c:v>
                </c:pt>
                <c:pt idx="73">
                  <c:v>266.9799999999999</c:v>
                </c:pt>
                <c:pt idx="74">
                  <c:v>269.94</c:v>
                </c:pt>
                <c:pt idx="75">
                  <c:v>270.16000000000008</c:v>
                </c:pt>
                <c:pt idx="76">
                  <c:v>269.39999999999986</c:v>
                </c:pt>
                <c:pt idx="77">
                  <c:v>269.17</c:v>
                </c:pt>
                <c:pt idx="78">
                  <c:v>266.66000000000008</c:v>
                </c:pt>
                <c:pt idx="79">
                  <c:v>265.62</c:v>
                </c:pt>
                <c:pt idx="80">
                  <c:v>265.18</c:v>
                </c:pt>
                <c:pt idx="81">
                  <c:v>266.33</c:v>
                </c:pt>
                <c:pt idx="82">
                  <c:v>268.77</c:v>
                </c:pt>
                <c:pt idx="83">
                  <c:v>269.70999999999987</c:v>
                </c:pt>
                <c:pt idx="84">
                  <c:v>271.58999999999986</c:v>
                </c:pt>
                <c:pt idx="85">
                  <c:v>272.3</c:v>
                </c:pt>
                <c:pt idx="86">
                  <c:v>266.67</c:v>
                </c:pt>
                <c:pt idx="87">
                  <c:v>268.41000000000003</c:v>
                </c:pt>
                <c:pt idx="88">
                  <c:v>267.52999999999986</c:v>
                </c:pt>
                <c:pt idx="89">
                  <c:v>268.19</c:v>
                </c:pt>
                <c:pt idx="90">
                  <c:v>266.92999999999989</c:v>
                </c:pt>
                <c:pt idx="91">
                  <c:v>269.51</c:v>
                </c:pt>
                <c:pt idx="92">
                  <c:v>271.17</c:v>
                </c:pt>
                <c:pt idx="93">
                  <c:v>269.16000000000008</c:v>
                </c:pt>
                <c:pt idx="94">
                  <c:v>270.67</c:v>
                </c:pt>
                <c:pt idx="95">
                  <c:v>269.83</c:v>
                </c:pt>
                <c:pt idx="96">
                  <c:v>266.20999999999987</c:v>
                </c:pt>
                <c:pt idx="97">
                  <c:v>265.44</c:v>
                </c:pt>
                <c:pt idx="98">
                  <c:v>267.69</c:v>
                </c:pt>
                <c:pt idx="99">
                  <c:v>266.28999999999991</c:v>
                </c:pt>
                <c:pt idx="100">
                  <c:v>268.62</c:v>
                </c:pt>
                <c:pt idx="101">
                  <c:v>269.39999999999986</c:v>
                </c:pt>
                <c:pt idx="102">
                  <c:v>268.6400000000001</c:v>
                </c:pt>
                <c:pt idx="103">
                  <c:v>268.4899999999999</c:v>
                </c:pt>
                <c:pt idx="104">
                  <c:v>265.32</c:v>
                </c:pt>
                <c:pt idx="105">
                  <c:v>265.22000000000003</c:v>
                </c:pt>
                <c:pt idx="106">
                  <c:v>264.87</c:v>
                </c:pt>
                <c:pt idx="107">
                  <c:v>263.68</c:v>
                </c:pt>
                <c:pt idx="108">
                  <c:v>263.58</c:v>
                </c:pt>
                <c:pt idx="109">
                  <c:v>261.01</c:v>
                </c:pt>
                <c:pt idx="110">
                  <c:v>261.19</c:v>
                </c:pt>
                <c:pt idx="111">
                  <c:v>258.52</c:v>
                </c:pt>
                <c:pt idx="112">
                  <c:v>259.58</c:v>
                </c:pt>
                <c:pt idx="113">
                  <c:v>258.7</c:v>
                </c:pt>
                <c:pt idx="114">
                  <c:v>258.31</c:v>
                </c:pt>
                <c:pt idx="115">
                  <c:v>256.33</c:v>
                </c:pt>
                <c:pt idx="116">
                  <c:v>253.73</c:v>
                </c:pt>
                <c:pt idx="117">
                  <c:v>255.13</c:v>
                </c:pt>
                <c:pt idx="118">
                  <c:v>254.8</c:v>
                </c:pt>
                <c:pt idx="119">
                  <c:v>253.5</c:v>
                </c:pt>
                <c:pt idx="120">
                  <c:v>255.06</c:v>
                </c:pt>
                <c:pt idx="121">
                  <c:v>256.4899999999999</c:v>
                </c:pt>
                <c:pt idx="122">
                  <c:v>256.08</c:v>
                </c:pt>
                <c:pt idx="123">
                  <c:v>257.72000000000003</c:v>
                </c:pt>
                <c:pt idx="124">
                  <c:v>255.7</c:v>
                </c:pt>
                <c:pt idx="125">
                  <c:v>255.69</c:v>
                </c:pt>
                <c:pt idx="126">
                  <c:v>258.05</c:v>
                </c:pt>
                <c:pt idx="127">
                  <c:v>257.97000000000003</c:v>
                </c:pt>
                <c:pt idx="128">
                  <c:v>254.68</c:v>
                </c:pt>
                <c:pt idx="129">
                  <c:v>253.5</c:v>
                </c:pt>
                <c:pt idx="130">
                  <c:v>252.17</c:v>
                </c:pt>
                <c:pt idx="131">
                  <c:v>251.8</c:v>
                </c:pt>
                <c:pt idx="132">
                  <c:v>251.79</c:v>
                </c:pt>
                <c:pt idx="133">
                  <c:v>247.31</c:v>
                </c:pt>
                <c:pt idx="134">
                  <c:v>244.7</c:v>
                </c:pt>
                <c:pt idx="135">
                  <c:v>244.42000000000004</c:v>
                </c:pt>
                <c:pt idx="136">
                  <c:v>243.32000000000005</c:v>
                </c:pt>
                <c:pt idx="137">
                  <c:v>239.7</c:v>
                </c:pt>
                <c:pt idx="138">
                  <c:v>236.83</c:v>
                </c:pt>
                <c:pt idx="139">
                  <c:v>235.58</c:v>
                </c:pt>
                <c:pt idx="140">
                  <c:v>236.33</c:v>
                </c:pt>
                <c:pt idx="141">
                  <c:v>236.73999999999998</c:v>
                </c:pt>
                <c:pt idx="142">
                  <c:v>236.8</c:v>
                </c:pt>
                <c:pt idx="143">
                  <c:v>236.9</c:v>
                </c:pt>
                <c:pt idx="144">
                  <c:v>236.41</c:v>
                </c:pt>
                <c:pt idx="145">
                  <c:v>238.34</c:v>
                </c:pt>
                <c:pt idx="146">
                  <c:v>239.47</c:v>
                </c:pt>
                <c:pt idx="147">
                  <c:v>241.14</c:v>
                </c:pt>
                <c:pt idx="148">
                  <c:v>243.56</c:v>
                </c:pt>
                <c:pt idx="149">
                  <c:v>241.37</c:v>
                </c:pt>
                <c:pt idx="150">
                  <c:v>240.45000000000005</c:v>
                </c:pt>
                <c:pt idx="151">
                  <c:v>239.87</c:v>
                </c:pt>
                <c:pt idx="152">
                  <c:v>238.20999999999998</c:v>
                </c:pt>
                <c:pt idx="153">
                  <c:v>240.46</c:v>
                </c:pt>
                <c:pt idx="154">
                  <c:v>239.59</c:v>
                </c:pt>
                <c:pt idx="155">
                  <c:v>242.15</c:v>
                </c:pt>
                <c:pt idx="156">
                  <c:v>239.35000000000005</c:v>
                </c:pt>
                <c:pt idx="157">
                  <c:v>240.38000000000005</c:v>
                </c:pt>
                <c:pt idx="158">
                  <c:v>239.12</c:v>
                </c:pt>
                <c:pt idx="159">
                  <c:v>238</c:v>
                </c:pt>
                <c:pt idx="160">
                  <c:v>236.29</c:v>
                </c:pt>
                <c:pt idx="161">
                  <c:v>238.13</c:v>
                </c:pt>
                <c:pt idx="162">
                  <c:v>238.5</c:v>
                </c:pt>
                <c:pt idx="163">
                  <c:v>239.33</c:v>
                </c:pt>
                <c:pt idx="164">
                  <c:v>237.95000000000005</c:v>
                </c:pt>
                <c:pt idx="165">
                  <c:v>237.22</c:v>
                </c:pt>
                <c:pt idx="166">
                  <c:v>237.96</c:v>
                </c:pt>
                <c:pt idx="167">
                  <c:v>240.15</c:v>
                </c:pt>
                <c:pt idx="168">
                  <c:v>236.70999999999998</c:v>
                </c:pt>
                <c:pt idx="169">
                  <c:v>231.28</c:v>
                </c:pt>
                <c:pt idx="170">
                  <c:v>231.44</c:v>
                </c:pt>
                <c:pt idx="171">
                  <c:v>233.09</c:v>
                </c:pt>
                <c:pt idx="172">
                  <c:v>233.17</c:v>
                </c:pt>
                <c:pt idx="173">
                  <c:v>233.13</c:v>
                </c:pt>
                <c:pt idx="174">
                  <c:v>233.39000000000001</c:v>
                </c:pt>
                <c:pt idx="175">
                  <c:v>230.89000000000001</c:v>
                </c:pt>
                <c:pt idx="176">
                  <c:v>228.92000000000004</c:v>
                </c:pt>
                <c:pt idx="177">
                  <c:v>232.58</c:v>
                </c:pt>
                <c:pt idx="178">
                  <c:v>231.98000000000005</c:v>
                </c:pt>
                <c:pt idx="179">
                  <c:v>230.31</c:v>
                </c:pt>
                <c:pt idx="180">
                  <c:v>229.65</c:v>
                </c:pt>
                <c:pt idx="181">
                  <c:v>227.92000000000004</c:v>
                </c:pt>
                <c:pt idx="182">
                  <c:v>228.14</c:v>
                </c:pt>
                <c:pt idx="183">
                  <c:v>225.39000000000001</c:v>
                </c:pt>
                <c:pt idx="184">
                  <c:v>223.76</c:v>
                </c:pt>
                <c:pt idx="185">
                  <c:v>223.67</c:v>
                </c:pt>
                <c:pt idx="186">
                  <c:v>221.88000000000005</c:v>
                </c:pt>
                <c:pt idx="187">
                  <c:v>220.09</c:v>
                </c:pt>
                <c:pt idx="188">
                  <c:v>218.18</c:v>
                </c:pt>
                <c:pt idx="189">
                  <c:v>216.65</c:v>
                </c:pt>
                <c:pt idx="190">
                  <c:v>216.64</c:v>
                </c:pt>
                <c:pt idx="191">
                  <c:v>214.93</c:v>
                </c:pt>
                <c:pt idx="192">
                  <c:v>213.23999999999998</c:v>
                </c:pt>
                <c:pt idx="193">
                  <c:v>214.87</c:v>
                </c:pt>
                <c:pt idx="194">
                  <c:v>213.36</c:v>
                </c:pt>
                <c:pt idx="195">
                  <c:v>213.37</c:v>
                </c:pt>
                <c:pt idx="196">
                  <c:v>214.32000000000005</c:v>
                </c:pt>
                <c:pt idx="197">
                  <c:v>213.43</c:v>
                </c:pt>
                <c:pt idx="198">
                  <c:v>215.66</c:v>
                </c:pt>
                <c:pt idx="199">
                  <c:v>217.18</c:v>
                </c:pt>
                <c:pt idx="200">
                  <c:v>217.06</c:v>
                </c:pt>
                <c:pt idx="201">
                  <c:v>216.48000000000005</c:v>
                </c:pt>
                <c:pt idx="202">
                  <c:v>213.96</c:v>
                </c:pt>
                <c:pt idx="203">
                  <c:v>216.55</c:v>
                </c:pt>
                <c:pt idx="204">
                  <c:v>218.73999999999998</c:v>
                </c:pt>
                <c:pt idx="205">
                  <c:v>217.97</c:v>
                </c:pt>
                <c:pt idx="206">
                  <c:v>219.48000000000005</c:v>
                </c:pt>
                <c:pt idx="207">
                  <c:v>217.6</c:v>
                </c:pt>
                <c:pt idx="208">
                  <c:v>217.63</c:v>
                </c:pt>
                <c:pt idx="209">
                  <c:v>219.98000000000005</c:v>
                </c:pt>
                <c:pt idx="210">
                  <c:v>220.10999999999999</c:v>
                </c:pt>
                <c:pt idx="211">
                  <c:v>223.37</c:v>
                </c:pt>
                <c:pt idx="212">
                  <c:v>222</c:v>
                </c:pt>
                <c:pt idx="213">
                  <c:v>224.76</c:v>
                </c:pt>
                <c:pt idx="214">
                  <c:v>225.58</c:v>
                </c:pt>
                <c:pt idx="215">
                  <c:v>229.79</c:v>
                </c:pt>
                <c:pt idx="216">
                  <c:v>228.54</c:v>
                </c:pt>
                <c:pt idx="217">
                  <c:v>229.60999999999999</c:v>
                </c:pt>
                <c:pt idx="218">
                  <c:v>227.97</c:v>
                </c:pt>
                <c:pt idx="219">
                  <c:v>225.15</c:v>
                </c:pt>
                <c:pt idx="220">
                  <c:v>225.81</c:v>
                </c:pt>
                <c:pt idx="221">
                  <c:v>226.5</c:v>
                </c:pt>
                <c:pt idx="222">
                  <c:v>226.7</c:v>
                </c:pt>
                <c:pt idx="223">
                  <c:v>226.01</c:v>
                </c:pt>
                <c:pt idx="224">
                  <c:v>229.9</c:v>
                </c:pt>
                <c:pt idx="225">
                  <c:v>228.81</c:v>
                </c:pt>
                <c:pt idx="226">
                  <c:v>229.85000000000005</c:v>
                </c:pt>
                <c:pt idx="227">
                  <c:v>226.56</c:v>
                </c:pt>
                <c:pt idx="228">
                  <c:v>227.88000000000005</c:v>
                </c:pt>
                <c:pt idx="229">
                  <c:v>225.41</c:v>
                </c:pt>
                <c:pt idx="230">
                  <c:v>222.55</c:v>
                </c:pt>
                <c:pt idx="231">
                  <c:v>224.63</c:v>
                </c:pt>
                <c:pt idx="232">
                  <c:v>226.64</c:v>
                </c:pt>
                <c:pt idx="233">
                  <c:v>225.99</c:v>
                </c:pt>
                <c:pt idx="234">
                  <c:v>228.22</c:v>
                </c:pt>
                <c:pt idx="235">
                  <c:v>228.76</c:v>
                </c:pt>
                <c:pt idx="236">
                  <c:v>228.55</c:v>
                </c:pt>
                <c:pt idx="237">
                  <c:v>224.55</c:v>
                </c:pt>
                <c:pt idx="238">
                  <c:v>226.49</c:v>
                </c:pt>
                <c:pt idx="239">
                  <c:v>224.03</c:v>
                </c:pt>
                <c:pt idx="240">
                  <c:v>223.19</c:v>
                </c:pt>
                <c:pt idx="241">
                  <c:v>224.29</c:v>
                </c:pt>
                <c:pt idx="242">
                  <c:v>226.52</c:v>
                </c:pt>
                <c:pt idx="243">
                  <c:v>226.97</c:v>
                </c:pt>
                <c:pt idx="244">
                  <c:v>226.94</c:v>
                </c:pt>
                <c:pt idx="245">
                  <c:v>224.95000000000005</c:v>
                </c:pt>
                <c:pt idx="246">
                  <c:v>226.3</c:v>
                </c:pt>
                <c:pt idx="247">
                  <c:v>226.72</c:v>
                </c:pt>
                <c:pt idx="248">
                  <c:v>226.22</c:v>
                </c:pt>
                <c:pt idx="249">
                  <c:v>224.70999999999998</c:v>
                </c:pt>
                <c:pt idx="250">
                  <c:v>225.68</c:v>
                </c:pt>
                <c:pt idx="251">
                  <c:v>226.6</c:v>
                </c:pt>
                <c:pt idx="252">
                  <c:v>225.26999999999998</c:v>
                </c:pt>
                <c:pt idx="253">
                  <c:v>226.51</c:v>
                </c:pt>
                <c:pt idx="254">
                  <c:v>226.22</c:v>
                </c:pt>
                <c:pt idx="255">
                  <c:v>225</c:v>
                </c:pt>
                <c:pt idx="256">
                  <c:v>225.02</c:v>
                </c:pt>
                <c:pt idx="257">
                  <c:v>226.26</c:v>
                </c:pt>
                <c:pt idx="258">
                  <c:v>226.02</c:v>
                </c:pt>
                <c:pt idx="259">
                  <c:v>224.70999999999998</c:v>
                </c:pt>
                <c:pt idx="260">
                  <c:v>223.05</c:v>
                </c:pt>
                <c:pt idx="261">
                  <c:v>223.81</c:v>
                </c:pt>
                <c:pt idx="262">
                  <c:v>220.84</c:v>
                </c:pt>
                <c:pt idx="263">
                  <c:v>223.98000000000005</c:v>
                </c:pt>
                <c:pt idx="264">
                  <c:v>225.16</c:v>
                </c:pt>
                <c:pt idx="265">
                  <c:v>224.08</c:v>
                </c:pt>
                <c:pt idx="266">
                  <c:v>222.63</c:v>
                </c:pt>
                <c:pt idx="267">
                  <c:v>223.26</c:v>
                </c:pt>
                <c:pt idx="268">
                  <c:v>219.69</c:v>
                </c:pt>
                <c:pt idx="269">
                  <c:v>217.39000000000001</c:v>
                </c:pt>
                <c:pt idx="270">
                  <c:v>216.48000000000005</c:v>
                </c:pt>
                <c:pt idx="271">
                  <c:v>214.96</c:v>
                </c:pt>
                <c:pt idx="272">
                  <c:v>215.92000000000004</c:v>
                </c:pt>
                <c:pt idx="273">
                  <c:v>216.01</c:v>
                </c:pt>
                <c:pt idx="274">
                  <c:v>215.44</c:v>
                </c:pt>
                <c:pt idx="275">
                  <c:v>215.76</c:v>
                </c:pt>
                <c:pt idx="276">
                  <c:v>214.64</c:v>
                </c:pt>
                <c:pt idx="277">
                  <c:v>213.31</c:v>
                </c:pt>
                <c:pt idx="278">
                  <c:v>213.53</c:v>
                </c:pt>
                <c:pt idx="279">
                  <c:v>212.36</c:v>
                </c:pt>
                <c:pt idx="280">
                  <c:v>210.88000000000005</c:v>
                </c:pt>
                <c:pt idx="281">
                  <c:v>210.51</c:v>
                </c:pt>
                <c:pt idx="282">
                  <c:v>208.58</c:v>
                </c:pt>
                <c:pt idx="283">
                  <c:v>207.65</c:v>
                </c:pt>
                <c:pt idx="284">
                  <c:v>211.41</c:v>
                </c:pt>
                <c:pt idx="285">
                  <c:v>209.76999999999998</c:v>
                </c:pt>
                <c:pt idx="286">
                  <c:v>211.09</c:v>
                </c:pt>
                <c:pt idx="287">
                  <c:v>210.75</c:v>
                </c:pt>
                <c:pt idx="288">
                  <c:v>211.28</c:v>
                </c:pt>
                <c:pt idx="289">
                  <c:v>209.83</c:v>
                </c:pt>
                <c:pt idx="290">
                  <c:v>210.51</c:v>
                </c:pt>
                <c:pt idx="291">
                  <c:v>210.54</c:v>
                </c:pt>
                <c:pt idx="292">
                  <c:v>212.1</c:v>
                </c:pt>
                <c:pt idx="293">
                  <c:v>212.28</c:v>
                </c:pt>
                <c:pt idx="294">
                  <c:v>213.99</c:v>
                </c:pt>
                <c:pt idx="295">
                  <c:v>212.32000000000005</c:v>
                </c:pt>
                <c:pt idx="296">
                  <c:v>213.12</c:v>
                </c:pt>
                <c:pt idx="297">
                  <c:v>211.18</c:v>
                </c:pt>
                <c:pt idx="298">
                  <c:v>210.37</c:v>
                </c:pt>
                <c:pt idx="299">
                  <c:v>211.55</c:v>
                </c:pt>
                <c:pt idx="300">
                  <c:v>210.35000000000005</c:v>
                </c:pt>
                <c:pt idx="301">
                  <c:v>211.3</c:v>
                </c:pt>
                <c:pt idx="302">
                  <c:v>212.46</c:v>
                </c:pt>
                <c:pt idx="303">
                  <c:v>210.17</c:v>
                </c:pt>
                <c:pt idx="304">
                  <c:v>210.03</c:v>
                </c:pt>
                <c:pt idx="305">
                  <c:v>207.97</c:v>
                </c:pt>
                <c:pt idx="306">
                  <c:v>206.64</c:v>
                </c:pt>
                <c:pt idx="307">
                  <c:v>206.04</c:v>
                </c:pt>
                <c:pt idx="308">
                  <c:v>207.28</c:v>
                </c:pt>
                <c:pt idx="309">
                  <c:v>206.56</c:v>
                </c:pt>
                <c:pt idx="310">
                  <c:v>207.45000000000005</c:v>
                </c:pt>
                <c:pt idx="311">
                  <c:v>207.20999999999998</c:v>
                </c:pt>
                <c:pt idx="312">
                  <c:v>206</c:v>
                </c:pt>
                <c:pt idx="313">
                  <c:v>201.15</c:v>
                </c:pt>
                <c:pt idx="314">
                  <c:v>199.14</c:v>
                </c:pt>
                <c:pt idx="315">
                  <c:v>200.17</c:v>
                </c:pt>
                <c:pt idx="316">
                  <c:v>200.4</c:v>
                </c:pt>
                <c:pt idx="317">
                  <c:v>202.38000000000005</c:v>
                </c:pt>
                <c:pt idx="318">
                  <c:v>204.26</c:v>
                </c:pt>
                <c:pt idx="319">
                  <c:v>203.85000000000005</c:v>
                </c:pt>
                <c:pt idx="320">
                  <c:v>203.58</c:v>
                </c:pt>
                <c:pt idx="321">
                  <c:v>202.08</c:v>
                </c:pt>
                <c:pt idx="322">
                  <c:v>201.8</c:v>
                </c:pt>
                <c:pt idx="323">
                  <c:v>202.32000000000005</c:v>
                </c:pt>
                <c:pt idx="324">
                  <c:v>201.02</c:v>
                </c:pt>
                <c:pt idx="325">
                  <c:v>203.70999999999998</c:v>
                </c:pt>
                <c:pt idx="326">
                  <c:v>204.09</c:v>
                </c:pt>
                <c:pt idx="327">
                  <c:v>204.01</c:v>
                </c:pt>
                <c:pt idx="328">
                  <c:v>203.05</c:v>
                </c:pt>
                <c:pt idx="329">
                  <c:v>202.09</c:v>
                </c:pt>
                <c:pt idx="330">
                  <c:v>201.51</c:v>
                </c:pt>
                <c:pt idx="331">
                  <c:v>199.5</c:v>
                </c:pt>
                <c:pt idx="332">
                  <c:v>199.96</c:v>
                </c:pt>
                <c:pt idx="333">
                  <c:v>198.53</c:v>
                </c:pt>
                <c:pt idx="334">
                  <c:v>199.07</c:v>
                </c:pt>
                <c:pt idx="335">
                  <c:v>199.17</c:v>
                </c:pt>
                <c:pt idx="336">
                  <c:v>198.69</c:v>
                </c:pt>
                <c:pt idx="337">
                  <c:v>198.54</c:v>
                </c:pt>
                <c:pt idx="338">
                  <c:v>199.9</c:v>
                </c:pt>
                <c:pt idx="339">
                  <c:v>199.69</c:v>
                </c:pt>
                <c:pt idx="340">
                  <c:v>199.09</c:v>
                </c:pt>
                <c:pt idx="341">
                  <c:v>199.79</c:v>
                </c:pt>
                <c:pt idx="342">
                  <c:v>198.31</c:v>
                </c:pt>
                <c:pt idx="343">
                  <c:v>197.84</c:v>
                </c:pt>
                <c:pt idx="344">
                  <c:v>198.38000000000005</c:v>
                </c:pt>
                <c:pt idx="345">
                  <c:v>199.7</c:v>
                </c:pt>
                <c:pt idx="346">
                  <c:v>198.41</c:v>
                </c:pt>
                <c:pt idx="347">
                  <c:v>196.96</c:v>
                </c:pt>
                <c:pt idx="348">
                  <c:v>196.99</c:v>
                </c:pt>
                <c:pt idx="349">
                  <c:v>197.78</c:v>
                </c:pt>
                <c:pt idx="350">
                  <c:v>198.41</c:v>
                </c:pt>
                <c:pt idx="351">
                  <c:v>196.94</c:v>
                </c:pt>
                <c:pt idx="352">
                  <c:v>197.25</c:v>
                </c:pt>
                <c:pt idx="353">
                  <c:v>196.6</c:v>
                </c:pt>
                <c:pt idx="354">
                  <c:v>195.01</c:v>
                </c:pt>
                <c:pt idx="355">
                  <c:v>195.36</c:v>
                </c:pt>
                <c:pt idx="356">
                  <c:v>196.97</c:v>
                </c:pt>
                <c:pt idx="357">
                  <c:v>196.41</c:v>
                </c:pt>
                <c:pt idx="358">
                  <c:v>197.12</c:v>
                </c:pt>
                <c:pt idx="359">
                  <c:v>195.7</c:v>
                </c:pt>
                <c:pt idx="360">
                  <c:v>195.03</c:v>
                </c:pt>
                <c:pt idx="361">
                  <c:v>195.73</c:v>
                </c:pt>
                <c:pt idx="362">
                  <c:v>193.66</c:v>
                </c:pt>
                <c:pt idx="363">
                  <c:v>193.44</c:v>
                </c:pt>
                <c:pt idx="364">
                  <c:v>192.4</c:v>
                </c:pt>
                <c:pt idx="365">
                  <c:v>191.88000000000005</c:v>
                </c:pt>
                <c:pt idx="366">
                  <c:v>192</c:v>
                </c:pt>
                <c:pt idx="367">
                  <c:v>192.22</c:v>
                </c:pt>
                <c:pt idx="368">
                  <c:v>192.47</c:v>
                </c:pt>
                <c:pt idx="369">
                  <c:v>195.14</c:v>
                </c:pt>
                <c:pt idx="370">
                  <c:v>194.38000000000005</c:v>
                </c:pt>
                <c:pt idx="371">
                  <c:v>196.25</c:v>
                </c:pt>
                <c:pt idx="372">
                  <c:v>194.4</c:v>
                </c:pt>
                <c:pt idx="373">
                  <c:v>195.65</c:v>
                </c:pt>
                <c:pt idx="374">
                  <c:v>196.68</c:v>
                </c:pt>
                <c:pt idx="375">
                  <c:v>195.26999999999998</c:v>
                </c:pt>
                <c:pt idx="376">
                  <c:v>194.13</c:v>
                </c:pt>
                <c:pt idx="377">
                  <c:v>193.91</c:v>
                </c:pt>
                <c:pt idx="378">
                  <c:v>192.95000000000005</c:v>
                </c:pt>
                <c:pt idx="379">
                  <c:v>194.79</c:v>
                </c:pt>
                <c:pt idx="380">
                  <c:v>195.93006426888991</c:v>
                </c:pt>
                <c:pt idx="381">
                  <c:v>196.46</c:v>
                </c:pt>
                <c:pt idx="382">
                  <c:v>196.32000000000005</c:v>
                </c:pt>
                <c:pt idx="383">
                  <c:v>198.88000000000005</c:v>
                </c:pt>
                <c:pt idx="384">
                  <c:v>199.81</c:v>
                </c:pt>
                <c:pt idx="385">
                  <c:v>198.98000000000005</c:v>
                </c:pt>
                <c:pt idx="386">
                  <c:v>201.1</c:v>
                </c:pt>
                <c:pt idx="387">
                  <c:v>203.23</c:v>
                </c:pt>
                <c:pt idx="388">
                  <c:v>204.18</c:v>
                </c:pt>
                <c:pt idx="389">
                  <c:v>211.18</c:v>
                </c:pt>
                <c:pt idx="390">
                  <c:v>210.29</c:v>
                </c:pt>
                <c:pt idx="391">
                  <c:v>210.8</c:v>
                </c:pt>
                <c:pt idx="392">
                  <c:v>210.51</c:v>
                </c:pt>
                <c:pt idx="393">
                  <c:v>209.18</c:v>
                </c:pt>
                <c:pt idx="394">
                  <c:v>206.05</c:v>
                </c:pt>
                <c:pt idx="395">
                  <c:v>205.7</c:v>
                </c:pt>
                <c:pt idx="396">
                  <c:v>208.33</c:v>
                </c:pt>
                <c:pt idx="397">
                  <c:v>208.66</c:v>
                </c:pt>
                <c:pt idx="398">
                  <c:v>208.88000000000005</c:v>
                </c:pt>
                <c:pt idx="399">
                  <c:v>207.63</c:v>
                </c:pt>
                <c:pt idx="400">
                  <c:v>206.88000000000005</c:v>
                </c:pt>
                <c:pt idx="401">
                  <c:v>205.76</c:v>
                </c:pt>
                <c:pt idx="402">
                  <c:v>203.49</c:v>
                </c:pt>
                <c:pt idx="403">
                  <c:v>200.98000000000005</c:v>
                </c:pt>
                <c:pt idx="404">
                  <c:v>201.9</c:v>
                </c:pt>
                <c:pt idx="405">
                  <c:v>201.19</c:v>
                </c:pt>
                <c:pt idx="406">
                  <c:v>200.46</c:v>
                </c:pt>
                <c:pt idx="407">
                  <c:v>198.25</c:v>
                </c:pt>
                <c:pt idx="408">
                  <c:v>194.18</c:v>
                </c:pt>
                <c:pt idx="409">
                  <c:v>194.93</c:v>
                </c:pt>
                <c:pt idx="410">
                  <c:v>194.06</c:v>
                </c:pt>
                <c:pt idx="411">
                  <c:v>194.52</c:v>
                </c:pt>
                <c:pt idx="412">
                  <c:v>193.32000000000005</c:v>
                </c:pt>
                <c:pt idx="413">
                  <c:v>192.31</c:v>
                </c:pt>
                <c:pt idx="414">
                  <c:v>192.38000000000005</c:v>
                </c:pt>
                <c:pt idx="415">
                  <c:v>194.49</c:v>
                </c:pt>
                <c:pt idx="416">
                  <c:v>193.65</c:v>
                </c:pt>
                <c:pt idx="417">
                  <c:v>196.05</c:v>
                </c:pt>
                <c:pt idx="418">
                  <c:v>200.37</c:v>
                </c:pt>
                <c:pt idx="419">
                  <c:v>195.28</c:v>
                </c:pt>
                <c:pt idx="420">
                  <c:v>189.14</c:v>
                </c:pt>
                <c:pt idx="421">
                  <c:v>191.58</c:v>
                </c:pt>
                <c:pt idx="422">
                  <c:v>191.05</c:v>
                </c:pt>
                <c:pt idx="423">
                  <c:v>190.99</c:v>
                </c:pt>
                <c:pt idx="424">
                  <c:v>189.32000000000005</c:v>
                </c:pt>
                <c:pt idx="425">
                  <c:v>188.53</c:v>
                </c:pt>
                <c:pt idx="426">
                  <c:v>190.3</c:v>
                </c:pt>
                <c:pt idx="427">
                  <c:v>188.18</c:v>
                </c:pt>
                <c:pt idx="428">
                  <c:v>187.23</c:v>
                </c:pt>
                <c:pt idx="429">
                  <c:v>186.88000000000005</c:v>
                </c:pt>
                <c:pt idx="430">
                  <c:v>184.67</c:v>
                </c:pt>
                <c:pt idx="431">
                  <c:v>185.59</c:v>
                </c:pt>
                <c:pt idx="432">
                  <c:v>186.07</c:v>
                </c:pt>
                <c:pt idx="433">
                  <c:v>186.6</c:v>
                </c:pt>
                <c:pt idx="434">
                  <c:v>185.35000000000005</c:v>
                </c:pt>
                <c:pt idx="435">
                  <c:v>185.25</c:v>
                </c:pt>
                <c:pt idx="436">
                  <c:v>183.93</c:v>
                </c:pt>
                <c:pt idx="437">
                  <c:v>184.25</c:v>
                </c:pt>
                <c:pt idx="438">
                  <c:v>184.19</c:v>
                </c:pt>
                <c:pt idx="439">
                  <c:v>186.59</c:v>
                </c:pt>
                <c:pt idx="440">
                  <c:v>186.23999999999998</c:v>
                </c:pt>
                <c:pt idx="441">
                  <c:v>186.46</c:v>
                </c:pt>
                <c:pt idx="442">
                  <c:v>187.20999999999998</c:v>
                </c:pt>
                <c:pt idx="443">
                  <c:v>187.89000000000001</c:v>
                </c:pt>
                <c:pt idx="444">
                  <c:v>188.86</c:v>
                </c:pt>
                <c:pt idx="445">
                  <c:v>187.95000000000005</c:v>
                </c:pt>
                <c:pt idx="446">
                  <c:v>187.08</c:v>
                </c:pt>
                <c:pt idx="447">
                  <c:v>185.67</c:v>
                </c:pt>
                <c:pt idx="448">
                  <c:v>186.59</c:v>
                </c:pt>
                <c:pt idx="449">
                  <c:v>185.33</c:v>
                </c:pt>
                <c:pt idx="450">
                  <c:v>185.89000000000001</c:v>
                </c:pt>
                <c:pt idx="451">
                  <c:v>185.60999999999999</c:v>
                </c:pt>
                <c:pt idx="452">
                  <c:v>187.86385896843439</c:v>
                </c:pt>
                <c:pt idx="453">
                  <c:v>186.98000000000005</c:v>
                </c:pt>
                <c:pt idx="454">
                  <c:v>187.59</c:v>
                </c:pt>
                <c:pt idx="455">
                  <c:v>188.62</c:v>
                </c:pt>
                <c:pt idx="456">
                  <c:v>188.23999999999998</c:v>
                </c:pt>
                <c:pt idx="457">
                  <c:v>187.60999999999999</c:v>
                </c:pt>
                <c:pt idx="458">
                  <c:v>188.65</c:v>
                </c:pt>
                <c:pt idx="459">
                  <c:v>189.66</c:v>
                </c:pt>
                <c:pt idx="460">
                  <c:v>189.59</c:v>
                </c:pt>
                <c:pt idx="461">
                  <c:v>188.62</c:v>
                </c:pt>
                <c:pt idx="462">
                  <c:v>188.39000000000001</c:v>
                </c:pt>
                <c:pt idx="463">
                  <c:v>188.54</c:v>
                </c:pt>
                <c:pt idx="464">
                  <c:v>191.45000000000005</c:v>
                </c:pt>
                <c:pt idx="465">
                  <c:v>190.48000000000005</c:v>
                </c:pt>
                <c:pt idx="466">
                  <c:v>189.55</c:v>
                </c:pt>
                <c:pt idx="467">
                  <c:v>188.65</c:v>
                </c:pt>
                <c:pt idx="468">
                  <c:v>187.73999999999998</c:v>
                </c:pt>
                <c:pt idx="469">
                  <c:v>188.33</c:v>
                </c:pt>
                <c:pt idx="470">
                  <c:v>189.57</c:v>
                </c:pt>
                <c:pt idx="471">
                  <c:v>188.78</c:v>
                </c:pt>
                <c:pt idx="472">
                  <c:v>188.47</c:v>
                </c:pt>
                <c:pt idx="473">
                  <c:v>188.64</c:v>
                </c:pt>
                <c:pt idx="474">
                  <c:v>188.84</c:v>
                </c:pt>
                <c:pt idx="475">
                  <c:v>187.62</c:v>
                </c:pt>
                <c:pt idx="476">
                  <c:v>187.73</c:v>
                </c:pt>
                <c:pt idx="477">
                  <c:v>188.88000000000005</c:v>
                </c:pt>
                <c:pt idx="478">
                  <c:v>187.01</c:v>
                </c:pt>
                <c:pt idx="479">
                  <c:v>187.49</c:v>
                </c:pt>
                <c:pt idx="480">
                  <c:v>188.03</c:v>
                </c:pt>
                <c:pt idx="481">
                  <c:v>186.37</c:v>
                </c:pt>
                <c:pt idx="482">
                  <c:v>186.38000000000005</c:v>
                </c:pt>
                <c:pt idx="483">
                  <c:v>185.52</c:v>
                </c:pt>
                <c:pt idx="484">
                  <c:v>183.76</c:v>
                </c:pt>
                <c:pt idx="485">
                  <c:v>184.4</c:v>
                </c:pt>
                <c:pt idx="486">
                  <c:v>184.60999999999999</c:v>
                </c:pt>
                <c:pt idx="487">
                  <c:v>183.26999999999998</c:v>
                </c:pt>
                <c:pt idx="488">
                  <c:v>183.29</c:v>
                </c:pt>
                <c:pt idx="489">
                  <c:v>183.62</c:v>
                </c:pt>
              </c:numCache>
            </c:numRef>
          </c:val>
          <c:smooth val="0"/>
        </c:ser>
        <c:dLbls>
          <c:showLegendKey val="0"/>
          <c:showVal val="0"/>
          <c:showCatName val="0"/>
          <c:showSerName val="0"/>
          <c:showPercent val="0"/>
          <c:showBubbleSize val="0"/>
        </c:dLbls>
        <c:marker val="1"/>
        <c:smooth val="0"/>
        <c:axId val="257049344"/>
        <c:axId val="257050880"/>
      </c:lineChart>
      <c:dateAx>
        <c:axId val="257049344"/>
        <c:scaling>
          <c:orientation val="minMax"/>
        </c:scaling>
        <c:delete val="0"/>
        <c:axPos val="b"/>
        <c:numFmt formatCode="m/d/yyyy" sourceLinked="1"/>
        <c:majorTickMark val="out"/>
        <c:minorTickMark val="none"/>
        <c:tickLblPos val="nextTo"/>
        <c:txPr>
          <a:bodyPr rot="-2400000"/>
          <a:lstStyle/>
          <a:p>
            <a:pPr>
              <a:defRPr/>
            </a:pPr>
            <a:endParaRPr lang="zh-TW"/>
          </a:p>
        </c:txPr>
        <c:crossAx val="257050880"/>
        <c:crosses val="autoZero"/>
        <c:auto val="1"/>
        <c:lblOffset val="100"/>
        <c:baseTimeUnit val="days"/>
      </c:dateAx>
      <c:valAx>
        <c:axId val="257050880"/>
        <c:scaling>
          <c:orientation val="minMax"/>
        </c:scaling>
        <c:delete val="0"/>
        <c:axPos val="l"/>
        <c:majorGridlines/>
        <c:numFmt formatCode="0" sourceLinked="1"/>
        <c:majorTickMark val="out"/>
        <c:minorTickMark val="none"/>
        <c:tickLblPos val="nextTo"/>
        <c:crossAx val="257049344"/>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587251850744696E-2"/>
          <c:y val="4.4068869095343424E-2"/>
          <c:w val="0.87217946139172464"/>
          <c:h val="0.63455928001215467"/>
        </c:manualLayout>
      </c:layout>
      <c:lineChart>
        <c:grouping val="standard"/>
        <c:varyColors val="0"/>
        <c:ser>
          <c:idx val="0"/>
          <c:order val="0"/>
          <c:tx>
            <c:strRef>
              <c:f>黃豆、黃豆油、黃豆粉!$I$1</c:f>
              <c:strCache>
                <c:ptCount val="1"/>
                <c:pt idx="0">
                  <c:v>黃豆芝加哥CBOT近月期貨收盤價(美元/公噸)</c:v>
                </c:pt>
              </c:strCache>
            </c:strRef>
          </c:tx>
          <c:spPr>
            <a:ln>
              <a:prstDash val="sysDash"/>
            </a:ln>
          </c:spPr>
          <c:marker>
            <c:symbol val="none"/>
          </c:marker>
          <c:cat>
            <c:numRef>
              <c:f>黃豆、黃豆油、黃豆粉!$H$216:$H$539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黃豆、黃豆油、黃豆粉!$I$216:$I$539</c:f>
              <c:numCache>
                <c:formatCode>General;General;;</c:formatCode>
                <c:ptCount val="324"/>
                <c:pt idx="0">
                  <c:v>374.51016224999989</c:v>
                </c:pt>
                <c:pt idx="1">
                  <c:v>368.3555925</c:v>
                </c:pt>
                <c:pt idx="2">
                  <c:v>368.3555925</c:v>
                </c:pt>
                <c:pt idx="3">
                  <c:v>368.3555925</c:v>
                </c:pt>
                <c:pt idx="4">
                  <c:v>382.04262074999997</c:v>
                </c:pt>
                <c:pt idx="5">
                  <c:v>386.17628699999995</c:v>
                </c:pt>
                <c:pt idx="6">
                  <c:v>386.81930174999985</c:v>
                </c:pt>
                <c:pt idx="7">
                  <c:v>383.97166499999986</c:v>
                </c:pt>
                <c:pt idx="8">
                  <c:v>386.36000549999994</c:v>
                </c:pt>
                <c:pt idx="9">
                  <c:v>386.36000549999994</c:v>
                </c:pt>
                <c:pt idx="10">
                  <c:v>386.36000549999994</c:v>
                </c:pt>
                <c:pt idx="11">
                  <c:v>372.39739949999984</c:v>
                </c:pt>
                <c:pt idx="12">
                  <c:v>367.43699999999973</c:v>
                </c:pt>
                <c:pt idx="13">
                  <c:v>364.68122249999999</c:v>
                </c:pt>
                <c:pt idx="14">
                  <c:v>364.130067</c:v>
                </c:pt>
                <c:pt idx="15">
                  <c:v>364.40564474999985</c:v>
                </c:pt>
                <c:pt idx="16">
                  <c:v>364.40564474999985</c:v>
                </c:pt>
                <c:pt idx="17">
                  <c:v>364.40564474999985</c:v>
                </c:pt>
                <c:pt idx="18">
                  <c:v>364.40564474999985</c:v>
                </c:pt>
                <c:pt idx="19">
                  <c:v>360.82313399999975</c:v>
                </c:pt>
                <c:pt idx="20">
                  <c:v>361.37428949999992</c:v>
                </c:pt>
                <c:pt idx="21">
                  <c:v>358.89408974999986</c:v>
                </c:pt>
                <c:pt idx="22">
                  <c:v>357.42434174999977</c:v>
                </c:pt>
                <c:pt idx="23">
                  <c:v>357.42434174999977</c:v>
                </c:pt>
                <c:pt idx="24">
                  <c:v>357.42434174999977</c:v>
                </c:pt>
                <c:pt idx="25">
                  <c:v>361.37428949999992</c:v>
                </c:pt>
                <c:pt idx="26">
                  <c:v>357.79177874999965</c:v>
                </c:pt>
                <c:pt idx="27">
                  <c:v>356.50574924999984</c:v>
                </c:pt>
                <c:pt idx="28">
                  <c:v>355.77087524999985</c:v>
                </c:pt>
                <c:pt idx="29">
                  <c:v>353.10695699999985</c:v>
                </c:pt>
                <c:pt idx="30">
                  <c:v>353.10695699999985</c:v>
                </c:pt>
                <c:pt idx="31">
                  <c:v>353.10695699999985</c:v>
                </c:pt>
                <c:pt idx="32">
                  <c:v>352.55580149999992</c:v>
                </c:pt>
                <c:pt idx="33">
                  <c:v>362.66031899999984</c:v>
                </c:pt>
                <c:pt idx="34">
                  <c:v>357.14876399999991</c:v>
                </c:pt>
                <c:pt idx="35">
                  <c:v>360.54755624999984</c:v>
                </c:pt>
                <c:pt idx="36">
                  <c:v>357.69991949999985</c:v>
                </c:pt>
                <c:pt idx="37">
                  <c:v>357.69991949999985</c:v>
                </c:pt>
                <c:pt idx="38">
                  <c:v>357.69991949999985</c:v>
                </c:pt>
                <c:pt idx="39">
                  <c:v>359.53710449999988</c:v>
                </c:pt>
                <c:pt idx="40">
                  <c:v>356.04645299999999</c:v>
                </c:pt>
                <c:pt idx="41">
                  <c:v>359.26152674999975</c:v>
                </c:pt>
                <c:pt idx="42">
                  <c:v>361.46614874999977</c:v>
                </c:pt>
                <c:pt idx="43">
                  <c:v>363.94634849999983</c:v>
                </c:pt>
                <c:pt idx="44">
                  <c:v>363.94634849999983</c:v>
                </c:pt>
                <c:pt idx="45">
                  <c:v>363.94634849999983</c:v>
                </c:pt>
                <c:pt idx="46">
                  <c:v>363.94634849999983</c:v>
                </c:pt>
                <c:pt idx="47">
                  <c:v>370.28463674999989</c:v>
                </c:pt>
                <c:pt idx="48">
                  <c:v>365.87539274999983</c:v>
                </c:pt>
                <c:pt idx="49">
                  <c:v>370.10091824999984</c:v>
                </c:pt>
                <c:pt idx="50">
                  <c:v>367.16142224999999</c:v>
                </c:pt>
                <c:pt idx="51">
                  <c:v>367.16142224999999</c:v>
                </c:pt>
                <c:pt idx="52">
                  <c:v>367.16142224999999</c:v>
                </c:pt>
                <c:pt idx="53">
                  <c:v>367.16142224999999</c:v>
                </c:pt>
                <c:pt idx="54">
                  <c:v>373.31599199999999</c:v>
                </c:pt>
                <c:pt idx="55">
                  <c:v>370.28463674999989</c:v>
                </c:pt>
                <c:pt idx="56">
                  <c:v>376.25548799999996</c:v>
                </c:pt>
                <c:pt idx="57">
                  <c:v>378.7356877499999</c:v>
                </c:pt>
                <c:pt idx="58">
                  <c:v>378.7356877499999</c:v>
                </c:pt>
                <c:pt idx="59">
                  <c:v>378.7356877499999</c:v>
                </c:pt>
                <c:pt idx="60">
                  <c:v>371.57066624999999</c:v>
                </c:pt>
                <c:pt idx="61">
                  <c:v>370.65207375</c:v>
                </c:pt>
                <c:pt idx="62">
                  <c:v>363.39519299999989</c:v>
                </c:pt>
                <c:pt idx="63">
                  <c:v>359.81268225000002</c:v>
                </c:pt>
                <c:pt idx="64">
                  <c:v>359.81268225000002</c:v>
                </c:pt>
                <c:pt idx="65">
                  <c:v>359.81268225000002</c:v>
                </c:pt>
                <c:pt idx="66">
                  <c:v>359.81268225000002</c:v>
                </c:pt>
                <c:pt idx="67">
                  <c:v>363.11961524999987</c:v>
                </c:pt>
                <c:pt idx="68">
                  <c:v>360.08825999999976</c:v>
                </c:pt>
                <c:pt idx="69">
                  <c:v>363.39519299999989</c:v>
                </c:pt>
                <c:pt idx="70">
                  <c:v>362.47660049999985</c:v>
                </c:pt>
                <c:pt idx="71">
                  <c:v>357.88363799999991</c:v>
                </c:pt>
                <c:pt idx="72">
                  <c:v>357.88363799999991</c:v>
                </c:pt>
                <c:pt idx="73">
                  <c:v>357.88363799999991</c:v>
                </c:pt>
                <c:pt idx="74">
                  <c:v>356.13831224999973</c:v>
                </c:pt>
                <c:pt idx="75">
                  <c:v>350.71861649999988</c:v>
                </c:pt>
                <c:pt idx="76">
                  <c:v>354.57670499999989</c:v>
                </c:pt>
                <c:pt idx="77">
                  <c:v>353.38253474999988</c:v>
                </c:pt>
                <c:pt idx="78">
                  <c:v>357.79177874999965</c:v>
                </c:pt>
                <c:pt idx="79">
                  <c:v>357.79177874999965</c:v>
                </c:pt>
                <c:pt idx="80">
                  <c:v>357.79177874999965</c:v>
                </c:pt>
                <c:pt idx="81">
                  <c:v>361.37428949999992</c:v>
                </c:pt>
                <c:pt idx="82">
                  <c:v>360.73127474999973</c:v>
                </c:pt>
                <c:pt idx="83">
                  <c:v>359.62896374999985</c:v>
                </c:pt>
                <c:pt idx="84">
                  <c:v>358.06735649999985</c:v>
                </c:pt>
                <c:pt idx="85">
                  <c:v>355.40343824999974</c:v>
                </c:pt>
                <c:pt idx="86">
                  <c:v>355.40343824999974</c:v>
                </c:pt>
                <c:pt idx="87">
                  <c:v>355.40343824999974</c:v>
                </c:pt>
                <c:pt idx="88">
                  <c:v>355.58715674999979</c:v>
                </c:pt>
                <c:pt idx="89">
                  <c:v>357.60806024999999</c:v>
                </c:pt>
                <c:pt idx="90">
                  <c:v>363.6707707499998</c:v>
                </c:pt>
                <c:pt idx="91">
                  <c:v>362.29288199999996</c:v>
                </c:pt>
                <c:pt idx="92">
                  <c:v>362.29288199999996</c:v>
                </c:pt>
                <c:pt idx="93">
                  <c:v>362.29288199999996</c:v>
                </c:pt>
                <c:pt idx="94">
                  <c:v>362.29288199999996</c:v>
                </c:pt>
                <c:pt idx="95">
                  <c:v>359.53710449999988</c:v>
                </c:pt>
                <c:pt idx="96">
                  <c:v>356.78132699999969</c:v>
                </c:pt>
                <c:pt idx="97">
                  <c:v>356.96504549999986</c:v>
                </c:pt>
                <c:pt idx="98">
                  <c:v>350.35117949999989</c:v>
                </c:pt>
                <c:pt idx="99">
                  <c:v>349.61630549999984</c:v>
                </c:pt>
                <c:pt idx="100">
                  <c:v>349.61630549999984</c:v>
                </c:pt>
                <c:pt idx="101">
                  <c:v>349.61630549999984</c:v>
                </c:pt>
                <c:pt idx="102">
                  <c:v>348.60585374999994</c:v>
                </c:pt>
                <c:pt idx="103">
                  <c:v>352.83137924999971</c:v>
                </c:pt>
                <c:pt idx="104">
                  <c:v>354.57670499999989</c:v>
                </c:pt>
                <c:pt idx="105">
                  <c:v>354.944142</c:v>
                </c:pt>
                <c:pt idx="106">
                  <c:v>355.95459374999984</c:v>
                </c:pt>
                <c:pt idx="107">
                  <c:v>355.95459374999984</c:v>
                </c:pt>
                <c:pt idx="108">
                  <c:v>355.95459374999984</c:v>
                </c:pt>
                <c:pt idx="109">
                  <c:v>359.16966750000012</c:v>
                </c:pt>
                <c:pt idx="110">
                  <c:v>358.34293424999993</c:v>
                </c:pt>
                <c:pt idx="111">
                  <c:v>356.59760849999986</c:v>
                </c:pt>
                <c:pt idx="112">
                  <c:v>359.4452452499998</c:v>
                </c:pt>
                <c:pt idx="113">
                  <c:v>356.32203074999984</c:v>
                </c:pt>
                <c:pt idx="114">
                  <c:v>356.32203074999984</c:v>
                </c:pt>
                <c:pt idx="115">
                  <c:v>356.32203074999984</c:v>
                </c:pt>
                <c:pt idx="116">
                  <c:v>357.51620099999991</c:v>
                </c:pt>
                <c:pt idx="117">
                  <c:v>359.16966750000012</c:v>
                </c:pt>
                <c:pt idx="118">
                  <c:v>363.21147449999984</c:v>
                </c:pt>
                <c:pt idx="119">
                  <c:v>359.53710449999988</c:v>
                </c:pt>
                <c:pt idx="120">
                  <c:v>355.86273449999999</c:v>
                </c:pt>
                <c:pt idx="121">
                  <c:v>355.86273449999999</c:v>
                </c:pt>
                <c:pt idx="122">
                  <c:v>355.86273449999999</c:v>
                </c:pt>
                <c:pt idx="123">
                  <c:v>361.19057099999986</c:v>
                </c:pt>
                <c:pt idx="124">
                  <c:v>365.04865949999999</c:v>
                </c:pt>
                <c:pt idx="125">
                  <c:v>363.94634849999983</c:v>
                </c:pt>
                <c:pt idx="126">
                  <c:v>360.63941549999993</c:v>
                </c:pt>
                <c:pt idx="127">
                  <c:v>361.74172650000003</c:v>
                </c:pt>
                <c:pt idx="128">
                  <c:v>361.74172650000003</c:v>
                </c:pt>
                <c:pt idx="129">
                  <c:v>361.74172650000003</c:v>
                </c:pt>
                <c:pt idx="130">
                  <c:v>361.19057099999986</c:v>
                </c:pt>
                <c:pt idx="131">
                  <c:v>355.31157899999988</c:v>
                </c:pt>
                <c:pt idx="132">
                  <c:v>358.25107499999984</c:v>
                </c:pt>
                <c:pt idx="133">
                  <c:v>353.84183099999996</c:v>
                </c:pt>
                <c:pt idx="134">
                  <c:v>350.25932024999986</c:v>
                </c:pt>
                <c:pt idx="135">
                  <c:v>350.25932024999986</c:v>
                </c:pt>
                <c:pt idx="136">
                  <c:v>350.25932024999986</c:v>
                </c:pt>
                <c:pt idx="137">
                  <c:v>350.71861649999988</c:v>
                </c:pt>
                <c:pt idx="138">
                  <c:v>347.68726124999995</c:v>
                </c:pt>
                <c:pt idx="139">
                  <c:v>345.85007624999986</c:v>
                </c:pt>
                <c:pt idx="140">
                  <c:v>344.83962450000001</c:v>
                </c:pt>
                <c:pt idx="141">
                  <c:v>339.60364724999999</c:v>
                </c:pt>
                <c:pt idx="142">
                  <c:v>339.60364724999999</c:v>
                </c:pt>
                <c:pt idx="143">
                  <c:v>339.60364724999999</c:v>
                </c:pt>
                <c:pt idx="144">
                  <c:v>339.60364724999999</c:v>
                </c:pt>
                <c:pt idx="145">
                  <c:v>338.96063249999986</c:v>
                </c:pt>
                <c:pt idx="146">
                  <c:v>340.61409900000001</c:v>
                </c:pt>
                <c:pt idx="147">
                  <c:v>340.24666200000001</c:v>
                </c:pt>
                <c:pt idx="148">
                  <c:v>343.18615799999975</c:v>
                </c:pt>
                <c:pt idx="149">
                  <c:v>343.18615799999975</c:v>
                </c:pt>
                <c:pt idx="150">
                  <c:v>343.18615799999975</c:v>
                </c:pt>
                <c:pt idx="151">
                  <c:v>340.24666200000001</c:v>
                </c:pt>
                <c:pt idx="152">
                  <c:v>345.66635774999975</c:v>
                </c:pt>
                <c:pt idx="153">
                  <c:v>343.64545424999994</c:v>
                </c:pt>
                <c:pt idx="154">
                  <c:v>347.77912049999986</c:v>
                </c:pt>
                <c:pt idx="155">
                  <c:v>344.56404674999999</c:v>
                </c:pt>
                <c:pt idx="156">
                  <c:v>344.56404674999999</c:v>
                </c:pt>
                <c:pt idx="157">
                  <c:v>344.56404674999999</c:v>
                </c:pt>
                <c:pt idx="158">
                  <c:v>346.95238724999984</c:v>
                </c:pt>
                <c:pt idx="159">
                  <c:v>349.61630549999984</c:v>
                </c:pt>
                <c:pt idx="160">
                  <c:v>348.88143149999985</c:v>
                </c:pt>
                <c:pt idx="161">
                  <c:v>345.39077999999984</c:v>
                </c:pt>
                <c:pt idx="162">
                  <c:v>345.39077999999984</c:v>
                </c:pt>
                <c:pt idx="163">
                  <c:v>345.39077999999984</c:v>
                </c:pt>
                <c:pt idx="164">
                  <c:v>345.39077999999984</c:v>
                </c:pt>
                <c:pt idx="165">
                  <c:v>344.56404674999999</c:v>
                </c:pt>
                <c:pt idx="166">
                  <c:v>351.82092749999993</c:v>
                </c:pt>
                <c:pt idx="167">
                  <c:v>356.04645299999999</c:v>
                </c:pt>
                <c:pt idx="168">
                  <c:v>359.26152674999975</c:v>
                </c:pt>
                <c:pt idx="169">
                  <c:v>356.96504549999986</c:v>
                </c:pt>
                <c:pt idx="170">
                  <c:v>356.96504549999986</c:v>
                </c:pt>
                <c:pt idx="171">
                  <c:v>356.96504549999986</c:v>
                </c:pt>
                <c:pt idx="172">
                  <c:v>363.57891149999983</c:v>
                </c:pt>
                <c:pt idx="173">
                  <c:v>362.84403749999996</c:v>
                </c:pt>
                <c:pt idx="174">
                  <c:v>360.73127474999973</c:v>
                </c:pt>
                <c:pt idx="175">
                  <c:v>367.52885924999975</c:v>
                </c:pt>
                <c:pt idx="176">
                  <c:v>368.17187399999995</c:v>
                </c:pt>
                <c:pt idx="177">
                  <c:v>368.17187399999995</c:v>
                </c:pt>
                <c:pt idx="178">
                  <c:v>368.17187399999995</c:v>
                </c:pt>
                <c:pt idx="179">
                  <c:v>368.3555925</c:v>
                </c:pt>
                <c:pt idx="180">
                  <c:v>388.10533124999984</c:v>
                </c:pt>
                <c:pt idx="181">
                  <c:v>383.60422799999998</c:v>
                </c:pt>
                <c:pt idx="182">
                  <c:v>384.06352424999989</c:v>
                </c:pt>
                <c:pt idx="183">
                  <c:v>384.06352424999989</c:v>
                </c:pt>
                <c:pt idx="184">
                  <c:v>384.06352424999989</c:v>
                </c:pt>
                <c:pt idx="185">
                  <c:v>384.06352424999989</c:v>
                </c:pt>
                <c:pt idx="186">
                  <c:v>379.83799874999988</c:v>
                </c:pt>
                <c:pt idx="187">
                  <c:v>368.17187399999995</c:v>
                </c:pt>
                <c:pt idx="188">
                  <c:v>369.73348124999984</c:v>
                </c:pt>
                <c:pt idx="189">
                  <c:v>381.30774674999981</c:v>
                </c:pt>
                <c:pt idx="190">
                  <c:v>383.42050949999975</c:v>
                </c:pt>
                <c:pt idx="191">
                  <c:v>383.42050949999975</c:v>
                </c:pt>
                <c:pt idx="192">
                  <c:v>383.42050949999975</c:v>
                </c:pt>
                <c:pt idx="193">
                  <c:v>384.06352424999989</c:v>
                </c:pt>
                <c:pt idx="194">
                  <c:v>381.767043</c:v>
                </c:pt>
                <c:pt idx="195">
                  <c:v>376.62292499999995</c:v>
                </c:pt>
                <c:pt idx="196">
                  <c:v>374.4183029999997</c:v>
                </c:pt>
                <c:pt idx="197">
                  <c:v>372.85669574999986</c:v>
                </c:pt>
                <c:pt idx="198">
                  <c:v>372.85669574999986</c:v>
                </c:pt>
                <c:pt idx="199">
                  <c:v>372.85669574999986</c:v>
                </c:pt>
                <c:pt idx="200">
                  <c:v>370.28463674999989</c:v>
                </c:pt>
                <c:pt idx="201">
                  <c:v>374.32644374999984</c:v>
                </c:pt>
                <c:pt idx="202">
                  <c:v>375.06131774999972</c:v>
                </c:pt>
                <c:pt idx="203">
                  <c:v>371.11136999999985</c:v>
                </c:pt>
                <c:pt idx="204">
                  <c:v>364.22192624999974</c:v>
                </c:pt>
                <c:pt idx="205">
                  <c:v>364.22192624999974</c:v>
                </c:pt>
                <c:pt idx="206">
                  <c:v>364.22192624999974</c:v>
                </c:pt>
                <c:pt idx="207">
                  <c:v>353.19881624999977</c:v>
                </c:pt>
                <c:pt idx="208">
                  <c:v>358.15921574999999</c:v>
                </c:pt>
                <c:pt idx="209">
                  <c:v>361.19057099999986</c:v>
                </c:pt>
                <c:pt idx="210">
                  <c:v>363.85448924999997</c:v>
                </c:pt>
                <c:pt idx="211">
                  <c:v>360.36383774999985</c:v>
                </c:pt>
                <c:pt idx="212">
                  <c:v>360.36383774999985</c:v>
                </c:pt>
                <c:pt idx="213">
                  <c:v>360.36383774999985</c:v>
                </c:pt>
                <c:pt idx="214">
                  <c:v>359.16966750000012</c:v>
                </c:pt>
                <c:pt idx="215">
                  <c:v>358.61851199999984</c:v>
                </c:pt>
                <c:pt idx="216">
                  <c:v>364.40564474999985</c:v>
                </c:pt>
                <c:pt idx="217">
                  <c:v>362.10916350000002</c:v>
                </c:pt>
                <c:pt idx="218">
                  <c:v>370.74393299999986</c:v>
                </c:pt>
                <c:pt idx="219">
                  <c:v>370.74393299999986</c:v>
                </c:pt>
                <c:pt idx="220">
                  <c:v>370.74393299999986</c:v>
                </c:pt>
                <c:pt idx="221">
                  <c:v>383.87980574999995</c:v>
                </c:pt>
                <c:pt idx="222">
                  <c:v>372.58111799999978</c:v>
                </c:pt>
                <c:pt idx="223">
                  <c:v>349.4325869999999</c:v>
                </c:pt>
                <c:pt idx="224">
                  <c:v>364.8649410000001</c:v>
                </c:pt>
                <c:pt idx="225">
                  <c:v>339.97108424999988</c:v>
                </c:pt>
                <c:pt idx="226">
                  <c:v>339.97108424999988</c:v>
                </c:pt>
                <c:pt idx="227">
                  <c:v>339.97108424999988</c:v>
                </c:pt>
                <c:pt idx="228">
                  <c:v>340.61409900000001</c:v>
                </c:pt>
                <c:pt idx="229">
                  <c:v>335.56184024999993</c:v>
                </c:pt>
                <c:pt idx="230">
                  <c:v>331.97932949999984</c:v>
                </c:pt>
                <c:pt idx="231">
                  <c:v>338.59319549999975</c:v>
                </c:pt>
                <c:pt idx="232">
                  <c:v>332.62234424999986</c:v>
                </c:pt>
                <c:pt idx="233">
                  <c:v>332.62234424999986</c:v>
                </c:pt>
                <c:pt idx="234">
                  <c:v>332.62234424999986</c:v>
                </c:pt>
                <c:pt idx="235">
                  <c:v>328.02938174999986</c:v>
                </c:pt>
                <c:pt idx="236">
                  <c:v>328.58053724999974</c:v>
                </c:pt>
                <c:pt idx="237">
                  <c:v>322.51782674999993</c:v>
                </c:pt>
                <c:pt idx="238">
                  <c:v>325.64104125</c:v>
                </c:pt>
                <c:pt idx="239">
                  <c:v>328.21310024999974</c:v>
                </c:pt>
                <c:pt idx="240">
                  <c:v>328.21310024999974</c:v>
                </c:pt>
                <c:pt idx="241">
                  <c:v>328.21310024999974</c:v>
                </c:pt>
                <c:pt idx="242">
                  <c:v>329.77470749999986</c:v>
                </c:pt>
                <c:pt idx="243">
                  <c:v>325.08988574999995</c:v>
                </c:pt>
                <c:pt idx="244">
                  <c:v>324.72244874999984</c:v>
                </c:pt>
                <c:pt idx="245">
                  <c:v>323.25270074999986</c:v>
                </c:pt>
                <c:pt idx="246">
                  <c:v>322.33410824999987</c:v>
                </c:pt>
                <c:pt idx="247">
                  <c:v>322.33410824999987</c:v>
                </c:pt>
                <c:pt idx="248">
                  <c:v>322.33410824999987</c:v>
                </c:pt>
                <c:pt idx="249">
                  <c:v>322.33410824999987</c:v>
                </c:pt>
                <c:pt idx="250">
                  <c:v>327.29450774999975</c:v>
                </c:pt>
                <c:pt idx="251">
                  <c:v>324.35501174999985</c:v>
                </c:pt>
                <c:pt idx="252">
                  <c:v>324.99802649999975</c:v>
                </c:pt>
                <c:pt idx="253">
                  <c:v>326.19219674999988</c:v>
                </c:pt>
                <c:pt idx="254">
                  <c:v>326.19219674999988</c:v>
                </c:pt>
                <c:pt idx="255">
                  <c:v>326.19219674999988</c:v>
                </c:pt>
                <c:pt idx="256">
                  <c:v>324.35501174999985</c:v>
                </c:pt>
                <c:pt idx="257">
                  <c:v>326.65149299999996</c:v>
                </c:pt>
                <c:pt idx="258">
                  <c:v>326.00847824999988</c:v>
                </c:pt>
                <c:pt idx="259">
                  <c:v>324.99802649999975</c:v>
                </c:pt>
                <c:pt idx="260">
                  <c:v>318.65973824999986</c:v>
                </c:pt>
                <c:pt idx="261">
                  <c:v>318.65973824999986</c:v>
                </c:pt>
                <c:pt idx="262">
                  <c:v>318.65973824999986</c:v>
                </c:pt>
                <c:pt idx="263">
                  <c:v>321.23179724999977</c:v>
                </c:pt>
                <c:pt idx="264">
                  <c:v>316.63883474999989</c:v>
                </c:pt>
                <c:pt idx="265">
                  <c:v>317.37370874999988</c:v>
                </c:pt>
                <c:pt idx="266">
                  <c:v>318.93531599999977</c:v>
                </c:pt>
                <c:pt idx="267">
                  <c:v>326.74335224999987</c:v>
                </c:pt>
                <c:pt idx="268">
                  <c:v>326.74335224999987</c:v>
                </c:pt>
                <c:pt idx="269">
                  <c:v>326.74335224999987</c:v>
                </c:pt>
                <c:pt idx="270">
                  <c:v>322.15038974999993</c:v>
                </c:pt>
                <c:pt idx="271">
                  <c:v>324.90616724999973</c:v>
                </c:pt>
                <c:pt idx="272">
                  <c:v>327.75380399999995</c:v>
                </c:pt>
                <c:pt idx="273">
                  <c:v>322.33410824999987</c:v>
                </c:pt>
                <c:pt idx="274">
                  <c:v>321.23179724999977</c:v>
                </c:pt>
                <c:pt idx="275">
                  <c:v>321.23179724999977</c:v>
                </c:pt>
                <c:pt idx="276">
                  <c:v>321.23179724999977</c:v>
                </c:pt>
                <c:pt idx="277">
                  <c:v>324.90616724999973</c:v>
                </c:pt>
                <c:pt idx="278">
                  <c:v>326.28405599999985</c:v>
                </c:pt>
                <c:pt idx="279">
                  <c:v>327.38636699999984</c:v>
                </c:pt>
                <c:pt idx="280">
                  <c:v>323.80385624999985</c:v>
                </c:pt>
                <c:pt idx="281">
                  <c:v>325.45732274999989</c:v>
                </c:pt>
                <c:pt idx="282">
                  <c:v>325.45732274999989</c:v>
                </c:pt>
                <c:pt idx="283">
                  <c:v>325.45732274999989</c:v>
                </c:pt>
                <c:pt idx="284">
                  <c:v>326.10033749999985</c:v>
                </c:pt>
                <c:pt idx="285">
                  <c:v>335.83741799999984</c:v>
                </c:pt>
                <c:pt idx="286">
                  <c:v>334.55138849999986</c:v>
                </c:pt>
                <c:pt idx="287">
                  <c:v>332.62234424999986</c:v>
                </c:pt>
                <c:pt idx="288">
                  <c:v>330.05028524999994</c:v>
                </c:pt>
                <c:pt idx="289">
                  <c:v>330.05028524999994</c:v>
                </c:pt>
                <c:pt idx="290">
                  <c:v>330.05028524999994</c:v>
                </c:pt>
                <c:pt idx="291">
                  <c:v>327.38636699999984</c:v>
                </c:pt>
                <c:pt idx="292">
                  <c:v>329.22355199999976</c:v>
                </c:pt>
                <c:pt idx="293">
                  <c:v>332.62234424999986</c:v>
                </c:pt>
                <c:pt idx="294">
                  <c:v>330.23400374999989</c:v>
                </c:pt>
                <c:pt idx="295">
                  <c:v>329.03983349999993</c:v>
                </c:pt>
                <c:pt idx="296">
                  <c:v>329.03983349999993</c:v>
                </c:pt>
                <c:pt idx="297">
                  <c:v>329.03983349999993</c:v>
                </c:pt>
                <c:pt idx="298">
                  <c:v>325.18174499999986</c:v>
                </c:pt>
                <c:pt idx="299">
                  <c:v>327.47822624999975</c:v>
                </c:pt>
                <c:pt idx="300">
                  <c:v>323.89571549999988</c:v>
                </c:pt>
                <c:pt idx="301">
                  <c:v>322.88526374999987</c:v>
                </c:pt>
                <c:pt idx="302">
                  <c:v>324.72244874999984</c:v>
                </c:pt>
                <c:pt idx="303">
                  <c:v>324.72244874999984</c:v>
                </c:pt>
                <c:pt idx="304">
                  <c:v>324.72244874999984</c:v>
                </c:pt>
                <c:pt idx="305">
                  <c:v>322.51782674999993</c:v>
                </c:pt>
                <c:pt idx="306">
                  <c:v>322.79340449999984</c:v>
                </c:pt>
                <c:pt idx="307">
                  <c:v>324.07943399999999</c:v>
                </c:pt>
                <c:pt idx="308">
                  <c:v>318.84345674999986</c:v>
                </c:pt>
                <c:pt idx="309">
                  <c:v>320.12948624999996</c:v>
                </c:pt>
                <c:pt idx="310">
                  <c:v>320.12948624999996</c:v>
                </c:pt>
                <c:pt idx="311">
                  <c:v>320.12948624999996</c:v>
                </c:pt>
                <c:pt idx="312">
                  <c:v>320.95621949999975</c:v>
                </c:pt>
                <c:pt idx="313">
                  <c:v>317.64928650000007</c:v>
                </c:pt>
                <c:pt idx="314">
                  <c:v>319.1190345</c:v>
                </c:pt>
                <c:pt idx="315">
                  <c:v>319.39461224999985</c:v>
                </c:pt>
                <c:pt idx="316">
                  <c:v>314.25049424999986</c:v>
                </c:pt>
                <c:pt idx="317">
                  <c:v>314.25049424999986</c:v>
                </c:pt>
                <c:pt idx="318">
                  <c:v>314.25049424999986</c:v>
                </c:pt>
                <c:pt idx="319">
                  <c:v>315.81210149999993</c:v>
                </c:pt>
                <c:pt idx="320">
                  <c:v>317.46556799999985</c:v>
                </c:pt>
                <c:pt idx="321">
                  <c:v>315.16908674999996</c:v>
                </c:pt>
                <c:pt idx="322">
                  <c:v>315.99581999999975</c:v>
                </c:pt>
                <c:pt idx="323">
                  <c:v>315.07722749999999</c:v>
                </c:pt>
              </c:numCache>
            </c:numRef>
          </c:val>
          <c:smooth val="0"/>
        </c:ser>
        <c:ser>
          <c:idx val="1"/>
          <c:order val="1"/>
          <c:tx>
            <c:strRef>
              <c:f>黃豆、黃豆油、黃豆粉!$J$1</c:f>
              <c:strCache>
                <c:ptCount val="1"/>
                <c:pt idx="0">
                  <c:v>黃豆 總豆 散裝碼頭自提 中盤價 (美元/公噸)</c:v>
                </c:pt>
              </c:strCache>
            </c:strRef>
          </c:tx>
          <c:marker>
            <c:symbol val="none"/>
          </c:marker>
          <c:cat>
            <c:numRef>
              <c:f>黃豆、黃豆油、黃豆粉!$H$216:$H$539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黃豆、黃豆油、黃豆粉!$J$216:$J$539</c:f>
              <c:numCache>
                <c:formatCode>General;General;;</c:formatCode>
                <c:ptCount val="324"/>
                <c:pt idx="0">
                  <c:v>553.3333333333336</c:v>
                </c:pt>
                <c:pt idx="1">
                  <c:v>553.3333333333336</c:v>
                </c:pt>
                <c:pt idx="2">
                  <c:v>553.3333333333336</c:v>
                </c:pt>
                <c:pt idx="3">
                  <c:v>553.3333333333336</c:v>
                </c:pt>
                <c:pt idx="4">
                  <c:v>553.3333333333336</c:v>
                </c:pt>
                <c:pt idx="5">
                  <c:v>553.3333333333336</c:v>
                </c:pt>
                <c:pt idx="6">
                  <c:v>553.3333333333336</c:v>
                </c:pt>
                <c:pt idx="7">
                  <c:v>553.3333333333336</c:v>
                </c:pt>
                <c:pt idx="8">
                  <c:v>553.3333333333336</c:v>
                </c:pt>
                <c:pt idx="9">
                  <c:v>553.3333333333336</c:v>
                </c:pt>
                <c:pt idx="10">
                  <c:v>553.3333333333336</c:v>
                </c:pt>
                <c:pt idx="11">
                  <c:v>553.3333333333336</c:v>
                </c:pt>
                <c:pt idx="12">
                  <c:v>550</c:v>
                </c:pt>
                <c:pt idx="13">
                  <c:v>550</c:v>
                </c:pt>
                <c:pt idx="14">
                  <c:v>550</c:v>
                </c:pt>
                <c:pt idx="15">
                  <c:v>550</c:v>
                </c:pt>
                <c:pt idx="16">
                  <c:v>550</c:v>
                </c:pt>
                <c:pt idx="17">
                  <c:v>550</c:v>
                </c:pt>
                <c:pt idx="18">
                  <c:v>546.66666666666663</c:v>
                </c:pt>
                <c:pt idx="19">
                  <c:v>546.66666666666663</c:v>
                </c:pt>
                <c:pt idx="20">
                  <c:v>536.66666666666674</c:v>
                </c:pt>
                <c:pt idx="21">
                  <c:v>536.66666666666674</c:v>
                </c:pt>
                <c:pt idx="22">
                  <c:v>536.66666666666674</c:v>
                </c:pt>
                <c:pt idx="23">
                  <c:v>536.66666666666674</c:v>
                </c:pt>
                <c:pt idx="24">
                  <c:v>536.66666666666674</c:v>
                </c:pt>
                <c:pt idx="25">
                  <c:v>533.3333333333336</c:v>
                </c:pt>
                <c:pt idx="26">
                  <c:v>530</c:v>
                </c:pt>
                <c:pt idx="27">
                  <c:v>530</c:v>
                </c:pt>
                <c:pt idx="28">
                  <c:v>530</c:v>
                </c:pt>
                <c:pt idx="29">
                  <c:v>530</c:v>
                </c:pt>
                <c:pt idx="30">
                  <c:v>530</c:v>
                </c:pt>
                <c:pt idx="31">
                  <c:v>530</c:v>
                </c:pt>
                <c:pt idx="32">
                  <c:v>530</c:v>
                </c:pt>
                <c:pt idx="33">
                  <c:v>526.66666666666663</c:v>
                </c:pt>
                <c:pt idx="34">
                  <c:v>523.3333333333336</c:v>
                </c:pt>
                <c:pt idx="35">
                  <c:v>523.3333333333336</c:v>
                </c:pt>
                <c:pt idx="36">
                  <c:v>520</c:v>
                </c:pt>
                <c:pt idx="37">
                  <c:v>520</c:v>
                </c:pt>
                <c:pt idx="38">
                  <c:v>520</c:v>
                </c:pt>
                <c:pt idx="39">
                  <c:v>516.66666666666663</c:v>
                </c:pt>
                <c:pt idx="40">
                  <c:v>510</c:v>
                </c:pt>
                <c:pt idx="41">
                  <c:v>510</c:v>
                </c:pt>
                <c:pt idx="42">
                  <c:v>510</c:v>
                </c:pt>
                <c:pt idx="43">
                  <c:v>506.66666666666686</c:v>
                </c:pt>
                <c:pt idx="44">
                  <c:v>506.66666666666686</c:v>
                </c:pt>
                <c:pt idx="45">
                  <c:v>506.66666666666686</c:v>
                </c:pt>
                <c:pt idx="46">
                  <c:v>510</c:v>
                </c:pt>
                <c:pt idx="47">
                  <c:v>510</c:v>
                </c:pt>
                <c:pt idx="48">
                  <c:v>510</c:v>
                </c:pt>
                <c:pt idx="49">
                  <c:v>510</c:v>
                </c:pt>
                <c:pt idx="50">
                  <c:v>510</c:v>
                </c:pt>
                <c:pt idx="51">
                  <c:v>510</c:v>
                </c:pt>
                <c:pt idx="52">
                  <c:v>510</c:v>
                </c:pt>
                <c:pt idx="53">
                  <c:v>510</c:v>
                </c:pt>
                <c:pt idx="54">
                  <c:v>500</c:v>
                </c:pt>
                <c:pt idx="55">
                  <c:v>503.33333333333331</c:v>
                </c:pt>
                <c:pt idx="56">
                  <c:v>503.33333333333331</c:v>
                </c:pt>
                <c:pt idx="57">
                  <c:v>503.33333333333331</c:v>
                </c:pt>
                <c:pt idx="58">
                  <c:v>503.33333333333331</c:v>
                </c:pt>
                <c:pt idx="59">
                  <c:v>503.33333333333331</c:v>
                </c:pt>
                <c:pt idx="60">
                  <c:v>503.33333333333331</c:v>
                </c:pt>
                <c:pt idx="61">
                  <c:v>506.66666666666686</c:v>
                </c:pt>
                <c:pt idx="62">
                  <c:v>506.66666666666686</c:v>
                </c:pt>
                <c:pt idx="63">
                  <c:v>506.66666666666686</c:v>
                </c:pt>
                <c:pt idx="64">
                  <c:v>506.66666666666686</c:v>
                </c:pt>
                <c:pt idx="65">
                  <c:v>506.66666666666686</c:v>
                </c:pt>
                <c:pt idx="66">
                  <c:v>506.66666666666686</c:v>
                </c:pt>
                <c:pt idx="67">
                  <c:v>503.33333333333331</c:v>
                </c:pt>
                <c:pt idx="68">
                  <c:v>503.33333333333331</c:v>
                </c:pt>
                <c:pt idx="69">
                  <c:v>503.33333333333331</c:v>
                </c:pt>
                <c:pt idx="70">
                  <c:v>503.33333333333331</c:v>
                </c:pt>
                <c:pt idx="71">
                  <c:v>503.33333333333331</c:v>
                </c:pt>
                <c:pt idx="72">
                  <c:v>503.33333333333331</c:v>
                </c:pt>
                <c:pt idx="73">
                  <c:v>503.33333333333331</c:v>
                </c:pt>
                <c:pt idx="74">
                  <c:v>503.33333333333331</c:v>
                </c:pt>
                <c:pt idx="75">
                  <c:v>500</c:v>
                </c:pt>
                <c:pt idx="76">
                  <c:v>500</c:v>
                </c:pt>
                <c:pt idx="77">
                  <c:v>500</c:v>
                </c:pt>
                <c:pt idx="78">
                  <c:v>500</c:v>
                </c:pt>
                <c:pt idx="79">
                  <c:v>500</c:v>
                </c:pt>
                <c:pt idx="80">
                  <c:v>500</c:v>
                </c:pt>
                <c:pt idx="81">
                  <c:v>500</c:v>
                </c:pt>
                <c:pt idx="82">
                  <c:v>496.66666666666686</c:v>
                </c:pt>
                <c:pt idx="83">
                  <c:v>496.66666666666686</c:v>
                </c:pt>
                <c:pt idx="84">
                  <c:v>496.66666666666686</c:v>
                </c:pt>
                <c:pt idx="85">
                  <c:v>496.66666666666686</c:v>
                </c:pt>
                <c:pt idx="86">
                  <c:v>496.66666666666686</c:v>
                </c:pt>
                <c:pt idx="87">
                  <c:v>496.66666666666686</c:v>
                </c:pt>
                <c:pt idx="88">
                  <c:v>493.33333333333331</c:v>
                </c:pt>
                <c:pt idx="89">
                  <c:v>490</c:v>
                </c:pt>
                <c:pt idx="90">
                  <c:v>490</c:v>
                </c:pt>
                <c:pt idx="91">
                  <c:v>490</c:v>
                </c:pt>
                <c:pt idx="92">
                  <c:v>490</c:v>
                </c:pt>
                <c:pt idx="93">
                  <c:v>490</c:v>
                </c:pt>
                <c:pt idx="94">
                  <c:v>490</c:v>
                </c:pt>
                <c:pt idx="95">
                  <c:v>490</c:v>
                </c:pt>
                <c:pt idx="96">
                  <c:v>490</c:v>
                </c:pt>
                <c:pt idx="97">
                  <c:v>490</c:v>
                </c:pt>
                <c:pt idx="98">
                  <c:v>486.66666666666686</c:v>
                </c:pt>
                <c:pt idx="99">
                  <c:v>486.66666666666686</c:v>
                </c:pt>
                <c:pt idx="100">
                  <c:v>486.66666666666686</c:v>
                </c:pt>
                <c:pt idx="101">
                  <c:v>486.66666666666686</c:v>
                </c:pt>
                <c:pt idx="102">
                  <c:v>486.66666666666686</c:v>
                </c:pt>
                <c:pt idx="103">
                  <c:v>486.66666666666686</c:v>
                </c:pt>
                <c:pt idx="104">
                  <c:v>486.66666666666686</c:v>
                </c:pt>
                <c:pt idx="105">
                  <c:v>483.33333333333331</c:v>
                </c:pt>
                <c:pt idx="106">
                  <c:v>483.33333333333331</c:v>
                </c:pt>
                <c:pt idx="107">
                  <c:v>483.33333333333331</c:v>
                </c:pt>
                <c:pt idx="108">
                  <c:v>483.33333333333331</c:v>
                </c:pt>
                <c:pt idx="109">
                  <c:v>483.33333333333331</c:v>
                </c:pt>
                <c:pt idx="110">
                  <c:v>480</c:v>
                </c:pt>
                <c:pt idx="111">
                  <c:v>480</c:v>
                </c:pt>
                <c:pt idx="112">
                  <c:v>480</c:v>
                </c:pt>
                <c:pt idx="113">
                  <c:v>480</c:v>
                </c:pt>
                <c:pt idx="114">
                  <c:v>480</c:v>
                </c:pt>
                <c:pt idx="115">
                  <c:v>480</c:v>
                </c:pt>
                <c:pt idx="116">
                  <c:v>480</c:v>
                </c:pt>
                <c:pt idx="117">
                  <c:v>480</c:v>
                </c:pt>
                <c:pt idx="118">
                  <c:v>480</c:v>
                </c:pt>
                <c:pt idx="119">
                  <c:v>480</c:v>
                </c:pt>
                <c:pt idx="120">
                  <c:v>480</c:v>
                </c:pt>
                <c:pt idx="121">
                  <c:v>480</c:v>
                </c:pt>
                <c:pt idx="122">
                  <c:v>480</c:v>
                </c:pt>
                <c:pt idx="123">
                  <c:v>480</c:v>
                </c:pt>
                <c:pt idx="124">
                  <c:v>476.66666666666686</c:v>
                </c:pt>
                <c:pt idx="125">
                  <c:v>476.66666666666686</c:v>
                </c:pt>
                <c:pt idx="126">
                  <c:v>476.66666666666686</c:v>
                </c:pt>
                <c:pt idx="127">
                  <c:v>473.33333333333331</c:v>
                </c:pt>
                <c:pt idx="128">
                  <c:v>473.33333333333331</c:v>
                </c:pt>
                <c:pt idx="129">
                  <c:v>473.33333333333331</c:v>
                </c:pt>
                <c:pt idx="130">
                  <c:v>473.33333333333331</c:v>
                </c:pt>
                <c:pt idx="131">
                  <c:v>473.33333333333331</c:v>
                </c:pt>
                <c:pt idx="132">
                  <c:v>473.33333333333331</c:v>
                </c:pt>
                <c:pt idx="133">
                  <c:v>473.33333333333331</c:v>
                </c:pt>
                <c:pt idx="134">
                  <c:v>473.33333333333331</c:v>
                </c:pt>
                <c:pt idx="135">
                  <c:v>473.33333333333331</c:v>
                </c:pt>
                <c:pt idx="136">
                  <c:v>473.33333333333331</c:v>
                </c:pt>
                <c:pt idx="137">
                  <c:v>470</c:v>
                </c:pt>
                <c:pt idx="138">
                  <c:v>466.66666666666686</c:v>
                </c:pt>
                <c:pt idx="139">
                  <c:v>466.66666666666686</c:v>
                </c:pt>
                <c:pt idx="140">
                  <c:v>466.66666666666686</c:v>
                </c:pt>
                <c:pt idx="141">
                  <c:v>463.33333333333331</c:v>
                </c:pt>
                <c:pt idx="142">
                  <c:v>463.33333333333331</c:v>
                </c:pt>
                <c:pt idx="143">
                  <c:v>463.33333333333331</c:v>
                </c:pt>
                <c:pt idx="144">
                  <c:v>463.33333333333331</c:v>
                </c:pt>
                <c:pt idx="145">
                  <c:v>463.33333333333331</c:v>
                </c:pt>
                <c:pt idx="146">
                  <c:v>463.33333333333331</c:v>
                </c:pt>
                <c:pt idx="147">
                  <c:v>463.33333333333331</c:v>
                </c:pt>
                <c:pt idx="148">
                  <c:v>463.33333333333331</c:v>
                </c:pt>
                <c:pt idx="149">
                  <c:v>463.33333333333331</c:v>
                </c:pt>
                <c:pt idx="150">
                  <c:v>463.33333333333331</c:v>
                </c:pt>
                <c:pt idx="151">
                  <c:v>463.33333333333331</c:v>
                </c:pt>
                <c:pt idx="152">
                  <c:v>463.33333333333331</c:v>
                </c:pt>
                <c:pt idx="153">
                  <c:v>463.33333333333331</c:v>
                </c:pt>
                <c:pt idx="154">
                  <c:v>463.33333333333331</c:v>
                </c:pt>
                <c:pt idx="155">
                  <c:v>463.33333333333331</c:v>
                </c:pt>
                <c:pt idx="156">
                  <c:v>463.33333333333331</c:v>
                </c:pt>
                <c:pt idx="157">
                  <c:v>463.33333333333331</c:v>
                </c:pt>
                <c:pt idx="158">
                  <c:v>463.33333333333331</c:v>
                </c:pt>
                <c:pt idx="159">
                  <c:v>463.33333333333331</c:v>
                </c:pt>
                <c:pt idx="160">
                  <c:v>466.66666666666686</c:v>
                </c:pt>
                <c:pt idx="161">
                  <c:v>463.33333333333331</c:v>
                </c:pt>
                <c:pt idx="162">
                  <c:v>463.33333333333331</c:v>
                </c:pt>
                <c:pt idx="163">
                  <c:v>463.33333333333331</c:v>
                </c:pt>
                <c:pt idx="164">
                  <c:v>463.33333333333331</c:v>
                </c:pt>
                <c:pt idx="165">
                  <c:v>463.33333333333331</c:v>
                </c:pt>
                <c:pt idx="166">
                  <c:v>463.33333333333331</c:v>
                </c:pt>
                <c:pt idx="167">
                  <c:v>463.33333333333331</c:v>
                </c:pt>
                <c:pt idx="168">
                  <c:v>463.33333333333331</c:v>
                </c:pt>
                <c:pt idx="169">
                  <c:v>463.33333333333331</c:v>
                </c:pt>
                <c:pt idx="170">
                  <c:v>463.33333333333331</c:v>
                </c:pt>
                <c:pt idx="171">
                  <c:v>463.33333333333331</c:v>
                </c:pt>
                <c:pt idx="172">
                  <c:v>463.33333333333331</c:v>
                </c:pt>
                <c:pt idx="173">
                  <c:v>466.66666666666686</c:v>
                </c:pt>
                <c:pt idx="174">
                  <c:v>466.66666666666686</c:v>
                </c:pt>
                <c:pt idx="175">
                  <c:v>466.66666666666686</c:v>
                </c:pt>
                <c:pt idx="176">
                  <c:v>466.66666666666686</c:v>
                </c:pt>
                <c:pt idx="177">
                  <c:v>466.66666666666686</c:v>
                </c:pt>
                <c:pt idx="178">
                  <c:v>466.66666666666686</c:v>
                </c:pt>
                <c:pt idx="179">
                  <c:v>470</c:v>
                </c:pt>
                <c:pt idx="180">
                  <c:v>470</c:v>
                </c:pt>
                <c:pt idx="181">
                  <c:v>480</c:v>
                </c:pt>
                <c:pt idx="182">
                  <c:v>480</c:v>
                </c:pt>
                <c:pt idx="183">
                  <c:v>483.33333333333331</c:v>
                </c:pt>
                <c:pt idx="184">
                  <c:v>483.33333333333331</c:v>
                </c:pt>
                <c:pt idx="185">
                  <c:v>483.33333333333331</c:v>
                </c:pt>
                <c:pt idx="186">
                  <c:v>486.66666666666686</c:v>
                </c:pt>
                <c:pt idx="187">
                  <c:v>486.66666666666686</c:v>
                </c:pt>
                <c:pt idx="188">
                  <c:v>486.66666666666686</c:v>
                </c:pt>
                <c:pt idx="189">
                  <c:v>486.66666666666686</c:v>
                </c:pt>
                <c:pt idx="190">
                  <c:v>486.66666666666686</c:v>
                </c:pt>
                <c:pt idx="191">
                  <c:v>486.66666666666686</c:v>
                </c:pt>
                <c:pt idx="192">
                  <c:v>486.66666666666686</c:v>
                </c:pt>
                <c:pt idx="193">
                  <c:v>486.66666666666686</c:v>
                </c:pt>
                <c:pt idx="194">
                  <c:v>486.66666666666686</c:v>
                </c:pt>
                <c:pt idx="195">
                  <c:v>486.66666666666686</c:v>
                </c:pt>
                <c:pt idx="196">
                  <c:v>490</c:v>
                </c:pt>
                <c:pt idx="197">
                  <c:v>490</c:v>
                </c:pt>
                <c:pt idx="198">
                  <c:v>490</c:v>
                </c:pt>
                <c:pt idx="199">
                  <c:v>490</c:v>
                </c:pt>
                <c:pt idx="200">
                  <c:v>490</c:v>
                </c:pt>
                <c:pt idx="201">
                  <c:v>486.66666666666686</c:v>
                </c:pt>
                <c:pt idx="202">
                  <c:v>486.66666666666686</c:v>
                </c:pt>
                <c:pt idx="203">
                  <c:v>486.66666666666686</c:v>
                </c:pt>
                <c:pt idx="204">
                  <c:v>486.66666666666686</c:v>
                </c:pt>
                <c:pt idx="205">
                  <c:v>486.66666666666686</c:v>
                </c:pt>
                <c:pt idx="206">
                  <c:v>486.66666666666686</c:v>
                </c:pt>
                <c:pt idx="207">
                  <c:v>486.66666666666686</c:v>
                </c:pt>
                <c:pt idx="208">
                  <c:v>483.33333333333331</c:v>
                </c:pt>
                <c:pt idx="209">
                  <c:v>483.33333333333331</c:v>
                </c:pt>
                <c:pt idx="210">
                  <c:v>483.33333333333331</c:v>
                </c:pt>
                <c:pt idx="211">
                  <c:v>483.33333333333331</c:v>
                </c:pt>
                <c:pt idx="212">
                  <c:v>483.33333333333331</c:v>
                </c:pt>
                <c:pt idx="213">
                  <c:v>483.33333333333331</c:v>
                </c:pt>
                <c:pt idx="214">
                  <c:v>483.33333333333331</c:v>
                </c:pt>
                <c:pt idx="215">
                  <c:v>483.33333333333331</c:v>
                </c:pt>
                <c:pt idx="216">
                  <c:v>483.33333333333331</c:v>
                </c:pt>
                <c:pt idx="217">
                  <c:v>483.33333333333331</c:v>
                </c:pt>
                <c:pt idx="218">
                  <c:v>483.33333333333331</c:v>
                </c:pt>
                <c:pt idx="219">
                  <c:v>483.33333333333331</c:v>
                </c:pt>
                <c:pt idx="220">
                  <c:v>483.33333333333331</c:v>
                </c:pt>
                <c:pt idx="221">
                  <c:v>483.33333333333331</c:v>
                </c:pt>
                <c:pt idx="222">
                  <c:v>486.66666666666686</c:v>
                </c:pt>
                <c:pt idx="223">
                  <c:v>486.66666666666686</c:v>
                </c:pt>
                <c:pt idx="224">
                  <c:v>486.66666666666686</c:v>
                </c:pt>
                <c:pt idx="225">
                  <c:v>486.66666666666686</c:v>
                </c:pt>
                <c:pt idx="226">
                  <c:v>486.66666666666686</c:v>
                </c:pt>
                <c:pt idx="227">
                  <c:v>486.66666666666686</c:v>
                </c:pt>
                <c:pt idx="228">
                  <c:v>486.66666666666686</c:v>
                </c:pt>
                <c:pt idx="229">
                  <c:v>490</c:v>
                </c:pt>
                <c:pt idx="230">
                  <c:v>490</c:v>
                </c:pt>
                <c:pt idx="231">
                  <c:v>490</c:v>
                </c:pt>
                <c:pt idx="232">
                  <c:v>490</c:v>
                </c:pt>
                <c:pt idx="233">
                  <c:v>490</c:v>
                </c:pt>
                <c:pt idx="234">
                  <c:v>490</c:v>
                </c:pt>
                <c:pt idx="235">
                  <c:v>490</c:v>
                </c:pt>
                <c:pt idx="236">
                  <c:v>490</c:v>
                </c:pt>
                <c:pt idx="237">
                  <c:v>486.66666666666686</c:v>
                </c:pt>
                <c:pt idx="238">
                  <c:v>483.33333333333331</c:v>
                </c:pt>
                <c:pt idx="239">
                  <c:v>483.33333333333331</c:v>
                </c:pt>
                <c:pt idx="240">
                  <c:v>483.33333333333331</c:v>
                </c:pt>
                <c:pt idx="241">
                  <c:v>483.33333333333331</c:v>
                </c:pt>
                <c:pt idx="242">
                  <c:v>483.33333333333331</c:v>
                </c:pt>
                <c:pt idx="243">
                  <c:v>483.33333333333331</c:v>
                </c:pt>
                <c:pt idx="244">
                  <c:v>480</c:v>
                </c:pt>
                <c:pt idx="245">
                  <c:v>480</c:v>
                </c:pt>
                <c:pt idx="246">
                  <c:v>480</c:v>
                </c:pt>
                <c:pt idx="247">
                  <c:v>480</c:v>
                </c:pt>
                <c:pt idx="248">
                  <c:v>480</c:v>
                </c:pt>
                <c:pt idx="249">
                  <c:v>480</c:v>
                </c:pt>
                <c:pt idx="250">
                  <c:v>480</c:v>
                </c:pt>
                <c:pt idx="251">
                  <c:v>480</c:v>
                </c:pt>
                <c:pt idx="252">
                  <c:v>480</c:v>
                </c:pt>
                <c:pt idx="253">
                  <c:v>480</c:v>
                </c:pt>
                <c:pt idx="254">
                  <c:v>480</c:v>
                </c:pt>
                <c:pt idx="255">
                  <c:v>480</c:v>
                </c:pt>
                <c:pt idx="256">
                  <c:v>480</c:v>
                </c:pt>
                <c:pt idx="257">
                  <c:v>480</c:v>
                </c:pt>
                <c:pt idx="258">
                  <c:v>480</c:v>
                </c:pt>
                <c:pt idx="259">
                  <c:v>480</c:v>
                </c:pt>
                <c:pt idx="260">
                  <c:v>480</c:v>
                </c:pt>
                <c:pt idx="261">
                  <c:v>480</c:v>
                </c:pt>
                <c:pt idx="262">
                  <c:v>480</c:v>
                </c:pt>
                <c:pt idx="263">
                  <c:v>480</c:v>
                </c:pt>
                <c:pt idx="264">
                  <c:v>480</c:v>
                </c:pt>
                <c:pt idx="265">
                  <c:v>480</c:v>
                </c:pt>
                <c:pt idx="266">
                  <c:v>480</c:v>
                </c:pt>
                <c:pt idx="267">
                  <c:v>480</c:v>
                </c:pt>
                <c:pt idx="268">
                  <c:v>480</c:v>
                </c:pt>
                <c:pt idx="269">
                  <c:v>480</c:v>
                </c:pt>
                <c:pt idx="270">
                  <c:v>480</c:v>
                </c:pt>
                <c:pt idx="271">
                  <c:v>480</c:v>
                </c:pt>
                <c:pt idx="272">
                  <c:v>480</c:v>
                </c:pt>
                <c:pt idx="273">
                  <c:v>480</c:v>
                </c:pt>
                <c:pt idx="274">
                  <c:v>480</c:v>
                </c:pt>
                <c:pt idx="275">
                  <c:v>480</c:v>
                </c:pt>
                <c:pt idx="276">
                  <c:v>480</c:v>
                </c:pt>
                <c:pt idx="277">
                  <c:v>480</c:v>
                </c:pt>
                <c:pt idx="278">
                  <c:v>480</c:v>
                </c:pt>
                <c:pt idx="279">
                  <c:v>480</c:v>
                </c:pt>
                <c:pt idx="280">
                  <c:v>480</c:v>
                </c:pt>
                <c:pt idx="281">
                  <c:v>480</c:v>
                </c:pt>
                <c:pt idx="282">
                  <c:v>480</c:v>
                </c:pt>
                <c:pt idx="283">
                  <c:v>480</c:v>
                </c:pt>
                <c:pt idx="284">
                  <c:v>480</c:v>
                </c:pt>
                <c:pt idx="285">
                  <c:v>480</c:v>
                </c:pt>
                <c:pt idx="286">
                  <c:v>480</c:v>
                </c:pt>
                <c:pt idx="287">
                  <c:v>480</c:v>
                </c:pt>
                <c:pt idx="288">
                  <c:v>480</c:v>
                </c:pt>
                <c:pt idx="289">
                  <c:v>480</c:v>
                </c:pt>
                <c:pt idx="290">
                  <c:v>480</c:v>
                </c:pt>
                <c:pt idx="291">
                  <c:v>480</c:v>
                </c:pt>
                <c:pt idx="292">
                  <c:v>480</c:v>
                </c:pt>
                <c:pt idx="293">
                  <c:v>480</c:v>
                </c:pt>
                <c:pt idx="294">
                  <c:v>480</c:v>
                </c:pt>
                <c:pt idx="295">
                  <c:v>480</c:v>
                </c:pt>
                <c:pt idx="296">
                  <c:v>480</c:v>
                </c:pt>
                <c:pt idx="297">
                  <c:v>480</c:v>
                </c:pt>
                <c:pt idx="298">
                  <c:v>480</c:v>
                </c:pt>
                <c:pt idx="299">
                  <c:v>476.66666666666686</c:v>
                </c:pt>
                <c:pt idx="300">
                  <c:v>476.66666666666686</c:v>
                </c:pt>
                <c:pt idx="301">
                  <c:v>476.66666666666686</c:v>
                </c:pt>
                <c:pt idx="302">
                  <c:v>476.66666666666686</c:v>
                </c:pt>
                <c:pt idx="303">
                  <c:v>476.66666666666686</c:v>
                </c:pt>
                <c:pt idx="304">
                  <c:v>476.66666666666686</c:v>
                </c:pt>
                <c:pt idx="305">
                  <c:v>476.66666666666686</c:v>
                </c:pt>
                <c:pt idx="306">
                  <c:v>476.66666666666686</c:v>
                </c:pt>
                <c:pt idx="307">
                  <c:v>476.66666666666686</c:v>
                </c:pt>
                <c:pt idx="308">
                  <c:v>470</c:v>
                </c:pt>
                <c:pt idx="309">
                  <c:v>470</c:v>
                </c:pt>
                <c:pt idx="310">
                  <c:v>470</c:v>
                </c:pt>
                <c:pt idx="311">
                  <c:v>470</c:v>
                </c:pt>
                <c:pt idx="312">
                  <c:v>466.66666666666686</c:v>
                </c:pt>
                <c:pt idx="313">
                  <c:v>463.33333333333331</c:v>
                </c:pt>
                <c:pt idx="314">
                  <c:v>463.33333333333331</c:v>
                </c:pt>
                <c:pt idx="315">
                  <c:v>460</c:v>
                </c:pt>
                <c:pt idx="316">
                  <c:v>460</c:v>
                </c:pt>
                <c:pt idx="317">
                  <c:v>460</c:v>
                </c:pt>
                <c:pt idx="318">
                  <c:v>460</c:v>
                </c:pt>
                <c:pt idx="319">
                  <c:v>460</c:v>
                </c:pt>
                <c:pt idx="320">
                  <c:v>456.66666666666686</c:v>
                </c:pt>
                <c:pt idx="321">
                  <c:v>456.66666666666686</c:v>
                </c:pt>
                <c:pt idx="322">
                  <c:v>456.66666666666686</c:v>
                </c:pt>
                <c:pt idx="323">
                  <c:v>456.66666666666686</c:v>
                </c:pt>
              </c:numCache>
            </c:numRef>
          </c:val>
          <c:smooth val="0"/>
        </c:ser>
        <c:dLbls>
          <c:showLegendKey val="0"/>
          <c:showVal val="0"/>
          <c:showCatName val="0"/>
          <c:showSerName val="0"/>
          <c:showPercent val="0"/>
          <c:showBubbleSize val="0"/>
        </c:dLbls>
        <c:marker val="1"/>
        <c:smooth val="0"/>
        <c:axId val="257067648"/>
        <c:axId val="257515904"/>
      </c:lineChart>
      <c:dateAx>
        <c:axId val="257067648"/>
        <c:scaling>
          <c:orientation val="minMax"/>
          <c:max val="42328"/>
        </c:scaling>
        <c:delete val="0"/>
        <c:axPos val="b"/>
        <c:numFmt formatCode="m/d/yyyy" sourceLinked="1"/>
        <c:majorTickMark val="none"/>
        <c:minorTickMark val="none"/>
        <c:tickLblPos val="nextTo"/>
        <c:crossAx val="257515904"/>
        <c:crosses val="autoZero"/>
        <c:auto val="1"/>
        <c:lblOffset val="100"/>
        <c:baseTimeUnit val="days"/>
        <c:majorUnit val="1"/>
        <c:majorTimeUnit val="months"/>
        <c:minorUnit val="1"/>
        <c:minorTimeUnit val="months"/>
      </c:dateAx>
      <c:valAx>
        <c:axId val="257515904"/>
        <c:scaling>
          <c:orientation val="minMax"/>
          <c:min val="300"/>
        </c:scaling>
        <c:delete val="0"/>
        <c:axPos val="l"/>
        <c:majorGridlines/>
        <c:numFmt formatCode="General;General;;" sourceLinked="1"/>
        <c:majorTickMark val="none"/>
        <c:minorTickMark val="none"/>
        <c:tickLblPos val="nextTo"/>
        <c:spPr>
          <a:ln w="9525">
            <a:noFill/>
          </a:ln>
        </c:spPr>
        <c:crossAx val="257067648"/>
        <c:crosses val="autoZero"/>
        <c:crossBetween val="between"/>
        <c:majorUnit val="50"/>
      </c:valAx>
    </c:plotArea>
    <c:legend>
      <c:legendPos val="b"/>
      <c:layout>
        <c:manualLayout>
          <c:xMode val="edge"/>
          <c:yMode val="edge"/>
          <c:x val="9.5979978757934362E-2"/>
          <c:y val="0.85679822552312812"/>
          <c:w val="0.77095305427065952"/>
          <c:h val="0.12933954004643364"/>
        </c:manualLayout>
      </c:layout>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071741032370933E-2"/>
          <c:y val="5.1400554097404488E-2"/>
          <c:w val="0.86392825896762904"/>
          <c:h val="0.64435185185185184"/>
        </c:manualLayout>
      </c:layout>
      <c:lineChart>
        <c:grouping val="standard"/>
        <c:varyColors val="0"/>
        <c:ser>
          <c:idx val="0"/>
          <c:order val="0"/>
          <c:tx>
            <c:strRef>
              <c:f>小麥、玉米、糖!$I$1</c:f>
              <c:strCache>
                <c:ptCount val="1"/>
                <c:pt idx="0">
                  <c:v>小麥 芝加哥CBOT 近月期貨 收盤價(美元/公噸)</c:v>
                </c:pt>
              </c:strCache>
            </c:strRef>
          </c:tx>
          <c:spPr>
            <a:ln>
              <a:prstDash val="sysDash"/>
            </a:ln>
          </c:spPr>
          <c:marker>
            <c:symbol val="none"/>
          </c:marker>
          <c:cat>
            <c:numRef>
              <c:f>小麥、玉米、糖!$H$216:$H$539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小麥、玉米、糖!$I$216:$I$539</c:f>
              <c:numCache>
                <c:formatCode>General;General;;</c:formatCode>
                <c:ptCount val="324"/>
                <c:pt idx="0">
                  <c:v>216.69597074999999</c:v>
                </c:pt>
                <c:pt idx="1">
                  <c:v>213.57275625</c:v>
                </c:pt>
                <c:pt idx="2">
                  <c:v>213.57275625</c:v>
                </c:pt>
                <c:pt idx="3">
                  <c:v>213.57275625</c:v>
                </c:pt>
                <c:pt idx="4">
                  <c:v>216.42039300000002</c:v>
                </c:pt>
                <c:pt idx="5">
                  <c:v>217.43084475000001</c:v>
                </c:pt>
                <c:pt idx="6">
                  <c:v>212.92974150000001</c:v>
                </c:pt>
                <c:pt idx="7">
                  <c:v>208.33677900000001</c:v>
                </c:pt>
                <c:pt idx="8">
                  <c:v>207.14260874999999</c:v>
                </c:pt>
                <c:pt idx="9">
                  <c:v>207.14260874999999</c:v>
                </c:pt>
                <c:pt idx="10">
                  <c:v>207.14260874999999</c:v>
                </c:pt>
                <c:pt idx="11">
                  <c:v>204.11125349999998</c:v>
                </c:pt>
                <c:pt idx="12">
                  <c:v>201.35547600000004</c:v>
                </c:pt>
                <c:pt idx="13">
                  <c:v>197.58924675000003</c:v>
                </c:pt>
                <c:pt idx="14">
                  <c:v>195.75206175</c:v>
                </c:pt>
                <c:pt idx="15">
                  <c:v>195.75206175</c:v>
                </c:pt>
                <c:pt idx="16">
                  <c:v>195.75206175</c:v>
                </c:pt>
                <c:pt idx="17">
                  <c:v>195.75206175</c:v>
                </c:pt>
                <c:pt idx="18">
                  <c:v>195.75206175</c:v>
                </c:pt>
                <c:pt idx="19">
                  <c:v>197.31366899999998</c:v>
                </c:pt>
                <c:pt idx="20">
                  <c:v>197.22180975000001</c:v>
                </c:pt>
                <c:pt idx="21">
                  <c:v>196.11949874999999</c:v>
                </c:pt>
                <c:pt idx="22">
                  <c:v>194.74160999999998</c:v>
                </c:pt>
                <c:pt idx="23">
                  <c:v>194.74160999999998</c:v>
                </c:pt>
                <c:pt idx="24">
                  <c:v>194.74160999999998</c:v>
                </c:pt>
                <c:pt idx="25">
                  <c:v>191.25095849999997</c:v>
                </c:pt>
                <c:pt idx="26">
                  <c:v>190.69980299999995</c:v>
                </c:pt>
                <c:pt idx="27">
                  <c:v>185.64754424999998</c:v>
                </c:pt>
                <c:pt idx="28">
                  <c:v>186.56613675000003</c:v>
                </c:pt>
                <c:pt idx="29">
                  <c:v>184.72895174999996</c:v>
                </c:pt>
                <c:pt idx="30">
                  <c:v>184.72895174999996</c:v>
                </c:pt>
                <c:pt idx="31">
                  <c:v>184.72895174999996</c:v>
                </c:pt>
                <c:pt idx="32">
                  <c:v>181.05458174999998</c:v>
                </c:pt>
                <c:pt idx="33">
                  <c:v>188.77075874999994</c:v>
                </c:pt>
                <c:pt idx="34">
                  <c:v>187.76030700000001</c:v>
                </c:pt>
                <c:pt idx="35">
                  <c:v>193.18000274999997</c:v>
                </c:pt>
                <c:pt idx="36">
                  <c:v>193.63929899999999</c:v>
                </c:pt>
                <c:pt idx="37">
                  <c:v>193.63929899999999</c:v>
                </c:pt>
                <c:pt idx="38">
                  <c:v>193.63929899999999</c:v>
                </c:pt>
                <c:pt idx="39">
                  <c:v>194.64975074999992</c:v>
                </c:pt>
                <c:pt idx="40">
                  <c:v>191.71025474999993</c:v>
                </c:pt>
                <c:pt idx="41">
                  <c:v>193.18000274999997</c:v>
                </c:pt>
                <c:pt idx="42">
                  <c:v>191.52653625000005</c:v>
                </c:pt>
                <c:pt idx="43">
                  <c:v>195.84392099999997</c:v>
                </c:pt>
                <c:pt idx="44">
                  <c:v>195.84392099999997</c:v>
                </c:pt>
                <c:pt idx="45">
                  <c:v>195.84392099999997</c:v>
                </c:pt>
                <c:pt idx="46">
                  <c:v>195.84392099999997</c:v>
                </c:pt>
                <c:pt idx="47">
                  <c:v>196.48693575000001</c:v>
                </c:pt>
                <c:pt idx="48">
                  <c:v>193.91487674999996</c:v>
                </c:pt>
                <c:pt idx="49">
                  <c:v>193.91487674999996</c:v>
                </c:pt>
                <c:pt idx="50">
                  <c:v>187.48472925000004</c:v>
                </c:pt>
                <c:pt idx="51">
                  <c:v>187.48472925000004</c:v>
                </c:pt>
                <c:pt idx="52">
                  <c:v>187.48472925000004</c:v>
                </c:pt>
                <c:pt idx="53">
                  <c:v>185.83126275000001</c:v>
                </c:pt>
                <c:pt idx="54">
                  <c:v>185.83126275000001</c:v>
                </c:pt>
                <c:pt idx="55">
                  <c:v>182.89176675000004</c:v>
                </c:pt>
                <c:pt idx="56">
                  <c:v>184.91267024999996</c:v>
                </c:pt>
                <c:pt idx="57">
                  <c:v>190.14864750000001</c:v>
                </c:pt>
                <c:pt idx="58">
                  <c:v>190.14864750000001</c:v>
                </c:pt>
                <c:pt idx="59">
                  <c:v>190.14864750000001</c:v>
                </c:pt>
                <c:pt idx="60">
                  <c:v>186.65799600000005</c:v>
                </c:pt>
                <c:pt idx="61">
                  <c:v>186.93357374999994</c:v>
                </c:pt>
                <c:pt idx="62">
                  <c:v>181.33015950000001</c:v>
                </c:pt>
                <c:pt idx="63">
                  <c:v>176.82905625000001</c:v>
                </c:pt>
                <c:pt idx="64">
                  <c:v>178.48252275000004</c:v>
                </c:pt>
                <c:pt idx="65">
                  <c:v>178.48252275000004</c:v>
                </c:pt>
                <c:pt idx="66">
                  <c:v>178.48252275000004</c:v>
                </c:pt>
                <c:pt idx="67">
                  <c:v>181.60573725</c:v>
                </c:pt>
                <c:pt idx="68">
                  <c:v>182.43247050000005</c:v>
                </c:pt>
                <c:pt idx="69">
                  <c:v>184.82081100000005</c:v>
                </c:pt>
                <c:pt idx="70">
                  <c:v>188.58704025000006</c:v>
                </c:pt>
                <c:pt idx="71">
                  <c:v>184.45337399999997</c:v>
                </c:pt>
                <c:pt idx="72">
                  <c:v>184.45337399999997</c:v>
                </c:pt>
                <c:pt idx="73">
                  <c:v>184.45337399999997</c:v>
                </c:pt>
                <c:pt idx="74">
                  <c:v>188.86261800000005</c:v>
                </c:pt>
                <c:pt idx="75">
                  <c:v>185.00452949999999</c:v>
                </c:pt>
                <c:pt idx="76">
                  <c:v>187.66844775000007</c:v>
                </c:pt>
                <c:pt idx="77">
                  <c:v>188.12774400000001</c:v>
                </c:pt>
                <c:pt idx="78">
                  <c:v>194.74160999999998</c:v>
                </c:pt>
                <c:pt idx="79">
                  <c:v>194.74160999999998</c:v>
                </c:pt>
                <c:pt idx="80">
                  <c:v>194.74160999999998</c:v>
                </c:pt>
                <c:pt idx="81">
                  <c:v>196.21135799999999</c:v>
                </c:pt>
                <c:pt idx="82">
                  <c:v>192.35326950000001</c:v>
                </c:pt>
                <c:pt idx="83">
                  <c:v>190.69980299999995</c:v>
                </c:pt>
                <c:pt idx="84">
                  <c:v>183.44292225000001</c:v>
                </c:pt>
                <c:pt idx="85">
                  <c:v>186.56613675000003</c:v>
                </c:pt>
                <c:pt idx="86">
                  <c:v>186.56613675000003</c:v>
                </c:pt>
                <c:pt idx="87">
                  <c:v>186.56613675000003</c:v>
                </c:pt>
                <c:pt idx="88">
                  <c:v>194.83346925000001</c:v>
                </c:pt>
                <c:pt idx="89">
                  <c:v>188.03588474999998</c:v>
                </c:pt>
                <c:pt idx="90">
                  <c:v>194.19045449999999</c:v>
                </c:pt>
                <c:pt idx="91">
                  <c:v>197.03809125000001</c:v>
                </c:pt>
                <c:pt idx="92">
                  <c:v>197.03809125000001</c:v>
                </c:pt>
                <c:pt idx="93">
                  <c:v>197.03809125000001</c:v>
                </c:pt>
                <c:pt idx="94">
                  <c:v>197.03809125000001</c:v>
                </c:pt>
                <c:pt idx="95">
                  <c:v>193.91487674999996</c:v>
                </c:pt>
                <c:pt idx="96">
                  <c:v>193.27186199999994</c:v>
                </c:pt>
                <c:pt idx="97">
                  <c:v>193.36372124999997</c:v>
                </c:pt>
                <c:pt idx="98">
                  <c:v>190.60794375</c:v>
                </c:pt>
                <c:pt idx="99">
                  <c:v>193.4555805</c:v>
                </c:pt>
                <c:pt idx="100">
                  <c:v>193.4555805</c:v>
                </c:pt>
                <c:pt idx="101">
                  <c:v>193.4555805</c:v>
                </c:pt>
                <c:pt idx="102">
                  <c:v>184.54523325</c:v>
                </c:pt>
                <c:pt idx="103">
                  <c:v>182.61618899999996</c:v>
                </c:pt>
                <c:pt idx="104">
                  <c:v>180.31970774999999</c:v>
                </c:pt>
                <c:pt idx="105">
                  <c:v>181.6975965</c:v>
                </c:pt>
                <c:pt idx="106">
                  <c:v>181.6975965</c:v>
                </c:pt>
                <c:pt idx="107">
                  <c:v>181.6975965</c:v>
                </c:pt>
                <c:pt idx="108">
                  <c:v>181.6975965</c:v>
                </c:pt>
                <c:pt idx="109">
                  <c:v>183.25920374999998</c:v>
                </c:pt>
                <c:pt idx="110">
                  <c:v>183.99407775</c:v>
                </c:pt>
                <c:pt idx="111">
                  <c:v>183.25920374999998</c:v>
                </c:pt>
                <c:pt idx="112">
                  <c:v>182.89176675000004</c:v>
                </c:pt>
                <c:pt idx="113">
                  <c:v>178.57438199999996</c:v>
                </c:pt>
                <c:pt idx="114">
                  <c:v>178.57438199999996</c:v>
                </c:pt>
                <c:pt idx="115">
                  <c:v>178.57438199999996</c:v>
                </c:pt>
                <c:pt idx="116">
                  <c:v>172.78724925000003</c:v>
                </c:pt>
                <c:pt idx="117">
                  <c:v>173.24654549999994</c:v>
                </c:pt>
                <c:pt idx="118">
                  <c:v>175.35930825000005</c:v>
                </c:pt>
                <c:pt idx="119">
                  <c:v>171.59307899999999</c:v>
                </c:pt>
                <c:pt idx="120">
                  <c:v>172.69538999999997</c:v>
                </c:pt>
                <c:pt idx="121">
                  <c:v>172.69538999999997</c:v>
                </c:pt>
                <c:pt idx="122">
                  <c:v>172.69538999999997</c:v>
                </c:pt>
                <c:pt idx="123">
                  <c:v>172.41981224999998</c:v>
                </c:pt>
                <c:pt idx="124">
                  <c:v>170.490768</c:v>
                </c:pt>
                <c:pt idx="125">
                  <c:v>174.80815275</c:v>
                </c:pt>
                <c:pt idx="126">
                  <c:v>171.13378274999994</c:v>
                </c:pt>
                <c:pt idx="127">
                  <c:v>175.08373049999997</c:v>
                </c:pt>
                <c:pt idx="128">
                  <c:v>175.08373049999997</c:v>
                </c:pt>
                <c:pt idx="129">
                  <c:v>175.08373049999997</c:v>
                </c:pt>
                <c:pt idx="130">
                  <c:v>174.99187124999997</c:v>
                </c:pt>
                <c:pt idx="131">
                  <c:v>176.09418224999999</c:v>
                </c:pt>
                <c:pt idx="132">
                  <c:v>176.73719700000001</c:v>
                </c:pt>
                <c:pt idx="133">
                  <c:v>184.36151475</c:v>
                </c:pt>
                <c:pt idx="134">
                  <c:v>187.76030700000001</c:v>
                </c:pt>
                <c:pt idx="135">
                  <c:v>187.76030700000001</c:v>
                </c:pt>
                <c:pt idx="136">
                  <c:v>187.76030700000001</c:v>
                </c:pt>
                <c:pt idx="137">
                  <c:v>191.71025474999993</c:v>
                </c:pt>
                <c:pt idx="138">
                  <c:v>187.48472925000004</c:v>
                </c:pt>
                <c:pt idx="139">
                  <c:v>188.49518099999997</c:v>
                </c:pt>
                <c:pt idx="140">
                  <c:v>191.80211400000005</c:v>
                </c:pt>
                <c:pt idx="141">
                  <c:v>189.32191425000002</c:v>
                </c:pt>
                <c:pt idx="142">
                  <c:v>189.32191425000002</c:v>
                </c:pt>
                <c:pt idx="143">
                  <c:v>189.32191425000002</c:v>
                </c:pt>
                <c:pt idx="144">
                  <c:v>189.32191425000002</c:v>
                </c:pt>
                <c:pt idx="145">
                  <c:v>181.33015950000001</c:v>
                </c:pt>
                <c:pt idx="146">
                  <c:v>179.21739675000001</c:v>
                </c:pt>
                <c:pt idx="147">
                  <c:v>179.58483375</c:v>
                </c:pt>
                <c:pt idx="148">
                  <c:v>175.26744900000003</c:v>
                </c:pt>
                <c:pt idx="149">
                  <c:v>175.26744900000003</c:v>
                </c:pt>
                <c:pt idx="150">
                  <c:v>175.26744900000003</c:v>
                </c:pt>
                <c:pt idx="151">
                  <c:v>181.42201875000006</c:v>
                </c:pt>
                <c:pt idx="152">
                  <c:v>188.3114625</c:v>
                </c:pt>
                <c:pt idx="153">
                  <c:v>187.66844775000007</c:v>
                </c:pt>
                <c:pt idx="154">
                  <c:v>192.44512875000001</c:v>
                </c:pt>
                <c:pt idx="155">
                  <c:v>189.96492900000001</c:v>
                </c:pt>
                <c:pt idx="156">
                  <c:v>189.96492900000001</c:v>
                </c:pt>
                <c:pt idx="157">
                  <c:v>189.96492900000001</c:v>
                </c:pt>
                <c:pt idx="158">
                  <c:v>194.00673599999999</c:v>
                </c:pt>
                <c:pt idx="159">
                  <c:v>195.56834325000005</c:v>
                </c:pt>
                <c:pt idx="160">
                  <c:v>188.67889949999997</c:v>
                </c:pt>
                <c:pt idx="161">
                  <c:v>185.28010725000001</c:v>
                </c:pt>
                <c:pt idx="162">
                  <c:v>185.09638875000002</c:v>
                </c:pt>
                <c:pt idx="163">
                  <c:v>185.09638875000002</c:v>
                </c:pt>
                <c:pt idx="164">
                  <c:v>185.09638875000002</c:v>
                </c:pt>
                <c:pt idx="165">
                  <c:v>179.76855224999994</c:v>
                </c:pt>
                <c:pt idx="166">
                  <c:v>179.58483375</c:v>
                </c:pt>
                <c:pt idx="167">
                  <c:v>180.50342625000002</c:v>
                </c:pt>
                <c:pt idx="168">
                  <c:v>179.30925599999998</c:v>
                </c:pt>
                <c:pt idx="169">
                  <c:v>179.49297449999997</c:v>
                </c:pt>
                <c:pt idx="170">
                  <c:v>179.49297449999997</c:v>
                </c:pt>
                <c:pt idx="171">
                  <c:v>179.49297449999997</c:v>
                </c:pt>
                <c:pt idx="172">
                  <c:v>184.17779625</c:v>
                </c:pt>
                <c:pt idx="173">
                  <c:v>191.61839549999996</c:v>
                </c:pt>
                <c:pt idx="174">
                  <c:v>190.33236600000006</c:v>
                </c:pt>
                <c:pt idx="175">
                  <c:v>195.47648399999997</c:v>
                </c:pt>
                <c:pt idx="176">
                  <c:v>206.59145324999997</c:v>
                </c:pt>
                <c:pt idx="177">
                  <c:v>206.59145324999997</c:v>
                </c:pt>
                <c:pt idx="178">
                  <c:v>206.59145324999997</c:v>
                </c:pt>
                <c:pt idx="179">
                  <c:v>213.29717849999997</c:v>
                </c:pt>
                <c:pt idx="180">
                  <c:v>225.88189575000001</c:v>
                </c:pt>
                <c:pt idx="181">
                  <c:v>215.86923750000003</c:v>
                </c:pt>
                <c:pt idx="182">
                  <c:v>215.22622275000001</c:v>
                </c:pt>
                <c:pt idx="183">
                  <c:v>215.22622275000001</c:v>
                </c:pt>
                <c:pt idx="184">
                  <c:v>215.22622275000001</c:v>
                </c:pt>
                <c:pt idx="185">
                  <c:v>215.22622275000001</c:v>
                </c:pt>
                <c:pt idx="186">
                  <c:v>216.23667449999991</c:v>
                </c:pt>
                <c:pt idx="187">
                  <c:v>212.92974150000001</c:v>
                </c:pt>
                <c:pt idx="188">
                  <c:v>210.26582324999998</c:v>
                </c:pt>
                <c:pt idx="189">
                  <c:v>210.26582324999998</c:v>
                </c:pt>
                <c:pt idx="190">
                  <c:v>213.66461549999994</c:v>
                </c:pt>
                <c:pt idx="191">
                  <c:v>213.66461549999994</c:v>
                </c:pt>
                <c:pt idx="192">
                  <c:v>213.66461549999994</c:v>
                </c:pt>
                <c:pt idx="193">
                  <c:v>215.59365974999992</c:v>
                </c:pt>
                <c:pt idx="194">
                  <c:v>214.39948950000004</c:v>
                </c:pt>
                <c:pt idx="195">
                  <c:v>208.24491974999998</c:v>
                </c:pt>
                <c:pt idx="196">
                  <c:v>206.59145324999997</c:v>
                </c:pt>
                <c:pt idx="197">
                  <c:v>203.56009800000001</c:v>
                </c:pt>
                <c:pt idx="198">
                  <c:v>203.56009800000001</c:v>
                </c:pt>
                <c:pt idx="199">
                  <c:v>203.56009800000001</c:v>
                </c:pt>
                <c:pt idx="200">
                  <c:v>195.75206175</c:v>
                </c:pt>
                <c:pt idx="201">
                  <c:v>192.81256574999998</c:v>
                </c:pt>
                <c:pt idx="202">
                  <c:v>189.87306974999998</c:v>
                </c:pt>
                <c:pt idx="203">
                  <c:v>191.61839549999996</c:v>
                </c:pt>
                <c:pt idx="204">
                  <c:v>188.03588474999998</c:v>
                </c:pt>
                <c:pt idx="205">
                  <c:v>188.03588474999998</c:v>
                </c:pt>
                <c:pt idx="206">
                  <c:v>188.03588474999998</c:v>
                </c:pt>
                <c:pt idx="207">
                  <c:v>184.63709249999999</c:v>
                </c:pt>
                <c:pt idx="208">
                  <c:v>187.66844775000007</c:v>
                </c:pt>
                <c:pt idx="209">
                  <c:v>182.34061124999999</c:v>
                </c:pt>
                <c:pt idx="210">
                  <c:v>182.43247050000005</c:v>
                </c:pt>
                <c:pt idx="211">
                  <c:v>183.44292225000001</c:v>
                </c:pt>
                <c:pt idx="212">
                  <c:v>183.44292225000001</c:v>
                </c:pt>
                <c:pt idx="213">
                  <c:v>183.44292225000001</c:v>
                </c:pt>
                <c:pt idx="214">
                  <c:v>183.35106300000001</c:v>
                </c:pt>
                <c:pt idx="215">
                  <c:v>181.33015950000001</c:v>
                </c:pt>
                <c:pt idx="216">
                  <c:v>184.45337399999997</c:v>
                </c:pt>
                <c:pt idx="217">
                  <c:v>186.29055899999994</c:v>
                </c:pt>
                <c:pt idx="218">
                  <c:v>187.57658849999999</c:v>
                </c:pt>
                <c:pt idx="219">
                  <c:v>187.57658849999999</c:v>
                </c:pt>
                <c:pt idx="220">
                  <c:v>187.57658849999999</c:v>
                </c:pt>
                <c:pt idx="221">
                  <c:v>193.08814350000003</c:v>
                </c:pt>
                <c:pt idx="222">
                  <c:v>186.38241825000009</c:v>
                </c:pt>
                <c:pt idx="223">
                  <c:v>180.87086324999999</c:v>
                </c:pt>
                <c:pt idx="224">
                  <c:v>184.91267024999996</c:v>
                </c:pt>
                <c:pt idx="225">
                  <c:v>186.1068405</c:v>
                </c:pt>
                <c:pt idx="226">
                  <c:v>186.1068405</c:v>
                </c:pt>
                <c:pt idx="227">
                  <c:v>186.1068405</c:v>
                </c:pt>
                <c:pt idx="228">
                  <c:v>183.90221850000006</c:v>
                </c:pt>
                <c:pt idx="229">
                  <c:v>181.60573725</c:v>
                </c:pt>
                <c:pt idx="230">
                  <c:v>182.34061124999999</c:v>
                </c:pt>
                <c:pt idx="231">
                  <c:v>186.01498124999998</c:v>
                </c:pt>
                <c:pt idx="232">
                  <c:v>183.53478149999998</c:v>
                </c:pt>
                <c:pt idx="233">
                  <c:v>183.53478149999998</c:v>
                </c:pt>
                <c:pt idx="234">
                  <c:v>183.53478149999998</c:v>
                </c:pt>
                <c:pt idx="235">
                  <c:v>184.91267024999996</c:v>
                </c:pt>
                <c:pt idx="236">
                  <c:v>181.88131500000006</c:v>
                </c:pt>
                <c:pt idx="237">
                  <c:v>179.95227075000005</c:v>
                </c:pt>
                <c:pt idx="238">
                  <c:v>177.93136725000005</c:v>
                </c:pt>
                <c:pt idx="239">
                  <c:v>175.26744900000003</c:v>
                </c:pt>
                <c:pt idx="240">
                  <c:v>175.26744900000003</c:v>
                </c:pt>
                <c:pt idx="241">
                  <c:v>175.26744900000003</c:v>
                </c:pt>
                <c:pt idx="242">
                  <c:v>177.2883525</c:v>
                </c:pt>
                <c:pt idx="243">
                  <c:v>177.839508</c:v>
                </c:pt>
                <c:pt idx="244">
                  <c:v>173.79770099999999</c:v>
                </c:pt>
                <c:pt idx="245">
                  <c:v>167.73499049999998</c:v>
                </c:pt>
                <c:pt idx="246">
                  <c:v>168.19428675</c:v>
                </c:pt>
                <c:pt idx="247">
                  <c:v>168.19428675</c:v>
                </c:pt>
                <c:pt idx="248">
                  <c:v>168.19428675</c:v>
                </c:pt>
                <c:pt idx="249">
                  <c:v>168.19428675</c:v>
                </c:pt>
                <c:pt idx="250">
                  <c:v>170.95006425</c:v>
                </c:pt>
                <c:pt idx="251">
                  <c:v>169.75589399999998</c:v>
                </c:pt>
                <c:pt idx="252">
                  <c:v>171.96051599999998</c:v>
                </c:pt>
                <c:pt idx="253">
                  <c:v>174.71629349999998</c:v>
                </c:pt>
                <c:pt idx="254">
                  <c:v>174.71629349999998</c:v>
                </c:pt>
                <c:pt idx="255">
                  <c:v>174.71629349999998</c:v>
                </c:pt>
                <c:pt idx="256">
                  <c:v>178.48252275000004</c:v>
                </c:pt>
                <c:pt idx="257">
                  <c:v>181.78945574999995</c:v>
                </c:pt>
                <c:pt idx="258">
                  <c:v>179.40111525</c:v>
                </c:pt>
                <c:pt idx="259">
                  <c:v>176.92091550000001</c:v>
                </c:pt>
                <c:pt idx="260">
                  <c:v>178.84995974999998</c:v>
                </c:pt>
                <c:pt idx="261">
                  <c:v>178.84995974999998</c:v>
                </c:pt>
                <c:pt idx="262">
                  <c:v>178.84995974999998</c:v>
                </c:pt>
                <c:pt idx="263">
                  <c:v>182.52432975000005</c:v>
                </c:pt>
                <c:pt idx="264">
                  <c:v>182.0650335</c:v>
                </c:pt>
                <c:pt idx="265">
                  <c:v>186.4742775</c:v>
                </c:pt>
                <c:pt idx="266">
                  <c:v>182.70804825000005</c:v>
                </c:pt>
                <c:pt idx="267">
                  <c:v>186.56613675000003</c:v>
                </c:pt>
                <c:pt idx="268">
                  <c:v>186.56613675000003</c:v>
                </c:pt>
                <c:pt idx="269">
                  <c:v>186.56613675000003</c:v>
                </c:pt>
                <c:pt idx="270">
                  <c:v>185.73940349999998</c:v>
                </c:pt>
                <c:pt idx="271">
                  <c:v>185.09638875000002</c:v>
                </c:pt>
                <c:pt idx="272">
                  <c:v>188.40332175</c:v>
                </c:pt>
                <c:pt idx="273">
                  <c:v>190.42422525000001</c:v>
                </c:pt>
                <c:pt idx="274">
                  <c:v>188.58704025000006</c:v>
                </c:pt>
                <c:pt idx="275">
                  <c:v>188.58704025000006</c:v>
                </c:pt>
                <c:pt idx="276">
                  <c:v>188.58704025000006</c:v>
                </c:pt>
                <c:pt idx="277">
                  <c:v>189.41377349999993</c:v>
                </c:pt>
                <c:pt idx="278">
                  <c:v>193.36372124999997</c:v>
                </c:pt>
                <c:pt idx="279">
                  <c:v>189.87306974999998</c:v>
                </c:pt>
                <c:pt idx="280">
                  <c:v>187.94402549999998</c:v>
                </c:pt>
                <c:pt idx="281">
                  <c:v>187.11729224999999</c:v>
                </c:pt>
                <c:pt idx="282">
                  <c:v>187.11729224999999</c:v>
                </c:pt>
                <c:pt idx="283">
                  <c:v>187.11729224999999</c:v>
                </c:pt>
                <c:pt idx="284">
                  <c:v>186.19869974999997</c:v>
                </c:pt>
                <c:pt idx="285">
                  <c:v>190.69980299999995</c:v>
                </c:pt>
                <c:pt idx="286">
                  <c:v>186.74985524999988</c:v>
                </c:pt>
                <c:pt idx="287">
                  <c:v>184.63709249999999</c:v>
                </c:pt>
                <c:pt idx="288">
                  <c:v>180.87086324999999</c:v>
                </c:pt>
                <c:pt idx="289">
                  <c:v>180.87086324999999</c:v>
                </c:pt>
                <c:pt idx="290">
                  <c:v>180.87086324999999</c:v>
                </c:pt>
                <c:pt idx="291">
                  <c:v>178.48252275000004</c:v>
                </c:pt>
                <c:pt idx="292">
                  <c:v>180.50342625000002</c:v>
                </c:pt>
                <c:pt idx="293">
                  <c:v>181.78945574999995</c:v>
                </c:pt>
                <c:pt idx="294">
                  <c:v>180.31970774999999</c:v>
                </c:pt>
                <c:pt idx="295">
                  <c:v>180.22784850000005</c:v>
                </c:pt>
                <c:pt idx="296">
                  <c:v>180.22784850000005</c:v>
                </c:pt>
                <c:pt idx="297">
                  <c:v>180.22784850000005</c:v>
                </c:pt>
                <c:pt idx="298">
                  <c:v>187.02543300000002</c:v>
                </c:pt>
                <c:pt idx="299">
                  <c:v>187.11729224999999</c:v>
                </c:pt>
                <c:pt idx="300">
                  <c:v>185.92312200000001</c:v>
                </c:pt>
                <c:pt idx="301">
                  <c:v>189.23005499999994</c:v>
                </c:pt>
                <c:pt idx="302">
                  <c:v>191.80211400000005</c:v>
                </c:pt>
                <c:pt idx="303">
                  <c:v>191.80211400000005</c:v>
                </c:pt>
                <c:pt idx="304">
                  <c:v>191.80211400000005</c:v>
                </c:pt>
                <c:pt idx="305">
                  <c:v>186.65799600000005</c:v>
                </c:pt>
                <c:pt idx="306">
                  <c:v>189.78121050000001</c:v>
                </c:pt>
                <c:pt idx="307">
                  <c:v>193.36372124999997</c:v>
                </c:pt>
                <c:pt idx="308">
                  <c:v>193.36372124999997</c:v>
                </c:pt>
                <c:pt idx="309">
                  <c:v>192.26141025000001</c:v>
                </c:pt>
                <c:pt idx="310">
                  <c:v>192.26141025000001</c:v>
                </c:pt>
                <c:pt idx="311">
                  <c:v>192.26141025000001</c:v>
                </c:pt>
                <c:pt idx="312">
                  <c:v>184.36151475</c:v>
                </c:pt>
                <c:pt idx="313">
                  <c:v>180.31970774999999</c:v>
                </c:pt>
                <c:pt idx="314">
                  <c:v>181.78945574999995</c:v>
                </c:pt>
                <c:pt idx="315">
                  <c:v>182.98362599999996</c:v>
                </c:pt>
                <c:pt idx="316">
                  <c:v>182.15689274999997</c:v>
                </c:pt>
                <c:pt idx="317">
                  <c:v>182.15689274999997</c:v>
                </c:pt>
                <c:pt idx="318">
                  <c:v>182.15689274999997</c:v>
                </c:pt>
                <c:pt idx="319">
                  <c:v>181.51387799999998</c:v>
                </c:pt>
                <c:pt idx="320">
                  <c:v>179.12553750000001</c:v>
                </c:pt>
                <c:pt idx="321">
                  <c:v>177.56393024999997</c:v>
                </c:pt>
                <c:pt idx="322">
                  <c:v>180.31970774999999</c:v>
                </c:pt>
                <c:pt idx="323">
                  <c:v>179.49297449999997</c:v>
                </c:pt>
              </c:numCache>
            </c:numRef>
          </c:val>
          <c:smooth val="0"/>
        </c:ser>
        <c:ser>
          <c:idx val="1"/>
          <c:order val="1"/>
          <c:tx>
            <c:strRef>
              <c:f>小麥、玉米、糖!$J$1</c:f>
              <c:strCache>
                <c:ptCount val="1"/>
                <c:pt idx="0">
                  <c:v>麵粉 中高筋粉心 聯華黃駱駝牌 22kg 零售價(元/袋)</c:v>
                </c:pt>
              </c:strCache>
            </c:strRef>
          </c:tx>
          <c:marker>
            <c:symbol val="none"/>
          </c:marker>
          <c:cat>
            <c:numRef>
              <c:f>小麥、玉米、糖!$H$216:$H$539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小麥、玉米、糖!$J$216:$J$539</c:f>
              <c:numCache>
                <c:formatCode>General</c:formatCode>
                <c:ptCount val="324"/>
                <c:pt idx="0">
                  <c:v>670</c:v>
                </c:pt>
                <c:pt idx="1">
                  <c:v>670</c:v>
                </c:pt>
                <c:pt idx="2">
                  <c:v>670</c:v>
                </c:pt>
                <c:pt idx="3">
                  <c:v>670</c:v>
                </c:pt>
                <c:pt idx="4">
                  <c:v>670</c:v>
                </c:pt>
                <c:pt idx="5">
                  <c:v>670</c:v>
                </c:pt>
                <c:pt idx="6">
                  <c:v>670</c:v>
                </c:pt>
                <c:pt idx="7">
                  <c:v>670</c:v>
                </c:pt>
                <c:pt idx="8">
                  <c:v>670</c:v>
                </c:pt>
                <c:pt idx="9">
                  <c:v>670</c:v>
                </c:pt>
                <c:pt idx="10">
                  <c:v>670</c:v>
                </c:pt>
                <c:pt idx="11">
                  <c:v>670</c:v>
                </c:pt>
                <c:pt idx="12">
                  <c:v>670</c:v>
                </c:pt>
                <c:pt idx="13">
                  <c:v>670</c:v>
                </c:pt>
                <c:pt idx="14">
                  <c:v>670</c:v>
                </c:pt>
                <c:pt idx="15">
                  <c:v>670</c:v>
                </c:pt>
                <c:pt idx="16">
                  <c:v>670</c:v>
                </c:pt>
                <c:pt idx="17">
                  <c:v>670</c:v>
                </c:pt>
                <c:pt idx="18">
                  <c:v>670</c:v>
                </c:pt>
                <c:pt idx="19">
                  <c:v>670</c:v>
                </c:pt>
                <c:pt idx="20">
                  <c:v>670</c:v>
                </c:pt>
                <c:pt idx="21">
                  <c:v>670</c:v>
                </c:pt>
                <c:pt idx="22">
                  <c:v>670</c:v>
                </c:pt>
                <c:pt idx="23">
                  <c:v>670</c:v>
                </c:pt>
                <c:pt idx="24">
                  <c:v>670</c:v>
                </c:pt>
                <c:pt idx="25">
                  <c:v>670</c:v>
                </c:pt>
                <c:pt idx="26">
                  <c:v>670</c:v>
                </c:pt>
                <c:pt idx="27">
                  <c:v>670</c:v>
                </c:pt>
                <c:pt idx="28">
                  <c:v>670</c:v>
                </c:pt>
                <c:pt idx="29">
                  <c:v>670</c:v>
                </c:pt>
                <c:pt idx="30">
                  <c:v>670</c:v>
                </c:pt>
                <c:pt idx="31">
                  <c:v>670</c:v>
                </c:pt>
                <c:pt idx="32">
                  <c:v>670</c:v>
                </c:pt>
                <c:pt idx="33">
                  <c:v>670</c:v>
                </c:pt>
                <c:pt idx="34">
                  <c:v>670</c:v>
                </c:pt>
                <c:pt idx="35">
                  <c:v>670</c:v>
                </c:pt>
                <c:pt idx="36">
                  <c:v>670</c:v>
                </c:pt>
                <c:pt idx="37">
                  <c:v>670</c:v>
                </c:pt>
                <c:pt idx="38">
                  <c:v>670</c:v>
                </c:pt>
                <c:pt idx="39">
                  <c:v>670</c:v>
                </c:pt>
                <c:pt idx="40">
                  <c:v>670</c:v>
                </c:pt>
                <c:pt idx="41">
                  <c:v>670</c:v>
                </c:pt>
                <c:pt idx="42">
                  <c:v>670</c:v>
                </c:pt>
                <c:pt idx="43">
                  <c:v>670</c:v>
                </c:pt>
                <c:pt idx="44">
                  <c:v>670</c:v>
                </c:pt>
                <c:pt idx="45">
                  <c:v>670</c:v>
                </c:pt>
                <c:pt idx="46">
                  <c:v>670</c:v>
                </c:pt>
                <c:pt idx="47">
                  <c:v>670</c:v>
                </c:pt>
                <c:pt idx="48">
                  <c:v>670</c:v>
                </c:pt>
                <c:pt idx="49">
                  <c:v>670</c:v>
                </c:pt>
                <c:pt idx="50">
                  <c:v>670</c:v>
                </c:pt>
                <c:pt idx="51">
                  <c:v>670</c:v>
                </c:pt>
                <c:pt idx="52">
                  <c:v>670</c:v>
                </c:pt>
                <c:pt idx="53">
                  <c:v>670</c:v>
                </c:pt>
                <c:pt idx="54">
                  <c:v>670</c:v>
                </c:pt>
                <c:pt idx="55">
                  <c:v>670</c:v>
                </c:pt>
                <c:pt idx="56">
                  <c:v>670</c:v>
                </c:pt>
                <c:pt idx="57">
                  <c:v>670</c:v>
                </c:pt>
                <c:pt idx="58">
                  <c:v>670</c:v>
                </c:pt>
                <c:pt idx="59">
                  <c:v>670</c:v>
                </c:pt>
                <c:pt idx="60">
                  <c:v>670</c:v>
                </c:pt>
                <c:pt idx="61">
                  <c:v>670</c:v>
                </c:pt>
                <c:pt idx="62">
                  <c:v>670</c:v>
                </c:pt>
                <c:pt idx="63">
                  <c:v>670</c:v>
                </c:pt>
                <c:pt idx="64">
                  <c:v>670</c:v>
                </c:pt>
                <c:pt idx="65">
                  <c:v>670</c:v>
                </c:pt>
                <c:pt idx="66">
                  <c:v>670</c:v>
                </c:pt>
                <c:pt idx="67">
                  <c:v>670</c:v>
                </c:pt>
                <c:pt idx="68">
                  <c:v>670</c:v>
                </c:pt>
                <c:pt idx="69">
                  <c:v>670</c:v>
                </c:pt>
                <c:pt idx="70">
                  <c:v>670</c:v>
                </c:pt>
                <c:pt idx="71">
                  <c:v>670</c:v>
                </c:pt>
                <c:pt idx="72">
                  <c:v>670</c:v>
                </c:pt>
                <c:pt idx="73">
                  <c:v>670</c:v>
                </c:pt>
                <c:pt idx="74">
                  <c:v>670</c:v>
                </c:pt>
                <c:pt idx="75">
                  <c:v>670</c:v>
                </c:pt>
                <c:pt idx="76">
                  <c:v>670</c:v>
                </c:pt>
                <c:pt idx="77">
                  <c:v>670</c:v>
                </c:pt>
                <c:pt idx="78">
                  <c:v>670</c:v>
                </c:pt>
                <c:pt idx="79">
                  <c:v>670</c:v>
                </c:pt>
                <c:pt idx="80">
                  <c:v>670</c:v>
                </c:pt>
                <c:pt idx="81">
                  <c:v>670</c:v>
                </c:pt>
                <c:pt idx="82">
                  <c:v>670</c:v>
                </c:pt>
                <c:pt idx="83">
                  <c:v>670</c:v>
                </c:pt>
                <c:pt idx="84">
                  <c:v>670</c:v>
                </c:pt>
                <c:pt idx="85">
                  <c:v>670</c:v>
                </c:pt>
                <c:pt idx="86">
                  <c:v>670</c:v>
                </c:pt>
                <c:pt idx="87">
                  <c:v>670</c:v>
                </c:pt>
                <c:pt idx="88">
                  <c:v>670</c:v>
                </c:pt>
                <c:pt idx="89">
                  <c:v>670</c:v>
                </c:pt>
                <c:pt idx="90">
                  <c:v>670</c:v>
                </c:pt>
                <c:pt idx="91">
                  <c:v>670</c:v>
                </c:pt>
                <c:pt idx="92">
                  <c:v>670</c:v>
                </c:pt>
                <c:pt idx="93">
                  <c:v>670</c:v>
                </c:pt>
                <c:pt idx="94">
                  <c:v>670</c:v>
                </c:pt>
                <c:pt idx="95">
                  <c:v>670</c:v>
                </c:pt>
                <c:pt idx="96">
                  <c:v>670</c:v>
                </c:pt>
                <c:pt idx="97">
                  <c:v>670</c:v>
                </c:pt>
                <c:pt idx="98">
                  <c:v>670</c:v>
                </c:pt>
                <c:pt idx="99">
                  <c:v>670</c:v>
                </c:pt>
                <c:pt idx="100">
                  <c:v>670</c:v>
                </c:pt>
                <c:pt idx="101">
                  <c:v>670</c:v>
                </c:pt>
                <c:pt idx="102">
                  <c:v>670</c:v>
                </c:pt>
                <c:pt idx="103">
                  <c:v>670</c:v>
                </c:pt>
                <c:pt idx="104">
                  <c:v>670</c:v>
                </c:pt>
                <c:pt idx="105">
                  <c:v>670</c:v>
                </c:pt>
                <c:pt idx="106">
                  <c:v>670</c:v>
                </c:pt>
                <c:pt idx="107">
                  <c:v>670</c:v>
                </c:pt>
                <c:pt idx="108">
                  <c:v>670</c:v>
                </c:pt>
                <c:pt idx="109">
                  <c:v>670</c:v>
                </c:pt>
                <c:pt idx="110">
                  <c:v>670</c:v>
                </c:pt>
                <c:pt idx="111">
                  <c:v>670</c:v>
                </c:pt>
                <c:pt idx="112">
                  <c:v>670</c:v>
                </c:pt>
                <c:pt idx="113">
                  <c:v>670</c:v>
                </c:pt>
                <c:pt idx="114">
                  <c:v>670</c:v>
                </c:pt>
                <c:pt idx="115">
                  <c:v>670</c:v>
                </c:pt>
                <c:pt idx="116">
                  <c:v>670</c:v>
                </c:pt>
                <c:pt idx="117">
                  <c:v>670</c:v>
                </c:pt>
                <c:pt idx="118">
                  <c:v>670</c:v>
                </c:pt>
                <c:pt idx="119">
                  <c:v>670</c:v>
                </c:pt>
                <c:pt idx="120">
                  <c:v>670</c:v>
                </c:pt>
                <c:pt idx="121">
                  <c:v>670</c:v>
                </c:pt>
                <c:pt idx="122">
                  <c:v>670</c:v>
                </c:pt>
                <c:pt idx="123">
                  <c:v>670</c:v>
                </c:pt>
                <c:pt idx="124">
                  <c:v>670</c:v>
                </c:pt>
                <c:pt idx="125">
                  <c:v>670</c:v>
                </c:pt>
                <c:pt idx="126">
                  <c:v>670</c:v>
                </c:pt>
                <c:pt idx="127">
                  <c:v>670</c:v>
                </c:pt>
                <c:pt idx="128">
                  <c:v>670</c:v>
                </c:pt>
                <c:pt idx="129">
                  <c:v>670</c:v>
                </c:pt>
                <c:pt idx="130">
                  <c:v>670</c:v>
                </c:pt>
                <c:pt idx="131">
                  <c:v>670</c:v>
                </c:pt>
                <c:pt idx="132">
                  <c:v>670</c:v>
                </c:pt>
                <c:pt idx="133">
                  <c:v>670</c:v>
                </c:pt>
                <c:pt idx="134">
                  <c:v>670</c:v>
                </c:pt>
                <c:pt idx="135">
                  <c:v>670</c:v>
                </c:pt>
                <c:pt idx="136">
                  <c:v>670</c:v>
                </c:pt>
                <c:pt idx="137">
                  <c:v>670</c:v>
                </c:pt>
                <c:pt idx="138">
                  <c:v>670</c:v>
                </c:pt>
                <c:pt idx="139">
                  <c:v>670</c:v>
                </c:pt>
                <c:pt idx="140">
                  <c:v>670</c:v>
                </c:pt>
                <c:pt idx="141">
                  <c:v>670</c:v>
                </c:pt>
                <c:pt idx="142">
                  <c:v>670</c:v>
                </c:pt>
                <c:pt idx="143">
                  <c:v>670</c:v>
                </c:pt>
                <c:pt idx="144">
                  <c:v>670</c:v>
                </c:pt>
                <c:pt idx="145">
                  <c:v>670</c:v>
                </c:pt>
                <c:pt idx="146">
                  <c:v>670</c:v>
                </c:pt>
                <c:pt idx="147">
                  <c:v>670</c:v>
                </c:pt>
                <c:pt idx="148">
                  <c:v>670</c:v>
                </c:pt>
                <c:pt idx="149">
                  <c:v>670</c:v>
                </c:pt>
                <c:pt idx="150">
                  <c:v>670</c:v>
                </c:pt>
                <c:pt idx="151">
                  <c:v>670</c:v>
                </c:pt>
                <c:pt idx="152">
                  <c:v>670</c:v>
                </c:pt>
                <c:pt idx="153">
                  <c:v>670</c:v>
                </c:pt>
                <c:pt idx="154">
                  <c:v>670</c:v>
                </c:pt>
                <c:pt idx="155">
                  <c:v>670</c:v>
                </c:pt>
                <c:pt idx="156">
                  <c:v>670</c:v>
                </c:pt>
                <c:pt idx="157">
                  <c:v>670</c:v>
                </c:pt>
                <c:pt idx="158">
                  <c:v>670</c:v>
                </c:pt>
                <c:pt idx="159">
                  <c:v>670</c:v>
                </c:pt>
                <c:pt idx="160">
                  <c:v>670</c:v>
                </c:pt>
                <c:pt idx="161">
                  <c:v>670</c:v>
                </c:pt>
                <c:pt idx="162">
                  <c:v>670</c:v>
                </c:pt>
                <c:pt idx="163">
                  <c:v>670</c:v>
                </c:pt>
                <c:pt idx="164">
                  <c:v>670</c:v>
                </c:pt>
                <c:pt idx="165">
                  <c:v>670</c:v>
                </c:pt>
                <c:pt idx="166">
                  <c:v>670</c:v>
                </c:pt>
                <c:pt idx="167">
                  <c:v>670</c:v>
                </c:pt>
                <c:pt idx="168">
                  <c:v>670</c:v>
                </c:pt>
                <c:pt idx="169">
                  <c:v>670</c:v>
                </c:pt>
                <c:pt idx="170">
                  <c:v>670</c:v>
                </c:pt>
                <c:pt idx="171">
                  <c:v>670</c:v>
                </c:pt>
                <c:pt idx="172">
                  <c:v>670</c:v>
                </c:pt>
                <c:pt idx="173">
                  <c:v>670</c:v>
                </c:pt>
                <c:pt idx="174">
                  <c:v>670</c:v>
                </c:pt>
                <c:pt idx="175">
                  <c:v>670</c:v>
                </c:pt>
                <c:pt idx="176">
                  <c:v>670</c:v>
                </c:pt>
                <c:pt idx="177">
                  <c:v>670</c:v>
                </c:pt>
                <c:pt idx="178">
                  <c:v>670</c:v>
                </c:pt>
                <c:pt idx="179">
                  <c:v>670</c:v>
                </c:pt>
                <c:pt idx="180">
                  <c:v>670</c:v>
                </c:pt>
                <c:pt idx="181">
                  <c:v>670</c:v>
                </c:pt>
                <c:pt idx="182">
                  <c:v>670</c:v>
                </c:pt>
                <c:pt idx="183">
                  <c:v>670</c:v>
                </c:pt>
                <c:pt idx="184">
                  <c:v>670</c:v>
                </c:pt>
                <c:pt idx="185">
                  <c:v>670</c:v>
                </c:pt>
                <c:pt idx="186">
                  <c:v>670</c:v>
                </c:pt>
                <c:pt idx="187">
                  <c:v>670</c:v>
                </c:pt>
                <c:pt idx="188">
                  <c:v>670</c:v>
                </c:pt>
                <c:pt idx="189">
                  <c:v>670</c:v>
                </c:pt>
                <c:pt idx="190">
                  <c:v>670</c:v>
                </c:pt>
                <c:pt idx="191">
                  <c:v>670</c:v>
                </c:pt>
                <c:pt idx="192">
                  <c:v>670</c:v>
                </c:pt>
                <c:pt idx="193">
                  <c:v>670</c:v>
                </c:pt>
                <c:pt idx="194">
                  <c:v>670</c:v>
                </c:pt>
                <c:pt idx="195">
                  <c:v>670</c:v>
                </c:pt>
                <c:pt idx="196">
                  <c:v>670</c:v>
                </c:pt>
                <c:pt idx="197">
                  <c:v>670</c:v>
                </c:pt>
                <c:pt idx="198">
                  <c:v>670</c:v>
                </c:pt>
                <c:pt idx="199">
                  <c:v>670</c:v>
                </c:pt>
                <c:pt idx="200">
                  <c:v>670</c:v>
                </c:pt>
                <c:pt idx="201">
                  <c:v>670</c:v>
                </c:pt>
                <c:pt idx="202">
                  <c:v>670</c:v>
                </c:pt>
                <c:pt idx="203">
                  <c:v>670</c:v>
                </c:pt>
                <c:pt idx="204">
                  <c:v>670</c:v>
                </c:pt>
                <c:pt idx="205">
                  <c:v>670</c:v>
                </c:pt>
                <c:pt idx="206">
                  <c:v>670</c:v>
                </c:pt>
                <c:pt idx="207">
                  <c:v>670</c:v>
                </c:pt>
                <c:pt idx="208">
                  <c:v>670</c:v>
                </c:pt>
                <c:pt idx="209">
                  <c:v>670</c:v>
                </c:pt>
                <c:pt idx="210">
                  <c:v>670</c:v>
                </c:pt>
                <c:pt idx="211">
                  <c:v>670</c:v>
                </c:pt>
                <c:pt idx="212">
                  <c:v>670</c:v>
                </c:pt>
                <c:pt idx="213">
                  <c:v>670</c:v>
                </c:pt>
                <c:pt idx="214">
                  <c:v>670</c:v>
                </c:pt>
                <c:pt idx="215">
                  <c:v>670</c:v>
                </c:pt>
                <c:pt idx="216">
                  <c:v>670</c:v>
                </c:pt>
                <c:pt idx="217">
                  <c:v>670</c:v>
                </c:pt>
                <c:pt idx="218">
                  <c:v>670</c:v>
                </c:pt>
                <c:pt idx="219">
                  <c:v>670</c:v>
                </c:pt>
                <c:pt idx="220">
                  <c:v>670</c:v>
                </c:pt>
                <c:pt idx="221">
                  <c:v>670</c:v>
                </c:pt>
                <c:pt idx="222">
                  <c:v>670</c:v>
                </c:pt>
                <c:pt idx="223">
                  <c:v>670</c:v>
                </c:pt>
                <c:pt idx="224">
                  <c:v>670</c:v>
                </c:pt>
                <c:pt idx="225">
                  <c:v>670</c:v>
                </c:pt>
                <c:pt idx="226">
                  <c:v>670</c:v>
                </c:pt>
                <c:pt idx="227">
                  <c:v>670</c:v>
                </c:pt>
                <c:pt idx="228">
                  <c:v>670</c:v>
                </c:pt>
                <c:pt idx="229">
                  <c:v>670</c:v>
                </c:pt>
                <c:pt idx="230">
                  <c:v>670</c:v>
                </c:pt>
                <c:pt idx="231">
                  <c:v>670</c:v>
                </c:pt>
                <c:pt idx="232">
                  <c:v>670</c:v>
                </c:pt>
                <c:pt idx="233">
                  <c:v>670</c:v>
                </c:pt>
                <c:pt idx="234">
                  <c:v>670</c:v>
                </c:pt>
                <c:pt idx="235">
                  <c:v>670</c:v>
                </c:pt>
                <c:pt idx="236">
                  <c:v>670</c:v>
                </c:pt>
                <c:pt idx="237">
                  <c:v>670</c:v>
                </c:pt>
                <c:pt idx="238">
                  <c:v>670</c:v>
                </c:pt>
                <c:pt idx="239">
                  <c:v>670</c:v>
                </c:pt>
                <c:pt idx="240">
                  <c:v>670</c:v>
                </c:pt>
                <c:pt idx="241">
                  <c:v>670</c:v>
                </c:pt>
                <c:pt idx="242">
                  <c:v>670</c:v>
                </c:pt>
                <c:pt idx="243">
                  <c:v>670</c:v>
                </c:pt>
                <c:pt idx="244">
                  <c:v>670</c:v>
                </c:pt>
                <c:pt idx="245">
                  <c:v>670</c:v>
                </c:pt>
                <c:pt idx="246">
                  <c:v>670</c:v>
                </c:pt>
                <c:pt idx="247">
                  <c:v>670</c:v>
                </c:pt>
                <c:pt idx="248">
                  <c:v>670</c:v>
                </c:pt>
                <c:pt idx="249">
                  <c:v>670</c:v>
                </c:pt>
                <c:pt idx="250">
                  <c:v>670</c:v>
                </c:pt>
                <c:pt idx="251">
                  <c:v>670</c:v>
                </c:pt>
                <c:pt idx="252">
                  <c:v>670</c:v>
                </c:pt>
                <c:pt idx="253">
                  <c:v>670</c:v>
                </c:pt>
                <c:pt idx="254">
                  <c:v>670</c:v>
                </c:pt>
                <c:pt idx="255">
                  <c:v>670</c:v>
                </c:pt>
                <c:pt idx="256">
                  <c:v>670</c:v>
                </c:pt>
                <c:pt idx="257">
                  <c:v>670</c:v>
                </c:pt>
                <c:pt idx="258">
                  <c:v>670</c:v>
                </c:pt>
                <c:pt idx="259">
                  <c:v>670</c:v>
                </c:pt>
                <c:pt idx="260">
                  <c:v>670</c:v>
                </c:pt>
                <c:pt idx="261">
                  <c:v>670</c:v>
                </c:pt>
                <c:pt idx="262">
                  <c:v>670</c:v>
                </c:pt>
                <c:pt idx="263">
                  <c:v>670</c:v>
                </c:pt>
                <c:pt idx="264">
                  <c:v>670</c:v>
                </c:pt>
                <c:pt idx="265">
                  <c:v>670</c:v>
                </c:pt>
                <c:pt idx="266">
                  <c:v>670</c:v>
                </c:pt>
                <c:pt idx="267">
                  <c:v>670</c:v>
                </c:pt>
                <c:pt idx="268">
                  <c:v>670</c:v>
                </c:pt>
                <c:pt idx="269">
                  <c:v>670</c:v>
                </c:pt>
                <c:pt idx="270">
                  <c:v>670</c:v>
                </c:pt>
                <c:pt idx="271">
                  <c:v>670</c:v>
                </c:pt>
                <c:pt idx="272">
                  <c:v>670</c:v>
                </c:pt>
                <c:pt idx="273">
                  <c:v>670</c:v>
                </c:pt>
                <c:pt idx="274">
                  <c:v>670</c:v>
                </c:pt>
                <c:pt idx="275">
                  <c:v>670</c:v>
                </c:pt>
                <c:pt idx="276">
                  <c:v>670</c:v>
                </c:pt>
                <c:pt idx="277">
                  <c:v>670</c:v>
                </c:pt>
                <c:pt idx="278">
                  <c:v>670</c:v>
                </c:pt>
                <c:pt idx="279">
                  <c:v>670</c:v>
                </c:pt>
                <c:pt idx="280">
                  <c:v>670</c:v>
                </c:pt>
                <c:pt idx="281">
                  <c:v>670</c:v>
                </c:pt>
                <c:pt idx="282">
                  <c:v>670</c:v>
                </c:pt>
                <c:pt idx="283">
                  <c:v>670</c:v>
                </c:pt>
                <c:pt idx="284">
                  <c:v>670</c:v>
                </c:pt>
                <c:pt idx="285">
                  <c:v>670</c:v>
                </c:pt>
                <c:pt idx="286">
                  <c:v>670</c:v>
                </c:pt>
                <c:pt idx="287">
                  <c:v>670</c:v>
                </c:pt>
                <c:pt idx="288">
                  <c:v>670</c:v>
                </c:pt>
                <c:pt idx="289">
                  <c:v>670</c:v>
                </c:pt>
                <c:pt idx="290">
                  <c:v>670</c:v>
                </c:pt>
                <c:pt idx="291">
                  <c:v>670</c:v>
                </c:pt>
                <c:pt idx="292">
                  <c:v>670</c:v>
                </c:pt>
                <c:pt idx="293">
                  <c:v>670</c:v>
                </c:pt>
                <c:pt idx="294">
                  <c:v>670</c:v>
                </c:pt>
                <c:pt idx="295">
                  <c:v>670</c:v>
                </c:pt>
                <c:pt idx="296">
                  <c:v>670</c:v>
                </c:pt>
                <c:pt idx="297">
                  <c:v>670</c:v>
                </c:pt>
                <c:pt idx="298">
                  <c:v>670</c:v>
                </c:pt>
                <c:pt idx="299">
                  <c:v>670</c:v>
                </c:pt>
                <c:pt idx="300">
                  <c:v>670</c:v>
                </c:pt>
                <c:pt idx="301">
                  <c:v>670</c:v>
                </c:pt>
                <c:pt idx="302">
                  <c:v>670</c:v>
                </c:pt>
                <c:pt idx="303">
                  <c:v>670</c:v>
                </c:pt>
                <c:pt idx="304">
                  <c:v>670</c:v>
                </c:pt>
                <c:pt idx="305">
                  <c:v>670</c:v>
                </c:pt>
                <c:pt idx="306">
                  <c:v>670</c:v>
                </c:pt>
                <c:pt idx="307">
                  <c:v>670</c:v>
                </c:pt>
                <c:pt idx="308">
                  <c:v>670</c:v>
                </c:pt>
                <c:pt idx="309">
                  <c:v>670</c:v>
                </c:pt>
                <c:pt idx="310">
                  <c:v>670</c:v>
                </c:pt>
                <c:pt idx="311">
                  <c:v>670</c:v>
                </c:pt>
                <c:pt idx="312">
                  <c:v>670</c:v>
                </c:pt>
                <c:pt idx="313">
                  <c:v>670</c:v>
                </c:pt>
                <c:pt idx="314">
                  <c:v>670</c:v>
                </c:pt>
                <c:pt idx="315">
                  <c:v>670</c:v>
                </c:pt>
                <c:pt idx="316">
                  <c:v>670</c:v>
                </c:pt>
                <c:pt idx="317">
                  <c:v>670</c:v>
                </c:pt>
                <c:pt idx="318">
                  <c:v>670</c:v>
                </c:pt>
                <c:pt idx="319">
                  <c:v>670</c:v>
                </c:pt>
                <c:pt idx="320">
                  <c:v>670</c:v>
                </c:pt>
                <c:pt idx="321">
                  <c:v>670</c:v>
                </c:pt>
                <c:pt idx="322">
                  <c:v>670</c:v>
                </c:pt>
                <c:pt idx="323">
                  <c:v>670</c:v>
                </c:pt>
              </c:numCache>
            </c:numRef>
          </c:val>
          <c:smooth val="0"/>
        </c:ser>
        <c:dLbls>
          <c:showLegendKey val="0"/>
          <c:showVal val="0"/>
          <c:showCatName val="0"/>
          <c:showSerName val="0"/>
          <c:showPercent val="0"/>
          <c:showBubbleSize val="0"/>
        </c:dLbls>
        <c:marker val="1"/>
        <c:smooth val="0"/>
        <c:axId val="257544960"/>
        <c:axId val="257546496"/>
      </c:lineChart>
      <c:dateAx>
        <c:axId val="257544960"/>
        <c:scaling>
          <c:orientation val="minMax"/>
        </c:scaling>
        <c:delete val="0"/>
        <c:axPos val="b"/>
        <c:numFmt formatCode="m/d/yyyy" sourceLinked="1"/>
        <c:majorTickMark val="none"/>
        <c:minorTickMark val="none"/>
        <c:tickLblPos val="nextTo"/>
        <c:crossAx val="257546496"/>
        <c:crosses val="autoZero"/>
        <c:auto val="1"/>
        <c:lblOffset val="100"/>
        <c:baseTimeUnit val="days"/>
        <c:majorUnit val="1"/>
        <c:majorTimeUnit val="months"/>
        <c:minorUnit val="1"/>
        <c:minorTimeUnit val="days"/>
      </c:dateAx>
      <c:valAx>
        <c:axId val="257546496"/>
        <c:scaling>
          <c:orientation val="minMax"/>
        </c:scaling>
        <c:delete val="0"/>
        <c:axPos val="l"/>
        <c:majorGridlines/>
        <c:numFmt formatCode="General;General;;" sourceLinked="1"/>
        <c:majorTickMark val="none"/>
        <c:minorTickMark val="none"/>
        <c:tickLblPos val="nextTo"/>
        <c:spPr>
          <a:ln w="9525">
            <a:noFill/>
          </a:ln>
        </c:spPr>
        <c:crossAx val="257544960"/>
        <c:crosses val="autoZero"/>
        <c:crossBetween val="between"/>
      </c:valAx>
    </c:plotArea>
    <c:legend>
      <c:legendPos val="b"/>
      <c:layout>
        <c:manualLayout>
          <c:xMode val="edge"/>
          <c:yMode val="edge"/>
          <c:x val="0.10834976988823149"/>
          <c:y val="0.84995798691636171"/>
          <c:w val="0.79644970414201188"/>
          <c:h val="0.13452008836497301"/>
        </c:manualLayout>
      </c:layout>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07171028050313E-2"/>
          <c:y val="4.7854470318869712E-2"/>
          <c:w val="0.85837270341207361"/>
          <c:h val="0.64435185185185184"/>
        </c:manualLayout>
      </c:layout>
      <c:lineChart>
        <c:grouping val="standard"/>
        <c:varyColors val="0"/>
        <c:ser>
          <c:idx val="0"/>
          <c:order val="0"/>
          <c:tx>
            <c:strRef>
              <c:f>小麥、玉米、糖!$K$1</c:f>
              <c:strCache>
                <c:ptCount val="1"/>
                <c:pt idx="0">
                  <c:v>飼料 紅玉米 高雄(東岸) 美國 中盤價(美元/公噸)</c:v>
                </c:pt>
              </c:strCache>
            </c:strRef>
          </c:tx>
          <c:spPr>
            <a:ln>
              <a:prstDash val="sysDash"/>
            </a:ln>
          </c:spPr>
          <c:marker>
            <c:symbol val="none"/>
          </c:marker>
          <c:cat>
            <c:numRef>
              <c:f>小麥、玉米、糖!$H$216:$H$539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小麥、玉米、糖!$K$216:$K$539</c:f>
              <c:numCache>
                <c:formatCode>General</c:formatCode>
                <c:ptCount val="324"/>
                <c:pt idx="0">
                  <c:v>265</c:v>
                </c:pt>
                <c:pt idx="1">
                  <c:v>265</c:v>
                </c:pt>
                <c:pt idx="2">
                  <c:v>265</c:v>
                </c:pt>
                <c:pt idx="3">
                  <c:v>265</c:v>
                </c:pt>
                <c:pt idx="4">
                  <c:v>260</c:v>
                </c:pt>
                <c:pt idx="5">
                  <c:v>260</c:v>
                </c:pt>
                <c:pt idx="6">
                  <c:v>260</c:v>
                </c:pt>
                <c:pt idx="7">
                  <c:v>258.33333333333331</c:v>
                </c:pt>
                <c:pt idx="8">
                  <c:v>256.66666666666686</c:v>
                </c:pt>
                <c:pt idx="9">
                  <c:v>256.66666666666686</c:v>
                </c:pt>
                <c:pt idx="10">
                  <c:v>256.66666666666686</c:v>
                </c:pt>
                <c:pt idx="11">
                  <c:v>255</c:v>
                </c:pt>
                <c:pt idx="12">
                  <c:v>253.3333333333334</c:v>
                </c:pt>
                <c:pt idx="13">
                  <c:v>253.3333333333334</c:v>
                </c:pt>
                <c:pt idx="14">
                  <c:v>253.3333333333334</c:v>
                </c:pt>
                <c:pt idx="15">
                  <c:v>251.6666666666666</c:v>
                </c:pt>
                <c:pt idx="16">
                  <c:v>251.6666666666666</c:v>
                </c:pt>
                <c:pt idx="17">
                  <c:v>251.6666666666666</c:v>
                </c:pt>
                <c:pt idx="18">
                  <c:v>246.6666666666666</c:v>
                </c:pt>
                <c:pt idx="19">
                  <c:v>246.6666666666666</c:v>
                </c:pt>
                <c:pt idx="20">
                  <c:v>246.6666666666666</c:v>
                </c:pt>
                <c:pt idx="21">
                  <c:v>246.6666666666666</c:v>
                </c:pt>
                <c:pt idx="22">
                  <c:v>246.6666666666666</c:v>
                </c:pt>
                <c:pt idx="23">
                  <c:v>246.6666666666666</c:v>
                </c:pt>
                <c:pt idx="24">
                  <c:v>246.6666666666666</c:v>
                </c:pt>
                <c:pt idx="25">
                  <c:v>243.3333333333334</c:v>
                </c:pt>
                <c:pt idx="26">
                  <c:v>243.3333333333334</c:v>
                </c:pt>
                <c:pt idx="27">
                  <c:v>243.3333333333334</c:v>
                </c:pt>
                <c:pt idx="28">
                  <c:v>245</c:v>
                </c:pt>
                <c:pt idx="29">
                  <c:v>245</c:v>
                </c:pt>
                <c:pt idx="30">
                  <c:v>245</c:v>
                </c:pt>
                <c:pt idx="31">
                  <c:v>245</c:v>
                </c:pt>
                <c:pt idx="32">
                  <c:v>245</c:v>
                </c:pt>
                <c:pt idx="33">
                  <c:v>245</c:v>
                </c:pt>
                <c:pt idx="34">
                  <c:v>246.6666666666666</c:v>
                </c:pt>
                <c:pt idx="35">
                  <c:v>246.6666666666666</c:v>
                </c:pt>
                <c:pt idx="36">
                  <c:v>246.6666666666666</c:v>
                </c:pt>
                <c:pt idx="37">
                  <c:v>246.6666666666666</c:v>
                </c:pt>
                <c:pt idx="38">
                  <c:v>246.6666666666666</c:v>
                </c:pt>
                <c:pt idx="39">
                  <c:v>246.6666666666666</c:v>
                </c:pt>
                <c:pt idx="40">
                  <c:v>246.6666666666666</c:v>
                </c:pt>
                <c:pt idx="41">
                  <c:v>246.6666666666666</c:v>
                </c:pt>
                <c:pt idx="42">
                  <c:v>246.6666666666666</c:v>
                </c:pt>
                <c:pt idx="43">
                  <c:v>246.6666666666666</c:v>
                </c:pt>
                <c:pt idx="44">
                  <c:v>246.6666666666666</c:v>
                </c:pt>
                <c:pt idx="45">
                  <c:v>246.6666666666666</c:v>
                </c:pt>
                <c:pt idx="46">
                  <c:v>246.6666666666666</c:v>
                </c:pt>
                <c:pt idx="47">
                  <c:v>246.6666666666666</c:v>
                </c:pt>
                <c:pt idx="48">
                  <c:v>246.6666666666666</c:v>
                </c:pt>
                <c:pt idx="49">
                  <c:v>246.6666666666666</c:v>
                </c:pt>
                <c:pt idx="50">
                  <c:v>246.6666666666666</c:v>
                </c:pt>
                <c:pt idx="51">
                  <c:v>246.6666666666666</c:v>
                </c:pt>
                <c:pt idx="52">
                  <c:v>246.6666666666666</c:v>
                </c:pt>
                <c:pt idx="53">
                  <c:v>246.6666666666666</c:v>
                </c:pt>
                <c:pt idx="54">
                  <c:v>246.6666666666666</c:v>
                </c:pt>
                <c:pt idx="55">
                  <c:v>246.6666666666666</c:v>
                </c:pt>
                <c:pt idx="56">
                  <c:v>246.6666666666666</c:v>
                </c:pt>
                <c:pt idx="57">
                  <c:v>246.6666666666666</c:v>
                </c:pt>
                <c:pt idx="58">
                  <c:v>246.6666666666666</c:v>
                </c:pt>
                <c:pt idx="59">
                  <c:v>246.6666666666666</c:v>
                </c:pt>
                <c:pt idx="60">
                  <c:v>246.6666666666666</c:v>
                </c:pt>
                <c:pt idx="61">
                  <c:v>245</c:v>
                </c:pt>
                <c:pt idx="62">
                  <c:v>245</c:v>
                </c:pt>
                <c:pt idx="63">
                  <c:v>245</c:v>
                </c:pt>
                <c:pt idx="64">
                  <c:v>245</c:v>
                </c:pt>
                <c:pt idx="65">
                  <c:v>245</c:v>
                </c:pt>
                <c:pt idx="66">
                  <c:v>245</c:v>
                </c:pt>
                <c:pt idx="67">
                  <c:v>243.3333333333334</c:v>
                </c:pt>
                <c:pt idx="68">
                  <c:v>243.3333333333334</c:v>
                </c:pt>
                <c:pt idx="69">
                  <c:v>243.3333333333334</c:v>
                </c:pt>
                <c:pt idx="70">
                  <c:v>241.6666666666666</c:v>
                </c:pt>
                <c:pt idx="71">
                  <c:v>241.6666666666666</c:v>
                </c:pt>
                <c:pt idx="72">
                  <c:v>241.6666666666666</c:v>
                </c:pt>
                <c:pt idx="73">
                  <c:v>241.6666666666666</c:v>
                </c:pt>
                <c:pt idx="74">
                  <c:v>240</c:v>
                </c:pt>
                <c:pt idx="75">
                  <c:v>240</c:v>
                </c:pt>
                <c:pt idx="76">
                  <c:v>240</c:v>
                </c:pt>
                <c:pt idx="77">
                  <c:v>240</c:v>
                </c:pt>
                <c:pt idx="78">
                  <c:v>240</c:v>
                </c:pt>
                <c:pt idx="79">
                  <c:v>240</c:v>
                </c:pt>
                <c:pt idx="80">
                  <c:v>240</c:v>
                </c:pt>
                <c:pt idx="81">
                  <c:v>240</c:v>
                </c:pt>
                <c:pt idx="82">
                  <c:v>241.6666666666666</c:v>
                </c:pt>
                <c:pt idx="83">
                  <c:v>245</c:v>
                </c:pt>
                <c:pt idx="84">
                  <c:v>246.6666666666666</c:v>
                </c:pt>
                <c:pt idx="85">
                  <c:v>246.6666666666666</c:v>
                </c:pt>
                <c:pt idx="86">
                  <c:v>246.6666666666666</c:v>
                </c:pt>
                <c:pt idx="87">
                  <c:v>246.6666666666666</c:v>
                </c:pt>
                <c:pt idx="88">
                  <c:v>246.6666666666666</c:v>
                </c:pt>
                <c:pt idx="89">
                  <c:v>246.6666666666666</c:v>
                </c:pt>
                <c:pt idx="90">
                  <c:v>246.6666666666666</c:v>
                </c:pt>
                <c:pt idx="91">
                  <c:v>246.6666666666666</c:v>
                </c:pt>
                <c:pt idx="92">
                  <c:v>246.6666666666666</c:v>
                </c:pt>
                <c:pt idx="93">
                  <c:v>246.6666666666666</c:v>
                </c:pt>
                <c:pt idx="94">
                  <c:v>246.6666666666666</c:v>
                </c:pt>
                <c:pt idx="95">
                  <c:v>246.6666666666666</c:v>
                </c:pt>
                <c:pt idx="96">
                  <c:v>246.6666666666666</c:v>
                </c:pt>
                <c:pt idx="97">
                  <c:v>246.6666666666666</c:v>
                </c:pt>
                <c:pt idx="98">
                  <c:v>246.6666666666666</c:v>
                </c:pt>
                <c:pt idx="99">
                  <c:v>246.6666666666666</c:v>
                </c:pt>
                <c:pt idx="100">
                  <c:v>246.6666666666666</c:v>
                </c:pt>
                <c:pt idx="101">
                  <c:v>246.6666666666666</c:v>
                </c:pt>
                <c:pt idx="102">
                  <c:v>245</c:v>
                </c:pt>
                <c:pt idx="103">
                  <c:v>245</c:v>
                </c:pt>
                <c:pt idx="104">
                  <c:v>245</c:v>
                </c:pt>
                <c:pt idx="105">
                  <c:v>245</c:v>
                </c:pt>
                <c:pt idx="106">
                  <c:v>245</c:v>
                </c:pt>
                <c:pt idx="107">
                  <c:v>245</c:v>
                </c:pt>
                <c:pt idx="108">
                  <c:v>245</c:v>
                </c:pt>
                <c:pt idx="109">
                  <c:v>245</c:v>
                </c:pt>
                <c:pt idx="110">
                  <c:v>245</c:v>
                </c:pt>
                <c:pt idx="111">
                  <c:v>243.3333333333334</c:v>
                </c:pt>
                <c:pt idx="112">
                  <c:v>243.3333333333334</c:v>
                </c:pt>
                <c:pt idx="113">
                  <c:v>243.3333333333334</c:v>
                </c:pt>
                <c:pt idx="114">
                  <c:v>243.3333333333334</c:v>
                </c:pt>
                <c:pt idx="115">
                  <c:v>243.3333333333334</c:v>
                </c:pt>
                <c:pt idx="116">
                  <c:v>241.6666666666666</c:v>
                </c:pt>
                <c:pt idx="117">
                  <c:v>241.6666666666666</c:v>
                </c:pt>
                <c:pt idx="118">
                  <c:v>240</c:v>
                </c:pt>
                <c:pt idx="119">
                  <c:v>238.3333333333334</c:v>
                </c:pt>
                <c:pt idx="120">
                  <c:v>238.3333333333334</c:v>
                </c:pt>
                <c:pt idx="121">
                  <c:v>238.3333333333334</c:v>
                </c:pt>
                <c:pt idx="122">
                  <c:v>238.3333333333334</c:v>
                </c:pt>
                <c:pt idx="123">
                  <c:v>236.6666666666666</c:v>
                </c:pt>
                <c:pt idx="124">
                  <c:v>235</c:v>
                </c:pt>
                <c:pt idx="125">
                  <c:v>233.3333333333334</c:v>
                </c:pt>
                <c:pt idx="126">
                  <c:v>233.3333333333334</c:v>
                </c:pt>
                <c:pt idx="127">
                  <c:v>231.6666666666666</c:v>
                </c:pt>
                <c:pt idx="128">
                  <c:v>231.6666666666666</c:v>
                </c:pt>
                <c:pt idx="129">
                  <c:v>231.6666666666666</c:v>
                </c:pt>
                <c:pt idx="130">
                  <c:v>231.6666666666666</c:v>
                </c:pt>
                <c:pt idx="131">
                  <c:v>233.3333333333334</c:v>
                </c:pt>
                <c:pt idx="132">
                  <c:v>236.6666666666666</c:v>
                </c:pt>
                <c:pt idx="133">
                  <c:v>236.6666666666666</c:v>
                </c:pt>
                <c:pt idx="134">
                  <c:v>236.6666666666666</c:v>
                </c:pt>
                <c:pt idx="135">
                  <c:v>236.6666666666666</c:v>
                </c:pt>
                <c:pt idx="136">
                  <c:v>236.6666666666666</c:v>
                </c:pt>
                <c:pt idx="137">
                  <c:v>240</c:v>
                </c:pt>
                <c:pt idx="138">
                  <c:v>240</c:v>
                </c:pt>
                <c:pt idx="139">
                  <c:v>240</c:v>
                </c:pt>
                <c:pt idx="140">
                  <c:v>238.3333333333334</c:v>
                </c:pt>
                <c:pt idx="141">
                  <c:v>238.3333333333334</c:v>
                </c:pt>
                <c:pt idx="142">
                  <c:v>238.3333333333334</c:v>
                </c:pt>
                <c:pt idx="143">
                  <c:v>238.3333333333334</c:v>
                </c:pt>
                <c:pt idx="144">
                  <c:v>238.3333333333334</c:v>
                </c:pt>
                <c:pt idx="145">
                  <c:v>238.3333333333334</c:v>
                </c:pt>
                <c:pt idx="146">
                  <c:v>236.6666666666666</c:v>
                </c:pt>
                <c:pt idx="147">
                  <c:v>236.6666666666666</c:v>
                </c:pt>
                <c:pt idx="148">
                  <c:v>236.6666666666666</c:v>
                </c:pt>
                <c:pt idx="149">
                  <c:v>236.6666666666666</c:v>
                </c:pt>
                <c:pt idx="150">
                  <c:v>236.6666666666666</c:v>
                </c:pt>
                <c:pt idx="151">
                  <c:v>235</c:v>
                </c:pt>
                <c:pt idx="152">
                  <c:v>235</c:v>
                </c:pt>
                <c:pt idx="153">
                  <c:v>235</c:v>
                </c:pt>
                <c:pt idx="154">
                  <c:v>235</c:v>
                </c:pt>
                <c:pt idx="155">
                  <c:v>238.3333333333334</c:v>
                </c:pt>
                <c:pt idx="156">
                  <c:v>238.3333333333334</c:v>
                </c:pt>
                <c:pt idx="157">
                  <c:v>238.3333333333334</c:v>
                </c:pt>
                <c:pt idx="158">
                  <c:v>240</c:v>
                </c:pt>
                <c:pt idx="159">
                  <c:v>241.6666666666666</c:v>
                </c:pt>
                <c:pt idx="160">
                  <c:v>241.6666666666666</c:v>
                </c:pt>
                <c:pt idx="161">
                  <c:v>241.6666666666666</c:v>
                </c:pt>
                <c:pt idx="162">
                  <c:v>241.6666666666666</c:v>
                </c:pt>
                <c:pt idx="163">
                  <c:v>241.6666666666666</c:v>
                </c:pt>
                <c:pt idx="164">
                  <c:v>241.6666666666666</c:v>
                </c:pt>
                <c:pt idx="165">
                  <c:v>241.6666666666666</c:v>
                </c:pt>
                <c:pt idx="166">
                  <c:v>241.6666666666666</c:v>
                </c:pt>
                <c:pt idx="167">
                  <c:v>241.6666666666666</c:v>
                </c:pt>
                <c:pt idx="168">
                  <c:v>236.6666666666666</c:v>
                </c:pt>
                <c:pt idx="169">
                  <c:v>236.6666666666666</c:v>
                </c:pt>
                <c:pt idx="170">
                  <c:v>236.6666666666666</c:v>
                </c:pt>
                <c:pt idx="171">
                  <c:v>236.6666666666666</c:v>
                </c:pt>
                <c:pt idx="172">
                  <c:v>235</c:v>
                </c:pt>
                <c:pt idx="173">
                  <c:v>235</c:v>
                </c:pt>
                <c:pt idx="174">
                  <c:v>235</c:v>
                </c:pt>
                <c:pt idx="175">
                  <c:v>233.3333333333334</c:v>
                </c:pt>
                <c:pt idx="176">
                  <c:v>236.6666666666666</c:v>
                </c:pt>
                <c:pt idx="177">
                  <c:v>236.6666666666666</c:v>
                </c:pt>
                <c:pt idx="178">
                  <c:v>236.6666666666666</c:v>
                </c:pt>
                <c:pt idx="179">
                  <c:v>240</c:v>
                </c:pt>
                <c:pt idx="180">
                  <c:v>241.6666666666666</c:v>
                </c:pt>
                <c:pt idx="181">
                  <c:v>253.3333333333334</c:v>
                </c:pt>
                <c:pt idx="182">
                  <c:v>258.33333333333331</c:v>
                </c:pt>
                <c:pt idx="183">
                  <c:v>260</c:v>
                </c:pt>
                <c:pt idx="184">
                  <c:v>260</c:v>
                </c:pt>
                <c:pt idx="185">
                  <c:v>260</c:v>
                </c:pt>
                <c:pt idx="186">
                  <c:v>260</c:v>
                </c:pt>
                <c:pt idx="187">
                  <c:v>260</c:v>
                </c:pt>
                <c:pt idx="188">
                  <c:v>260</c:v>
                </c:pt>
                <c:pt idx="189">
                  <c:v>260</c:v>
                </c:pt>
                <c:pt idx="190">
                  <c:v>260</c:v>
                </c:pt>
                <c:pt idx="191">
                  <c:v>260</c:v>
                </c:pt>
                <c:pt idx="192">
                  <c:v>260</c:v>
                </c:pt>
                <c:pt idx="193">
                  <c:v>260</c:v>
                </c:pt>
                <c:pt idx="194">
                  <c:v>260</c:v>
                </c:pt>
                <c:pt idx="195">
                  <c:v>260</c:v>
                </c:pt>
                <c:pt idx="196">
                  <c:v>263.33333333333331</c:v>
                </c:pt>
                <c:pt idx="197">
                  <c:v>265</c:v>
                </c:pt>
                <c:pt idx="198">
                  <c:v>265</c:v>
                </c:pt>
                <c:pt idx="199">
                  <c:v>265</c:v>
                </c:pt>
                <c:pt idx="200">
                  <c:v>265</c:v>
                </c:pt>
                <c:pt idx="201">
                  <c:v>263.33333333333331</c:v>
                </c:pt>
                <c:pt idx="202">
                  <c:v>263.33333333333331</c:v>
                </c:pt>
                <c:pt idx="203">
                  <c:v>260</c:v>
                </c:pt>
                <c:pt idx="204">
                  <c:v>258.33333333333331</c:v>
                </c:pt>
                <c:pt idx="205">
                  <c:v>258.33333333333331</c:v>
                </c:pt>
                <c:pt idx="206">
                  <c:v>258.33333333333331</c:v>
                </c:pt>
                <c:pt idx="207">
                  <c:v>255</c:v>
                </c:pt>
                <c:pt idx="208">
                  <c:v>253.3333333333334</c:v>
                </c:pt>
                <c:pt idx="209">
                  <c:v>253.3333333333334</c:v>
                </c:pt>
                <c:pt idx="210">
                  <c:v>251.6666666666666</c:v>
                </c:pt>
                <c:pt idx="211">
                  <c:v>251.6666666666666</c:v>
                </c:pt>
                <c:pt idx="212">
                  <c:v>251.6666666666666</c:v>
                </c:pt>
                <c:pt idx="213">
                  <c:v>251.6666666666666</c:v>
                </c:pt>
                <c:pt idx="214">
                  <c:v>253.3333333333334</c:v>
                </c:pt>
                <c:pt idx="215">
                  <c:v>253.3333333333334</c:v>
                </c:pt>
                <c:pt idx="216">
                  <c:v>253.3333333333334</c:v>
                </c:pt>
                <c:pt idx="217">
                  <c:v>255</c:v>
                </c:pt>
                <c:pt idx="218">
                  <c:v>255</c:v>
                </c:pt>
                <c:pt idx="219">
                  <c:v>255</c:v>
                </c:pt>
                <c:pt idx="220">
                  <c:v>255</c:v>
                </c:pt>
                <c:pt idx="221">
                  <c:v>253.3333333333334</c:v>
                </c:pt>
                <c:pt idx="222">
                  <c:v>253.3333333333334</c:v>
                </c:pt>
                <c:pt idx="223">
                  <c:v>255</c:v>
                </c:pt>
                <c:pt idx="224">
                  <c:v>253.3333333333334</c:v>
                </c:pt>
                <c:pt idx="225">
                  <c:v>253.3333333333334</c:v>
                </c:pt>
                <c:pt idx="226">
                  <c:v>253.3333333333334</c:v>
                </c:pt>
                <c:pt idx="227">
                  <c:v>253.3333333333334</c:v>
                </c:pt>
                <c:pt idx="228">
                  <c:v>253.3333333333334</c:v>
                </c:pt>
                <c:pt idx="229">
                  <c:v>253.3333333333334</c:v>
                </c:pt>
                <c:pt idx="230">
                  <c:v>253.3333333333334</c:v>
                </c:pt>
                <c:pt idx="231">
                  <c:v>253.3333333333334</c:v>
                </c:pt>
                <c:pt idx="232">
                  <c:v>253.3333333333334</c:v>
                </c:pt>
                <c:pt idx="233">
                  <c:v>253.3333333333334</c:v>
                </c:pt>
                <c:pt idx="234">
                  <c:v>253.3333333333334</c:v>
                </c:pt>
                <c:pt idx="235">
                  <c:v>253.3333333333334</c:v>
                </c:pt>
                <c:pt idx="236">
                  <c:v>253.3333333333334</c:v>
                </c:pt>
                <c:pt idx="237">
                  <c:v>251.6666666666666</c:v>
                </c:pt>
                <c:pt idx="238">
                  <c:v>251.6666666666666</c:v>
                </c:pt>
                <c:pt idx="239">
                  <c:v>251.6666666666666</c:v>
                </c:pt>
                <c:pt idx="240">
                  <c:v>251.6666666666666</c:v>
                </c:pt>
                <c:pt idx="241">
                  <c:v>251.6666666666666</c:v>
                </c:pt>
                <c:pt idx="242">
                  <c:v>253.3333333333334</c:v>
                </c:pt>
                <c:pt idx="243">
                  <c:v>250</c:v>
                </c:pt>
                <c:pt idx="244">
                  <c:v>250</c:v>
                </c:pt>
                <c:pt idx="245">
                  <c:v>250</c:v>
                </c:pt>
                <c:pt idx="246">
                  <c:v>250</c:v>
                </c:pt>
                <c:pt idx="247">
                  <c:v>250</c:v>
                </c:pt>
                <c:pt idx="248">
                  <c:v>250</c:v>
                </c:pt>
                <c:pt idx="249">
                  <c:v>250</c:v>
                </c:pt>
                <c:pt idx="250">
                  <c:v>250</c:v>
                </c:pt>
                <c:pt idx="251">
                  <c:v>250</c:v>
                </c:pt>
                <c:pt idx="252">
                  <c:v>250</c:v>
                </c:pt>
                <c:pt idx="253">
                  <c:v>248.3333333333334</c:v>
                </c:pt>
                <c:pt idx="254">
                  <c:v>248.3333333333334</c:v>
                </c:pt>
                <c:pt idx="255">
                  <c:v>248.3333333333334</c:v>
                </c:pt>
                <c:pt idx="256">
                  <c:v>248.3333333333334</c:v>
                </c:pt>
                <c:pt idx="257">
                  <c:v>251.6666666666666</c:v>
                </c:pt>
                <c:pt idx="258">
                  <c:v>251.6666666666666</c:v>
                </c:pt>
                <c:pt idx="259">
                  <c:v>251.6666666666666</c:v>
                </c:pt>
                <c:pt idx="260" formatCode="General;General;;">
                  <c:v>251.6666666666666</c:v>
                </c:pt>
                <c:pt idx="261">
                  <c:v>251.6666666666666</c:v>
                </c:pt>
                <c:pt idx="262">
                  <c:v>251.6666666666666</c:v>
                </c:pt>
                <c:pt idx="263">
                  <c:v>251.6666666666666</c:v>
                </c:pt>
                <c:pt idx="264">
                  <c:v>251.6666666666666</c:v>
                </c:pt>
                <c:pt idx="265">
                  <c:v>251.6666666666666</c:v>
                </c:pt>
                <c:pt idx="266">
                  <c:v>251.6666666666666</c:v>
                </c:pt>
                <c:pt idx="267">
                  <c:v>253.3333333333334</c:v>
                </c:pt>
                <c:pt idx="268">
                  <c:v>253.3333333333334</c:v>
                </c:pt>
                <c:pt idx="269">
                  <c:v>253.3333333333334</c:v>
                </c:pt>
                <c:pt idx="270">
                  <c:v>253.3333333333334</c:v>
                </c:pt>
                <c:pt idx="271">
                  <c:v>253.3333333333334</c:v>
                </c:pt>
                <c:pt idx="272">
                  <c:v>256.66666666666686</c:v>
                </c:pt>
                <c:pt idx="273">
                  <c:v>260</c:v>
                </c:pt>
                <c:pt idx="274">
                  <c:v>266.66666666666686</c:v>
                </c:pt>
                <c:pt idx="275">
                  <c:v>266.66666666666686</c:v>
                </c:pt>
                <c:pt idx="276">
                  <c:v>266.66666666666686</c:v>
                </c:pt>
                <c:pt idx="277">
                  <c:v>266.66666666666686</c:v>
                </c:pt>
                <c:pt idx="278">
                  <c:v>265</c:v>
                </c:pt>
                <c:pt idx="279">
                  <c:v>263.33333333333331</c:v>
                </c:pt>
                <c:pt idx="280">
                  <c:v>263.33333333333331</c:v>
                </c:pt>
                <c:pt idx="281">
                  <c:v>263.33333333333331</c:v>
                </c:pt>
                <c:pt idx="282">
                  <c:v>263.33333333333331</c:v>
                </c:pt>
                <c:pt idx="283">
                  <c:v>263.33333333333331</c:v>
                </c:pt>
                <c:pt idx="284">
                  <c:v>260</c:v>
                </c:pt>
                <c:pt idx="285">
                  <c:v>258.33333333333331</c:v>
                </c:pt>
                <c:pt idx="286">
                  <c:v>253.3333333333334</c:v>
                </c:pt>
                <c:pt idx="287">
                  <c:v>253.3333333333334</c:v>
                </c:pt>
                <c:pt idx="288">
                  <c:v>251.6666666666666</c:v>
                </c:pt>
                <c:pt idx="289">
                  <c:v>251.6666666666666</c:v>
                </c:pt>
                <c:pt idx="290">
                  <c:v>251.6666666666666</c:v>
                </c:pt>
                <c:pt idx="291">
                  <c:v>250</c:v>
                </c:pt>
                <c:pt idx="292">
                  <c:v>250</c:v>
                </c:pt>
                <c:pt idx="293">
                  <c:v>246.6666666666666</c:v>
                </c:pt>
                <c:pt idx="294">
                  <c:v>246.6666666666666</c:v>
                </c:pt>
                <c:pt idx="295">
                  <c:v>246.6666666666666</c:v>
                </c:pt>
                <c:pt idx="296">
                  <c:v>246.6666666666666</c:v>
                </c:pt>
                <c:pt idx="297">
                  <c:v>246.6666666666666</c:v>
                </c:pt>
                <c:pt idx="298">
                  <c:v>243.3333333333334</c:v>
                </c:pt>
                <c:pt idx="299">
                  <c:v>240</c:v>
                </c:pt>
                <c:pt idx="300">
                  <c:v>238.3333333333334</c:v>
                </c:pt>
                <c:pt idx="301">
                  <c:v>236.6666666666666</c:v>
                </c:pt>
                <c:pt idx="302">
                  <c:v>235</c:v>
                </c:pt>
                <c:pt idx="303">
                  <c:v>235</c:v>
                </c:pt>
                <c:pt idx="304">
                  <c:v>235</c:v>
                </c:pt>
                <c:pt idx="305">
                  <c:v>233.3333333333334</c:v>
                </c:pt>
                <c:pt idx="306">
                  <c:v>229.6666666666666</c:v>
                </c:pt>
                <c:pt idx="307">
                  <c:v>228.3333333333334</c:v>
                </c:pt>
                <c:pt idx="308">
                  <c:v>228.3333333333334</c:v>
                </c:pt>
                <c:pt idx="309">
                  <c:v>228.3333333333334</c:v>
                </c:pt>
                <c:pt idx="310">
                  <c:v>228.3333333333334</c:v>
                </c:pt>
                <c:pt idx="311">
                  <c:v>228.3333333333334</c:v>
                </c:pt>
                <c:pt idx="312">
                  <c:v>228.3333333333334</c:v>
                </c:pt>
                <c:pt idx="313">
                  <c:v>228.3333333333334</c:v>
                </c:pt>
                <c:pt idx="314">
                  <c:v>228.3333333333334</c:v>
                </c:pt>
                <c:pt idx="315">
                  <c:v>226.6666666666666</c:v>
                </c:pt>
                <c:pt idx="316">
                  <c:v>225</c:v>
                </c:pt>
                <c:pt idx="317">
                  <c:v>225</c:v>
                </c:pt>
                <c:pt idx="318">
                  <c:v>225</c:v>
                </c:pt>
                <c:pt idx="319">
                  <c:v>225</c:v>
                </c:pt>
                <c:pt idx="320">
                  <c:v>225</c:v>
                </c:pt>
                <c:pt idx="321">
                  <c:v>225</c:v>
                </c:pt>
                <c:pt idx="322">
                  <c:v>225</c:v>
                </c:pt>
                <c:pt idx="323">
                  <c:v>225</c:v>
                </c:pt>
              </c:numCache>
            </c:numRef>
          </c:val>
          <c:smooth val="0"/>
        </c:ser>
        <c:ser>
          <c:idx val="1"/>
          <c:order val="1"/>
          <c:tx>
            <c:strRef>
              <c:f>小麥、玉米、糖!$L$1</c:f>
              <c:strCache>
                <c:ptCount val="1"/>
                <c:pt idx="0">
                  <c:v>玉米 芝加哥CBOT 近月期貨 收盤價(美元/公噸)</c:v>
                </c:pt>
              </c:strCache>
            </c:strRef>
          </c:tx>
          <c:marker>
            <c:symbol val="none"/>
          </c:marker>
          <c:cat>
            <c:numRef>
              <c:f>小麥、玉米、糖!$H$216:$H$539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小麥、玉米、糖!$L$216:$L$539</c:f>
              <c:numCache>
                <c:formatCode>General;General;;</c:formatCode>
                <c:ptCount val="324"/>
                <c:pt idx="0">
                  <c:v>145.87248900000003</c:v>
                </c:pt>
                <c:pt idx="1">
                  <c:v>145.41319274999998</c:v>
                </c:pt>
                <c:pt idx="2">
                  <c:v>145.41319274999998</c:v>
                </c:pt>
                <c:pt idx="3">
                  <c:v>145.41319274999998</c:v>
                </c:pt>
                <c:pt idx="4">
                  <c:v>149.17942199999999</c:v>
                </c:pt>
                <c:pt idx="5">
                  <c:v>148.81198499999999</c:v>
                </c:pt>
                <c:pt idx="6">
                  <c:v>145.59691125000001</c:v>
                </c:pt>
                <c:pt idx="7">
                  <c:v>144.86203725000007</c:v>
                </c:pt>
                <c:pt idx="8">
                  <c:v>147.06665924999999</c:v>
                </c:pt>
                <c:pt idx="9">
                  <c:v>147.06665924999999</c:v>
                </c:pt>
                <c:pt idx="10">
                  <c:v>147.06665924999999</c:v>
                </c:pt>
                <c:pt idx="11">
                  <c:v>147.70967399999992</c:v>
                </c:pt>
                <c:pt idx="12">
                  <c:v>141.73882274999997</c:v>
                </c:pt>
                <c:pt idx="13">
                  <c:v>139.99349700000005</c:v>
                </c:pt>
                <c:pt idx="14">
                  <c:v>139.62605999999997</c:v>
                </c:pt>
                <c:pt idx="15">
                  <c:v>142.19811900000005</c:v>
                </c:pt>
                <c:pt idx="16">
                  <c:v>142.19811900000005</c:v>
                </c:pt>
                <c:pt idx="17">
                  <c:v>142.19811900000005</c:v>
                </c:pt>
                <c:pt idx="18">
                  <c:v>142.19811900000005</c:v>
                </c:pt>
                <c:pt idx="19">
                  <c:v>143.39228925000006</c:v>
                </c:pt>
                <c:pt idx="20">
                  <c:v>142.56555599999993</c:v>
                </c:pt>
                <c:pt idx="21">
                  <c:v>141.00394875000001</c:v>
                </c:pt>
                <c:pt idx="22">
                  <c:v>142.10625974999999</c:v>
                </c:pt>
                <c:pt idx="23">
                  <c:v>142.10625974999999</c:v>
                </c:pt>
                <c:pt idx="24">
                  <c:v>142.10625974999999</c:v>
                </c:pt>
                <c:pt idx="25">
                  <c:v>141.09580800000001</c:v>
                </c:pt>
                <c:pt idx="26">
                  <c:v>140.08535625000005</c:v>
                </c:pt>
                <c:pt idx="27">
                  <c:v>137.14586024999994</c:v>
                </c:pt>
                <c:pt idx="28">
                  <c:v>136.50284550000001</c:v>
                </c:pt>
                <c:pt idx="29">
                  <c:v>135.95169000000001</c:v>
                </c:pt>
                <c:pt idx="30">
                  <c:v>135.95169000000001</c:v>
                </c:pt>
                <c:pt idx="31">
                  <c:v>135.95169000000001</c:v>
                </c:pt>
                <c:pt idx="32">
                  <c:v>135.85983075000001</c:v>
                </c:pt>
                <c:pt idx="33">
                  <c:v>141.73882274999997</c:v>
                </c:pt>
                <c:pt idx="34">
                  <c:v>140.91208950000001</c:v>
                </c:pt>
                <c:pt idx="35">
                  <c:v>141.55510425</c:v>
                </c:pt>
                <c:pt idx="36">
                  <c:v>141.73882274999997</c:v>
                </c:pt>
                <c:pt idx="37">
                  <c:v>141.73882274999997</c:v>
                </c:pt>
                <c:pt idx="38">
                  <c:v>141.73882274999997</c:v>
                </c:pt>
                <c:pt idx="39">
                  <c:v>143.75972624999997</c:v>
                </c:pt>
                <c:pt idx="40">
                  <c:v>142.56555599999993</c:v>
                </c:pt>
                <c:pt idx="41">
                  <c:v>141.73882274999997</c:v>
                </c:pt>
                <c:pt idx="42">
                  <c:v>140.72837100000001</c:v>
                </c:pt>
                <c:pt idx="43">
                  <c:v>142.28997824999999</c:v>
                </c:pt>
                <c:pt idx="44">
                  <c:v>142.28997824999999</c:v>
                </c:pt>
                <c:pt idx="45">
                  <c:v>142.28997824999999</c:v>
                </c:pt>
                <c:pt idx="46">
                  <c:v>142.28997824999999</c:v>
                </c:pt>
                <c:pt idx="47">
                  <c:v>143.11671149999998</c:v>
                </c:pt>
                <c:pt idx="48">
                  <c:v>141.00394875000001</c:v>
                </c:pt>
                <c:pt idx="49">
                  <c:v>143.20857074999998</c:v>
                </c:pt>
                <c:pt idx="50">
                  <c:v>141.55510425</c:v>
                </c:pt>
                <c:pt idx="51">
                  <c:v>141.55510425</c:v>
                </c:pt>
                <c:pt idx="52">
                  <c:v>141.55510425</c:v>
                </c:pt>
                <c:pt idx="53">
                  <c:v>139.16676374999994</c:v>
                </c:pt>
                <c:pt idx="54">
                  <c:v>138.70746750000001</c:v>
                </c:pt>
                <c:pt idx="55">
                  <c:v>138.06445274999999</c:v>
                </c:pt>
                <c:pt idx="56">
                  <c:v>139.62605999999997</c:v>
                </c:pt>
                <c:pt idx="57">
                  <c:v>141.27952649999995</c:v>
                </c:pt>
                <c:pt idx="58">
                  <c:v>141.27952649999995</c:v>
                </c:pt>
                <c:pt idx="59">
                  <c:v>141.27952649999995</c:v>
                </c:pt>
                <c:pt idx="60">
                  <c:v>139.16676374999994</c:v>
                </c:pt>
                <c:pt idx="61">
                  <c:v>140.36093400000001</c:v>
                </c:pt>
                <c:pt idx="62">
                  <c:v>140.17721549999999</c:v>
                </c:pt>
                <c:pt idx="63">
                  <c:v>140.63651174999998</c:v>
                </c:pt>
                <c:pt idx="64">
                  <c:v>139.35048225000006</c:v>
                </c:pt>
                <c:pt idx="65">
                  <c:v>139.35048225000006</c:v>
                </c:pt>
                <c:pt idx="66">
                  <c:v>139.35048225000006</c:v>
                </c:pt>
                <c:pt idx="67">
                  <c:v>140.82023025000007</c:v>
                </c:pt>
                <c:pt idx="68">
                  <c:v>140.45279325000001</c:v>
                </c:pt>
                <c:pt idx="69">
                  <c:v>141.09580800000001</c:v>
                </c:pt>
                <c:pt idx="70">
                  <c:v>140.45279325000001</c:v>
                </c:pt>
                <c:pt idx="71">
                  <c:v>139.80977849999999</c:v>
                </c:pt>
                <c:pt idx="72">
                  <c:v>139.80977849999999</c:v>
                </c:pt>
                <c:pt idx="73">
                  <c:v>139.80977849999999</c:v>
                </c:pt>
                <c:pt idx="74">
                  <c:v>139.258623</c:v>
                </c:pt>
                <c:pt idx="75">
                  <c:v>136.31912700000001</c:v>
                </c:pt>
                <c:pt idx="76">
                  <c:v>137.69701574999999</c:v>
                </c:pt>
                <c:pt idx="77">
                  <c:v>137.2377195</c:v>
                </c:pt>
                <c:pt idx="78">
                  <c:v>141.463245</c:v>
                </c:pt>
                <c:pt idx="79">
                  <c:v>141.463245</c:v>
                </c:pt>
                <c:pt idx="80">
                  <c:v>141.463245</c:v>
                </c:pt>
                <c:pt idx="81">
                  <c:v>143.39228925000006</c:v>
                </c:pt>
                <c:pt idx="82">
                  <c:v>144.49460024999999</c:v>
                </c:pt>
                <c:pt idx="83">
                  <c:v>145.13761499999998</c:v>
                </c:pt>
                <c:pt idx="84">
                  <c:v>143.75972624999997</c:v>
                </c:pt>
                <c:pt idx="85">
                  <c:v>143.667867</c:v>
                </c:pt>
                <c:pt idx="86">
                  <c:v>143.667867</c:v>
                </c:pt>
                <c:pt idx="87">
                  <c:v>143.667867</c:v>
                </c:pt>
                <c:pt idx="88">
                  <c:v>144.95389650000001</c:v>
                </c:pt>
                <c:pt idx="89">
                  <c:v>138.24817124999998</c:v>
                </c:pt>
                <c:pt idx="90">
                  <c:v>140.26907474999993</c:v>
                </c:pt>
                <c:pt idx="91">
                  <c:v>142.01440049999999</c:v>
                </c:pt>
                <c:pt idx="92">
                  <c:v>142.01440049999999</c:v>
                </c:pt>
                <c:pt idx="93">
                  <c:v>142.01440049999999</c:v>
                </c:pt>
                <c:pt idx="94">
                  <c:v>142.01440049999999</c:v>
                </c:pt>
                <c:pt idx="95">
                  <c:v>141.463245</c:v>
                </c:pt>
                <c:pt idx="96">
                  <c:v>140.72837100000001</c:v>
                </c:pt>
                <c:pt idx="97">
                  <c:v>139.35048225000006</c:v>
                </c:pt>
                <c:pt idx="98">
                  <c:v>138.89118600000003</c:v>
                </c:pt>
                <c:pt idx="99">
                  <c:v>138.52374900000001</c:v>
                </c:pt>
                <c:pt idx="100">
                  <c:v>138.52374900000001</c:v>
                </c:pt>
                <c:pt idx="101">
                  <c:v>138.52374900000001</c:v>
                </c:pt>
                <c:pt idx="102">
                  <c:v>136.13540850000001</c:v>
                </c:pt>
                <c:pt idx="103">
                  <c:v>137.2377195</c:v>
                </c:pt>
                <c:pt idx="104">
                  <c:v>138.15631200000001</c:v>
                </c:pt>
                <c:pt idx="105">
                  <c:v>138.24817124999998</c:v>
                </c:pt>
                <c:pt idx="106">
                  <c:v>139.53420074999997</c:v>
                </c:pt>
                <c:pt idx="107">
                  <c:v>139.53420074999997</c:v>
                </c:pt>
                <c:pt idx="108">
                  <c:v>139.53420074999997</c:v>
                </c:pt>
                <c:pt idx="109">
                  <c:v>138.89118600000003</c:v>
                </c:pt>
                <c:pt idx="110">
                  <c:v>137.054001</c:v>
                </c:pt>
                <c:pt idx="111">
                  <c:v>136.8702825</c:v>
                </c:pt>
                <c:pt idx="112">
                  <c:v>136.22726775000001</c:v>
                </c:pt>
                <c:pt idx="113">
                  <c:v>133.93078650000001</c:v>
                </c:pt>
                <c:pt idx="114">
                  <c:v>133.93078650000001</c:v>
                </c:pt>
                <c:pt idx="115">
                  <c:v>133.93078650000001</c:v>
                </c:pt>
                <c:pt idx="116">
                  <c:v>132.55289775000006</c:v>
                </c:pt>
                <c:pt idx="117">
                  <c:v>132.64475699999994</c:v>
                </c:pt>
                <c:pt idx="118">
                  <c:v>133.65520875000001</c:v>
                </c:pt>
                <c:pt idx="119">
                  <c:v>133.19591249999999</c:v>
                </c:pt>
                <c:pt idx="120">
                  <c:v>132.18546075</c:v>
                </c:pt>
                <c:pt idx="121">
                  <c:v>132.18546075</c:v>
                </c:pt>
                <c:pt idx="122">
                  <c:v>132.18546075</c:v>
                </c:pt>
                <c:pt idx="123">
                  <c:v>131.81802375000001</c:v>
                </c:pt>
                <c:pt idx="124">
                  <c:v>132.73661625</c:v>
                </c:pt>
                <c:pt idx="125">
                  <c:v>134.66566049999994</c:v>
                </c:pt>
                <c:pt idx="126">
                  <c:v>131.45058675000001</c:v>
                </c:pt>
                <c:pt idx="127">
                  <c:v>131.72616449999998</c:v>
                </c:pt>
                <c:pt idx="128">
                  <c:v>131.72616449999998</c:v>
                </c:pt>
                <c:pt idx="129">
                  <c:v>131.72616449999998</c:v>
                </c:pt>
                <c:pt idx="130">
                  <c:v>131.63430524999998</c:v>
                </c:pt>
                <c:pt idx="131">
                  <c:v>131.17500899999999</c:v>
                </c:pt>
                <c:pt idx="132">
                  <c:v>130.80757199999999</c:v>
                </c:pt>
                <c:pt idx="133">
                  <c:v>132.64475699999994</c:v>
                </c:pt>
                <c:pt idx="134">
                  <c:v>134.29822350000001</c:v>
                </c:pt>
                <c:pt idx="135">
                  <c:v>134.29822350000001</c:v>
                </c:pt>
                <c:pt idx="136">
                  <c:v>134.29822350000001</c:v>
                </c:pt>
                <c:pt idx="137">
                  <c:v>135.21681599999994</c:v>
                </c:pt>
                <c:pt idx="138">
                  <c:v>133.01219399999999</c:v>
                </c:pt>
                <c:pt idx="139">
                  <c:v>132.27731999999997</c:v>
                </c:pt>
                <c:pt idx="140">
                  <c:v>134.11450499999992</c:v>
                </c:pt>
                <c:pt idx="141">
                  <c:v>132.27731999999997</c:v>
                </c:pt>
                <c:pt idx="142">
                  <c:v>132.27731999999997</c:v>
                </c:pt>
                <c:pt idx="143">
                  <c:v>132.27731999999997</c:v>
                </c:pt>
                <c:pt idx="144">
                  <c:v>132.27731999999997</c:v>
                </c:pt>
                <c:pt idx="145">
                  <c:v>130.440135</c:v>
                </c:pt>
                <c:pt idx="146">
                  <c:v>128.4192315</c:v>
                </c:pt>
                <c:pt idx="147">
                  <c:v>129.88897950000006</c:v>
                </c:pt>
                <c:pt idx="148">
                  <c:v>129.15410549999999</c:v>
                </c:pt>
                <c:pt idx="149">
                  <c:v>129.15410549999999</c:v>
                </c:pt>
                <c:pt idx="150">
                  <c:v>129.15410549999999</c:v>
                </c:pt>
                <c:pt idx="151">
                  <c:v>129.42968324999998</c:v>
                </c:pt>
                <c:pt idx="152">
                  <c:v>131.90988299999998</c:v>
                </c:pt>
                <c:pt idx="153">
                  <c:v>131.90988299999998</c:v>
                </c:pt>
                <c:pt idx="154">
                  <c:v>133.56334950000004</c:v>
                </c:pt>
                <c:pt idx="155">
                  <c:v>132.46103850000006</c:v>
                </c:pt>
                <c:pt idx="156">
                  <c:v>132.46103850000006</c:v>
                </c:pt>
                <c:pt idx="157">
                  <c:v>132.46103850000006</c:v>
                </c:pt>
                <c:pt idx="158">
                  <c:v>134.20636424999998</c:v>
                </c:pt>
                <c:pt idx="159">
                  <c:v>134.11450499999992</c:v>
                </c:pt>
                <c:pt idx="160">
                  <c:v>131.26686824999999</c:v>
                </c:pt>
                <c:pt idx="161">
                  <c:v>130.99129050000005</c:v>
                </c:pt>
                <c:pt idx="162">
                  <c:v>129.70526099999998</c:v>
                </c:pt>
                <c:pt idx="163">
                  <c:v>129.70526099999998</c:v>
                </c:pt>
                <c:pt idx="164">
                  <c:v>129.70526099999998</c:v>
                </c:pt>
                <c:pt idx="165">
                  <c:v>127.95993524999999</c:v>
                </c:pt>
                <c:pt idx="166">
                  <c:v>130.07269799999997</c:v>
                </c:pt>
                <c:pt idx="167">
                  <c:v>132.00174225000001</c:v>
                </c:pt>
                <c:pt idx="168">
                  <c:v>131.54244600000004</c:v>
                </c:pt>
                <c:pt idx="169">
                  <c:v>129.79712025000001</c:v>
                </c:pt>
                <c:pt idx="170">
                  <c:v>129.79712025000001</c:v>
                </c:pt>
                <c:pt idx="171">
                  <c:v>129.79712025000001</c:v>
                </c:pt>
                <c:pt idx="172">
                  <c:v>132.27731999999997</c:v>
                </c:pt>
                <c:pt idx="173">
                  <c:v>135.0330975</c:v>
                </c:pt>
                <c:pt idx="174">
                  <c:v>134.66566049999994</c:v>
                </c:pt>
                <c:pt idx="175">
                  <c:v>138.34003050000001</c:v>
                </c:pt>
                <c:pt idx="176">
                  <c:v>141.463245</c:v>
                </c:pt>
                <c:pt idx="177">
                  <c:v>141.463245</c:v>
                </c:pt>
                <c:pt idx="178">
                  <c:v>141.463245</c:v>
                </c:pt>
                <c:pt idx="179">
                  <c:v>140.82023025000007</c:v>
                </c:pt>
                <c:pt idx="180">
                  <c:v>152.11891800000001</c:v>
                </c:pt>
                <c:pt idx="181">
                  <c:v>152.02705875000001</c:v>
                </c:pt>
                <c:pt idx="182">
                  <c:v>154.23168074999998</c:v>
                </c:pt>
                <c:pt idx="183">
                  <c:v>154.23168074999998</c:v>
                </c:pt>
                <c:pt idx="184">
                  <c:v>154.23168074999998</c:v>
                </c:pt>
                <c:pt idx="185">
                  <c:v>154.23168074999998</c:v>
                </c:pt>
                <c:pt idx="186">
                  <c:v>153.77238449999999</c:v>
                </c:pt>
                <c:pt idx="187">
                  <c:v>152.76193274999997</c:v>
                </c:pt>
                <c:pt idx="188">
                  <c:v>152.94565124999994</c:v>
                </c:pt>
                <c:pt idx="189">
                  <c:v>154.78283625000003</c:v>
                </c:pt>
                <c:pt idx="190">
                  <c:v>156.98745825000003</c:v>
                </c:pt>
                <c:pt idx="191">
                  <c:v>156.98745825000003</c:v>
                </c:pt>
                <c:pt idx="192">
                  <c:v>156.98745825000003</c:v>
                </c:pt>
                <c:pt idx="193">
                  <c:v>159.28393949999997</c:v>
                </c:pt>
                <c:pt idx="194">
                  <c:v>155.79328799999999</c:v>
                </c:pt>
                <c:pt idx="195">
                  <c:v>157.81419149999999</c:v>
                </c:pt>
                <c:pt idx="196">
                  <c:v>157.99791000000005</c:v>
                </c:pt>
                <c:pt idx="197">
                  <c:v>154.41539925000001</c:v>
                </c:pt>
                <c:pt idx="198">
                  <c:v>154.41539925000001</c:v>
                </c:pt>
                <c:pt idx="199">
                  <c:v>154.41539925000001</c:v>
                </c:pt>
                <c:pt idx="200">
                  <c:v>148.81198499999999</c:v>
                </c:pt>
                <c:pt idx="201">
                  <c:v>149.36314050000001</c:v>
                </c:pt>
                <c:pt idx="202">
                  <c:v>147.98525174999997</c:v>
                </c:pt>
                <c:pt idx="203">
                  <c:v>148.16897024999997</c:v>
                </c:pt>
                <c:pt idx="204">
                  <c:v>144.21902249999994</c:v>
                </c:pt>
                <c:pt idx="205">
                  <c:v>144.21902249999994</c:v>
                </c:pt>
                <c:pt idx="206">
                  <c:v>144.21902249999994</c:v>
                </c:pt>
                <c:pt idx="207">
                  <c:v>137.054001</c:v>
                </c:pt>
                <c:pt idx="208">
                  <c:v>137.78887499999999</c:v>
                </c:pt>
                <c:pt idx="209">
                  <c:v>135.12495675</c:v>
                </c:pt>
                <c:pt idx="210">
                  <c:v>137.14586024999994</c:v>
                </c:pt>
                <c:pt idx="211">
                  <c:v>136.31912700000001</c:v>
                </c:pt>
                <c:pt idx="212">
                  <c:v>136.31912700000001</c:v>
                </c:pt>
                <c:pt idx="213">
                  <c:v>136.31912700000001</c:v>
                </c:pt>
                <c:pt idx="214">
                  <c:v>134.66566049999994</c:v>
                </c:pt>
                <c:pt idx="215">
                  <c:v>135.49239375000005</c:v>
                </c:pt>
                <c:pt idx="216">
                  <c:v>136.96214175000006</c:v>
                </c:pt>
                <c:pt idx="217">
                  <c:v>135.85983075000001</c:v>
                </c:pt>
                <c:pt idx="218">
                  <c:v>136.96214175000006</c:v>
                </c:pt>
                <c:pt idx="219">
                  <c:v>136.96214175000006</c:v>
                </c:pt>
                <c:pt idx="220">
                  <c:v>136.96214175000006</c:v>
                </c:pt>
                <c:pt idx="221">
                  <c:v>143.39228925000006</c:v>
                </c:pt>
                <c:pt idx="222">
                  <c:v>138.34003050000001</c:v>
                </c:pt>
                <c:pt idx="223">
                  <c:v>131.26686824999999</c:v>
                </c:pt>
                <c:pt idx="224">
                  <c:v>133.65520875000001</c:v>
                </c:pt>
                <c:pt idx="225">
                  <c:v>133.74706799999998</c:v>
                </c:pt>
                <c:pt idx="226">
                  <c:v>133.74706799999998</c:v>
                </c:pt>
                <c:pt idx="227">
                  <c:v>133.74706799999998</c:v>
                </c:pt>
                <c:pt idx="228">
                  <c:v>133.47149025000004</c:v>
                </c:pt>
                <c:pt idx="229">
                  <c:v>134.57380124999995</c:v>
                </c:pt>
                <c:pt idx="230">
                  <c:v>134.94123825000005</c:v>
                </c:pt>
                <c:pt idx="231">
                  <c:v>136.31912700000001</c:v>
                </c:pt>
                <c:pt idx="232">
                  <c:v>134.20636424999998</c:v>
                </c:pt>
                <c:pt idx="233">
                  <c:v>134.20636424999998</c:v>
                </c:pt>
                <c:pt idx="234">
                  <c:v>134.20636424999998</c:v>
                </c:pt>
                <c:pt idx="235">
                  <c:v>135.49239375000005</c:v>
                </c:pt>
                <c:pt idx="236">
                  <c:v>134.29822350000001</c:v>
                </c:pt>
                <c:pt idx="237">
                  <c:v>132.92033475000005</c:v>
                </c:pt>
                <c:pt idx="238">
                  <c:v>133.65520875000001</c:v>
                </c:pt>
                <c:pt idx="239">
                  <c:v>133.47149025000004</c:v>
                </c:pt>
                <c:pt idx="240">
                  <c:v>133.47149025000004</c:v>
                </c:pt>
                <c:pt idx="241">
                  <c:v>133.47149025000004</c:v>
                </c:pt>
                <c:pt idx="242">
                  <c:v>133.65520875000001</c:v>
                </c:pt>
                <c:pt idx="243">
                  <c:v>130.80757199999999</c:v>
                </c:pt>
                <c:pt idx="244">
                  <c:v>130.07269799999997</c:v>
                </c:pt>
                <c:pt idx="245">
                  <c:v>127.77621674999999</c:v>
                </c:pt>
                <c:pt idx="246">
                  <c:v>128.4192315</c:v>
                </c:pt>
                <c:pt idx="247">
                  <c:v>128.4192315</c:v>
                </c:pt>
                <c:pt idx="248">
                  <c:v>128.4192315</c:v>
                </c:pt>
                <c:pt idx="249">
                  <c:v>128.4192315</c:v>
                </c:pt>
                <c:pt idx="250">
                  <c:v>130.440135</c:v>
                </c:pt>
                <c:pt idx="251">
                  <c:v>130.99129050000005</c:v>
                </c:pt>
                <c:pt idx="252">
                  <c:v>132.92033475000005</c:v>
                </c:pt>
                <c:pt idx="253">
                  <c:v>137.60515649999999</c:v>
                </c:pt>
                <c:pt idx="254">
                  <c:v>137.60515649999999</c:v>
                </c:pt>
                <c:pt idx="255">
                  <c:v>137.60515649999999</c:v>
                </c:pt>
                <c:pt idx="256">
                  <c:v>139.258623</c:v>
                </c:pt>
                <c:pt idx="257">
                  <c:v>143.48414850000006</c:v>
                </c:pt>
                <c:pt idx="258">
                  <c:v>141.830682</c:v>
                </c:pt>
                <c:pt idx="259">
                  <c:v>139.53420074999997</c:v>
                </c:pt>
                <c:pt idx="260">
                  <c:v>138.61560824999998</c:v>
                </c:pt>
                <c:pt idx="261">
                  <c:v>138.61560824999998</c:v>
                </c:pt>
                <c:pt idx="262">
                  <c:v>138.61560824999998</c:v>
                </c:pt>
                <c:pt idx="263">
                  <c:v>141.27952649999995</c:v>
                </c:pt>
                <c:pt idx="264">
                  <c:v>139.80977849999999</c:v>
                </c:pt>
                <c:pt idx="265">
                  <c:v>140.82023025000007</c:v>
                </c:pt>
                <c:pt idx="266">
                  <c:v>140.17721549999999</c:v>
                </c:pt>
                <c:pt idx="267">
                  <c:v>142.93299300000001</c:v>
                </c:pt>
                <c:pt idx="268">
                  <c:v>142.93299300000001</c:v>
                </c:pt>
                <c:pt idx="269">
                  <c:v>142.93299300000001</c:v>
                </c:pt>
                <c:pt idx="270">
                  <c:v>142.10625974999999</c:v>
                </c:pt>
                <c:pt idx="271">
                  <c:v>142.93299300000001</c:v>
                </c:pt>
                <c:pt idx="272">
                  <c:v>142.47369674999999</c:v>
                </c:pt>
                <c:pt idx="273">
                  <c:v>142.84113375000001</c:v>
                </c:pt>
                <c:pt idx="274">
                  <c:v>143.02485224999998</c:v>
                </c:pt>
                <c:pt idx="275">
                  <c:v>143.02485224999998</c:v>
                </c:pt>
                <c:pt idx="276">
                  <c:v>143.02485224999998</c:v>
                </c:pt>
                <c:pt idx="277">
                  <c:v>144.58645950000005</c:v>
                </c:pt>
                <c:pt idx="278">
                  <c:v>146.33178525</c:v>
                </c:pt>
                <c:pt idx="279">
                  <c:v>145.41319274999998</c:v>
                </c:pt>
                <c:pt idx="280">
                  <c:v>143.75972624999997</c:v>
                </c:pt>
                <c:pt idx="281">
                  <c:v>140.63651174999998</c:v>
                </c:pt>
                <c:pt idx="282">
                  <c:v>140.63651174999998</c:v>
                </c:pt>
                <c:pt idx="283">
                  <c:v>140.63651174999998</c:v>
                </c:pt>
                <c:pt idx="284">
                  <c:v>139.90163775000005</c:v>
                </c:pt>
                <c:pt idx="285">
                  <c:v>141.27952649999995</c:v>
                </c:pt>
                <c:pt idx="286">
                  <c:v>139.258623</c:v>
                </c:pt>
                <c:pt idx="287">
                  <c:v>137.97259349999999</c:v>
                </c:pt>
                <c:pt idx="288">
                  <c:v>138.43188975000001</c:v>
                </c:pt>
                <c:pt idx="289">
                  <c:v>138.43188975000001</c:v>
                </c:pt>
                <c:pt idx="290">
                  <c:v>138.43188975000001</c:v>
                </c:pt>
                <c:pt idx="291">
                  <c:v>137.054001</c:v>
                </c:pt>
                <c:pt idx="292">
                  <c:v>138.43188975000001</c:v>
                </c:pt>
                <c:pt idx="293">
                  <c:v>139.90163775000005</c:v>
                </c:pt>
                <c:pt idx="294">
                  <c:v>138.98304525</c:v>
                </c:pt>
                <c:pt idx="295">
                  <c:v>139.53420074999997</c:v>
                </c:pt>
                <c:pt idx="296">
                  <c:v>139.53420074999997</c:v>
                </c:pt>
                <c:pt idx="297">
                  <c:v>139.53420074999997</c:v>
                </c:pt>
                <c:pt idx="298">
                  <c:v>141.27952649999995</c:v>
                </c:pt>
                <c:pt idx="299">
                  <c:v>139.62605999999997</c:v>
                </c:pt>
                <c:pt idx="300">
                  <c:v>138.15631200000001</c:v>
                </c:pt>
                <c:pt idx="301">
                  <c:v>139.62605999999997</c:v>
                </c:pt>
                <c:pt idx="302">
                  <c:v>140.45279325000001</c:v>
                </c:pt>
                <c:pt idx="303">
                  <c:v>140.45279325000001</c:v>
                </c:pt>
                <c:pt idx="304">
                  <c:v>140.45279325000001</c:v>
                </c:pt>
                <c:pt idx="305">
                  <c:v>138.34003050000001</c:v>
                </c:pt>
                <c:pt idx="306">
                  <c:v>139.80977849999999</c:v>
                </c:pt>
                <c:pt idx="307">
                  <c:v>139.80977849999999</c:v>
                </c:pt>
                <c:pt idx="308">
                  <c:v>137.60515649999999</c:v>
                </c:pt>
                <c:pt idx="309">
                  <c:v>137.054001</c:v>
                </c:pt>
                <c:pt idx="310">
                  <c:v>137.054001</c:v>
                </c:pt>
                <c:pt idx="311">
                  <c:v>137.054001</c:v>
                </c:pt>
                <c:pt idx="312">
                  <c:v>134.75751975</c:v>
                </c:pt>
                <c:pt idx="313">
                  <c:v>131.90988299999998</c:v>
                </c:pt>
                <c:pt idx="314">
                  <c:v>133.10405324999994</c:v>
                </c:pt>
                <c:pt idx="315">
                  <c:v>133.01219399999999</c:v>
                </c:pt>
                <c:pt idx="316">
                  <c:v>131.63430524999998</c:v>
                </c:pt>
                <c:pt idx="317">
                  <c:v>131.63430524999998</c:v>
                </c:pt>
                <c:pt idx="318">
                  <c:v>131.63430524999998</c:v>
                </c:pt>
                <c:pt idx="319">
                  <c:v>132.27731999999997</c:v>
                </c:pt>
                <c:pt idx="320">
                  <c:v>133.01219399999999</c:v>
                </c:pt>
                <c:pt idx="321">
                  <c:v>132.92033475000005</c:v>
                </c:pt>
                <c:pt idx="322">
                  <c:v>133.83892725000007</c:v>
                </c:pt>
                <c:pt idx="323">
                  <c:v>133.47149025000004</c:v>
                </c:pt>
              </c:numCache>
            </c:numRef>
          </c:val>
          <c:smooth val="0"/>
        </c:ser>
        <c:dLbls>
          <c:showLegendKey val="0"/>
          <c:showVal val="0"/>
          <c:showCatName val="0"/>
          <c:showSerName val="0"/>
          <c:showPercent val="0"/>
          <c:showBubbleSize val="0"/>
        </c:dLbls>
        <c:marker val="1"/>
        <c:smooth val="0"/>
        <c:axId val="256907904"/>
        <c:axId val="256934272"/>
      </c:lineChart>
      <c:dateAx>
        <c:axId val="256907904"/>
        <c:scaling>
          <c:orientation val="minMax"/>
        </c:scaling>
        <c:delete val="0"/>
        <c:axPos val="b"/>
        <c:numFmt formatCode="m/d/yyyy" sourceLinked="1"/>
        <c:majorTickMark val="none"/>
        <c:minorTickMark val="none"/>
        <c:tickLblPos val="nextTo"/>
        <c:crossAx val="256934272"/>
        <c:crosses val="autoZero"/>
        <c:auto val="1"/>
        <c:lblOffset val="100"/>
        <c:baseTimeUnit val="days"/>
        <c:majorUnit val="1"/>
        <c:majorTimeUnit val="months"/>
        <c:minorUnit val="1"/>
        <c:minorTimeUnit val="months"/>
      </c:dateAx>
      <c:valAx>
        <c:axId val="256934272"/>
        <c:scaling>
          <c:orientation val="minMax"/>
        </c:scaling>
        <c:delete val="0"/>
        <c:axPos val="l"/>
        <c:majorGridlines/>
        <c:numFmt formatCode="General" sourceLinked="1"/>
        <c:majorTickMark val="none"/>
        <c:minorTickMark val="none"/>
        <c:tickLblPos val="nextTo"/>
        <c:spPr>
          <a:ln w="9525">
            <a:noFill/>
          </a:ln>
        </c:spPr>
        <c:crossAx val="256907904"/>
        <c:crosses val="autoZero"/>
        <c:crossBetween val="between"/>
      </c:valAx>
    </c:plotArea>
    <c:legend>
      <c:legendPos val="b"/>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6071741032370933E-2"/>
          <c:y val="5.1400554097404488E-2"/>
          <c:w val="0.85837270341207361"/>
          <c:h val="0.50120934033016962"/>
        </c:manualLayout>
      </c:layout>
      <c:lineChart>
        <c:grouping val="standard"/>
        <c:varyColors val="0"/>
        <c:ser>
          <c:idx val="0"/>
          <c:order val="0"/>
          <c:tx>
            <c:strRef>
              <c:f>小麥、玉米、糖!$M$1</c:f>
              <c:strCache>
                <c:ptCount val="1"/>
                <c:pt idx="0">
                  <c:v>5號精糖 英國倫敦LIFFE 近月期貨 收盤價(美元/公噸)</c:v>
                </c:pt>
              </c:strCache>
            </c:strRef>
          </c:tx>
          <c:spPr>
            <a:ln>
              <a:prstDash val="sysDash"/>
            </a:ln>
          </c:spPr>
          <c:marker>
            <c:symbol val="none"/>
          </c:marker>
          <c:cat>
            <c:numRef>
              <c:f>小麥、玉米、糖!$H$216:$H$539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小麥、玉米、糖!$M$216:$M$539</c:f>
              <c:numCache>
                <c:formatCode>General</c:formatCode>
                <c:ptCount val="324"/>
                <c:pt idx="0">
                  <c:v>391.2</c:v>
                </c:pt>
                <c:pt idx="1">
                  <c:v>379.1</c:v>
                </c:pt>
                <c:pt idx="2">
                  <c:v>379.1</c:v>
                </c:pt>
                <c:pt idx="3">
                  <c:v>379.1</c:v>
                </c:pt>
                <c:pt idx="4">
                  <c:v>380.5</c:v>
                </c:pt>
                <c:pt idx="5">
                  <c:v>392.9</c:v>
                </c:pt>
                <c:pt idx="6">
                  <c:v>389.9</c:v>
                </c:pt>
                <c:pt idx="7">
                  <c:v>392.2</c:v>
                </c:pt>
                <c:pt idx="8">
                  <c:v>392.6</c:v>
                </c:pt>
                <c:pt idx="9">
                  <c:v>392.6</c:v>
                </c:pt>
                <c:pt idx="10">
                  <c:v>392.6</c:v>
                </c:pt>
                <c:pt idx="11">
                  <c:v>388.7</c:v>
                </c:pt>
                <c:pt idx="12">
                  <c:v>391.8</c:v>
                </c:pt>
                <c:pt idx="13">
                  <c:v>393.4</c:v>
                </c:pt>
                <c:pt idx="14">
                  <c:v>399.8</c:v>
                </c:pt>
                <c:pt idx="15">
                  <c:v>398.9</c:v>
                </c:pt>
                <c:pt idx="16">
                  <c:v>398.9</c:v>
                </c:pt>
                <c:pt idx="17">
                  <c:v>398.9</c:v>
                </c:pt>
                <c:pt idx="18">
                  <c:v>397.3</c:v>
                </c:pt>
                <c:pt idx="19">
                  <c:v>407.3</c:v>
                </c:pt>
                <c:pt idx="20">
                  <c:v>408.3</c:v>
                </c:pt>
                <c:pt idx="21">
                  <c:v>407.9</c:v>
                </c:pt>
                <c:pt idx="22">
                  <c:v>393.4</c:v>
                </c:pt>
                <c:pt idx="23">
                  <c:v>393.4</c:v>
                </c:pt>
                <c:pt idx="24">
                  <c:v>393.4</c:v>
                </c:pt>
                <c:pt idx="25">
                  <c:v>397.8</c:v>
                </c:pt>
                <c:pt idx="26">
                  <c:v>394</c:v>
                </c:pt>
                <c:pt idx="27">
                  <c:v>391.9</c:v>
                </c:pt>
                <c:pt idx="28">
                  <c:v>384.6</c:v>
                </c:pt>
                <c:pt idx="29">
                  <c:v>383.4</c:v>
                </c:pt>
                <c:pt idx="30">
                  <c:v>383.4</c:v>
                </c:pt>
                <c:pt idx="31">
                  <c:v>383.4</c:v>
                </c:pt>
                <c:pt idx="32">
                  <c:v>371.8</c:v>
                </c:pt>
                <c:pt idx="33">
                  <c:v>377.7</c:v>
                </c:pt>
                <c:pt idx="34">
                  <c:v>377.7</c:v>
                </c:pt>
                <c:pt idx="35">
                  <c:v>378.5</c:v>
                </c:pt>
                <c:pt idx="36">
                  <c:v>381.8</c:v>
                </c:pt>
                <c:pt idx="37">
                  <c:v>381.8</c:v>
                </c:pt>
                <c:pt idx="38">
                  <c:v>381.8</c:v>
                </c:pt>
                <c:pt idx="39">
                  <c:v>386.8</c:v>
                </c:pt>
                <c:pt idx="40">
                  <c:v>383.8</c:v>
                </c:pt>
                <c:pt idx="41">
                  <c:v>377</c:v>
                </c:pt>
                <c:pt idx="42">
                  <c:v>383.4</c:v>
                </c:pt>
                <c:pt idx="43">
                  <c:v>382.8</c:v>
                </c:pt>
                <c:pt idx="44">
                  <c:v>382.8</c:v>
                </c:pt>
                <c:pt idx="45">
                  <c:v>382.8</c:v>
                </c:pt>
                <c:pt idx="46">
                  <c:v>391</c:v>
                </c:pt>
                <c:pt idx="47">
                  <c:v>395.7</c:v>
                </c:pt>
                <c:pt idx="48">
                  <c:v>395</c:v>
                </c:pt>
                <c:pt idx="49">
                  <c:v>387.3</c:v>
                </c:pt>
                <c:pt idx="50">
                  <c:v>381</c:v>
                </c:pt>
                <c:pt idx="51">
                  <c:v>381</c:v>
                </c:pt>
                <c:pt idx="52">
                  <c:v>381</c:v>
                </c:pt>
                <c:pt idx="53">
                  <c:v>377.7</c:v>
                </c:pt>
                <c:pt idx="54">
                  <c:v>378</c:v>
                </c:pt>
                <c:pt idx="55">
                  <c:v>371.6</c:v>
                </c:pt>
                <c:pt idx="56">
                  <c:v>376.2</c:v>
                </c:pt>
                <c:pt idx="57">
                  <c:v>371.8</c:v>
                </c:pt>
                <c:pt idx="58">
                  <c:v>371.8</c:v>
                </c:pt>
                <c:pt idx="59">
                  <c:v>371.8</c:v>
                </c:pt>
                <c:pt idx="60">
                  <c:v>370.4</c:v>
                </c:pt>
                <c:pt idx="61">
                  <c:v>367.1</c:v>
                </c:pt>
                <c:pt idx="62">
                  <c:v>369.2</c:v>
                </c:pt>
                <c:pt idx="63">
                  <c:v>372.7</c:v>
                </c:pt>
                <c:pt idx="64">
                  <c:v>374.2</c:v>
                </c:pt>
                <c:pt idx="65">
                  <c:v>374.2</c:v>
                </c:pt>
                <c:pt idx="66">
                  <c:v>374.2</c:v>
                </c:pt>
                <c:pt idx="67">
                  <c:v>370.8</c:v>
                </c:pt>
                <c:pt idx="68">
                  <c:v>370.4</c:v>
                </c:pt>
                <c:pt idx="69">
                  <c:v>371.8</c:v>
                </c:pt>
                <c:pt idx="70">
                  <c:v>371.1</c:v>
                </c:pt>
                <c:pt idx="71">
                  <c:v>362.7</c:v>
                </c:pt>
                <c:pt idx="72">
                  <c:v>362.7</c:v>
                </c:pt>
                <c:pt idx="73">
                  <c:v>362.7</c:v>
                </c:pt>
                <c:pt idx="74">
                  <c:v>368.1</c:v>
                </c:pt>
                <c:pt idx="75">
                  <c:v>366.2</c:v>
                </c:pt>
                <c:pt idx="76">
                  <c:v>365.9</c:v>
                </c:pt>
                <c:pt idx="77">
                  <c:v>363.7</c:v>
                </c:pt>
                <c:pt idx="78">
                  <c:v>366.5</c:v>
                </c:pt>
                <c:pt idx="79">
                  <c:v>366.5</c:v>
                </c:pt>
                <c:pt idx="80">
                  <c:v>366.5</c:v>
                </c:pt>
                <c:pt idx="81">
                  <c:v>368.9</c:v>
                </c:pt>
                <c:pt idx="82">
                  <c:v>364.8</c:v>
                </c:pt>
                <c:pt idx="83">
                  <c:v>364.5</c:v>
                </c:pt>
                <c:pt idx="84">
                  <c:v>363.2</c:v>
                </c:pt>
                <c:pt idx="85">
                  <c:v>360</c:v>
                </c:pt>
                <c:pt idx="86">
                  <c:v>360</c:v>
                </c:pt>
                <c:pt idx="87">
                  <c:v>360</c:v>
                </c:pt>
                <c:pt idx="88">
                  <c:v>357.5</c:v>
                </c:pt>
                <c:pt idx="89">
                  <c:v>355.4</c:v>
                </c:pt>
                <c:pt idx="90">
                  <c:v>358.1</c:v>
                </c:pt>
                <c:pt idx="91">
                  <c:v>367.3</c:v>
                </c:pt>
                <c:pt idx="92">
                  <c:v>367.3</c:v>
                </c:pt>
                <c:pt idx="93">
                  <c:v>367.3</c:v>
                </c:pt>
                <c:pt idx="94">
                  <c:v>367.3</c:v>
                </c:pt>
                <c:pt idx="95">
                  <c:v>367.3</c:v>
                </c:pt>
                <c:pt idx="96">
                  <c:v>366.8</c:v>
                </c:pt>
                <c:pt idx="97">
                  <c:v>366.4</c:v>
                </c:pt>
                <c:pt idx="98">
                  <c:v>363.6</c:v>
                </c:pt>
                <c:pt idx="99">
                  <c:v>365.6</c:v>
                </c:pt>
                <c:pt idx="100">
                  <c:v>365.6</c:v>
                </c:pt>
                <c:pt idx="101">
                  <c:v>365.6</c:v>
                </c:pt>
                <c:pt idx="102">
                  <c:v>366.9</c:v>
                </c:pt>
                <c:pt idx="103">
                  <c:v>371.5</c:v>
                </c:pt>
                <c:pt idx="104">
                  <c:v>370</c:v>
                </c:pt>
                <c:pt idx="105">
                  <c:v>377.7</c:v>
                </c:pt>
                <c:pt idx="106">
                  <c:v>372.7</c:v>
                </c:pt>
                <c:pt idx="107">
                  <c:v>372.7</c:v>
                </c:pt>
                <c:pt idx="108">
                  <c:v>372.7</c:v>
                </c:pt>
                <c:pt idx="109">
                  <c:v>360.8</c:v>
                </c:pt>
                <c:pt idx="110">
                  <c:v>357.4</c:v>
                </c:pt>
                <c:pt idx="111">
                  <c:v>360.4</c:v>
                </c:pt>
                <c:pt idx="112">
                  <c:v>368</c:v>
                </c:pt>
                <c:pt idx="113">
                  <c:v>374.7</c:v>
                </c:pt>
                <c:pt idx="114">
                  <c:v>374.7</c:v>
                </c:pt>
                <c:pt idx="115">
                  <c:v>374.7</c:v>
                </c:pt>
                <c:pt idx="116">
                  <c:v>377.8</c:v>
                </c:pt>
                <c:pt idx="117">
                  <c:v>376.5</c:v>
                </c:pt>
                <c:pt idx="118">
                  <c:v>374.9</c:v>
                </c:pt>
                <c:pt idx="119">
                  <c:v>376.7</c:v>
                </c:pt>
                <c:pt idx="120">
                  <c:v>373.4</c:v>
                </c:pt>
                <c:pt idx="121">
                  <c:v>373.4</c:v>
                </c:pt>
                <c:pt idx="122">
                  <c:v>373.4</c:v>
                </c:pt>
                <c:pt idx="123">
                  <c:v>373.4</c:v>
                </c:pt>
                <c:pt idx="124">
                  <c:v>372.1</c:v>
                </c:pt>
                <c:pt idx="125">
                  <c:v>373.5</c:v>
                </c:pt>
                <c:pt idx="126">
                  <c:v>375.5</c:v>
                </c:pt>
                <c:pt idx="127">
                  <c:v>382.7</c:v>
                </c:pt>
                <c:pt idx="128">
                  <c:v>382.7</c:v>
                </c:pt>
                <c:pt idx="129">
                  <c:v>382.7</c:v>
                </c:pt>
                <c:pt idx="130">
                  <c:v>383.2</c:v>
                </c:pt>
                <c:pt idx="131">
                  <c:v>383.3</c:v>
                </c:pt>
                <c:pt idx="132">
                  <c:v>370.1</c:v>
                </c:pt>
                <c:pt idx="133">
                  <c:v>370.1</c:v>
                </c:pt>
                <c:pt idx="134">
                  <c:v>367.8</c:v>
                </c:pt>
                <c:pt idx="135">
                  <c:v>367.8</c:v>
                </c:pt>
                <c:pt idx="136">
                  <c:v>367.8</c:v>
                </c:pt>
                <c:pt idx="137">
                  <c:v>367</c:v>
                </c:pt>
                <c:pt idx="138">
                  <c:v>366.6</c:v>
                </c:pt>
                <c:pt idx="139">
                  <c:v>360.6</c:v>
                </c:pt>
                <c:pt idx="140">
                  <c:v>356.9</c:v>
                </c:pt>
                <c:pt idx="141">
                  <c:v>351.3</c:v>
                </c:pt>
                <c:pt idx="142">
                  <c:v>351.3</c:v>
                </c:pt>
                <c:pt idx="143">
                  <c:v>351.3</c:v>
                </c:pt>
                <c:pt idx="144">
                  <c:v>351.3</c:v>
                </c:pt>
                <c:pt idx="145">
                  <c:v>347.8</c:v>
                </c:pt>
                <c:pt idx="146">
                  <c:v>345.7</c:v>
                </c:pt>
                <c:pt idx="147">
                  <c:v>347.4</c:v>
                </c:pt>
                <c:pt idx="148">
                  <c:v>349.1</c:v>
                </c:pt>
                <c:pt idx="149">
                  <c:v>349.1</c:v>
                </c:pt>
                <c:pt idx="150">
                  <c:v>349.1</c:v>
                </c:pt>
                <c:pt idx="151">
                  <c:v>353.4</c:v>
                </c:pt>
                <c:pt idx="152">
                  <c:v>355</c:v>
                </c:pt>
                <c:pt idx="153">
                  <c:v>350.1</c:v>
                </c:pt>
                <c:pt idx="154">
                  <c:v>351.5</c:v>
                </c:pt>
                <c:pt idx="155">
                  <c:v>350.7</c:v>
                </c:pt>
                <c:pt idx="156">
                  <c:v>350.7</c:v>
                </c:pt>
                <c:pt idx="157">
                  <c:v>350.7</c:v>
                </c:pt>
                <c:pt idx="158">
                  <c:v>351.2</c:v>
                </c:pt>
                <c:pt idx="159">
                  <c:v>349.4</c:v>
                </c:pt>
                <c:pt idx="160">
                  <c:v>349.5</c:v>
                </c:pt>
                <c:pt idx="161">
                  <c:v>344.8</c:v>
                </c:pt>
                <c:pt idx="162">
                  <c:v>347.2</c:v>
                </c:pt>
                <c:pt idx="163">
                  <c:v>347.2</c:v>
                </c:pt>
                <c:pt idx="164">
                  <c:v>347.2</c:v>
                </c:pt>
                <c:pt idx="165">
                  <c:v>345</c:v>
                </c:pt>
                <c:pt idx="166">
                  <c:v>344.2</c:v>
                </c:pt>
                <c:pt idx="167">
                  <c:v>345.4</c:v>
                </c:pt>
                <c:pt idx="168">
                  <c:v>345.4</c:v>
                </c:pt>
                <c:pt idx="169">
                  <c:v>348.6</c:v>
                </c:pt>
                <c:pt idx="170">
                  <c:v>348.6</c:v>
                </c:pt>
                <c:pt idx="171">
                  <c:v>348.6</c:v>
                </c:pt>
                <c:pt idx="172">
                  <c:v>357.5</c:v>
                </c:pt>
                <c:pt idx="173">
                  <c:v>356.6</c:v>
                </c:pt>
                <c:pt idx="174">
                  <c:v>364.3</c:v>
                </c:pt>
                <c:pt idx="175">
                  <c:v>357</c:v>
                </c:pt>
                <c:pt idx="176">
                  <c:v>359.8</c:v>
                </c:pt>
                <c:pt idx="177">
                  <c:v>359.8</c:v>
                </c:pt>
                <c:pt idx="178">
                  <c:v>359.8</c:v>
                </c:pt>
                <c:pt idx="179">
                  <c:v>363.7</c:v>
                </c:pt>
                <c:pt idx="180">
                  <c:v>370.3</c:v>
                </c:pt>
                <c:pt idx="181">
                  <c:v>370.1</c:v>
                </c:pt>
                <c:pt idx="182">
                  <c:v>368.3</c:v>
                </c:pt>
                <c:pt idx="183">
                  <c:v>371.1</c:v>
                </c:pt>
                <c:pt idx="184">
                  <c:v>371.1</c:v>
                </c:pt>
                <c:pt idx="185">
                  <c:v>371.1</c:v>
                </c:pt>
                <c:pt idx="186">
                  <c:v>375.9</c:v>
                </c:pt>
                <c:pt idx="187">
                  <c:v>373.5</c:v>
                </c:pt>
                <c:pt idx="188">
                  <c:v>371.4</c:v>
                </c:pt>
                <c:pt idx="189">
                  <c:v>360</c:v>
                </c:pt>
                <c:pt idx="190">
                  <c:v>372.8</c:v>
                </c:pt>
                <c:pt idx="191">
                  <c:v>372.8</c:v>
                </c:pt>
                <c:pt idx="192">
                  <c:v>372.8</c:v>
                </c:pt>
                <c:pt idx="193">
                  <c:v>373.9</c:v>
                </c:pt>
                <c:pt idx="194">
                  <c:v>375.1</c:v>
                </c:pt>
                <c:pt idx="195">
                  <c:v>372.7</c:v>
                </c:pt>
                <c:pt idx="196">
                  <c:v>361.5</c:v>
                </c:pt>
                <c:pt idx="197">
                  <c:v>357.4</c:v>
                </c:pt>
                <c:pt idx="198">
                  <c:v>357.4</c:v>
                </c:pt>
                <c:pt idx="199">
                  <c:v>357.4</c:v>
                </c:pt>
                <c:pt idx="200">
                  <c:v>347.9</c:v>
                </c:pt>
                <c:pt idx="201">
                  <c:v>348.3</c:v>
                </c:pt>
                <c:pt idx="202">
                  <c:v>348</c:v>
                </c:pt>
                <c:pt idx="203">
                  <c:v>349.5</c:v>
                </c:pt>
                <c:pt idx="204">
                  <c:v>346.6</c:v>
                </c:pt>
                <c:pt idx="205">
                  <c:v>346.6</c:v>
                </c:pt>
                <c:pt idx="206">
                  <c:v>346.6</c:v>
                </c:pt>
                <c:pt idx="207">
                  <c:v>349.1</c:v>
                </c:pt>
                <c:pt idx="208">
                  <c:v>349.3</c:v>
                </c:pt>
                <c:pt idx="209">
                  <c:v>357.2</c:v>
                </c:pt>
                <c:pt idx="210">
                  <c:v>353.5</c:v>
                </c:pt>
                <c:pt idx="211">
                  <c:v>349.4</c:v>
                </c:pt>
                <c:pt idx="212">
                  <c:v>349.4</c:v>
                </c:pt>
                <c:pt idx="213">
                  <c:v>349.4</c:v>
                </c:pt>
                <c:pt idx="214">
                  <c:v>347.1</c:v>
                </c:pt>
                <c:pt idx="215">
                  <c:v>347.7</c:v>
                </c:pt>
                <c:pt idx="216">
                  <c:v>345</c:v>
                </c:pt>
                <c:pt idx="217">
                  <c:v>343.5</c:v>
                </c:pt>
                <c:pt idx="218">
                  <c:v>345.3</c:v>
                </c:pt>
                <c:pt idx="219">
                  <c:v>345.3</c:v>
                </c:pt>
                <c:pt idx="220">
                  <c:v>345.3</c:v>
                </c:pt>
                <c:pt idx="221">
                  <c:v>346.9</c:v>
                </c:pt>
                <c:pt idx="222">
                  <c:v>352.6</c:v>
                </c:pt>
                <c:pt idx="223">
                  <c:v>350.1</c:v>
                </c:pt>
                <c:pt idx="224">
                  <c:v>349.7</c:v>
                </c:pt>
                <c:pt idx="225">
                  <c:v>349.8</c:v>
                </c:pt>
                <c:pt idx="226">
                  <c:v>349.8</c:v>
                </c:pt>
                <c:pt idx="227">
                  <c:v>349.8</c:v>
                </c:pt>
                <c:pt idx="228">
                  <c:v>347.5</c:v>
                </c:pt>
                <c:pt idx="229">
                  <c:v>344.1</c:v>
                </c:pt>
                <c:pt idx="230">
                  <c:v>339.2</c:v>
                </c:pt>
                <c:pt idx="231">
                  <c:v>333.6</c:v>
                </c:pt>
                <c:pt idx="232">
                  <c:v>333.7</c:v>
                </c:pt>
                <c:pt idx="233">
                  <c:v>333.7</c:v>
                </c:pt>
                <c:pt idx="234">
                  <c:v>333.7</c:v>
                </c:pt>
                <c:pt idx="235">
                  <c:v>333.6</c:v>
                </c:pt>
                <c:pt idx="236">
                  <c:v>339.6</c:v>
                </c:pt>
                <c:pt idx="237">
                  <c:v>334.2</c:v>
                </c:pt>
                <c:pt idx="238">
                  <c:v>342.9</c:v>
                </c:pt>
                <c:pt idx="239">
                  <c:v>341.4</c:v>
                </c:pt>
                <c:pt idx="240">
                  <c:v>341.4</c:v>
                </c:pt>
                <c:pt idx="241">
                  <c:v>341.4</c:v>
                </c:pt>
                <c:pt idx="242">
                  <c:v>341.4</c:v>
                </c:pt>
                <c:pt idx="243">
                  <c:v>336.3</c:v>
                </c:pt>
                <c:pt idx="244">
                  <c:v>338</c:v>
                </c:pt>
                <c:pt idx="245">
                  <c:v>349.4</c:v>
                </c:pt>
                <c:pt idx="246">
                  <c:v>347.5</c:v>
                </c:pt>
                <c:pt idx="247">
                  <c:v>347.5</c:v>
                </c:pt>
                <c:pt idx="248">
                  <c:v>347.5</c:v>
                </c:pt>
                <c:pt idx="249">
                  <c:v>347.9</c:v>
                </c:pt>
                <c:pt idx="250">
                  <c:v>344.6</c:v>
                </c:pt>
                <c:pt idx="251">
                  <c:v>346</c:v>
                </c:pt>
                <c:pt idx="252">
                  <c:v>338.9</c:v>
                </c:pt>
                <c:pt idx="253">
                  <c:v>346.1</c:v>
                </c:pt>
                <c:pt idx="254">
                  <c:v>346.1</c:v>
                </c:pt>
                <c:pt idx="255">
                  <c:v>346.1</c:v>
                </c:pt>
                <c:pt idx="256">
                  <c:v>342.6</c:v>
                </c:pt>
                <c:pt idx="257">
                  <c:v>355.4</c:v>
                </c:pt>
                <c:pt idx="258">
                  <c:v>357.5</c:v>
                </c:pt>
                <c:pt idx="259">
                  <c:v>354.7</c:v>
                </c:pt>
                <c:pt idx="260">
                  <c:v>343.4</c:v>
                </c:pt>
                <c:pt idx="261">
                  <c:v>343.4</c:v>
                </c:pt>
                <c:pt idx="262">
                  <c:v>343.4</c:v>
                </c:pt>
                <c:pt idx="263">
                  <c:v>341.4</c:v>
                </c:pt>
                <c:pt idx="264">
                  <c:v>340.3</c:v>
                </c:pt>
                <c:pt idx="265">
                  <c:v>341.5</c:v>
                </c:pt>
                <c:pt idx="266">
                  <c:v>348.9</c:v>
                </c:pt>
                <c:pt idx="267">
                  <c:v>360</c:v>
                </c:pt>
                <c:pt idx="268">
                  <c:v>360</c:v>
                </c:pt>
                <c:pt idx="269">
                  <c:v>360</c:v>
                </c:pt>
                <c:pt idx="270">
                  <c:v>359.8</c:v>
                </c:pt>
                <c:pt idx="271">
                  <c:v>361.6</c:v>
                </c:pt>
                <c:pt idx="272">
                  <c:v>370</c:v>
                </c:pt>
                <c:pt idx="273">
                  <c:v>378.4</c:v>
                </c:pt>
                <c:pt idx="274">
                  <c:v>384</c:v>
                </c:pt>
                <c:pt idx="275">
                  <c:v>384</c:v>
                </c:pt>
                <c:pt idx="276">
                  <c:v>384</c:v>
                </c:pt>
                <c:pt idx="277">
                  <c:v>386.8</c:v>
                </c:pt>
                <c:pt idx="278">
                  <c:v>385.9</c:v>
                </c:pt>
                <c:pt idx="279">
                  <c:v>388.7</c:v>
                </c:pt>
                <c:pt idx="280">
                  <c:v>386.7</c:v>
                </c:pt>
                <c:pt idx="281">
                  <c:v>392</c:v>
                </c:pt>
                <c:pt idx="282">
                  <c:v>392</c:v>
                </c:pt>
                <c:pt idx="283">
                  <c:v>392</c:v>
                </c:pt>
                <c:pt idx="284">
                  <c:v>393</c:v>
                </c:pt>
                <c:pt idx="285">
                  <c:v>381.4</c:v>
                </c:pt>
                <c:pt idx="286">
                  <c:v>386.5</c:v>
                </c:pt>
                <c:pt idx="287">
                  <c:v>388.6</c:v>
                </c:pt>
                <c:pt idx="288">
                  <c:v>389.5</c:v>
                </c:pt>
                <c:pt idx="289">
                  <c:v>389.5</c:v>
                </c:pt>
                <c:pt idx="290">
                  <c:v>389.5</c:v>
                </c:pt>
                <c:pt idx="291">
                  <c:v>388.7</c:v>
                </c:pt>
                <c:pt idx="292">
                  <c:v>384.4</c:v>
                </c:pt>
                <c:pt idx="293">
                  <c:v>386</c:v>
                </c:pt>
                <c:pt idx="294">
                  <c:v>390.9</c:v>
                </c:pt>
                <c:pt idx="295">
                  <c:v>383.9</c:v>
                </c:pt>
                <c:pt idx="296">
                  <c:v>383.9</c:v>
                </c:pt>
                <c:pt idx="297">
                  <c:v>383.9</c:v>
                </c:pt>
                <c:pt idx="298">
                  <c:v>392.2</c:v>
                </c:pt>
                <c:pt idx="299">
                  <c:v>388.6</c:v>
                </c:pt>
                <c:pt idx="300">
                  <c:v>393.6</c:v>
                </c:pt>
                <c:pt idx="301">
                  <c:v>392.3</c:v>
                </c:pt>
                <c:pt idx="302">
                  <c:v>391.4</c:v>
                </c:pt>
                <c:pt idx="303">
                  <c:v>391.4</c:v>
                </c:pt>
                <c:pt idx="304">
                  <c:v>391.4</c:v>
                </c:pt>
                <c:pt idx="305">
                  <c:v>407.5</c:v>
                </c:pt>
                <c:pt idx="306">
                  <c:v>417.7</c:v>
                </c:pt>
                <c:pt idx="307">
                  <c:v>396.4</c:v>
                </c:pt>
                <c:pt idx="308">
                  <c:v>395.5</c:v>
                </c:pt>
                <c:pt idx="309">
                  <c:v>385.8</c:v>
                </c:pt>
                <c:pt idx="310">
                  <c:v>385.8</c:v>
                </c:pt>
                <c:pt idx="311">
                  <c:v>385.8</c:v>
                </c:pt>
                <c:pt idx="312">
                  <c:v>375.7</c:v>
                </c:pt>
                <c:pt idx="313">
                  <c:v>384.8</c:v>
                </c:pt>
                <c:pt idx="314">
                  <c:v>383.5</c:v>
                </c:pt>
                <c:pt idx="315">
                  <c:v>387.7</c:v>
                </c:pt>
                <c:pt idx="316">
                  <c:v>403.5</c:v>
                </c:pt>
                <c:pt idx="317">
                  <c:v>403.5</c:v>
                </c:pt>
                <c:pt idx="318">
                  <c:v>403.5</c:v>
                </c:pt>
                <c:pt idx="319">
                  <c:v>405.3</c:v>
                </c:pt>
                <c:pt idx="320">
                  <c:v>396.5</c:v>
                </c:pt>
                <c:pt idx="321">
                  <c:v>390.8</c:v>
                </c:pt>
                <c:pt idx="322">
                  <c:v>402.2</c:v>
                </c:pt>
                <c:pt idx="323">
                  <c:v>409.7</c:v>
                </c:pt>
              </c:numCache>
            </c:numRef>
          </c:val>
          <c:smooth val="0"/>
        </c:ser>
        <c:ser>
          <c:idx val="1"/>
          <c:order val="1"/>
          <c:tx>
            <c:strRef>
              <c:f>小麥、玉米、糖!$N$1</c:f>
              <c:strCache>
                <c:ptCount val="1"/>
                <c:pt idx="0">
                  <c:v>糖 精製特砂(進口原料) 50kgPP袋裝 台糖 牌價(美元/公噸)
</c:v>
                </c:pt>
              </c:strCache>
            </c:strRef>
          </c:tx>
          <c:marker>
            <c:symbol val="none"/>
          </c:marker>
          <c:cat>
            <c:numRef>
              <c:f>小麥、玉米、糖!$H$216:$H$539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小麥、玉米、糖!$N$216:$N$539</c:f>
              <c:numCache>
                <c:formatCode>General</c:formatCode>
                <c:ptCount val="324"/>
                <c:pt idx="0">
                  <c:v>650</c:v>
                </c:pt>
                <c:pt idx="1">
                  <c:v>650</c:v>
                </c:pt>
                <c:pt idx="2">
                  <c:v>650</c:v>
                </c:pt>
                <c:pt idx="3">
                  <c:v>650</c:v>
                </c:pt>
                <c:pt idx="4">
                  <c:v>650</c:v>
                </c:pt>
                <c:pt idx="5">
                  <c:v>650</c:v>
                </c:pt>
                <c:pt idx="6">
                  <c:v>660</c:v>
                </c:pt>
                <c:pt idx="7">
                  <c:v>656.66666666666663</c:v>
                </c:pt>
                <c:pt idx="8">
                  <c:v>656.66666666666663</c:v>
                </c:pt>
                <c:pt idx="9">
                  <c:v>656.66666666666663</c:v>
                </c:pt>
                <c:pt idx="10">
                  <c:v>656.66666666666663</c:v>
                </c:pt>
                <c:pt idx="11">
                  <c:v>656.66666666666663</c:v>
                </c:pt>
                <c:pt idx="12">
                  <c:v>653.3333333333336</c:v>
                </c:pt>
                <c:pt idx="13">
                  <c:v>656.66666666666663</c:v>
                </c:pt>
                <c:pt idx="14">
                  <c:v>656.66666666666663</c:v>
                </c:pt>
                <c:pt idx="15">
                  <c:v>663.3333333333336</c:v>
                </c:pt>
                <c:pt idx="16">
                  <c:v>663.3333333333336</c:v>
                </c:pt>
                <c:pt idx="17">
                  <c:v>663.3333333333336</c:v>
                </c:pt>
                <c:pt idx="18">
                  <c:v>660</c:v>
                </c:pt>
                <c:pt idx="19">
                  <c:v>660</c:v>
                </c:pt>
                <c:pt idx="20">
                  <c:v>670</c:v>
                </c:pt>
                <c:pt idx="21">
                  <c:v>670</c:v>
                </c:pt>
                <c:pt idx="22">
                  <c:v>670</c:v>
                </c:pt>
                <c:pt idx="23">
                  <c:v>670</c:v>
                </c:pt>
                <c:pt idx="24">
                  <c:v>670</c:v>
                </c:pt>
                <c:pt idx="25">
                  <c:v>660</c:v>
                </c:pt>
                <c:pt idx="26">
                  <c:v>663.3333333333336</c:v>
                </c:pt>
                <c:pt idx="27">
                  <c:v>656.66666666666663</c:v>
                </c:pt>
                <c:pt idx="28">
                  <c:v>656.66666666666663</c:v>
                </c:pt>
                <c:pt idx="29">
                  <c:v>650</c:v>
                </c:pt>
                <c:pt idx="30">
                  <c:v>650</c:v>
                </c:pt>
                <c:pt idx="31">
                  <c:v>650</c:v>
                </c:pt>
                <c:pt idx="32">
                  <c:v>650</c:v>
                </c:pt>
                <c:pt idx="33">
                  <c:v>640</c:v>
                </c:pt>
                <c:pt idx="34">
                  <c:v>646.66666666666663</c:v>
                </c:pt>
                <c:pt idx="35">
                  <c:v>646.66666666666663</c:v>
                </c:pt>
                <c:pt idx="36">
                  <c:v>646.66666666666663</c:v>
                </c:pt>
                <c:pt idx="37">
                  <c:v>646.66666666666663</c:v>
                </c:pt>
                <c:pt idx="38">
                  <c:v>646.66666666666663</c:v>
                </c:pt>
                <c:pt idx="39">
                  <c:v>650</c:v>
                </c:pt>
                <c:pt idx="40">
                  <c:v>656.66666666666663</c:v>
                </c:pt>
                <c:pt idx="41">
                  <c:v>653.3333333333336</c:v>
                </c:pt>
                <c:pt idx="42">
                  <c:v>650</c:v>
                </c:pt>
                <c:pt idx="43">
                  <c:v>656.66666666666663</c:v>
                </c:pt>
                <c:pt idx="44">
                  <c:v>656.66666666666663</c:v>
                </c:pt>
                <c:pt idx="45">
                  <c:v>656.66666666666663</c:v>
                </c:pt>
                <c:pt idx="46">
                  <c:v>653.3333333333336</c:v>
                </c:pt>
                <c:pt idx="47">
                  <c:v>656.66666666666663</c:v>
                </c:pt>
                <c:pt idx="48">
                  <c:v>656.66666666666663</c:v>
                </c:pt>
                <c:pt idx="49">
                  <c:v>656.66666666666663</c:v>
                </c:pt>
                <c:pt idx="50">
                  <c:v>656.66666666666663</c:v>
                </c:pt>
                <c:pt idx="51">
                  <c:v>656.66666666666663</c:v>
                </c:pt>
                <c:pt idx="52">
                  <c:v>656.66666666666663</c:v>
                </c:pt>
                <c:pt idx="53">
                  <c:v>656.66666666666663</c:v>
                </c:pt>
                <c:pt idx="54">
                  <c:v>653.3333333333336</c:v>
                </c:pt>
                <c:pt idx="55">
                  <c:v>653.3333333333336</c:v>
                </c:pt>
                <c:pt idx="56">
                  <c:v>646.66666666666663</c:v>
                </c:pt>
                <c:pt idx="57">
                  <c:v>646.66666666666663</c:v>
                </c:pt>
                <c:pt idx="58">
                  <c:v>646.66666666666663</c:v>
                </c:pt>
                <c:pt idx="59">
                  <c:v>646.66666666666663</c:v>
                </c:pt>
                <c:pt idx="60">
                  <c:v>643.3333333333336</c:v>
                </c:pt>
                <c:pt idx="61">
                  <c:v>640</c:v>
                </c:pt>
                <c:pt idx="62">
                  <c:v>636.66666666666663</c:v>
                </c:pt>
                <c:pt idx="63">
                  <c:v>640</c:v>
                </c:pt>
                <c:pt idx="64">
                  <c:v>643.3333333333336</c:v>
                </c:pt>
                <c:pt idx="65">
                  <c:v>643.3333333333336</c:v>
                </c:pt>
                <c:pt idx="66">
                  <c:v>643.3333333333336</c:v>
                </c:pt>
                <c:pt idx="67">
                  <c:v>643.3333333333336</c:v>
                </c:pt>
                <c:pt idx="68">
                  <c:v>640</c:v>
                </c:pt>
                <c:pt idx="69">
                  <c:v>640</c:v>
                </c:pt>
                <c:pt idx="70">
                  <c:v>640</c:v>
                </c:pt>
                <c:pt idx="71">
                  <c:v>640</c:v>
                </c:pt>
                <c:pt idx="72">
                  <c:v>640</c:v>
                </c:pt>
                <c:pt idx="73">
                  <c:v>640</c:v>
                </c:pt>
                <c:pt idx="74">
                  <c:v>633.3333333333336</c:v>
                </c:pt>
                <c:pt idx="75">
                  <c:v>640</c:v>
                </c:pt>
                <c:pt idx="76">
                  <c:v>636.66666666666663</c:v>
                </c:pt>
                <c:pt idx="77">
                  <c:v>636.66666666666663</c:v>
                </c:pt>
                <c:pt idx="78">
                  <c:v>633.3333333333336</c:v>
                </c:pt>
                <c:pt idx="79">
                  <c:v>633.3333333333336</c:v>
                </c:pt>
                <c:pt idx="80">
                  <c:v>633.3333333333336</c:v>
                </c:pt>
                <c:pt idx="81">
                  <c:v>636.66666666666663</c:v>
                </c:pt>
                <c:pt idx="82">
                  <c:v>640</c:v>
                </c:pt>
                <c:pt idx="83">
                  <c:v>633.3333333333336</c:v>
                </c:pt>
                <c:pt idx="84">
                  <c:v>633.3333333333336</c:v>
                </c:pt>
                <c:pt idx="85">
                  <c:v>633.3333333333336</c:v>
                </c:pt>
                <c:pt idx="86">
                  <c:v>633.3333333333336</c:v>
                </c:pt>
                <c:pt idx="87">
                  <c:v>633.3333333333336</c:v>
                </c:pt>
                <c:pt idx="88">
                  <c:v>626.66666666666663</c:v>
                </c:pt>
                <c:pt idx="89">
                  <c:v>623.3333333333336</c:v>
                </c:pt>
                <c:pt idx="90">
                  <c:v>623.3333333333336</c:v>
                </c:pt>
                <c:pt idx="91">
                  <c:v>626.66666666666663</c:v>
                </c:pt>
                <c:pt idx="92">
                  <c:v>626.66666666666663</c:v>
                </c:pt>
                <c:pt idx="93">
                  <c:v>626.66666666666663</c:v>
                </c:pt>
                <c:pt idx="94">
                  <c:v>626.66666666666663</c:v>
                </c:pt>
                <c:pt idx="95">
                  <c:v>626.66666666666663</c:v>
                </c:pt>
                <c:pt idx="96">
                  <c:v>633.3333333333336</c:v>
                </c:pt>
                <c:pt idx="97">
                  <c:v>633.3333333333336</c:v>
                </c:pt>
                <c:pt idx="98">
                  <c:v>633.3333333333336</c:v>
                </c:pt>
                <c:pt idx="99">
                  <c:v>630</c:v>
                </c:pt>
                <c:pt idx="100">
                  <c:v>630</c:v>
                </c:pt>
                <c:pt idx="101">
                  <c:v>630</c:v>
                </c:pt>
                <c:pt idx="102">
                  <c:v>633.3333333333336</c:v>
                </c:pt>
                <c:pt idx="103">
                  <c:v>636.66666666666663</c:v>
                </c:pt>
                <c:pt idx="104">
                  <c:v>643.3333333333336</c:v>
                </c:pt>
                <c:pt idx="105">
                  <c:v>640</c:v>
                </c:pt>
                <c:pt idx="106">
                  <c:v>650</c:v>
                </c:pt>
                <c:pt idx="107">
                  <c:v>650</c:v>
                </c:pt>
                <c:pt idx="108">
                  <c:v>650</c:v>
                </c:pt>
                <c:pt idx="109">
                  <c:v>643.3333333333336</c:v>
                </c:pt>
                <c:pt idx="110">
                  <c:v>636.66666666666663</c:v>
                </c:pt>
                <c:pt idx="111">
                  <c:v>633.3333333333336</c:v>
                </c:pt>
                <c:pt idx="112">
                  <c:v>636.66666666666663</c:v>
                </c:pt>
                <c:pt idx="113">
                  <c:v>643.3333333333336</c:v>
                </c:pt>
                <c:pt idx="114">
                  <c:v>643.3333333333336</c:v>
                </c:pt>
                <c:pt idx="115">
                  <c:v>643.3333333333336</c:v>
                </c:pt>
                <c:pt idx="116">
                  <c:v>650</c:v>
                </c:pt>
                <c:pt idx="117">
                  <c:v>653.3333333333336</c:v>
                </c:pt>
                <c:pt idx="118">
                  <c:v>650</c:v>
                </c:pt>
                <c:pt idx="119">
                  <c:v>646.66666666666663</c:v>
                </c:pt>
                <c:pt idx="120">
                  <c:v>646.66666666666663</c:v>
                </c:pt>
                <c:pt idx="121">
                  <c:v>646.66666666666663</c:v>
                </c:pt>
                <c:pt idx="122">
                  <c:v>646.66666666666663</c:v>
                </c:pt>
                <c:pt idx="123">
                  <c:v>650</c:v>
                </c:pt>
                <c:pt idx="124">
                  <c:v>650</c:v>
                </c:pt>
                <c:pt idx="125">
                  <c:v>646.66666666666663</c:v>
                </c:pt>
                <c:pt idx="126">
                  <c:v>650</c:v>
                </c:pt>
                <c:pt idx="127">
                  <c:v>653.3333333333336</c:v>
                </c:pt>
                <c:pt idx="128">
                  <c:v>653.3333333333336</c:v>
                </c:pt>
                <c:pt idx="129">
                  <c:v>653.3333333333336</c:v>
                </c:pt>
                <c:pt idx="130">
                  <c:v>660</c:v>
                </c:pt>
                <c:pt idx="131">
                  <c:v>660</c:v>
                </c:pt>
                <c:pt idx="132">
                  <c:v>660</c:v>
                </c:pt>
                <c:pt idx="133">
                  <c:v>650</c:v>
                </c:pt>
                <c:pt idx="134">
                  <c:v>650</c:v>
                </c:pt>
                <c:pt idx="135">
                  <c:v>650</c:v>
                </c:pt>
                <c:pt idx="136">
                  <c:v>650</c:v>
                </c:pt>
                <c:pt idx="137">
                  <c:v>646.66666666666663</c:v>
                </c:pt>
                <c:pt idx="138">
                  <c:v>643.3333333333336</c:v>
                </c:pt>
                <c:pt idx="139">
                  <c:v>643.3333333333336</c:v>
                </c:pt>
                <c:pt idx="140">
                  <c:v>640</c:v>
                </c:pt>
                <c:pt idx="141">
                  <c:v>636.66666666666663</c:v>
                </c:pt>
                <c:pt idx="142">
                  <c:v>636.66666666666663</c:v>
                </c:pt>
                <c:pt idx="143">
                  <c:v>636.66666666666663</c:v>
                </c:pt>
                <c:pt idx="144">
                  <c:v>633.3333333333336</c:v>
                </c:pt>
                <c:pt idx="145">
                  <c:v>633.3333333333336</c:v>
                </c:pt>
                <c:pt idx="146">
                  <c:v>630</c:v>
                </c:pt>
                <c:pt idx="147">
                  <c:v>630</c:v>
                </c:pt>
                <c:pt idx="148">
                  <c:v>633.3333333333336</c:v>
                </c:pt>
                <c:pt idx="149">
                  <c:v>633.3333333333336</c:v>
                </c:pt>
                <c:pt idx="150">
                  <c:v>633.3333333333336</c:v>
                </c:pt>
                <c:pt idx="151">
                  <c:v>636.66666666666663</c:v>
                </c:pt>
                <c:pt idx="152">
                  <c:v>640</c:v>
                </c:pt>
                <c:pt idx="153">
                  <c:v>643.3333333333336</c:v>
                </c:pt>
                <c:pt idx="154">
                  <c:v>640</c:v>
                </c:pt>
                <c:pt idx="155">
                  <c:v>643.3333333333336</c:v>
                </c:pt>
                <c:pt idx="156">
                  <c:v>643.3333333333336</c:v>
                </c:pt>
                <c:pt idx="157">
                  <c:v>643.3333333333336</c:v>
                </c:pt>
                <c:pt idx="158">
                  <c:v>640</c:v>
                </c:pt>
                <c:pt idx="159">
                  <c:v>643.3333333333336</c:v>
                </c:pt>
                <c:pt idx="160">
                  <c:v>640</c:v>
                </c:pt>
                <c:pt idx="161">
                  <c:v>640</c:v>
                </c:pt>
                <c:pt idx="162">
                  <c:v>636.66666666666663</c:v>
                </c:pt>
                <c:pt idx="163">
                  <c:v>636.66666666666663</c:v>
                </c:pt>
                <c:pt idx="164">
                  <c:v>636.66666666666663</c:v>
                </c:pt>
                <c:pt idx="165">
                  <c:v>640</c:v>
                </c:pt>
                <c:pt idx="166">
                  <c:v>636.66666666666663</c:v>
                </c:pt>
                <c:pt idx="167">
                  <c:v>636.66666666666663</c:v>
                </c:pt>
                <c:pt idx="168">
                  <c:v>636.66666666666663</c:v>
                </c:pt>
                <c:pt idx="169">
                  <c:v>636.66666666666663</c:v>
                </c:pt>
                <c:pt idx="170">
                  <c:v>636.66666666666663</c:v>
                </c:pt>
                <c:pt idx="171">
                  <c:v>636.66666666666663</c:v>
                </c:pt>
                <c:pt idx="172">
                  <c:v>640</c:v>
                </c:pt>
                <c:pt idx="173">
                  <c:v>646.66666666666663</c:v>
                </c:pt>
                <c:pt idx="174">
                  <c:v>646.66666666666663</c:v>
                </c:pt>
                <c:pt idx="175">
                  <c:v>656.66666666666663</c:v>
                </c:pt>
                <c:pt idx="176">
                  <c:v>650</c:v>
                </c:pt>
                <c:pt idx="177">
                  <c:v>650</c:v>
                </c:pt>
                <c:pt idx="178">
                  <c:v>650</c:v>
                </c:pt>
                <c:pt idx="179">
                  <c:v>653.3333333333336</c:v>
                </c:pt>
                <c:pt idx="180">
                  <c:v>656.66666666666663</c:v>
                </c:pt>
                <c:pt idx="181">
                  <c:v>663.3333333333336</c:v>
                </c:pt>
                <c:pt idx="182">
                  <c:v>663.3333333333336</c:v>
                </c:pt>
                <c:pt idx="183">
                  <c:v>663.3333333333336</c:v>
                </c:pt>
                <c:pt idx="184">
                  <c:v>663.3333333333336</c:v>
                </c:pt>
                <c:pt idx="185">
                  <c:v>663.3333333333336</c:v>
                </c:pt>
                <c:pt idx="186">
                  <c:v>666.66666666666663</c:v>
                </c:pt>
                <c:pt idx="187">
                  <c:v>670</c:v>
                </c:pt>
                <c:pt idx="188">
                  <c:v>670</c:v>
                </c:pt>
                <c:pt idx="189">
                  <c:v>666.66666666666663</c:v>
                </c:pt>
                <c:pt idx="190">
                  <c:v>666.66666666666663</c:v>
                </c:pt>
                <c:pt idx="191">
                  <c:v>666.66666666666663</c:v>
                </c:pt>
                <c:pt idx="192">
                  <c:v>666.66666666666663</c:v>
                </c:pt>
                <c:pt idx="193">
                  <c:v>670</c:v>
                </c:pt>
                <c:pt idx="194">
                  <c:v>670</c:v>
                </c:pt>
                <c:pt idx="195">
                  <c:v>673.3333333333336</c:v>
                </c:pt>
                <c:pt idx="196">
                  <c:v>670</c:v>
                </c:pt>
                <c:pt idx="197">
                  <c:v>666.66666666666663</c:v>
                </c:pt>
                <c:pt idx="198">
                  <c:v>666.66666666666663</c:v>
                </c:pt>
                <c:pt idx="199">
                  <c:v>666.66666666666663</c:v>
                </c:pt>
                <c:pt idx="200">
                  <c:v>660</c:v>
                </c:pt>
                <c:pt idx="201">
                  <c:v>653.3333333333336</c:v>
                </c:pt>
                <c:pt idx="202">
                  <c:v>653.3333333333336</c:v>
                </c:pt>
                <c:pt idx="203">
                  <c:v>653.3333333333336</c:v>
                </c:pt>
                <c:pt idx="204">
                  <c:v>653.3333333333336</c:v>
                </c:pt>
                <c:pt idx="205">
                  <c:v>653.3333333333336</c:v>
                </c:pt>
                <c:pt idx="206">
                  <c:v>653.3333333333336</c:v>
                </c:pt>
                <c:pt idx="207">
                  <c:v>650</c:v>
                </c:pt>
                <c:pt idx="208">
                  <c:v>653.3333333333336</c:v>
                </c:pt>
                <c:pt idx="209">
                  <c:v>653.3333333333336</c:v>
                </c:pt>
                <c:pt idx="210">
                  <c:v>660</c:v>
                </c:pt>
                <c:pt idx="211">
                  <c:v>656.66666666666663</c:v>
                </c:pt>
                <c:pt idx="212">
                  <c:v>656.66666666666663</c:v>
                </c:pt>
                <c:pt idx="213">
                  <c:v>656.66666666666663</c:v>
                </c:pt>
                <c:pt idx="214">
                  <c:v>653.3333333333336</c:v>
                </c:pt>
                <c:pt idx="215">
                  <c:v>650</c:v>
                </c:pt>
                <c:pt idx="216">
                  <c:v>650</c:v>
                </c:pt>
                <c:pt idx="217">
                  <c:v>646.66666666666663</c:v>
                </c:pt>
                <c:pt idx="218">
                  <c:v>646.66666666666663</c:v>
                </c:pt>
                <c:pt idx="219">
                  <c:v>646.66666666666663</c:v>
                </c:pt>
                <c:pt idx="220">
                  <c:v>646.66666666666663</c:v>
                </c:pt>
                <c:pt idx="221">
                  <c:v>650</c:v>
                </c:pt>
                <c:pt idx="222">
                  <c:v>650</c:v>
                </c:pt>
                <c:pt idx="223">
                  <c:v>656.66666666666663</c:v>
                </c:pt>
                <c:pt idx="224">
                  <c:v>660</c:v>
                </c:pt>
                <c:pt idx="225">
                  <c:v>660</c:v>
                </c:pt>
                <c:pt idx="226">
                  <c:v>660</c:v>
                </c:pt>
                <c:pt idx="227">
                  <c:v>660</c:v>
                </c:pt>
                <c:pt idx="228">
                  <c:v>660</c:v>
                </c:pt>
                <c:pt idx="229">
                  <c:v>660</c:v>
                </c:pt>
                <c:pt idx="230">
                  <c:v>656.66666666666663</c:v>
                </c:pt>
                <c:pt idx="231">
                  <c:v>653.3333333333336</c:v>
                </c:pt>
                <c:pt idx="232">
                  <c:v>650</c:v>
                </c:pt>
                <c:pt idx="233">
                  <c:v>650</c:v>
                </c:pt>
                <c:pt idx="234">
                  <c:v>650</c:v>
                </c:pt>
                <c:pt idx="235">
                  <c:v>650</c:v>
                </c:pt>
                <c:pt idx="236">
                  <c:v>650</c:v>
                </c:pt>
                <c:pt idx="237">
                  <c:v>656.66666666666663</c:v>
                </c:pt>
                <c:pt idx="238">
                  <c:v>650</c:v>
                </c:pt>
                <c:pt idx="239">
                  <c:v>660</c:v>
                </c:pt>
                <c:pt idx="240">
                  <c:v>660</c:v>
                </c:pt>
                <c:pt idx="241">
                  <c:v>660</c:v>
                </c:pt>
                <c:pt idx="242">
                  <c:v>660</c:v>
                </c:pt>
                <c:pt idx="243">
                  <c:v>660</c:v>
                </c:pt>
                <c:pt idx="244">
                  <c:v>653.3333333333336</c:v>
                </c:pt>
                <c:pt idx="245">
                  <c:v>656.66666666666663</c:v>
                </c:pt>
                <c:pt idx="246">
                  <c:v>666.66666666666663</c:v>
                </c:pt>
                <c:pt idx="247">
                  <c:v>666.66666666666663</c:v>
                </c:pt>
                <c:pt idx="248">
                  <c:v>666.66666666666663</c:v>
                </c:pt>
                <c:pt idx="249">
                  <c:v>666.66666666666663</c:v>
                </c:pt>
                <c:pt idx="250">
                  <c:v>670</c:v>
                </c:pt>
                <c:pt idx="251">
                  <c:v>666.66666666666663</c:v>
                </c:pt>
                <c:pt idx="252">
                  <c:v>666.66666666666663</c:v>
                </c:pt>
                <c:pt idx="253">
                  <c:v>660</c:v>
                </c:pt>
                <c:pt idx="254">
                  <c:v>660</c:v>
                </c:pt>
                <c:pt idx="255">
                  <c:v>660</c:v>
                </c:pt>
                <c:pt idx="256">
                  <c:v>666.66666666666663</c:v>
                </c:pt>
                <c:pt idx="257">
                  <c:v>663.3333333333336</c:v>
                </c:pt>
                <c:pt idx="258">
                  <c:v>666.66666666666663</c:v>
                </c:pt>
                <c:pt idx="259">
                  <c:v>676.66666666666663</c:v>
                </c:pt>
                <c:pt idx="260">
                  <c:v>673.3333333333336</c:v>
                </c:pt>
                <c:pt idx="261">
                  <c:v>673.3333333333336</c:v>
                </c:pt>
                <c:pt idx="262">
                  <c:v>673.3333333333336</c:v>
                </c:pt>
                <c:pt idx="263">
                  <c:v>663.3333333333336</c:v>
                </c:pt>
                <c:pt idx="264">
                  <c:v>663.3333333333336</c:v>
                </c:pt>
                <c:pt idx="265">
                  <c:v>663.3333333333336</c:v>
                </c:pt>
                <c:pt idx="266">
                  <c:v>670</c:v>
                </c:pt>
                <c:pt idx="267">
                  <c:v>676.66666666666663</c:v>
                </c:pt>
                <c:pt idx="268">
                  <c:v>676.66666666666663</c:v>
                </c:pt>
                <c:pt idx="269">
                  <c:v>676.66666666666663</c:v>
                </c:pt>
                <c:pt idx="270">
                  <c:v>676.66666666666663</c:v>
                </c:pt>
                <c:pt idx="271">
                  <c:v>676.66666666666663</c:v>
                </c:pt>
                <c:pt idx="272">
                  <c:v>690</c:v>
                </c:pt>
                <c:pt idx="273">
                  <c:v>696.66666666666663</c:v>
                </c:pt>
                <c:pt idx="274">
                  <c:v>703.3333333333336</c:v>
                </c:pt>
                <c:pt idx="275">
                  <c:v>703.3333333333336</c:v>
                </c:pt>
                <c:pt idx="276">
                  <c:v>703.3333333333336</c:v>
                </c:pt>
                <c:pt idx="277">
                  <c:v>713.3333333333336</c:v>
                </c:pt>
                <c:pt idx="278">
                  <c:v>713.3333333333336</c:v>
                </c:pt>
                <c:pt idx="279">
                  <c:v>713.3333333333336</c:v>
                </c:pt>
                <c:pt idx="280">
                  <c:v>713.3333333333336</c:v>
                </c:pt>
                <c:pt idx="281">
                  <c:v>713.3333333333336</c:v>
                </c:pt>
                <c:pt idx="282">
                  <c:v>713.3333333333336</c:v>
                </c:pt>
                <c:pt idx="283">
                  <c:v>713.3333333333336</c:v>
                </c:pt>
                <c:pt idx="284">
                  <c:v>716.66666666666663</c:v>
                </c:pt>
                <c:pt idx="285">
                  <c:v>716.66666666666663</c:v>
                </c:pt>
                <c:pt idx="286">
                  <c:v>706.66666666666663</c:v>
                </c:pt>
                <c:pt idx="287">
                  <c:v>713.3333333333336</c:v>
                </c:pt>
                <c:pt idx="288">
                  <c:v>713.3333333333336</c:v>
                </c:pt>
                <c:pt idx="289">
                  <c:v>713.3333333333336</c:v>
                </c:pt>
                <c:pt idx="290">
                  <c:v>713.3333333333336</c:v>
                </c:pt>
                <c:pt idx="291">
                  <c:v>713.3333333333336</c:v>
                </c:pt>
                <c:pt idx="292">
                  <c:v>713.3333333333336</c:v>
                </c:pt>
                <c:pt idx="293">
                  <c:v>710</c:v>
                </c:pt>
                <c:pt idx="294">
                  <c:v>713.3333333333336</c:v>
                </c:pt>
                <c:pt idx="295">
                  <c:v>720</c:v>
                </c:pt>
                <c:pt idx="296">
                  <c:v>720</c:v>
                </c:pt>
                <c:pt idx="297">
                  <c:v>720</c:v>
                </c:pt>
                <c:pt idx="298">
                  <c:v>713.3333333333336</c:v>
                </c:pt>
                <c:pt idx="299">
                  <c:v>723.3333333333336</c:v>
                </c:pt>
                <c:pt idx="300">
                  <c:v>716.66666666666663</c:v>
                </c:pt>
                <c:pt idx="301">
                  <c:v>723.3333333333336</c:v>
                </c:pt>
                <c:pt idx="302">
                  <c:v>723.3333333333336</c:v>
                </c:pt>
                <c:pt idx="303">
                  <c:v>723.3333333333336</c:v>
                </c:pt>
                <c:pt idx="304">
                  <c:v>723.3333333333336</c:v>
                </c:pt>
                <c:pt idx="305">
                  <c:v>723.3333333333336</c:v>
                </c:pt>
                <c:pt idx="306">
                  <c:v>733.3333333333336</c:v>
                </c:pt>
                <c:pt idx="307">
                  <c:v>743.3333333333336</c:v>
                </c:pt>
                <c:pt idx="308">
                  <c:v>733.3333333333336</c:v>
                </c:pt>
                <c:pt idx="309">
                  <c:v>733.3333333333336</c:v>
                </c:pt>
                <c:pt idx="310">
                  <c:v>733.3333333333336</c:v>
                </c:pt>
                <c:pt idx="311">
                  <c:v>733.3333333333336</c:v>
                </c:pt>
                <c:pt idx="312">
                  <c:v>723.3333333333336</c:v>
                </c:pt>
                <c:pt idx="313">
                  <c:v>713.3333333333336</c:v>
                </c:pt>
                <c:pt idx="314">
                  <c:v>720</c:v>
                </c:pt>
                <c:pt idx="315">
                  <c:v>720</c:v>
                </c:pt>
                <c:pt idx="316">
                  <c:v>723.3333333333336</c:v>
                </c:pt>
                <c:pt idx="317">
                  <c:v>723.3333333333336</c:v>
                </c:pt>
                <c:pt idx="318">
                  <c:v>723.3333333333336</c:v>
                </c:pt>
                <c:pt idx="319">
                  <c:v>730</c:v>
                </c:pt>
                <c:pt idx="320">
                  <c:v>736.66666666666663</c:v>
                </c:pt>
                <c:pt idx="321">
                  <c:v>730</c:v>
                </c:pt>
                <c:pt idx="322">
                  <c:v>726.66666666666663</c:v>
                </c:pt>
                <c:pt idx="323">
                  <c:v>733.3333333333336</c:v>
                </c:pt>
              </c:numCache>
            </c:numRef>
          </c:val>
          <c:smooth val="0"/>
        </c:ser>
        <c:dLbls>
          <c:showLegendKey val="0"/>
          <c:showVal val="0"/>
          <c:showCatName val="0"/>
          <c:showSerName val="0"/>
          <c:showPercent val="0"/>
          <c:showBubbleSize val="0"/>
        </c:dLbls>
        <c:marker val="1"/>
        <c:smooth val="0"/>
        <c:axId val="257168512"/>
        <c:axId val="257170048"/>
      </c:lineChart>
      <c:dateAx>
        <c:axId val="257168512"/>
        <c:scaling>
          <c:orientation val="minMax"/>
        </c:scaling>
        <c:delete val="0"/>
        <c:axPos val="b"/>
        <c:numFmt formatCode="m/d/yyyy" sourceLinked="1"/>
        <c:majorTickMark val="out"/>
        <c:minorTickMark val="none"/>
        <c:tickLblPos val="nextTo"/>
        <c:crossAx val="257170048"/>
        <c:crosses val="autoZero"/>
        <c:auto val="1"/>
        <c:lblOffset val="100"/>
        <c:baseTimeUnit val="days"/>
        <c:majorUnit val="1"/>
        <c:majorTimeUnit val="months"/>
        <c:minorUnit val="1"/>
        <c:minorTimeUnit val="months"/>
      </c:dateAx>
      <c:valAx>
        <c:axId val="257170048"/>
        <c:scaling>
          <c:orientation val="minMax"/>
        </c:scaling>
        <c:delete val="0"/>
        <c:axPos val="l"/>
        <c:majorGridlines/>
        <c:numFmt formatCode="General" sourceLinked="1"/>
        <c:majorTickMark val="out"/>
        <c:minorTickMark val="none"/>
        <c:tickLblPos val="nextTo"/>
        <c:crossAx val="257168512"/>
        <c:crosses val="autoZero"/>
        <c:crossBetween val="between"/>
      </c:valAx>
    </c:plotArea>
    <c:legend>
      <c:legendPos val="b"/>
      <c:layout>
        <c:manualLayout>
          <c:xMode val="edge"/>
          <c:yMode val="edge"/>
          <c:x val="0.10793560996206991"/>
          <c:y val="0.78154249685434185"/>
          <c:w val="0.7788384417586226"/>
          <c:h val="0.20093520030074727"/>
        </c:manualLayout>
      </c:layout>
      <c:overlay val="0"/>
    </c:legend>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750896820273453E-2"/>
          <c:y val="2.1825010450544208E-2"/>
          <c:w val="0.86935021446560345"/>
          <c:h val="0.62275723158637941"/>
        </c:manualLayout>
      </c:layout>
      <c:lineChart>
        <c:grouping val="standard"/>
        <c:varyColors val="0"/>
        <c:ser>
          <c:idx val="0"/>
          <c:order val="0"/>
          <c:tx>
            <c:strRef>
              <c:f>銅、鋁、鎳、鋅、鉛!$M$1</c:f>
              <c:strCache>
                <c:ptCount val="1"/>
                <c:pt idx="0">
                  <c:v>銅 倫敦LME 現貨 收盤價(美元/公噸)</c:v>
                </c:pt>
              </c:strCache>
            </c:strRef>
          </c:tx>
          <c:spPr>
            <a:ln>
              <a:prstDash val="sysDash"/>
            </a:ln>
          </c:spPr>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銅、鋁、鎳、鋅、鉛!$M$216:$M$539</c:f>
              <c:numCache>
                <c:formatCode>General;General;;</c:formatCode>
                <c:ptCount val="324"/>
                <c:pt idx="0">
                  <c:v>6368</c:v>
                </c:pt>
                <c:pt idx="1">
                  <c:v>6321</c:v>
                </c:pt>
                <c:pt idx="2">
                  <c:v>6321</c:v>
                </c:pt>
                <c:pt idx="3">
                  <c:v>6321</c:v>
                </c:pt>
                <c:pt idx="4">
                  <c:v>6213.5</c:v>
                </c:pt>
                <c:pt idx="5">
                  <c:v>6221</c:v>
                </c:pt>
                <c:pt idx="6">
                  <c:v>6182.5</c:v>
                </c:pt>
                <c:pt idx="7">
                  <c:v>6175.75</c:v>
                </c:pt>
                <c:pt idx="8">
                  <c:v>6166.5</c:v>
                </c:pt>
                <c:pt idx="9">
                  <c:v>6166.5</c:v>
                </c:pt>
                <c:pt idx="10">
                  <c:v>6166.5</c:v>
                </c:pt>
                <c:pt idx="11">
                  <c:v>6101</c:v>
                </c:pt>
                <c:pt idx="12">
                  <c:v>5939.5</c:v>
                </c:pt>
                <c:pt idx="13">
                  <c:v>5619</c:v>
                </c:pt>
                <c:pt idx="14">
                  <c:v>5681</c:v>
                </c:pt>
                <c:pt idx="15">
                  <c:v>5768</c:v>
                </c:pt>
                <c:pt idx="16">
                  <c:v>5768</c:v>
                </c:pt>
                <c:pt idx="17">
                  <c:v>5768</c:v>
                </c:pt>
                <c:pt idx="18">
                  <c:v>5709</c:v>
                </c:pt>
                <c:pt idx="19">
                  <c:v>5722</c:v>
                </c:pt>
                <c:pt idx="20">
                  <c:v>5801</c:v>
                </c:pt>
                <c:pt idx="21">
                  <c:v>5696.5</c:v>
                </c:pt>
                <c:pt idx="22">
                  <c:v>5549</c:v>
                </c:pt>
                <c:pt idx="23">
                  <c:v>5549</c:v>
                </c:pt>
                <c:pt idx="24">
                  <c:v>5549</c:v>
                </c:pt>
                <c:pt idx="25">
                  <c:v>5628.5</c:v>
                </c:pt>
                <c:pt idx="26">
                  <c:v>5453</c:v>
                </c:pt>
                <c:pt idx="27">
                  <c:v>5519.5</c:v>
                </c:pt>
                <c:pt idx="28">
                  <c:v>5433</c:v>
                </c:pt>
                <c:pt idx="29">
                  <c:v>5541</c:v>
                </c:pt>
                <c:pt idx="30">
                  <c:v>5541</c:v>
                </c:pt>
                <c:pt idx="31">
                  <c:v>5541</c:v>
                </c:pt>
                <c:pt idx="32">
                  <c:v>5525</c:v>
                </c:pt>
                <c:pt idx="33">
                  <c:v>5719</c:v>
                </c:pt>
                <c:pt idx="34">
                  <c:v>5732.75</c:v>
                </c:pt>
                <c:pt idx="35">
                  <c:v>5743.5</c:v>
                </c:pt>
                <c:pt idx="36">
                  <c:v>5670</c:v>
                </c:pt>
                <c:pt idx="37">
                  <c:v>5670</c:v>
                </c:pt>
                <c:pt idx="38">
                  <c:v>5670</c:v>
                </c:pt>
                <c:pt idx="39">
                  <c:v>5687.5</c:v>
                </c:pt>
                <c:pt idx="40">
                  <c:v>5604.75</c:v>
                </c:pt>
                <c:pt idx="41">
                  <c:v>5610.25</c:v>
                </c:pt>
                <c:pt idx="42">
                  <c:v>5752.25</c:v>
                </c:pt>
                <c:pt idx="43">
                  <c:v>5754</c:v>
                </c:pt>
                <c:pt idx="44">
                  <c:v>5754</c:v>
                </c:pt>
                <c:pt idx="45">
                  <c:v>5754</c:v>
                </c:pt>
                <c:pt idx="46">
                  <c:v>5764</c:v>
                </c:pt>
                <c:pt idx="47">
                  <c:v>5659.75</c:v>
                </c:pt>
                <c:pt idx="48">
                  <c:v>5759.5</c:v>
                </c:pt>
                <c:pt idx="49">
                  <c:v>5766.25</c:v>
                </c:pt>
                <c:pt idx="50">
                  <c:v>5708</c:v>
                </c:pt>
                <c:pt idx="51">
                  <c:v>5708</c:v>
                </c:pt>
                <c:pt idx="52">
                  <c:v>5708</c:v>
                </c:pt>
                <c:pt idx="53">
                  <c:v>5684.5</c:v>
                </c:pt>
                <c:pt idx="54">
                  <c:v>5800</c:v>
                </c:pt>
                <c:pt idx="55">
                  <c:v>5803</c:v>
                </c:pt>
                <c:pt idx="56">
                  <c:v>5917.5</c:v>
                </c:pt>
                <c:pt idx="57">
                  <c:v>5924</c:v>
                </c:pt>
                <c:pt idx="58">
                  <c:v>5924</c:v>
                </c:pt>
                <c:pt idx="59">
                  <c:v>5924</c:v>
                </c:pt>
                <c:pt idx="60">
                  <c:v>5925.5</c:v>
                </c:pt>
                <c:pt idx="61">
                  <c:v>5841.75</c:v>
                </c:pt>
                <c:pt idx="62">
                  <c:v>5861.5</c:v>
                </c:pt>
                <c:pt idx="63">
                  <c:v>5857</c:v>
                </c:pt>
                <c:pt idx="64">
                  <c:v>5765.5</c:v>
                </c:pt>
                <c:pt idx="65">
                  <c:v>5765.5</c:v>
                </c:pt>
                <c:pt idx="66">
                  <c:v>5765.5</c:v>
                </c:pt>
                <c:pt idx="67">
                  <c:v>5894</c:v>
                </c:pt>
                <c:pt idx="68">
                  <c:v>5788.5</c:v>
                </c:pt>
                <c:pt idx="69">
                  <c:v>5754.5</c:v>
                </c:pt>
                <c:pt idx="70">
                  <c:v>5867</c:v>
                </c:pt>
                <c:pt idx="71">
                  <c:v>5882</c:v>
                </c:pt>
                <c:pt idx="72">
                  <c:v>5882</c:v>
                </c:pt>
                <c:pt idx="73">
                  <c:v>5882</c:v>
                </c:pt>
                <c:pt idx="74">
                  <c:v>5864.25</c:v>
                </c:pt>
                <c:pt idx="75">
                  <c:v>5805</c:v>
                </c:pt>
                <c:pt idx="76">
                  <c:v>5695.5</c:v>
                </c:pt>
                <c:pt idx="77">
                  <c:v>5879.25</c:v>
                </c:pt>
                <c:pt idx="78">
                  <c:v>6073.5</c:v>
                </c:pt>
                <c:pt idx="79">
                  <c:v>6073.5</c:v>
                </c:pt>
                <c:pt idx="80">
                  <c:v>6073.5</c:v>
                </c:pt>
                <c:pt idx="81">
                  <c:v>6149.5</c:v>
                </c:pt>
                <c:pt idx="82">
                  <c:v>6174</c:v>
                </c:pt>
                <c:pt idx="83">
                  <c:v>6149.5</c:v>
                </c:pt>
                <c:pt idx="84">
                  <c:v>6195.5</c:v>
                </c:pt>
                <c:pt idx="85">
                  <c:v>6078.5</c:v>
                </c:pt>
                <c:pt idx="86">
                  <c:v>6078.5</c:v>
                </c:pt>
                <c:pt idx="87">
                  <c:v>6078.5</c:v>
                </c:pt>
                <c:pt idx="88">
                  <c:v>6106.5</c:v>
                </c:pt>
                <c:pt idx="89">
                  <c:v>6064.5</c:v>
                </c:pt>
                <c:pt idx="90">
                  <c:v>6068</c:v>
                </c:pt>
                <c:pt idx="91">
                  <c:v>6003.25</c:v>
                </c:pt>
                <c:pt idx="92">
                  <c:v>6003.25</c:v>
                </c:pt>
                <c:pt idx="93">
                  <c:v>6003.25</c:v>
                </c:pt>
                <c:pt idx="94">
                  <c:v>6003.25</c:v>
                </c:pt>
                <c:pt idx="95">
                  <c:v>6003.25</c:v>
                </c:pt>
                <c:pt idx="96">
                  <c:v>6084.5</c:v>
                </c:pt>
                <c:pt idx="97">
                  <c:v>6027.75</c:v>
                </c:pt>
                <c:pt idx="98">
                  <c:v>6015</c:v>
                </c:pt>
                <c:pt idx="99">
                  <c:v>6056</c:v>
                </c:pt>
                <c:pt idx="100">
                  <c:v>6056</c:v>
                </c:pt>
                <c:pt idx="101">
                  <c:v>6056</c:v>
                </c:pt>
                <c:pt idx="102">
                  <c:v>6001.25</c:v>
                </c:pt>
                <c:pt idx="103">
                  <c:v>5955</c:v>
                </c:pt>
                <c:pt idx="104">
                  <c:v>5960.75</c:v>
                </c:pt>
                <c:pt idx="105">
                  <c:v>6067.5</c:v>
                </c:pt>
                <c:pt idx="106">
                  <c:v>6069</c:v>
                </c:pt>
                <c:pt idx="107">
                  <c:v>6069</c:v>
                </c:pt>
                <c:pt idx="108">
                  <c:v>6069</c:v>
                </c:pt>
                <c:pt idx="109">
                  <c:v>5985.75</c:v>
                </c:pt>
                <c:pt idx="110">
                  <c:v>5943</c:v>
                </c:pt>
                <c:pt idx="111">
                  <c:v>5902</c:v>
                </c:pt>
                <c:pt idx="112">
                  <c:v>5943</c:v>
                </c:pt>
                <c:pt idx="113">
                  <c:v>6031</c:v>
                </c:pt>
                <c:pt idx="114">
                  <c:v>6031</c:v>
                </c:pt>
                <c:pt idx="115">
                  <c:v>6031</c:v>
                </c:pt>
                <c:pt idx="116">
                  <c:v>6070</c:v>
                </c:pt>
                <c:pt idx="117">
                  <c:v>6132</c:v>
                </c:pt>
                <c:pt idx="118">
                  <c:v>6162.5</c:v>
                </c:pt>
                <c:pt idx="119">
                  <c:v>6364.5</c:v>
                </c:pt>
                <c:pt idx="120">
                  <c:v>6411.5</c:v>
                </c:pt>
                <c:pt idx="121">
                  <c:v>6411.5</c:v>
                </c:pt>
                <c:pt idx="122">
                  <c:v>6411.5</c:v>
                </c:pt>
                <c:pt idx="123">
                  <c:v>6411.5</c:v>
                </c:pt>
                <c:pt idx="124">
                  <c:v>6481.75</c:v>
                </c:pt>
                <c:pt idx="125">
                  <c:v>6389.25</c:v>
                </c:pt>
                <c:pt idx="126">
                  <c:v>6403</c:v>
                </c:pt>
                <c:pt idx="127">
                  <c:v>6391.5</c:v>
                </c:pt>
                <c:pt idx="128">
                  <c:v>6391.5</c:v>
                </c:pt>
                <c:pt idx="129">
                  <c:v>6391.5</c:v>
                </c:pt>
                <c:pt idx="130">
                  <c:v>6368.5</c:v>
                </c:pt>
                <c:pt idx="131">
                  <c:v>6446.5</c:v>
                </c:pt>
                <c:pt idx="132">
                  <c:v>6410</c:v>
                </c:pt>
                <c:pt idx="133">
                  <c:v>6406.25</c:v>
                </c:pt>
                <c:pt idx="134">
                  <c:v>6414.75</c:v>
                </c:pt>
                <c:pt idx="135">
                  <c:v>6414.75</c:v>
                </c:pt>
                <c:pt idx="136">
                  <c:v>6414.75</c:v>
                </c:pt>
                <c:pt idx="137">
                  <c:v>6369</c:v>
                </c:pt>
                <c:pt idx="138">
                  <c:v>6210</c:v>
                </c:pt>
                <c:pt idx="139">
                  <c:v>6214</c:v>
                </c:pt>
                <c:pt idx="140">
                  <c:v>6249</c:v>
                </c:pt>
                <c:pt idx="141">
                  <c:v>6156</c:v>
                </c:pt>
                <c:pt idx="142">
                  <c:v>6156</c:v>
                </c:pt>
                <c:pt idx="143">
                  <c:v>6156</c:v>
                </c:pt>
                <c:pt idx="144">
                  <c:v>6156</c:v>
                </c:pt>
                <c:pt idx="145">
                  <c:v>6103.5</c:v>
                </c:pt>
                <c:pt idx="146">
                  <c:v>6079.5</c:v>
                </c:pt>
                <c:pt idx="147">
                  <c:v>6091.5</c:v>
                </c:pt>
                <c:pt idx="148">
                  <c:v>6005.25</c:v>
                </c:pt>
                <c:pt idx="149">
                  <c:v>6005.25</c:v>
                </c:pt>
                <c:pt idx="150">
                  <c:v>6005.25</c:v>
                </c:pt>
                <c:pt idx="151">
                  <c:v>6014.5</c:v>
                </c:pt>
                <c:pt idx="152">
                  <c:v>6029</c:v>
                </c:pt>
                <c:pt idx="153">
                  <c:v>6000.5</c:v>
                </c:pt>
                <c:pt idx="154">
                  <c:v>5906.25</c:v>
                </c:pt>
                <c:pt idx="155">
                  <c:v>5927</c:v>
                </c:pt>
                <c:pt idx="156">
                  <c:v>5927</c:v>
                </c:pt>
                <c:pt idx="157">
                  <c:v>5927</c:v>
                </c:pt>
                <c:pt idx="158">
                  <c:v>5938.75</c:v>
                </c:pt>
                <c:pt idx="159">
                  <c:v>5956.25</c:v>
                </c:pt>
                <c:pt idx="160">
                  <c:v>6023.75</c:v>
                </c:pt>
                <c:pt idx="161">
                  <c:v>5864</c:v>
                </c:pt>
                <c:pt idx="162">
                  <c:v>5892.5</c:v>
                </c:pt>
                <c:pt idx="163">
                  <c:v>5892.5</c:v>
                </c:pt>
                <c:pt idx="164">
                  <c:v>5892.5</c:v>
                </c:pt>
                <c:pt idx="165">
                  <c:v>5784</c:v>
                </c:pt>
                <c:pt idx="166">
                  <c:v>5725</c:v>
                </c:pt>
                <c:pt idx="167">
                  <c:v>5726</c:v>
                </c:pt>
                <c:pt idx="168">
                  <c:v>5736.25</c:v>
                </c:pt>
                <c:pt idx="169">
                  <c:v>5642</c:v>
                </c:pt>
                <c:pt idx="170">
                  <c:v>5642</c:v>
                </c:pt>
                <c:pt idx="171">
                  <c:v>5642</c:v>
                </c:pt>
                <c:pt idx="172">
                  <c:v>5636.75</c:v>
                </c:pt>
                <c:pt idx="173">
                  <c:v>5763</c:v>
                </c:pt>
                <c:pt idx="174">
                  <c:v>5722.75</c:v>
                </c:pt>
                <c:pt idx="175">
                  <c:v>5754.25</c:v>
                </c:pt>
                <c:pt idx="176">
                  <c:v>5745</c:v>
                </c:pt>
                <c:pt idx="177">
                  <c:v>5745</c:v>
                </c:pt>
                <c:pt idx="178">
                  <c:v>5745</c:v>
                </c:pt>
                <c:pt idx="179">
                  <c:v>5784</c:v>
                </c:pt>
                <c:pt idx="180">
                  <c:v>5754.75</c:v>
                </c:pt>
                <c:pt idx="181">
                  <c:v>5765.75</c:v>
                </c:pt>
                <c:pt idx="182">
                  <c:v>5778</c:v>
                </c:pt>
                <c:pt idx="183">
                  <c:v>5744</c:v>
                </c:pt>
                <c:pt idx="184">
                  <c:v>5744</c:v>
                </c:pt>
                <c:pt idx="185">
                  <c:v>5744</c:v>
                </c:pt>
                <c:pt idx="186">
                  <c:v>5576</c:v>
                </c:pt>
                <c:pt idx="187">
                  <c:v>5329</c:v>
                </c:pt>
                <c:pt idx="188">
                  <c:v>5511</c:v>
                </c:pt>
                <c:pt idx="189">
                  <c:v>5616.5</c:v>
                </c:pt>
                <c:pt idx="190">
                  <c:v>5578</c:v>
                </c:pt>
                <c:pt idx="191">
                  <c:v>5578</c:v>
                </c:pt>
                <c:pt idx="192">
                  <c:v>5578</c:v>
                </c:pt>
                <c:pt idx="193">
                  <c:v>5573.5</c:v>
                </c:pt>
                <c:pt idx="194">
                  <c:v>5544</c:v>
                </c:pt>
                <c:pt idx="195">
                  <c:v>5508.5</c:v>
                </c:pt>
                <c:pt idx="196">
                  <c:v>5538.75</c:v>
                </c:pt>
                <c:pt idx="197">
                  <c:v>5459.75</c:v>
                </c:pt>
                <c:pt idx="198">
                  <c:v>5459.75</c:v>
                </c:pt>
                <c:pt idx="199">
                  <c:v>5459.75</c:v>
                </c:pt>
                <c:pt idx="200">
                  <c:v>5458.75</c:v>
                </c:pt>
                <c:pt idx="201">
                  <c:v>5432.25</c:v>
                </c:pt>
                <c:pt idx="202">
                  <c:v>5341</c:v>
                </c:pt>
                <c:pt idx="203">
                  <c:v>5253.5</c:v>
                </c:pt>
                <c:pt idx="204">
                  <c:v>5246.5</c:v>
                </c:pt>
                <c:pt idx="205">
                  <c:v>5246.5</c:v>
                </c:pt>
                <c:pt idx="206">
                  <c:v>5246.5</c:v>
                </c:pt>
                <c:pt idx="207">
                  <c:v>5173</c:v>
                </c:pt>
                <c:pt idx="208">
                  <c:v>5286.5</c:v>
                </c:pt>
                <c:pt idx="209">
                  <c:v>5316.5</c:v>
                </c:pt>
                <c:pt idx="210">
                  <c:v>5253</c:v>
                </c:pt>
                <c:pt idx="211">
                  <c:v>5221.5</c:v>
                </c:pt>
                <c:pt idx="212">
                  <c:v>5221.5</c:v>
                </c:pt>
                <c:pt idx="213">
                  <c:v>5221.5</c:v>
                </c:pt>
                <c:pt idx="214">
                  <c:v>5212</c:v>
                </c:pt>
                <c:pt idx="215">
                  <c:v>5229.75</c:v>
                </c:pt>
                <c:pt idx="216">
                  <c:v>5169</c:v>
                </c:pt>
                <c:pt idx="217">
                  <c:v>5177</c:v>
                </c:pt>
                <c:pt idx="218">
                  <c:v>5164</c:v>
                </c:pt>
                <c:pt idx="219">
                  <c:v>5164</c:v>
                </c:pt>
                <c:pt idx="220">
                  <c:v>5164</c:v>
                </c:pt>
                <c:pt idx="221">
                  <c:v>5296.25</c:v>
                </c:pt>
                <c:pt idx="222">
                  <c:v>5109.5</c:v>
                </c:pt>
                <c:pt idx="223">
                  <c:v>5175.25</c:v>
                </c:pt>
                <c:pt idx="224">
                  <c:v>5177</c:v>
                </c:pt>
                <c:pt idx="225">
                  <c:v>5157.25</c:v>
                </c:pt>
                <c:pt idx="226">
                  <c:v>5157.25</c:v>
                </c:pt>
                <c:pt idx="227">
                  <c:v>5157.25</c:v>
                </c:pt>
                <c:pt idx="228">
                  <c:v>5107.25</c:v>
                </c:pt>
                <c:pt idx="229">
                  <c:v>5034</c:v>
                </c:pt>
                <c:pt idx="230">
                  <c:v>4995.5</c:v>
                </c:pt>
                <c:pt idx="231">
                  <c:v>5125</c:v>
                </c:pt>
                <c:pt idx="232">
                  <c:v>5063.75</c:v>
                </c:pt>
                <c:pt idx="233">
                  <c:v>5063.75</c:v>
                </c:pt>
                <c:pt idx="234">
                  <c:v>5063.75</c:v>
                </c:pt>
                <c:pt idx="235">
                  <c:v>4969.5</c:v>
                </c:pt>
                <c:pt idx="236">
                  <c:v>5098</c:v>
                </c:pt>
                <c:pt idx="237">
                  <c:v>4963</c:v>
                </c:pt>
                <c:pt idx="238">
                  <c:v>5176</c:v>
                </c:pt>
                <c:pt idx="239">
                  <c:v>5147</c:v>
                </c:pt>
                <c:pt idx="240">
                  <c:v>5147</c:v>
                </c:pt>
                <c:pt idx="241">
                  <c:v>5147</c:v>
                </c:pt>
                <c:pt idx="242">
                  <c:v>5147</c:v>
                </c:pt>
                <c:pt idx="243">
                  <c:v>5082.75</c:v>
                </c:pt>
                <c:pt idx="244">
                  <c:v>5136.5</c:v>
                </c:pt>
                <c:pt idx="245">
                  <c:v>5264</c:v>
                </c:pt>
                <c:pt idx="246">
                  <c:v>5131.75</c:v>
                </c:pt>
                <c:pt idx="247">
                  <c:v>5131.75</c:v>
                </c:pt>
                <c:pt idx="248">
                  <c:v>5131.75</c:v>
                </c:pt>
                <c:pt idx="249">
                  <c:v>5163.25</c:v>
                </c:pt>
                <c:pt idx="250">
                  <c:v>5365</c:v>
                </c:pt>
                <c:pt idx="251">
                  <c:v>5381.75</c:v>
                </c:pt>
                <c:pt idx="252">
                  <c:v>5416.5</c:v>
                </c:pt>
                <c:pt idx="253">
                  <c:v>5390.25</c:v>
                </c:pt>
                <c:pt idx="254">
                  <c:v>5390.25</c:v>
                </c:pt>
                <c:pt idx="255">
                  <c:v>5390.25</c:v>
                </c:pt>
                <c:pt idx="256">
                  <c:v>5330.5</c:v>
                </c:pt>
                <c:pt idx="257">
                  <c:v>5360.75</c:v>
                </c:pt>
                <c:pt idx="258">
                  <c:v>5387</c:v>
                </c:pt>
                <c:pt idx="259">
                  <c:v>5405.5</c:v>
                </c:pt>
                <c:pt idx="260">
                  <c:v>5272.5</c:v>
                </c:pt>
                <c:pt idx="261">
                  <c:v>5272.5</c:v>
                </c:pt>
                <c:pt idx="262">
                  <c:v>5272.5</c:v>
                </c:pt>
                <c:pt idx="263">
                  <c:v>5281</c:v>
                </c:pt>
                <c:pt idx="264">
                  <c:v>5089.75</c:v>
                </c:pt>
                <c:pt idx="265">
                  <c:v>5069</c:v>
                </c:pt>
                <c:pt idx="266">
                  <c:v>5065.5</c:v>
                </c:pt>
                <c:pt idx="267">
                  <c:v>5042.5</c:v>
                </c:pt>
                <c:pt idx="268">
                  <c:v>5042.5</c:v>
                </c:pt>
                <c:pt idx="269">
                  <c:v>5042.5</c:v>
                </c:pt>
                <c:pt idx="270">
                  <c:v>4980</c:v>
                </c:pt>
                <c:pt idx="271">
                  <c:v>4987.25</c:v>
                </c:pt>
                <c:pt idx="272">
                  <c:v>5176.5</c:v>
                </c:pt>
                <c:pt idx="273">
                  <c:v>5109.5</c:v>
                </c:pt>
                <c:pt idx="274">
                  <c:v>5111.75</c:v>
                </c:pt>
                <c:pt idx="275">
                  <c:v>5111.75</c:v>
                </c:pt>
                <c:pt idx="276">
                  <c:v>5111.75</c:v>
                </c:pt>
                <c:pt idx="277">
                  <c:v>5190.5</c:v>
                </c:pt>
                <c:pt idx="278">
                  <c:v>5192.5</c:v>
                </c:pt>
                <c:pt idx="279">
                  <c:v>5196</c:v>
                </c:pt>
                <c:pt idx="280">
                  <c:v>5148.5</c:v>
                </c:pt>
                <c:pt idx="281">
                  <c:v>5310.25</c:v>
                </c:pt>
                <c:pt idx="282">
                  <c:v>5310.25</c:v>
                </c:pt>
                <c:pt idx="283">
                  <c:v>5310.25</c:v>
                </c:pt>
                <c:pt idx="284">
                  <c:v>5328.75</c:v>
                </c:pt>
                <c:pt idx="285">
                  <c:v>5287.75</c:v>
                </c:pt>
                <c:pt idx="286">
                  <c:v>5317</c:v>
                </c:pt>
                <c:pt idx="287">
                  <c:v>5324.5</c:v>
                </c:pt>
                <c:pt idx="288">
                  <c:v>5303.5</c:v>
                </c:pt>
                <c:pt idx="289">
                  <c:v>5303.5</c:v>
                </c:pt>
                <c:pt idx="290">
                  <c:v>5303.5</c:v>
                </c:pt>
                <c:pt idx="291">
                  <c:v>5208.5</c:v>
                </c:pt>
                <c:pt idx="292">
                  <c:v>5205.25</c:v>
                </c:pt>
                <c:pt idx="293">
                  <c:v>5181.25</c:v>
                </c:pt>
                <c:pt idx="294">
                  <c:v>5242</c:v>
                </c:pt>
                <c:pt idx="295">
                  <c:v>5183.25</c:v>
                </c:pt>
                <c:pt idx="296">
                  <c:v>5183.25</c:v>
                </c:pt>
                <c:pt idx="297">
                  <c:v>5183.25</c:v>
                </c:pt>
                <c:pt idx="298">
                  <c:v>5201.5</c:v>
                </c:pt>
                <c:pt idx="299">
                  <c:v>5229</c:v>
                </c:pt>
                <c:pt idx="300">
                  <c:v>5210.75</c:v>
                </c:pt>
                <c:pt idx="301">
                  <c:v>5142.5</c:v>
                </c:pt>
                <c:pt idx="302">
                  <c:v>5129.5</c:v>
                </c:pt>
                <c:pt idx="303">
                  <c:v>5129.5</c:v>
                </c:pt>
                <c:pt idx="304">
                  <c:v>5129.5</c:v>
                </c:pt>
                <c:pt idx="305">
                  <c:v>5140.25</c:v>
                </c:pt>
                <c:pt idx="306">
                  <c:v>5141.25</c:v>
                </c:pt>
                <c:pt idx="307">
                  <c:v>5145.75</c:v>
                </c:pt>
                <c:pt idx="308">
                  <c:v>5020.75</c:v>
                </c:pt>
                <c:pt idx="309">
                  <c:v>4993.5</c:v>
                </c:pt>
                <c:pt idx="310">
                  <c:v>4993.5</c:v>
                </c:pt>
                <c:pt idx="311">
                  <c:v>4993.5</c:v>
                </c:pt>
                <c:pt idx="312">
                  <c:v>4972.75</c:v>
                </c:pt>
                <c:pt idx="313">
                  <c:v>4939.5</c:v>
                </c:pt>
                <c:pt idx="314">
                  <c:v>4956.25</c:v>
                </c:pt>
                <c:pt idx="315">
                  <c:v>4835.75</c:v>
                </c:pt>
                <c:pt idx="316">
                  <c:v>4828.75</c:v>
                </c:pt>
                <c:pt idx="317">
                  <c:v>4828.75</c:v>
                </c:pt>
                <c:pt idx="318">
                  <c:v>4828.75</c:v>
                </c:pt>
                <c:pt idx="319">
                  <c:v>4694</c:v>
                </c:pt>
                <c:pt idx="320">
                  <c:v>4699</c:v>
                </c:pt>
                <c:pt idx="321">
                  <c:v>4633.25</c:v>
                </c:pt>
                <c:pt idx="322">
                  <c:v>4651.5</c:v>
                </c:pt>
                <c:pt idx="323">
                  <c:v>4605.5</c:v>
                </c:pt>
              </c:numCache>
            </c:numRef>
          </c:val>
          <c:smooth val="0"/>
        </c:ser>
        <c:ser>
          <c:idx val="1"/>
          <c:order val="1"/>
          <c:tx>
            <c:strRef>
              <c:f>銅、鋁、鎳、鋅、鉛!$N$1</c:f>
              <c:strCache>
                <c:ptCount val="1"/>
                <c:pt idx="0">
                  <c:v>紅銅片 0.4mm 名佳利 未稅出廠價(美元/公噸)</c:v>
                </c:pt>
              </c:strCache>
            </c:strRef>
          </c:tx>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銅、鋁、鎳、鋅、鉛!$N$216:$N$539</c:f>
              <c:numCache>
                <c:formatCode>General;General;;</c:formatCode>
                <c:ptCount val="324"/>
                <c:pt idx="0">
                  <c:v>9333.3333333333303</c:v>
                </c:pt>
                <c:pt idx="1">
                  <c:v>9333.3333333333303</c:v>
                </c:pt>
                <c:pt idx="2">
                  <c:v>9333.3333333333303</c:v>
                </c:pt>
                <c:pt idx="3">
                  <c:v>9333.3333333333303</c:v>
                </c:pt>
                <c:pt idx="4">
                  <c:v>9266.6666666666624</c:v>
                </c:pt>
                <c:pt idx="5">
                  <c:v>9266.6666666666624</c:v>
                </c:pt>
                <c:pt idx="6">
                  <c:v>9266.6666666666624</c:v>
                </c:pt>
                <c:pt idx="7">
                  <c:v>9200</c:v>
                </c:pt>
                <c:pt idx="8">
                  <c:v>9200</c:v>
                </c:pt>
                <c:pt idx="9">
                  <c:v>9200</c:v>
                </c:pt>
                <c:pt idx="10">
                  <c:v>9200</c:v>
                </c:pt>
                <c:pt idx="11">
                  <c:v>9200</c:v>
                </c:pt>
                <c:pt idx="12">
                  <c:v>9200</c:v>
                </c:pt>
                <c:pt idx="13">
                  <c:v>8900</c:v>
                </c:pt>
                <c:pt idx="14">
                  <c:v>8566.6666666666624</c:v>
                </c:pt>
                <c:pt idx="15">
                  <c:v>8566.6666666666624</c:v>
                </c:pt>
                <c:pt idx="16">
                  <c:v>8566.6666666666624</c:v>
                </c:pt>
                <c:pt idx="17">
                  <c:v>8566.6666666666624</c:v>
                </c:pt>
                <c:pt idx="18">
                  <c:v>8566.6666666666624</c:v>
                </c:pt>
                <c:pt idx="19">
                  <c:v>8566.6666666666624</c:v>
                </c:pt>
                <c:pt idx="20">
                  <c:v>8566.6666666666624</c:v>
                </c:pt>
                <c:pt idx="21">
                  <c:v>8566.6666666666624</c:v>
                </c:pt>
                <c:pt idx="22">
                  <c:v>8566.6666666666624</c:v>
                </c:pt>
                <c:pt idx="23">
                  <c:v>8566.6666666666624</c:v>
                </c:pt>
                <c:pt idx="24">
                  <c:v>8566.6666666666624</c:v>
                </c:pt>
                <c:pt idx="25">
                  <c:v>8433.3333333333303</c:v>
                </c:pt>
                <c:pt idx="26">
                  <c:v>8433.3333333333303</c:v>
                </c:pt>
                <c:pt idx="27">
                  <c:v>8433.3333333333303</c:v>
                </c:pt>
                <c:pt idx="28">
                  <c:v>8433.3333333333303</c:v>
                </c:pt>
                <c:pt idx="29">
                  <c:v>8433.3333333333303</c:v>
                </c:pt>
                <c:pt idx="30">
                  <c:v>8433.3333333333303</c:v>
                </c:pt>
                <c:pt idx="31">
                  <c:v>8433.3333333333303</c:v>
                </c:pt>
                <c:pt idx="32">
                  <c:v>8400</c:v>
                </c:pt>
                <c:pt idx="33">
                  <c:v>8400</c:v>
                </c:pt>
                <c:pt idx="34">
                  <c:v>8400</c:v>
                </c:pt>
                <c:pt idx="35">
                  <c:v>8600</c:v>
                </c:pt>
                <c:pt idx="36">
                  <c:v>8600</c:v>
                </c:pt>
                <c:pt idx="37">
                  <c:v>8600</c:v>
                </c:pt>
                <c:pt idx="38">
                  <c:v>8600</c:v>
                </c:pt>
                <c:pt idx="39">
                  <c:v>8600</c:v>
                </c:pt>
                <c:pt idx="40">
                  <c:v>8600</c:v>
                </c:pt>
                <c:pt idx="41">
                  <c:v>8600</c:v>
                </c:pt>
                <c:pt idx="42">
                  <c:v>8600</c:v>
                </c:pt>
                <c:pt idx="43">
                  <c:v>8600</c:v>
                </c:pt>
                <c:pt idx="44">
                  <c:v>8600</c:v>
                </c:pt>
                <c:pt idx="45">
                  <c:v>8600</c:v>
                </c:pt>
                <c:pt idx="46">
                  <c:v>8600</c:v>
                </c:pt>
                <c:pt idx="47">
                  <c:v>8600</c:v>
                </c:pt>
                <c:pt idx="48">
                  <c:v>8600</c:v>
                </c:pt>
                <c:pt idx="49">
                  <c:v>8600</c:v>
                </c:pt>
                <c:pt idx="50">
                  <c:v>8600</c:v>
                </c:pt>
                <c:pt idx="51">
                  <c:v>8600</c:v>
                </c:pt>
                <c:pt idx="52">
                  <c:v>8600</c:v>
                </c:pt>
                <c:pt idx="53">
                  <c:v>8600</c:v>
                </c:pt>
                <c:pt idx="54">
                  <c:v>8600</c:v>
                </c:pt>
                <c:pt idx="55">
                  <c:v>8633.3333333333303</c:v>
                </c:pt>
                <c:pt idx="56">
                  <c:v>8633.3333333333303</c:v>
                </c:pt>
                <c:pt idx="57">
                  <c:v>8633.3333333333303</c:v>
                </c:pt>
                <c:pt idx="58">
                  <c:v>8633.3333333333303</c:v>
                </c:pt>
                <c:pt idx="59">
                  <c:v>8633.3333333333303</c:v>
                </c:pt>
                <c:pt idx="60">
                  <c:v>8633.3333333333303</c:v>
                </c:pt>
                <c:pt idx="61">
                  <c:v>8800</c:v>
                </c:pt>
                <c:pt idx="62">
                  <c:v>8800</c:v>
                </c:pt>
                <c:pt idx="63">
                  <c:v>8800</c:v>
                </c:pt>
                <c:pt idx="64">
                  <c:v>8800</c:v>
                </c:pt>
                <c:pt idx="65">
                  <c:v>8800</c:v>
                </c:pt>
                <c:pt idx="66">
                  <c:v>8800</c:v>
                </c:pt>
                <c:pt idx="67">
                  <c:v>8800</c:v>
                </c:pt>
                <c:pt idx="68">
                  <c:v>8700</c:v>
                </c:pt>
                <c:pt idx="69">
                  <c:v>8700</c:v>
                </c:pt>
                <c:pt idx="70">
                  <c:v>8700</c:v>
                </c:pt>
                <c:pt idx="71">
                  <c:v>8700</c:v>
                </c:pt>
                <c:pt idx="72">
                  <c:v>8700</c:v>
                </c:pt>
                <c:pt idx="73">
                  <c:v>8700</c:v>
                </c:pt>
                <c:pt idx="74">
                  <c:v>8700</c:v>
                </c:pt>
                <c:pt idx="75">
                  <c:v>8700</c:v>
                </c:pt>
                <c:pt idx="76">
                  <c:v>8700</c:v>
                </c:pt>
                <c:pt idx="77">
                  <c:v>8700</c:v>
                </c:pt>
                <c:pt idx="78">
                  <c:v>8700</c:v>
                </c:pt>
                <c:pt idx="79">
                  <c:v>8700</c:v>
                </c:pt>
                <c:pt idx="80">
                  <c:v>8700</c:v>
                </c:pt>
                <c:pt idx="81">
                  <c:v>8833.3333333333303</c:v>
                </c:pt>
                <c:pt idx="82">
                  <c:v>8833.3333333333303</c:v>
                </c:pt>
                <c:pt idx="83">
                  <c:v>8833.3333333333303</c:v>
                </c:pt>
                <c:pt idx="84">
                  <c:v>9000</c:v>
                </c:pt>
                <c:pt idx="85">
                  <c:v>9000</c:v>
                </c:pt>
                <c:pt idx="86">
                  <c:v>9000</c:v>
                </c:pt>
                <c:pt idx="87">
                  <c:v>9000</c:v>
                </c:pt>
                <c:pt idx="88">
                  <c:v>9033.3333333333303</c:v>
                </c:pt>
                <c:pt idx="89">
                  <c:v>9033.3333333333303</c:v>
                </c:pt>
                <c:pt idx="90">
                  <c:v>9033.3333333333303</c:v>
                </c:pt>
                <c:pt idx="91">
                  <c:v>9033.3333333333303</c:v>
                </c:pt>
                <c:pt idx="92">
                  <c:v>9033.3333333333303</c:v>
                </c:pt>
                <c:pt idx="93">
                  <c:v>9033.3333333333303</c:v>
                </c:pt>
                <c:pt idx="94">
                  <c:v>9033.3333333333303</c:v>
                </c:pt>
                <c:pt idx="95">
                  <c:v>9033.3333333333303</c:v>
                </c:pt>
                <c:pt idx="96">
                  <c:v>9033.3333333333303</c:v>
                </c:pt>
                <c:pt idx="97">
                  <c:v>8866.6666666666624</c:v>
                </c:pt>
                <c:pt idx="98">
                  <c:v>8866.6666666666624</c:v>
                </c:pt>
                <c:pt idx="99">
                  <c:v>8866.6666666666624</c:v>
                </c:pt>
                <c:pt idx="100">
                  <c:v>8866.6666666666624</c:v>
                </c:pt>
                <c:pt idx="101">
                  <c:v>8866.6666666666624</c:v>
                </c:pt>
                <c:pt idx="102">
                  <c:v>8866.6666666666624</c:v>
                </c:pt>
                <c:pt idx="103">
                  <c:v>8866.6666666666624</c:v>
                </c:pt>
                <c:pt idx="104">
                  <c:v>8866.6666666666624</c:v>
                </c:pt>
                <c:pt idx="105">
                  <c:v>8800</c:v>
                </c:pt>
                <c:pt idx="106">
                  <c:v>8800</c:v>
                </c:pt>
                <c:pt idx="107">
                  <c:v>8800</c:v>
                </c:pt>
                <c:pt idx="108">
                  <c:v>8800</c:v>
                </c:pt>
                <c:pt idx="109">
                  <c:v>8800</c:v>
                </c:pt>
                <c:pt idx="110">
                  <c:v>8800</c:v>
                </c:pt>
                <c:pt idx="111">
                  <c:v>8800</c:v>
                </c:pt>
                <c:pt idx="112">
                  <c:v>8800</c:v>
                </c:pt>
                <c:pt idx="113">
                  <c:v>8800</c:v>
                </c:pt>
                <c:pt idx="114">
                  <c:v>8800</c:v>
                </c:pt>
                <c:pt idx="115">
                  <c:v>8800</c:v>
                </c:pt>
                <c:pt idx="116">
                  <c:v>8800</c:v>
                </c:pt>
                <c:pt idx="117">
                  <c:v>8800</c:v>
                </c:pt>
                <c:pt idx="118">
                  <c:v>8800</c:v>
                </c:pt>
                <c:pt idx="119">
                  <c:v>8833.3333333333303</c:v>
                </c:pt>
                <c:pt idx="120">
                  <c:v>8833.3333333333303</c:v>
                </c:pt>
                <c:pt idx="121">
                  <c:v>8833.3333333333303</c:v>
                </c:pt>
                <c:pt idx="122">
                  <c:v>8833.3333333333303</c:v>
                </c:pt>
                <c:pt idx="123">
                  <c:v>9100</c:v>
                </c:pt>
                <c:pt idx="124">
                  <c:v>9100</c:v>
                </c:pt>
                <c:pt idx="125">
                  <c:v>9166.6666666666624</c:v>
                </c:pt>
                <c:pt idx="126">
                  <c:v>9150</c:v>
                </c:pt>
                <c:pt idx="127">
                  <c:v>9200</c:v>
                </c:pt>
                <c:pt idx="128">
                  <c:v>9200</c:v>
                </c:pt>
                <c:pt idx="129">
                  <c:v>9200</c:v>
                </c:pt>
                <c:pt idx="130">
                  <c:v>9166.6666666666624</c:v>
                </c:pt>
                <c:pt idx="131">
                  <c:v>9166.6666666666624</c:v>
                </c:pt>
                <c:pt idx="132">
                  <c:v>9200</c:v>
                </c:pt>
                <c:pt idx="133">
                  <c:v>9200</c:v>
                </c:pt>
                <c:pt idx="134">
                  <c:v>9200</c:v>
                </c:pt>
                <c:pt idx="135">
                  <c:v>9200</c:v>
                </c:pt>
                <c:pt idx="136">
                  <c:v>9200</c:v>
                </c:pt>
                <c:pt idx="137">
                  <c:v>9200</c:v>
                </c:pt>
                <c:pt idx="138">
                  <c:v>9200</c:v>
                </c:pt>
                <c:pt idx="139">
                  <c:v>8966.6666666666624</c:v>
                </c:pt>
                <c:pt idx="140">
                  <c:v>8966.6666666666624</c:v>
                </c:pt>
                <c:pt idx="141">
                  <c:v>8966.6666666666624</c:v>
                </c:pt>
                <c:pt idx="142">
                  <c:v>8966.6666666666624</c:v>
                </c:pt>
                <c:pt idx="143">
                  <c:v>8966.6666666666624</c:v>
                </c:pt>
                <c:pt idx="144">
                  <c:v>8966.6666666666624</c:v>
                </c:pt>
                <c:pt idx="145">
                  <c:v>8900</c:v>
                </c:pt>
                <c:pt idx="146">
                  <c:v>8900</c:v>
                </c:pt>
                <c:pt idx="147">
                  <c:v>8900</c:v>
                </c:pt>
                <c:pt idx="148">
                  <c:v>8900</c:v>
                </c:pt>
                <c:pt idx="149">
                  <c:v>8900</c:v>
                </c:pt>
                <c:pt idx="150">
                  <c:v>8900</c:v>
                </c:pt>
                <c:pt idx="151">
                  <c:v>8833.3333333333303</c:v>
                </c:pt>
                <c:pt idx="152">
                  <c:v>8833.3333333333303</c:v>
                </c:pt>
                <c:pt idx="153">
                  <c:v>8833.3333333333303</c:v>
                </c:pt>
                <c:pt idx="154">
                  <c:v>8833.3333333333303</c:v>
                </c:pt>
                <c:pt idx="155">
                  <c:v>8833.3333333333303</c:v>
                </c:pt>
                <c:pt idx="156">
                  <c:v>8833.3333333333303</c:v>
                </c:pt>
                <c:pt idx="157">
                  <c:v>8833.3333333333303</c:v>
                </c:pt>
                <c:pt idx="158">
                  <c:v>8833.3333333333303</c:v>
                </c:pt>
                <c:pt idx="159">
                  <c:v>8833.3333333333303</c:v>
                </c:pt>
                <c:pt idx="160">
                  <c:v>8833.3333333333303</c:v>
                </c:pt>
                <c:pt idx="161">
                  <c:v>8833.3333333333303</c:v>
                </c:pt>
                <c:pt idx="162">
                  <c:v>8833.3333333333303</c:v>
                </c:pt>
                <c:pt idx="163">
                  <c:v>8833.3333333333303</c:v>
                </c:pt>
                <c:pt idx="164">
                  <c:v>8833.3333333333303</c:v>
                </c:pt>
                <c:pt idx="165">
                  <c:v>8833.3333333333303</c:v>
                </c:pt>
                <c:pt idx="166">
                  <c:v>8833.3333333333303</c:v>
                </c:pt>
                <c:pt idx="167">
                  <c:v>8833.3333333333303</c:v>
                </c:pt>
                <c:pt idx="168">
                  <c:v>8533.3333333333303</c:v>
                </c:pt>
                <c:pt idx="169">
                  <c:v>8533.3333333333303</c:v>
                </c:pt>
                <c:pt idx="170">
                  <c:v>8533.3333333333303</c:v>
                </c:pt>
                <c:pt idx="171">
                  <c:v>8533.3333333333303</c:v>
                </c:pt>
                <c:pt idx="172">
                  <c:v>8433.3333333333303</c:v>
                </c:pt>
                <c:pt idx="173">
                  <c:v>8433.3333333333303</c:v>
                </c:pt>
                <c:pt idx="174">
                  <c:v>8500</c:v>
                </c:pt>
                <c:pt idx="175">
                  <c:v>8500</c:v>
                </c:pt>
                <c:pt idx="176">
                  <c:v>8500</c:v>
                </c:pt>
                <c:pt idx="177">
                  <c:v>8500</c:v>
                </c:pt>
                <c:pt idx="178">
                  <c:v>8500</c:v>
                </c:pt>
                <c:pt idx="179">
                  <c:v>8500</c:v>
                </c:pt>
                <c:pt idx="180">
                  <c:v>8500</c:v>
                </c:pt>
                <c:pt idx="181">
                  <c:v>8500</c:v>
                </c:pt>
                <c:pt idx="182">
                  <c:v>8500</c:v>
                </c:pt>
                <c:pt idx="183">
                  <c:v>8566.6666666666624</c:v>
                </c:pt>
                <c:pt idx="184">
                  <c:v>8566.6666666666624</c:v>
                </c:pt>
                <c:pt idx="185">
                  <c:v>8566.6666666666624</c:v>
                </c:pt>
                <c:pt idx="186">
                  <c:v>8566.6666666666624</c:v>
                </c:pt>
                <c:pt idx="187">
                  <c:v>8366.6666666666624</c:v>
                </c:pt>
                <c:pt idx="188">
                  <c:v>8366.6666666666624</c:v>
                </c:pt>
                <c:pt idx="189">
                  <c:v>8366.6666666666624</c:v>
                </c:pt>
                <c:pt idx="190">
                  <c:v>8366.6666666666624</c:v>
                </c:pt>
                <c:pt idx="191">
                  <c:v>8366.6666666666624</c:v>
                </c:pt>
                <c:pt idx="192">
                  <c:v>8366.6666666666624</c:v>
                </c:pt>
                <c:pt idx="193">
                  <c:v>8366.6666666666624</c:v>
                </c:pt>
                <c:pt idx="194">
                  <c:v>8366.6666666666624</c:v>
                </c:pt>
                <c:pt idx="195">
                  <c:v>8300</c:v>
                </c:pt>
                <c:pt idx="196">
                  <c:v>8300</c:v>
                </c:pt>
                <c:pt idx="197">
                  <c:v>8300</c:v>
                </c:pt>
                <c:pt idx="198">
                  <c:v>8300</c:v>
                </c:pt>
                <c:pt idx="199">
                  <c:v>8300</c:v>
                </c:pt>
                <c:pt idx="200">
                  <c:v>8300</c:v>
                </c:pt>
                <c:pt idx="201">
                  <c:v>8266.6666666666624</c:v>
                </c:pt>
                <c:pt idx="202">
                  <c:v>8266.6666666666624</c:v>
                </c:pt>
                <c:pt idx="203">
                  <c:v>8200</c:v>
                </c:pt>
                <c:pt idx="204">
                  <c:v>8200</c:v>
                </c:pt>
                <c:pt idx="205">
                  <c:v>8200</c:v>
                </c:pt>
                <c:pt idx="206">
                  <c:v>8200</c:v>
                </c:pt>
                <c:pt idx="207">
                  <c:v>8200</c:v>
                </c:pt>
                <c:pt idx="208">
                  <c:v>8200</c:v>
                </c:pt>
                <c:pt idx="209">
                  <c:v>8200</c:v>
                </c:pt>
                <c:pt idx="210">
                  <c:v>8200</c:v>
                </c:pt>
                <c:pt idx="211">
                  <c:v>8133.3333333333312</c:v>
                </c:pt>
                <c:pt idx="212">
                  <c:v>8133.3333333333312</c:v>
                </c:pt>
                <c:pt idx="213">
                  <c:v>8133.3333333333312</c:v>
                </c:pt>
                <c:pt idx="214">
                  <c:v>8133.3333333333312</c:v>
                </c:pt>
                <c:pt idx="215">
                  <c:v>8133.3333333333312</c:v>
                </c:pt>
                <c:pt idx="216">
                  <c:v>8133.3333333333312</c:v>
                </c:pt>
                <c:pt idx="217">
                  <c:v>8133.3333333333312</c:v>
                </c:pt>
                <c:pt idx="218">
                  <c:v>8133.3333333333312</c:v>
                </c:pt>
                <c:pt idx="219">
                  <c:v>8133.3333333333312</c:v>
                </c:pt>
                <c:pt idx="220">
                  <c:v>8133.3333333333312</c:v>
                </c:pt>
                <c:pt idx="221">
                  <c:v>8033.3333333333312</c:v>
                </c:pt>
                <c:pt idx="222">
                  <c:v>8033.3333333333312</c:v>
                </c:pt>
                <c:pt idx="223">
                  <c:v>8033.3333333333312</c:v>
                </c:pt>
                <c:pt idx="224">
                  <c:v>8033.3333333333312</c:v>
                </c:pt>
                <c:pt idx="225">
                  <c:v>8133.3333333333312</c:v>
                </c:pt>
                <c:pt idx="226">
                  <c:v>8133.3333333333312</c:v>
                </c:pt>
                <c:pt idx="227">
                  <c:v>8133.3333333333312</c:v>
                </c:pt>
                <c:pt idx="228">
                  <c:v>8133.3333333333312</c:v>
                </c:pt>
                <c:pt idx="229">
                  <c:v>8133.3333333333312</c:v>
                </c:pt>
                <c:pt idx="230">
                  <c:v>8133.3333333333312</c:v>
                </c:pt>
                <c:pt idx="231">
                  <c:v>8133.3333333333312</c:v>
                </c:pt>
                <c:pt idx="232">
                  <c:v>8133.3333333333312</c:v>
                </c:pt>
                <c:pt idx="233">
                  <c:v>8133.3333333333312</c:v>
                </c:pt>
                <c:pt idx="234">
                  <c:v>8133.3333333333312</c:v>
                </c:pt>
                <c:pt idx="235">
                  <c:v>8100</c:v>
                </c:pt>
                <c:pt idx="236">
                  <c:v>8100</c:v>
                </c:pt>
                <c:pt idx="237">
                  <c:v>8100</c:v>
                </c:pt>
                <c:pt idx="238">
                  <c:v>8000</c:v>
                </c:pt>
                <c:pt idx="239">
                  <c:v>8000</c:v>
                </c:pt>
                <c:pt idx="240">
                  <c:v>8000</c:v>
                </c:pt>
                <c:pt idx="241">
                  <c:v>8000</c:v>
                </c:pt>
                <c:pt idx="242">
                  <c:v>8100</c:v>
                </c:pt>
                <c:pt idx="243">
                  <c:v>8100</c:v>
                </c:pt>
                <c:pt idx="244">
                  <c:v>8100</c:v>
                </c:pt>
                <c:pt idx="245">
                  <c:v>8100</c:v>
                </c:pt>
                <c:pt idx="246">
                  <c:v>8300</c:v>
                </c:pt>
                <c:pt idx="247">
                  <c:v>8300</c:v>
                </c:pt>
                <c:pt idx="248">
                  <c:v>8300</c:v>
                </c:pt>
                <c:pt idx="249">
                  <c:v>8300</c:v>
                </c:pt>
                <c:pt idx="250">
                  <c:v>8300</c:v>
                </c:pt>
                <c:pt idx="251">
                  <c:v>8300</c:v>
                </c:pt>
                <c:pt idx="252">
                  <c:v>8433.3333333333303</c:v>
                </c:pt>
                <c:pt idx="253">
                  <c:v>8433.3333333333303</c:v>
                </c:pt>
                <c:pt idx="254">
                  <c:v>8433.3333333333303</c:v>
                </c:pt>
                <c:pt idx="255">
                  <c:v>8433.3333333333303</c:v>
                </c:pt>
                <c:pt idx="256">
                  <c:v>8433.3333333333303</c:v>
                </c:pt>
                <c:pt idx="257">
                  <c:v>8433.3333333333303</c:v>
                </c:pt>
                <c:pt idx="258">
                  <c:v>8433.3333333333303</c:v>
                </c:pt>
                <c:pt idx="259">
                  <c:v>8433.3333333333303</c:v>
                </c:pt>
                <c:pt idx="260">
                  <c:v>8433.3333333333303</c:v>
                </c:pt>
                <c:pt idx="261">
                  <c:v>8433.3333333333303</c:v>
                </c:pt>
                <c:pt idx="262">
                  <c:v>8433.3333333333303</c:v>
                </c:pt>
                <c:pt idx="263">
                  <c:v>8400</c:v>
                </c:pt>
                <c:pt idx="264">
                  <c:v>8400</c:v>
                </c:pt>
                <c:pt idx="265">
                  <c:v>8400</c:v>
                </c:pt>
                <c:pt idx="266">
                  <c:v>8400</c:v>
                </c:pt>
                <c:pt idx="267">
                  <c:v>8166.6666666666724</c:v>
                </c:pt>
                <c:pt idx="268">
                  <c:v>8166.6666666666724</c:v>
                </c:pt>
                <c:pt idx="269">
                  <c:v>8166.6666666666724</c:v>
                </c:pt>
                <c:pt idx="270">
                  <c:v>8166.6666666666724</c:v>
                </c:pt>
                <c:pt idx="271">
                  <c:v>8166.6666666666724</c:v>
                </c:pt>
                <c:pt idx="272">
                  <c:v>8166.6666666666724</c:v>
                </c:pt>
                <c:pt idx="273">
                  <c:v>8166.6666666666724</c:v>
                </c:pt>
                <c:pt idx="274">
                  <c:v>8266.6666666666624</c:v>
                </c:pt>
                <c:pt idx="275">
                  <c:v>8266.6666666666624</c:v>
                </c:pt>
                <c:pt idx="276">
                  <c:v>8266.6666666666624</c:v>
                </c:pt>
                <c:pt idx="277">
                  <c:v>8266.6666666666624</c:v>
                </c:pt>
                <c:pt idx="278">
                  <c:v>8266.6666666666624</c:v>
                </c:pt>
                <c:pt idx="279">
                  <c:v>8266.6666666666624</c:v>
                </c:pt>
                <c:pt idx="280">
                  <c:v>8266.6666666666624</c:v>
                </c:pt>
                <c:pt idx="281">
                  <c:v>8266.6666666666624</c:v>
                </c:pt>
                <c:pt idx="282">
                  <c:v>8266.6666666666624</c:v>
                </c:pt>
                <c:pt idx="283">
                  <c:v>8266.6666666666624</c:v>
                </c:pt>
                <c:pt idx="284">
                  <c:v>8266.6666666666624</c:v>
                </c:pt>
                <c:pt idx="285">
                  <c:v>8266.6666666666624</c:v>
                </c:pt>
                <c:pt idx="286">
                  <c:v>8333.3333333333303</c:v>
                </c:pt>
                <c:pt idx="287">
                  <c:v>8333.3333333333303</c:v>
                </c:pt>
                <c:pt idx="288">
                  <c:v>8333.3333333333303</c:v>
                </c:pt>
                <c:pt idx="289">
                  <c:v>8333.3333333333303</c:v>
                </c:pt>
                <c:pt idx="290">
                  <c:v>8333.3333333333303</c:v>
                </c:pt>
                <c:pt idx="291">
                  <c:v>8300</c:v>
                </c:pt>
                <c:pt idx="292">
                  <c:v>8300</c:v>
                </c:pt>
                <c:pt idx="293">
                  <c:v>8300</c:v>
                </c:pt>
                <c:pt idx="294">
                  <c:v>8300</c:v>
                </c:pt>
                <c:pt idx="295">
                  <c:v>8300</c:v>
                </c:pt>
                <c:pt idx="296">
                  <c:v>8300</c:v>
                </c:pt>
                <c:pt idx="297">
                  <c:v>8300</c:v>
                </c:pt>
                <c:pt idx="298">
                  <c:v>8300</c:v>
                </c:pt>
                <c:pt idx="299">
                  <c:v>8266.6666666666624</c:v>
                </c:pt>
                <c:pt idx="300">
                  <c:v>8266.6666666666624</c:v>
                </c:pt>
                <c:pt idx="301">
                  <c:v>8266.6666666666624</c:v>
                </c:pt>
                <c:pt idx="302">
                  <c:v>8266.6666666666624</c:v>
                </c:pt>
                <c:pt idx="303">
                  <c:v>8266.6666666666624</c:v>
                </c:pt>
                <c:pt idx="304">
                  <c:v>8266.6666666666624</c:v>
                </c:pt>
                <c:pt idx="305">
                  <c:v>8166.6666666666724</c:v>
                </c:pt>
                <c:pt idx="306">
                  <c:v>8166.6666666666724</c:v>
                </c:pt>
                <c:pt idx="307">
                  <c:v>8166.6666666666724</c:v>
                </c:pt>
                <c:pt idx="308">
                  <c:v>8166.6666666666724</c:v>
                </c:pt>
                <c:pt idx="309">
                  <c:v>8166.6666666666724</c:v>
                </c:pt>
                <c:pt idx="310">
                  <c:v>8166.6666666666724</c:v>
                </c:pt>
                <c:pt idx="311">
                  <c:v>8166.6666666666724</c:v>
                </c:pt>
                <c:pt idx="312">
                  <c:v>8166.6666666666724</c:v>
                </c:pt>
                <c:pt idx="313">
                  <c:v>8066.6666666666724</c:v>
                </c:pt>
                <c:pt idx="314">
                  <c:v>8066.6666666666724</c:v>
                </c:pt>
                <c:pt idx="315">
                  <c:v>8066.6666666666724</c:v>
                </c:pt>
                <c:pt idx="316">
                  <c:v>8066.6666666666724</c:v>
                </c:pt>
                <c:pt idx="317">
                  <c:v>8066.6666666666724</c:v>
                </c:pt>
                <c:pt idx="318">
                  <c:v>8066.6666666666724</c:v>
                </c:pt>
                <c:pt idx="319">
                  <c:v>8066.6666666666724</c:v>
                </c:pt>
                <c:pt idx="320">
                  <c:v>7833.3333333333312</c:v>
                </c:pt>
                <c:pt idx="321">
                  <c:v>7833.3333333333312</c:v>
                </c:pt>
                <c:pt idx="322">
                  <c:v>7833.3333333333312</c:v>
                </c:pt>
                <c:pt idx="323">
                  <c:v>7833.3333333333312</c:v>
                </c:pt>
              </c:numCache>
            </c:numRef>
          </c:val>
          <c:smooth val="0"/>
        </c:ser>
        <c:dLbls>
          <c:showLegendKey val="0"/>
          <c:showVal val="0"/>
          <c:showCatName val="0"/>
          <c:showSerName val="0"/>
          <c:showPercent val="0"/>
          <c:showBubbleSize val="0"/>
        </c:dLbls>
        <c:marker val="1"/>
        <c:smooth val="0"/>
        <c:axId val="257199104"/>
        <c:axId val="257200896"/>
      </c:lineChart>
      <c:dateAx>
        <c:axId val="257199104"/>
        <c:scaling>
          <c:orientation val="minMax"/>
        </c:scaling>
        <c:delete val="0"/>
        <c:axPos val="b"/>
        <c:numFmt formatCode="m/d/yyyy" sourceLinked="1"/>
        <c:majorTickMark val="out"/>
        <c:minorTickMark val="none"/>
        <c:tickLblPos val="nextTo"/>
        <c:txPr>
          <a:bodyPr/>
          <a:lstStyle/>
          <a:p>
            <a:pPr>
              <a:defRPr sz="1000"/>
            </a:pPr>
            <a:endParaRPr lang="zh-TW"/>
          </a:p>
        </c:txPr>
        <c:crossAx val="257200896"/>
        <c:crosses val="autoZero"/>
        <c:auto val="1"/>
        <c:lblOffset val="100"/>
        <c:baseTimeUnit val="days"/>
        <c:majorUnit val="1"/>
        <c:majorTimeUnit val="months"/>
        <c:minorUnit val="1"/>
        <c:minorTimeUnit val="months"/>
      </c:dateAx>
      <c:valAx>
        <c:axId val="257200896"/>
        <c:scaling>
          <c:orientation val="minMax"/>
          <c:min val="4500"/>
        </c:scaling>
        <c:delete val="0"/>
        <c:axPos val="l"/>
        <c:majorGridlines/>
        <c:numFmt formatCode="General;General;;" sourceLinked="1"/>
        <c:majorTickMark val="out"/>
        <c:minorTickMark val="none"/>
        <c:tickLblPos val="nextTo"/>
        <c:txPr>
          <a:bodyPr/>
          <a:lstStyle/>
          <a:p>
            <a:pPr>
              <a:defRPr sz="1000"/>
            </a:pPr>
            <a:endParaRPr lang="zh-TW"/>
          </a:p>
        </c:txPr>
        <c:crossAx val="257199104"/>
        <c:crosses val="autoZero"/>
        <c:crossBetween val="between"/>
      </c:valAx>
    </c:plotArea>
    <c:legend>
      <c:legendPos val="b"/>
      <c:layout>
        <c:manualLayout>
          <c:xMode val="edge"/>
          <c:yMode val="edge"/>
          <c:x val="0.19745685131846294"/>
          <c:y val="0.86418448555328975"/>
          <c:w val="0.59039090578316733"/>
          <c:h val="0.11170793574401768"/>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1601483071787172E-2"/>
          <c:y val="0.1127431521900359"/>
          <c:w val="0.87620316258829301"/>
          <c:h val="0.54993082279994143"/>
        </c:manualLayout>
      </c:layout>
      <c:lineChart>
        <c:grouping val="standard"/>
        <c:varyColors val="0"/>
        <c:ser>
          <c:idx val="0"/>
          <c:order val="0"/>
          <c:tx>
            <c:strRef>
              <c:f>銅、鋁、鎳、鋅、鉛!$O$1</c:f>
              <c:strCache>
                <c:ptCount val="1"/>
                <c:pt idx="0">
                  <c:v>鋁板片 1050系 1mm 大盤價(美元/公噸)</c:v>
                </c:pt>
              </c:strCache>
            </c:strRef>
          </c:tx>
          <c:spPr>
            <a:ln>
              <a:prstDash val="sysDash"/>
            </a:ln>
          </c:spPr>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銅、鋁、鎳、鋅、鉛!$O$216:$O$539</c:f>
              <c:numCache>
                <c:formatCode>General;General;;</c:formatCode>
                <c:ptCount val="324"/>
                <c:pt idx="0">
                  <c:v>4166.6666666666724</c:v>
                </c:pt>
                <c:pt idx="1">
                  <c:v>4166.6666666666724</c:v>
                </c:pt>
                <c:pt idx="2">
                  <c:v>4166.6666666666724</c:v>
                </c:pt>
                <c:pt idx="3">
                  <c:v>4166.6666666666724</c:v>
                </c:pt>
                <c:pt idx="4">
                  <c:v>4166.6666666666724</c:v>
                </c:pt>
                <c:pt idx="5">
                  <c:v>4166.6666666666724</c:v>
                </c:pt>
                <c:pt idx="6">
                  <c:v>4166.6666666666724</c:v>
                </c:pt>
                <c:pt idx="7">
                  <c:v>4166.6666666666724</c:v>
                </c:pt>
                <c:pt idx="8">
                  <c:v>4166.6666666666724</c:v>
                </c:pt>
                <c:pt idx="9">
                  <c:v>4166.6666666666724</c:v>
                </c:pt>
                <c:pt idx="10">
                  <c:v>4166.6666666666724</c:v>
                </c:pt>
                <c:pt idx="11">
                  <c:v>4166.6666666666724</c:v>
                </c:pt>
                <c:pt idx="12">
                  <c:v>4166.6666666666724</c:v>
                </c:pt>
                <c:pt idx="13">
                  <c:v>4166.6666666666724</c:v>
                </c:pt>
                <c:pt idx="14">
                  <c:v>4166.6666666666724</c:v>
                </c:pt>
                <c:pt idx="15">
                  <c:v>4166.6666666666724</c:v>
                </c:pt>
                <c:pt idx="16">
                  <c:v>4166.6666666666724</c:v>
                </c:pt>
                <c:pt idx="17">
                  <c:v>4166.6666666666724</c:v>
                </c:pt>
                <c:pt idx="18">
                  <c:v>4166.6666666666724</c:v>
                </c:pt>
                <c:pt idx="19">
                  <c:v>4166.6666666666724</c:v>
                </c:pt>
                <c:pt idx="20">
                  <c:v>4166.6666666666724</c:v>
                </c:pt>
                <c:pt idx="21">
                  <c:v>4166.6666666666724</c:v>
                </c:pt>
                <c:pt idx="22">
                  <c:v>4166.6666666666724</c:v>
                </c:pt>
                <c:pt idx="23">
                  <c:v>4166.6666666666724</c:v>
                </c:pt>
                <c:pt idx="24">
                  <c:v>4166.6666666666724</c:v>
                </c:pt>
                <c:pt idx="25">
                  <c:v>4166.6666666666724</c:v>
                </c:pt>
                <c:pt idx="26">
                  <c:v>4166.6666666666724</c:v>
                </c:pt>
                <c:pt idx="27">
                  <c:v>4166.6666666666724</c:v>
                </c:pt>
                <c:pt idx="28">
                  <c:v>4166.6666666666724</c:v>
                </c:pt>
                <c:pt idx="29">
                  <c:v>4166.6666666666724</c:v>
                </c:pt>
                <c:pt idx="30">
                  <c:v>4166.6666666666724</c:v>
                </c:pt>
                <c:pt idx="31">
                  <c:v>4100</c:v>
                </c:pt>
                <c:pt idx="32">
                  <c:v>4100</c:v>
                </c:pt>
                <c:pt idx="33">
                  <c:v>4100</c:v>
                </c:pt>
                <c:pt idx="34">
                  <c:v>4100</c:v>
                </c:pt>
                <c:pt idx="35">
                  <c:v>4100</c:v>
                </c:pt>
                <c:pt idx="36">
                  <c:v>4100</c:v>
                </c:pt>
                <c:pt idx="37">
                  <c:v>4100</c:v>
                </c:pt>
                <c:pt idx="38">
                  <c:v>4100</c:v>
                </c:pt>
                <c:pt idx="39">
                  <c:v>4100</c:v>
                </c:pt>
                <c:pt idx="40">
                  <c:v>4100</c:v>
                </c:pt>
                <c:pt idx="41">
                  <c:v>4100</c:v>
                </c:pt>
                <c:pt idx="42">
                  <c:v>4100</c:v>
                </c:pt>
                <c:pt idx="43">
                  <c:v>4100</c:v>
                </c:pt>
                <c:pt idx="44">
                  <c:v>4100</c:v>
                </c:pt>
                <c:pt idx="45">
                  <c:v>4100</c:v>
                </c:pt>
                <c:pt idx="46">
                  <c:v>4100</c:v>
                </c:pt>
                <c:pt idx="47">
                  <c:v>4100</c:v>
                </c:pt>
                <c:pt idx="48">
                  <c:v>4100</c:v>
                </c:pt>
                <c:pt idx="49">
                  <c:v>4100</c:v>
                </c:pt>
                <c:pt idx="50">
                  <c:v>4100</c:v>
                </c:pt>
                <c:pt idx="51">
                  <c:v>4100</c:v>
                </c:pt>
                <c:pt idx="52">
                  <c:v>4100</c:v>
                </c:pt>
                <c:pt idx="53">
                  <c:v>4100</c:v>
                </c:pt>
                <c:pt idx="54">
                  <c:v>4100</c:v>
                </c:pt>
                <c:pt idx="55">
                  <c:v>4100</c:v>
                </c:pt>
                <c:pt idx="56">
                  <c:v>4100</c:v>
                </c:pt>
                <c:pt idx="57">
                  <c:v>4100</c:v>
                </c:pt>
                <c:pt idx="58">
                  <c:v>4100</c:v>
                </c:pt>
                <c:pt idx="59">
                  <c:v>4066.6666666666647</c:v>
                </c:pt>
                <c:pt idx="60">
                  <c:v>4066.6666666666647</c:v>
                </c:pt>
                <c:pt idx="61">
                  <c:v>4066.6666666666647</c:v>
                </c:pt>
                <c:pt idx="62">
                  <c:v>4066.6666666666647</c:v>
                </c:pt>
                <c:pt idx="63">
                  <c:v>4066.6666666666647</c:v>
                </c:pt>
                <c:pt idx="64">
                  <c:v>4066.6666666666647</c:v>
                </c:pt>
                <c:pt idx="65">
                  <c:v>4066.6666666666647</c:v>
                </c:pt>
                <c:pt idx="66">
                  <c:v>4066.6666666666647</c:v>
                </c:pt>
                <c:pt idx="67">
                  <c:v>4066.6666666666647</c:v>
                </c:pt>
                <c:pt idx="68">
                  <c:v>4066.6666666666647</c:v>
                </c:pt>
                <c:pt idx="69">
                  <c:v>4066.6666666666647</c:v>
                </c:pt>
                <c:pt idx="70">
                  <c:v>4066.6666666666647</c:v>
                </c:pt>
                <c:pt idx="71">
                  <c:v>4066.6666666666647</c:v>
                </c:pt>
                <c:pt idx="72">
                  <c:v>4066.6666666666647</c:v>
                </c:pt>
                <c:pt idx="73">
                  <c:v>4066.6666666666647</c:v>
                </c:pt>
                <c:pt idx="74">
                  <c:v>4066.6666666666647</c:v>
                </c:pt>
                <c:pt idx="75">
                  <c:v>4066.6666666666647</c:v>
                </c:pt>
                <c:pt idx="76">
                  <c:v>4066.6666666666647</c:v>
                </c:pt>
                <c:pt idx="77">
                  <c:v>4066.6666666666647</c:v>
                </c:pt>
                <c:pt idx="78">
                  <c:v>4066.6666666666647</c:v>
                </c:pt>
                <c:pt idx="79">
                  <c:v>4066.6666666666647</c:v>
                </c:pt>
                <c:pt idx="80">
                  <c:v>4066.6666666666647</c:v>
                </c:pt>
                <c:pt idx="81">
                  <c:v>4066.6666666666647</c:v>
                </c:pt>
                <c:pt idx="82">
                  <c:v>4066.6666666666647</c:v>
                </c:pt>
                <c:pt idx="83">
                  <c:v>4066.6666666666647</c:v>
                </c:pt>
                <c:pt idx="84">
                  <c:v>4066.6666666666647</c:v>
                </c:pt>
                <c:pt idx="85">
                  <c:v>4066.6666666666647</c:v>
                </c:pt>
                <c:pt idx="86">
                  <c:v>4066.6666666666647</c:v>
                </c:pt>
                <c:pt idx="87">
                  <c:v>4066.6666666666647</c:v>
                </c:pt>
                <c:pt idx="88">
                  <c:v>4066.6666666666647</c:v>
                </c:pt>
                <c:pt idx="89">
                  <c:v>4066.6666666666647</c:v>
                </c:pt>
                <c:pt idx="90">
                  <c:v>4000</c:v>
                </c:pt>
                <c:pt idx="91">
                  <c:v>4000</c:v>
                </c:pt>
                <c:pt idx="92">
                  <c:v>4000</c:v>
                </c:pt>
                <c:pt idx="93">
                  <c:v>4000</c:v>
                </c:pt>
                <c:pt idx="94">
                  <c:v>4000</c:v>
                </c:pt>
                <c:pt idx="95">
                  <c:v>4000</c:v>
                </c:pt>
                <c:pt idx="96">
                  <c:v>4000</c:v>
                </c:pt>
                <c:pt idx="97">
                  <c:v>4000</c:v>
                </c:pt>
                <c:pt idx="98">
                  <c:v>4000</c:v>
                </c:pt>
                <c:pt idx="99">
                  <c:v>4000</c:v>
                </c:pt>
                <c:pt idx="100">
                  <c:v>4000</c:v>
                </c:pt>
                <c:pt idx="101">
                  <c:v>4000</c:v>
                </c:pt>
                <c:pt idx="102">
                  <c:v>4000</c:v>
                </c:pt>
                <c:pt idx="103">
                  <c:v>4000</c:v>
                </c:pt>
                <c:pt idx="104">
                  <c:v>4000</c:v>
                </c:pt>
                <c:pt idx="105">
                  <c:v>4000</c:v>
                </c:pt>
                <c:pt idx="106">
                  <c:v>4000</c:v>
                </c:pt>
                <c:pt idx="107">
                  <c:v>4000</c:v>
                </c:pt>
                <c:pt idx="108">
                  <c:v>4000</c:v>
                </c:pt>
                <c:pt idx="109">
                  <c:v>4000</c:v>
                </c:pt>
                <c:pt idx="110">
                  <c:v>4000</c:v>
                </c:pt>
                <c:pt idx="111">
                  <c:v>4000</c:v>
                </c:pt>
                <c:pt idx="112">
                  <c:v>4000</c:v>
                </c:pt>
                <c:pt idx="113">
                  <c:v>4000</c:v>
                </c:pt>
                <c:pt idx="114">
                  <c:v>4000</c:v>
                </c:pt>
                <c:pt idx="115">
                  <c:v>4000</c:v>
                </c:pt>
                <c:pt idx="116">
                  <c:v>4000</c:v>
                </c:pt>
                <c:pt idx="117">
                  <c:v>4000</c:v>
                </c:pt>
                <c:pt idx="118">
                  <c:v>4000</c:v>
                </c:pt>
                <c:pt idx="119">
                  <c:v>4000</c:v>
                </c:pt>
                <c:pt idx="120">
                  <c:v>4033.3333333333362</c:v>
                </c:pt>
                <c:pt idx="121">
                  <c:v>4033.3333333333362</c:v>
                </c:pt>
                <c:pt idx="122">
                  <c:v>4033.3333333333362</c:v>
                </c:pt>
                <c:pt idx="123">
                  <c:v>4033.3333333333362</c:v>
                </c:pt>
                <c:pt idx="124">
                  <c:v>4033.3333333333362</c:v>
                </c:pt>
                <c:pt idx="125">
                  <c:v>4033.3333333333362</c:v>
                </c:pt>
                <c:pt idx="126">
                  <c:v>4033.3333333333362</c:v>
                </c:pt>
                <c:pt idx="127">
                  <c:v>4033.3333333333362</c:v>
                </c:pt>
                <c:pt idx="128">
                  <c:v>4033.3333333333362</c:v>
                </c:pt>
                <c:pt idx="129">
                  <c:v>4033.3333333333362</c:v>
                </c:pt>
                <c:pt idx="130">
                  <c:v>4033.3333333333362</c:v>
                </c:pt>
                <c:pt idx="131">
                  <c:v>4033.3333333333362</c:v>
                </c:pt>
                <c:pt idx="132">
                  <c:v>4033.3333333333362</c:v>
                </c:pt>
                <c:pt idx="133">
                  <c:v>4033.3333333333362</c:v>
                </c:pt>
                <c:pt idx="134">
                  <c:v>4033.3333333333362</c:v>
                </c:pt>
                <c:pt idx="135">
                  <c:v>4033.3333333333362</c:v>
                </c:pt>
                <c:pt idx="136">
                  <c:v>4033.3333333333362</c:v>
                </c:pt>
                <c:pt idx="137">
                  <c:v>4033.3333333333362</c:v>
                </c:pt>
                <c:pt idx="138">
                  <c:v>4033.3333333333362</c:v>
                </c:pt>
                <c:pt idx="139">
                  <c:v>4033.3333333333362</c:v>
                </c:pt>
                <c:pt idx="140">
                  <c:v>4033.3333333333362</c:v>
                </c:pt>
                <c:pt idx="141">
                  <c:v>4033.3333333333362</c:v>
                </c:pt>
                <c:pt idx="142">
                  <c:v>4033.3333333333362</c:v>
                </c:pt>
                <c:pt idx="143">
                  <c:v>4033.3333333333362</c:v>
                </c:pt>
                <c:pt idx="144">
                  <c:v>4033.3333333333362</c:v>
                </c:pt>
                <c:pt idx="145">
                  <c:v>4033.3333333333362</c:v>
                </c:pt>
                <c:pt idx="146">
                  <c:v>4033.3333333333362</c:v>
                </c:pt>
                <c:pt idx="147">
                  <c:v>4033.3333333333362</c:v>
                </c:pt>
                <c:pt idx="148">
                  <c:v>4033.3333333333362</c:v>
                </c:pt>
                <c:pt idx="149">
                  <c:v>4033.3333333333362</c:v>
                </c:pt>
                <c:pt idx="150">
                  <c:v>4033.3333333333362</c:v>
                </c:pt>
                <c:pt idx="151">
                  <c:v>3933.3333333333362</c:v>
                </c:pt>
                <c:pt idx="152">
                  <c:v>3933.3333333333362</c:v>
                </c:pt>
                <c:pt idx="153">
                  <c:v>3933.3333333333362</c:v>
                </c:pt>
                <c:pt idx="154">
                  <c:v>3933.3333333333362</c:v>
                </c:pt>
                <c:pt idx="155">
                  <c:v>3933.3333333333362</c:v>
                </c:pt>
                <c:pt idx="156">
                  <c:v>3933.3333333333362</c:v>
                </c:pt>
                <c:pt idx="157">
                  <c:v>3933.3333333333362</c:v>
                </c:pt>
                <c:pt idx="158">
                  <c:v>3933.3333333333362</c:v>
                </c:pt>
                <c:pt idx="159">
                  <c:v>3933.3333333333362</c:v>
                </c:pt>
                <c:pt idx="160">
                  <c:v>3933.3333333333362</c:v>
                </c:pt>
                <c:pt idx="161">
                  <c:v>3933.3333333333362</c:v>
                </c:pt>
                <c:pt idx="162">
                  <c:v>3933.3333333333362</c:v>
                </c:pt>
                <c:pt idx="163">
                  <c:v>3933.3333333333362</c:v>
                </c:pt>
                <c:pt idx="164">
                  <c:v>3933.3333333333362</c:v>
                </c:pt>
                <c:pt idx="165">
                  <c:v>3933.3333333333362</c:v>
                </c:pt>
                <c:pt idx="166">
                  <c:v>3933.3333333333362</c:v>
                </c:pt>
                <c:pt idx="167">
                  <c:v>3933.3333333333362</c:v>
                </c:pt>
                <c:pt idx="168">
                  <c:v>3933.3333333333362</c:v>
                </c:pt>
                <c:pt idx="169">
                  <c:v>3933.3333333333362</c:v>
                </c:pt>
                <c:pt idx="170">
                  <c:v>3933.3333333333362</c:v>
                </c:pt>
                <c:pt idx="171">
                  <c:v>3933.3333333333362</c:v>
                </c:pt>
                <c:pt idx="172">
                  <c:v>3933.3333333333362</c:v>
                </c:pt>
                <c:pt idx="173">
                  <c:v>3933.3333333333362</c:v>
                </c:pt>
                <c:pt idx="174">
                  <c:v>3933.3333333333362</c:v>
                </c:pt>
                <c:pt idx="175">
                  <c:v>3933.3333333333362</c:v>
                </c:pt>
                <c:pt idx="176">
                  <c:v>3933.3333333333362</c:v>
                </c:pt>
                <c:pt idx="177">
                  <c:v>3933.3333333333362</c:v>
                </c:pt>
                <c:pt idx="178">
                  <c:v>3933.3333333333362</c:v>
                </c:pt>
                <c:pt idx="179">
                  <c:v>3933.3333333333362</c:v>
                </c:pt>
                <c:pt idx="180">
                  <c:v>3933.3333333333362</c:v>
                </c:pt>
                <c:pt idx="181">
                  <c:v>3866.6666666666647</c:v>
                </c:pt>
                <c:pt idx="182">
                  <c:v>3866.6666666666647</c:v>
                </c:pt>
                <c:pt idx="183">
                  <c:v>3866.6666666666647</c:v>
                </c:pt>
                <c:pt idx="184">
                  <c:v>3866.6666666666647</c:v>
                </c:pt>
                <c:pt idx="185">
                  <c:v>3866.6666666666647</c:v>
                </c:pt>
                <c:pt idx="186">
                  <c:v>3866.6666666666647</c:v>
                </c:pt>
                <c:pt idx="187">
                  <c:v>3866.6666666666647</c:v>
                </c:pt>
                <c:pt idx="188">
                  <c:v>3866.6666666666647</c:v>
                </c:pt>
                <c:pt idx="189">
                  <c:v>3866.6666666666647</c:v>
                </c:pt>
                <c:pt idx="190">
                  <c:v>3866.6666666666647</c:v>
                </c:pt>
                <c:pt idx="191">
                  <c:v>3866.6666666666647</c:v>
                </c:pt>
                <c:pt idx="192">
                  <c:v>3866.6666666666647</c:v>
                </c:pt>
                <c:pt idx="193">
                  <c:v>3866.6666666666647</c:v>
                </c:pt>
                <c:pt idx="194">
                  <c:v>3866.6666666666647</c:v>
                </c:pt>
                <c:pt idx="195">
                  <c:v>3866.6666666666647</c:v>
                </c:pt>
                <c:pt idx="196">
                  <c:v>3866.6666666666647</c:v>
                </c:pt>
                <c:pt idx="197">
                  <c:v>3866.6666666666647</c:v>
                </c:pt>
                <c:pt idx="198">
                  <c:v>3866.6666666666647</c:v>
                </c:pt>
                <c:pt idx="199">
                  <c:v>3866.6666666666647</c:v>
                </c:pt>
                <c:pt idx="200">
                  <c:v>3866.6666666666647</c:v>
                </c:pt>
                <c:pt idx="201">
                  <c:v>3866.6666666666647</c:v>
                </c:pt>
                <c:pt idx="202">
                  <c:v>3866.6666666666647</c:v>
                </c:pt>
                <c:pt idx="203">
                  <c:v>3866.6666666666647</c:v>
                </c:pt>
                <c:pt idx="204">
                  <c:v>3866.6666666666647</c:v>
                </c:pt>
                <c:pt idx="205">
                  <c:v>3866.6666666666647</c:v>
                </c:pt>
                <c:pt idx="206">
                  <c:v>3866.6666666666647</c:v>
                </c:pt>
                <c:pt idx="207">
                  <c:v>3866.6666666666647</c:v>
                </c:pt>
                <c:pt idx="208">
                  <c:v>3866.6666666666647</c:v>
                </c:pt>
                <c:pt idx="209">
                  <c:v>3866.6666666666647</c:v>
                </c:pt>
                <c:pt idx="210">
                  <c:v>3866.6666666666647</c:v>
                </c:pt>
                <c:pt idx="211">
                  <c:v>3866.6666666666647</c:v>
                </c:pt>
                <c:pt idx="212">
                  <c:v>3833.3333333333362</c:v>
                </c:pt>
                <c:pt idx="213">
                  <c:v>3833.3333333333362</c:v>
                </c:pt>
                <c:pt idx="214">
                  <c:v>3833.3333333333362</c:v>
                </c:pt>
                <c:pt idx="215">
                  <c:v>3833.3333333333362</c:v>
                </c:pt>
                <c:pt idx="216">
                  <c:v>3833.3333333333362</c:v>
                </c:pt>
                <c:pt idx="217">
                  <c:v>3833.3333333333362</c:v>
                </c:pt>
                <c:pt idx="218">
                  <c:v>3833.3333333333362</c:v>
                </c:pt>
                <c:pt idx="219">
                  <c:v>3833.3333333333362</c:v>
                </c:pt>
                <c:pt idx="220">
                  <c:v>3833.3333333333362</c:v>
                </c:pt>
                <c:pt idx="221">
                  <c:v>3833.3333333333362</c:v>
                </c:pt>
                <c:pt idx="222">
                  <c:v>3833.3333333333362</c:v>
                </c:pt>
                <c:pt idx="223">
                  <c:v>3833.3333333333362</c:v>
                </c:pt>
                <c:pt idx="224">
                  <c:v>3833.3333333333362</c:v>
                </c:pt>
                <c:pt idx="225">
                  <c:v>3833.3333333333362</c:v>
                </c:pt>
                <c:pt idx="226">
                  <c:v>3833.3333333333362</c:v>
                </c:pt>
                <c:pt idx="227">
                  <c:v>3833.3333333333362</c:v>
                </c:pt>
                <c:pt idx="228">
                  <c:v>3833.3333333333362</c:v>
                </c:pt>
                <c:pt idx="229">
                  <c:v>3833.3333333333362</c:v>
                </c:pt>
                <c:pt idx="230">
                  <c:v>3833.3333333333362</c:v>
                </c:pt>
                <c:pt idx="231">
                  <c:v>3833.3333333333362</c:v>
                </c:pt>
                <c:pt idx="232">
                  <c:v>3833.3333333333362</c:v>
                </c:pt>
                <c:pt idx="233">
                  <c:v>3833.3333333333362</c:v>
                </c:pt>
                <c:pt idx="234">
                  <c:v>3833.3333333333362</c:v>
                </c:pt>
                <c:pt idx="235">
                  <c:v>3833.3333333333362</c:v>
                </c:pt>
                <c:pt idx="236">
                  <c:v>3833.3333333333362</c:v>
                </c:pt>
                <c:pt idx="237">
                  <c:v>3833.3333333333362</c:v>
                </c:pt>
                <c:pt idx="238">
                  <c:v>3833.3333333333362</c:v>
                </c:pt>
                <c:pt idx="239">
                  <c:v>3833.3333333333362</c:v>
                </c:pt>
                <c:pt idx="240">
                  <c:v>3833.3333333333362</c:v>
                </c:pt>
                <c:pt idx="241">
                  <c:v>3833.3333333333362</c:v>
                </c:pt>
                <c:pt idx="242">
                  <c:v>3833.3333333333362</c:v>
                </c:pt>
                <c:pt idx="243">
                  <c:v>3800</c:v>
                </c:pt>
                <c:pt idx="244">
                  <c:v>3800</c:v>
                </c:pt>
                <c:pt idx="245">
                  <c:v>3800</c:v>
                </c:pt>
                <c:pt idx="246">
                  <c:v>3800</c:v>
                </c:pt>
                <c:pt idx="247">
                  <c:v>3800</c:v>
                </c:pt>
                <c:pt idx="248">
                  <c:v>3800</c:v>
                </c:pt>
                <c:pt idx="249">
                  <c:v>3800</c:v>
                </c:pt>
                <c:pt idx="250">
                  <c:v>3800</c:v>
                </c:pt>
                <c:pt idx="251">
                  <c:v>3800</c:v>
                </c:pt>
                <c:pt idx="252">
                  <c:v>3800</c:v>
                </c:pt>
                <c:pt idx="253">
                  <c:v>3800</c:v>
                </c:pt>
                <c:pt idx="254">
                  <c:v>3800</c:v>
                </c:pt>
                <c:pt idx="255">
                  <c:v>3800</c:v>
                </c:pt>
                <c:pt idx="256">
                  <c:v>3800</c:v>
                </c:pt>
                <c:pt idx="257">
                  <c:v>3800</c:v>
                </c:pt>
                <c:pt idx="258">
                  <c:v>3800</c:v>
                </c:pt>
                <c:pt idx="259">
                  <c:v>3800</c:v>
                </c:pt>
                <c:pt idx="260">
                  <c:v>3800</c:v>
                </c:pt>
                <c:pt idx="261">
                  <c:v>3800</c:v>
                </c:pt>
                <c:pt idx="262">
                  <c:v>3800</c:v>
                </c:pt>
                <c:pt idx="263">
                  <c:v>3800</c:v>
                </c:pt>
                <c:pt idx="264">
                  <c:v>3800</c:v>
                </c:pt>
                <c:pt idx="265">
                  <c:v>3800</c:v>
                </c:pt>
                <c:pt idx="266">
                  <c:v>3800</c:v>
                </c:pt>
                <c:pt idx="267">
                  <c:v>3800</c:v>
                </c:pt>
                <c:pt idx="268">
                  <c:v>3800</c:v>
                </c:pt>
                <c:pt idx="269">
                  <c:v>3800</c:v>
                </c:pt>
                <c:pt idx="270">
                  <c:v>3800</c:v>
                </c:pt>
                <c:pt idx="271">
                  <c:v>3800</c:v>
                </c:pt>
                <c:pt idx="272">
                  <c:v>3800</c:v>
                </c:pt>
                <c:pt idx="273">
                  <c:v>3800</c:v>
                </c:pt>
                <c:pt idx="274">
                  <c:v>3800</c:v>
                </c:pt>
                <c:pt idx="275">
                  <c:v>3800</c:v>
                </c:pt>
                <c:pt idx="276">
                  <c:v>3800</c:v>
                </c:pt>
                <c:pt idx="277">
                  <c:v>3800</c:v>
                </c:pt>
                <c:pt idx="278">
                  <c:v>3800</c:v>
                </c:pt>
                <c:pt idx="279">
                  <c:v>3800</c:v>
                </c:pt>
                <c:pt idx="280">
                  <c:v>3800</c:v>
                </c:pt>
                <c:pt idx="281">
                  <c:v>3800</c:v>
                </c:pt>
                <c:pt idx="282">
                  <c:v>3800</c:v>
                </c:pt>
                <c:pt idx="283">
                  <c:v>3800</c:v>
                </c:pt>
                <c:pt idx="284">
                  <c:v>3800</c:v>
                </c:pt>
                <c:pt idx="285">
                  <c:v>3800</c:v>
                </c:pt>
                <c:pt idx="286">
                  <c:v>3800</c:v>
                </c:pt>
                <c:pt idx="287">
                  <c:v>3800</c:v>
                </c:pt>
                <c:pt idx="288">
                  <c:v>3800</c:v>
                </c:pt>
                <c:pt idx="289">
                  <c:v>3800</c:v>
                </c:pt>
                <c:pt idx="290">
                  <c:v>3800</c:v>
                </c:pt>
                <c:pt idx="291">
                  <c:v>3800</c:v>
                </c:pt>
                <c:pt idx="292">
                  <c:v>3800</c:v>
                </c:pt>
                <c:pt idx="293">
                  <c:v>3800</c:v>
                </c:pt>
                <c:pt idx="294">
                  <c:v>3800</c:v>
                </c:pt>
                <c:pt idx="295">
                  <c:v>3800</c:v>
                </c:pt>
                <c:pt idx="296">
                  <c:v>3800</c:v>
                </c:pt>
                <c:pt idx="297">
                  <c:v>3800</c:v>
                </c:pt>
                <c:pt idx="298">
                  <c:v>3800</c:v>
                </c:pt>
                <c:pt idx="299">
                  <c:v>3800</c:v>
                </c:pt>
                <c:pt idx="300">
                  <c:v>3800</c:v>
                </c:pt>
                <c:pt idx="301">
                  <c:v>3800</c:v>
                </c:pt>
                <c:pt idx="302">
                  <c:v>3800</c:v>
                </c:pt>
                <c:pt idx="303">
                  <c:v>3800</c:v>
                </c:pt>
                <c:pt idx="304">
                  <c:v>3800</c:v>
                </c:pt>
                <c:pt idx="305">
                  <c:v>3800</c:v>
                </c:pt>
                <c:pt idx="306">
                  <c:v>3800</c:v>
                </c:pt>
                <c:pt idx="307">
                  <c:v>3800</c:v>
                </c:pt>
                <c:pt idx="308">
                  <c:v>3800</c:v>
                </c:pt>
                <c:pt idx="309">
                  <c:v>3800</c:v>
                </c:pt>
                <c:pt idx="310">
                  <c:v>3800</c:v>
                </c:pt>
                <c:pt idx="311">
                  <c:v>3800</c:v>
                </c:pt>
                <c:pt idx="312">
                  <c:v>3800</c:v>
                </c:pt>
                <c:pt idx="313">
                  <c:v>3800</c:v>
                </c:pt>
                <c:pt idx="314">
                  <c:v>3800</c:v>
                </c:pt>
                <c:pt idx="315">
                  <c:v>3800</c:v>
                </c:pt>
                <c:pt idx="316">
                  <c:v>3800</c:v>
                </c:pt>
                <c:pt idx="317">
                  <c:v>3800</c:v>
                </c:pt>
                <c:pt idx="318">
                  <c:v>3800</c:v>
                </c:pt>
                <c:pt idx="319">
                  <c:v>3800</c:v>
                </c:pt>
                <c:pt idx="320">
                  <c:v>3800</c:v>
                </c:pt>
                <c:pt idx="321">
                  <c:v>3800</c:v>
                </c:pt>
                <c:pt idx="322">
                  <c:v>3800</c:v>
                </c:pt>
                <c:pt idx="323">
                  <c:v>3800</c:v>
                </c:pt>
              </c:numCache>
            </c:numRef>
          </c:val>
          <c:smooth val="0"/>
        </c:ser>
        <c:dLbls>
          <c:showLegendKey val="0"/>
          <c:showVal val="0"/>
          <c:showCatName val="0"/>
          <c:showSerName val="0"/>
          <c:showPercent val="0"/>
          <c:showBubbleSize val="0"/>
        </c:dLbls>
        <c:marker val="1"/>
        <c:smooth val="0"/>
        <c:axId val="257898752"/>
        <c:axId val="257900544"/>
      </c:lineChart>
      <c:lineChart>
        <c:grouping val="standard"/>
        <c:varyColors val="0"/>
        <c:ser>
          <c:idx val="1"/>
          <c:order val="1"/>
          <c:tx>
            <c:strRef>
              <c:f>銅、鋁、鎳、鋅、鉛!$P$1</c:f>
              <c:strCache>
                <c:ptCount val="1"/>
                <c:pt idx="0">
                  <c:v>鋁 倫敦LME 現貨 收盤價(美元/公噸)</c:v>
                </c:pt>
              </c:strCache>
            </c:strRef>
          </c:tx>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銅、鋁、鎳、鋅、鉛!$P$216:$P$539</c:f>
              <c:numCache>
                <c:formatCode>General</c:formatCode>
                <c:ptCount val="324"/>
                <c:pt idx="0">
                  <c:v>1825</c:v>
                </c:pt>
                <c:pt idx="1">
                  <c:v>1805.25</c:v>
                </c:pt>
                <c:pt idx="2">
                  <c:v>1805.25</c:v>
                </c:pt>
                <c:pt idx="3">
                  <c:v>1805.25</c:v>
                </c:pt>
                <c:pt idx="4">
                  <c:v>1787.25</c:v>
                </c:pt>
                <c:pt idx="5">
                  <c:v>1755.25</c:v>
                </c:pt>
                <c:pt idx="6">
                  <c:v>1761.75</c:v>
                </c:pt>
                <c:pt idx="7">
                  <c:v>1811.5</c:v>
                </c:pt>
                <c:pt idx="8">
                  <c:v>1789.75</c:v>
                </c:pt>
                <c:pt idx="9">
                  <c:v>1789.75</c:v>
                </c:pt>
                <c:pt idx="10">
                  <c:v>1789.75</c:v>
                </c:pt>
                <c:pt idx="11">
                  <c:v>1791</c:v>
                </c:pt>
                <c:pt idx="12">
                  <c:v>1779.25</c:v>
                </c:pt>
                <c:pt idx="13">
                  <c:v>1765.5</c:v>
                </c:pt>
                <c:pt idx="14">
                  <c:v>1781.6</c:v>
                </c:pt>
                <c:pt idx="15">
                  <c:v>1840.25</c:v>
                </c:pt>
                <c:pt idx="16">
                  <c:v>1840.25</c:v>
                </c:pt>
                <c:pt idx="17">
                  <c:v>1840.25</c:v>
                </c:pt>
                <c:pt idx="18">
                  <c:v>1815.75</c:v>
                </c:pt>
                <c:pt idx="19">
                  <c:v>1842.25</c:v>
                </c:pt>
                <c:pt idx="20">
                  <c:v>1870.75</c:v>
                </c:pt>
                <c:pt idx="21">
                  <c:v>1863</c:v>
                </c:pt>
                <c:pt idx="22">
                  <c:v>1823</c:v>
                </c:pt>
                <c:pt idx="23">
                  <c:v>1823</c:v>
                </c:pt>
                <c:pt idx="24">
                  <c:v>1823</c:v>
                </c:pt>
                <c:pt idx="25">
                  <c:v>1876.75</c:v>
                </c:pt>
                <c:pt idx="26">
                  <c:v>1848</c:v>
                </c:pt>
                <c:pt idx="27">
                  <c:v>1839.5</c:v>
                </c:pt>
                <c:pt idx="28">
                  <c:v>1808</c:v>
                </c:pt>
                <c:pt idx="29">
                  <c:v>1853.75</c:v>
                </c:pt>
                <c:pt idx="30">
                  <c:v>1853.75</c:v>
                </c:pt>
                <c:pt idx="31">
                  <c:v>1853.75</c:v>
                </c:pt>
                <c:pt idx="32">
                  <c:v>1855.75</c:v>
                </c:pt>
                <c:pt idx="33">
                  <c:v>1874</c:v>
                </c:pt>
                <c:pt idx="34">
                  <c:v>1862</c:v>
                </c:pt>
                <c:pt idx="35">
                  <c:v>1871</c:v>
                </c:pt>
                <c:pt idx="36">
                  <c:v>1856.25</c:v>
                </c:pt>
                <c:pt idx="37">
                  <c:v>1856.25</c:v>
                </c:pt>
                <c:pt idx="38">
                  <c:v>1856.25</c:v>
                </c:pt>
                <c:pt idx="39">
                  <c:v>1859</c:v>
                </c:pt>
                <c:pt idx="40">
                  <c:v>1815.75</c:v>
                </c:pt>
                <c:pt idx="41">
                  <c:v>1802.5</c:v>
                </c:pt>
                <c:pt idx="42">
                  <c:v>1826.4</c:v>
                </c:pt>
                <c:pt idx="43">
                  <c:v>1822.5</c:v>
                </c:pt>
                <c:pt idx="44">
                  <c:v>1822.5</c:v>
                </c:pt>
                <c:pt idx="45">
                  <c:v>1822.5</c:v>
                </c:pt>
                <c:pt idx="46">
                  <c:v>1804.5</c:v>
                </c:pt>
                <c:pt idx="47">
                  <c:v>1798.5</c:v>
                </c:pt>
                <c:pt idx="48">
                  <c:v>1799</c:v>
                </c:pt>
                <c:pt idx="49">
                  <c:v>1799.25</c:v>
                </c:pt>
                <c:pt idx="50">
                  <c:v>1774.5</c:v>
                </c:pt>
                <c:pt idx="51">
                  <c:v>1774.5</c:v>
                </c:pt>
                <c:pt idx="52">
                  <c:v>1774.5</c:v>
                </c:pt>
                <c:pt idx="53">
                  <c:v>1771.75</c:v>
                </c:pt>
                <c:pt idx="54">
                  <c:v>1792</c:v>
                </c:pt>
                <c:pt idx="55">
                  <c:v>1778.75</c:v>
                </c:pt>
                <c:pt idx="56">
                  <c:v>1791.25</c:v>
                </c:pt>
                <c:pt idx="57">
                  <c:v>1801.75</c:v>
                </c:pt>
                <c:pt idx="58">
                  <c:v>1801.75</c:v>
                </c:pt>
                <c:pt idx="59">
                  <c:v>1801.75</c:v>
                </c:pt>
                <c:pt idx="60">
                  <c:v>1789</c:v>
                </c:pt>
                <c:pt idx="61">
                  <c:v>1781.25</c:v>
                </c:pt>
                <c:pt idx="62">
                  <c:v>1786.25</c:v>
                </c:pt>
                <c:pt idx="63">
                  <c:v>1786.25</c:v>
                </c:pt>
                <c:pt idx="64">
                  <c:v>1769.25</c:v>
                </c:pt>
                <c:pt idx="65">
                  <c:v>1769.25</c:v>
                </c:pt>
                <c:pt idx="66">
                  <c:v>1769.25</c:v>
                </c:pt>
                <c:pt idx="67">
                  <c:v>1765.75</c:v>
                </c:pt>
                <c:pt idx="68">
                  <c:v>1746</c:v>
                </c:pt>
                <c:pt idx="69">
                  <c:v>1733.25</c:v>
                </c:pt>
                <c:pt idx="70">
                  <c:v>1738</c:v>
                </c:pt>
                <c:pt idx="71">
                  <c:v>1769.25</c:v>
                </c:pt>
                <c:pt idx="72">
                  <c:v>1769.25</c:v>
                </c:pt>
                <c:pt idx="73">
                  <c:v>1769.25</c:v>
                </c:pt>
                <c:pt idx="74">
                  <c:v>1772.5</c:v>
                </c:pt>
                <c:pt idx="75">
                  <c:v>1788.5</c:v>
                </c:pt>
                <c:pt idx="76">
                  <c:v>1759</c:v>
                </c:pt>
                <c:pt idx="77">
                  <c:v>1778.5</c:v>
                </c:pt>
                <c:pt idx="78">
                  <c:v>1791.75</c:v>
                </c:pt>
                <c:pt idx="79">
                  <c:v>1791.75</c:v>
                </c:pt>
                <c:pt idx="80">
                  <c:v>1791.75</c:v>
                </c:pt>
                <c:pt idx="81">
                  <c:v>1787.75</c:v>
                </c:pt>
                <c:pt idx="82">
                  <c:v>1781.75</c:v>
                </c:pt>
                <c:pt idx="83">
                  <c:v>1769</c:v>
                </c:pt>
                <c:pt idx="84">
                  <c:v>1783.25</c:v>
                </c:pt>
                <c:pt idx="85">
                  <c:v>1775.5</c:v>
                </c:pt>
                <c:pt idx="86">
                  <c:v>1775.5</c:v>
                </c:pt>
                <c:pt idx="87">
                  <c:v>1775.5</c:v>
                </c:pt>
                <c:pt idx="88">
                  <c:v>1792</c:v>
                </c:pt>
                <c:pt idx="89">
                  <c:v>1781.25</c:v>
                </c:pt>
                <c:pt idx="90">
                  <c:v>1775.5</c:v>
                </c:pt>
                <c:pt idx="91">
                  <c:v>1781.25</c:v>
                </c:pt>
                <c:pt idx="92">
                  <c:v>1781.25</c:v>
                </c:pt>
                <c:pt idx="93">
                  <c:v>1781.25</c:v>
                </c:pt>
                <c:pt idx="94">
                  <c:v>1781.25</c:v>
                </c:pt>
                <c:pt idx="95">
                  <c:v>1781.25</c:v>
                </c:pt>
                <c:pt idx="96">
                  <c:v>1781.75</c:v>
                </c:pt>
                <c:pt idx="97">
                  <c:v>1769.5</c:v>
                </c:pt>
                <c:pt idx="98">
                  <c:v>1765</c:v>
                </c:pt>
                <c:pt idx="99">
                  <c:v>1770</c:v>
                </c:pt>
                <c:pt idx="100">
                  <c:v>1770</c:v>
                </c:pt>
                <c:pt idx="101">
                  <c:v>1770</c:v>
                </c:pt>
                <c:pt idx="102">
                  <c:v>1775</c:v>
                </c:pt>
                <c:pt idx="103">
                  <c:v>1792.25</c:v>
                </c:pt>
                <c:pt idx="104">
                  <c:v>1827</c:v>
                </c:pt>
                <c:pt idx="105">
                  <c:v>1836.5</c:v>
                </c:pt>
                <c:pt idx="106">
                  <c:v>1834.25</c:v>
                </c:pt>
                <c:pt idx="107">
                  <c:v>1834.25</c:v>
                </c:pt>
                <c:pt idx="108">
                  <c:v>1834.25</c:v>
                </c:pt>
                <c:pt idx="109">
                  <c:v>1829.25</c:v>
                </c:pt>
                <c:pt idx="110">
                  <c:v>1834.25</c:v>
                </c:pt>
                <c:pt idx="111">
                  <c:v>1820.75</c:v>
                </c:pt>
                <c:pt idx="112">
                  <c:v>1797.75</c:v>
                </c:pt>
                <c:pt idx="113">
                  <c:v>1843.25</c:v>
                </c:pt>
                <c:pt idx="114">
                  <c:v>1843.25</c:v>
                </c:pt>
                <c:pt idx="115">
                  <c:v>1843.25</c:v>
                </c:pt>
                <c:pt idx="116">
                  <c:v>1846.75</c:v>
                </c:pt>
                <c:pt idx="117">
                  <c:v>1878.75</c:v>
                </c:pt>
                <c:pt idx="118">
                  <c:v>1891.75</c:v>
                </c:pt>
                <c:pt idx="119">
                  <c:v>1933.25</c:v>
                </c:pt>
                <c:pt idx="120">
                  <c:v>1902.25</c:v>
                </c:pt>
                <c:pt idx="121">
                  <c:v>1902.25</c:v>
                </c:pt>
                <c:pt idx="122">
                  <c:v>1902.25</c:v>
                </c:pt>
                <c:pt idx="123">
                  <c:v>1902.25</c:v>
                </c:pt>
                <c:pt idx="124">
                  <c:v>1959.25</c:v>
                </c:pt>
                <c:pt idx="125">
                  <c:v>1900</c:v>
                </c:pt>
                <c:pt idx="126">
                  <c:v>1855.5</c:v>
                </c:pt>
                <c:pt idx="127">
                  <c:v>1859.5</c:v>
                </c:pt>
                <c:pt idx="128">
                  <c:v>1859.5</c:v>
                </c:pt>
                <c:pt idx="129">
                  <c:v>1859.5</c:v>
                </c:pt>
                <c:pt idx="130">
                  <c:v>1846.25</c:v>
                </c:pt>
                <c:pt idx="131">
                  <c:v>1861</c:v>
                </c:pt>
                <c:pt idx="132">
                  <c:v>1847.5</c:v>
                </c:pt>
                <c:pt idx="133">
                  <c:v>1834</c:v>
                </c:pt>
                <c:pt idx="134">
                  <c:v>1817.75</c:v>
                </c:pt>
                <c:pt idx="135">
                  <c:v>1817.75</c:v>
                </c:pt>
                <c:pt idx="136">
                  <c:v>1817.75</c:v>
                </c:pt>
                <c:pt idx="137">
                  <c:v>1783</c:v>
                </c:pt>
                <c:pt idx="138">
                  <c:v>1749.75</c:v>
                </c:pt>
                <c:pt idx="139">
                  <c:v>1744.25</c:v>
                </c:pt>
                <c:pt idx="140">
                  <c:v>1734.5</c:v>
                </c:pt>
                <c:pt idx="141">
                  <c:v>1729.75</c:v>
                </c:pt>
                <c:pt idx="142">
                  <c:v>1729.75</c:v>
                </c:pt>
                <c:pt idx="143">
                  <c:v>1729.75</c:v>
                </c:pt>
                <c:pt idx="144">
                  <c:v>1729.75</c:v>
                </c:pt>
                <c:pt idx="145">
                  <c:v>1713.25</c:v>
                </c:pt>
                <c:pt idx="146">
                  <c:v>1699</c:v>
                </c:pt>
                <c:pt idx="147">
                  <c:v>1739.75</c:v>
                </c:pt>
                <c:pt idx="148">
                  <c:v>1700.5</c:v>
                </c:pt>
                <c:pt idx="149">
                  <c:v>1700.5</c:v>
                </c:pt>
                <c:pt idx="150">
                  <c:v>1700.5</c:v>
                </c:pt>
                <c:pt idx="151">
                  <c:v>1722.5</c:v>
                </c:pt>
                <c:pt idx="152">
                  <c:v>1701.25</c:v>
                </c:pt>
                <c:pt idx="153">
                  <c:v>1714.25</c:v>
                </c:pt>
                <c:pt idx="154">
                  <c:v>1705.75</c:v>
                </c:pt>
                <c:pt idx="155">
                  <c:v>1712.5</c:v>
                </c:pt>
                <c:pt idx="156">
                  <c:v>1712.5</c:v>
                </c:pt>
                <c:pt idx="157">
                  <c:v>1712.5</c:v>
                </c:pt>
                <c:pt idx="158">
                  <c:v>1710</c:v>
                </c:pt>
                <c:pt idx="159">
                  <c:v>1711.75</c:v>
                </c:pt>
                <c:pt idx="160">
                  <c:v>1722.5</c:v>
                </c:pt>
                <c:pt idx="161">
                  <c:v>1713.25</c:v>
                </c:pt>
                <c:pt idx="162">
                  <c:v>1701.5</c:v>
                </c:pt>
                <c:pt idx="163">
                  <c:v>1701.5</c:v>
                </c:pt>
                <c:pt idx="164">
                  <c:v>1701.5</c:v>
                </c:pt>
                <c:pt idx="165">
                  <c:v>1676.75</c:v>
                </c:pt>
                <c:pt idx="166">
                  <c:v>1666</c:v>
                </c:pt>
                <c:pt idx="167">
                  <c:v>1665.5</c:v>
                </c:pt>
                <c:pt idx="168">
                  <c:v>1663</c:v>
                </c:pt>
                <c:pt idx="169">
                  <c:v>1652.75</c:v>
                </c:pt>
                <c:pt idx="170">
                  <c:v>1652.75</c:v>
                </c:pt>
                <c:pt idx="171">
                  <c:v>1652.75</c:v>
                </c:pt>
                <c:pt idx="172">
                  <c:v>1668.25</c:v>
                </c:pt>
                <c:pt idx="173">
                  <c:v>1684.5</c:v>
                </c:pt>
                <c:pt idx="174">
                  <c:v>1676.25</c:v>
                </c:pt>
                <c:pt idx="175">
                  <c:v>1684.75</c:v>
                </c:pt>
                <c:pt idx="176">
                  <c:v>1665.5</c:v>
                </c:pt>
                <c:pt idx="177">
                  <c:v>1665.5</c:v>
                </c:pt>
                <c:pt idx="178">
                  <c:v>1665.5</c:v>
                </c:pt>
                <c:pt idx="179">
                  <c:v>1660.5</c:v>
                </c:pt>
                <c:pt idx="180">
                  <c:v>1651</c:v>
                </c:pt>
                <c:pt idx="181">
                  <c:v>1688.75</c:v>
                </c:pt>
                <c:pt idx="182">
                  <c:v>1686.75</c:v>
                </c:pt>
                <c:pt idx="183">
                  <c:v>1671.5</c:v>
                </c:pt>
                <c:pt idx="184">
                  <c:v>1671.5</c:v>
                </c:pt>
                <c:pt idx="185">
                  <c:v>1671.5</c:v>
                </c:pt>
                <c:pt idx="186">
                  <c:v>1652.25</c:v>
                </c:pt>
                <c:pt idx="187">
                  <c:v>1623</c:v>
                </c:pt>
                <c:pt idx="188">
                  <c:v>1629.75</c:v>
                </c:pt>
                <c:pt idx="189">
                  <c:v>1659.75</c:v>
                </c:pt>
                <c:pt idx="190">
                  <c:v>1657.5</c:v>
                </c:pt>
                <c:pt idx="191">
                  <c:v>1657.5</c:v>
                </c:pt>
                <c:pt idx="192">
                  <c:v>1657.5</c:v>
                </c:pt>
                <c:pt idx="193">
                  <c:v>1673.25</c:v>
                </c:pt>
                <c:pt idx="194">
                  <c:v>1663.25</c:v>
                </c:pt>
                <c:pt idx="195">
                  <c:v>1674.75</c:v>
                </c:pt>
                <c:pt idx="196">
                  <c:v>1673.75</c:v>
                </c:pt>
                <c:pt idx="197">
                  <c:v>1655</c:v>
                </c:pt>
                <c:pt idx="198">
                  <c:v>1655</c:v>
                </c:pt>
                <c:pt idx="199">
                  <c:v>1655</c:v>
                </c:pt>
                <c:pt idx="200">
                  <c:v>1644.5</c:v>
                </c:pt>
                <c:pt idx="201">
                  <c:v>1615.75</c:v>
                </c:pt>
                <c:pt idx="202">
                  <c:v>1614.5</c:v>
                </c:pt>
                <c:pt idx="203">
                  <c:v>1593</c:v>
                </c:pt>
                <c:pt idx="204">
                  <c:v>1602.5</c:v>
                </c:pt>
                <c:pt idx="205">
                  <c:v>1602.5</c:v>
                </c:pt>
                <c:pt idx="206">
                  <c:v>1602.5</c:v>
                </c:pt>
                <c:pt idx="207">
                  <c:v>1599</c:v>
                </c:pt>
                <c:pt idx="208">
                  <c:v>1616.75</c:v>
                </c:pt>
                <c:pt idx="209">
                  <c:v>1624.75</c:v>
                </c:pt>
                <c:pt idx="210">
                  <c:v>1606.5</c:v>
                </c:pt>
                <c:pt idx="211">
                  <c:v>1582</c:v>
                </c:pt>
                <c:pt idx="212">
                  <c:v>1582</c:v>
                </c:pt>
                <c:pt idx="213">
                  <c:v>1582</c:v>
                </c:pt>
                <c:pt idx="214">
                  <c:v>1576.75</c:v>
                </c:pt>
                <c:pt idx="215">
                  <c:v>1581.75</c:v>
                </c:pt>
                <c:pt idx="216">
                  <c:v>1559.75</c:v>
                </c:pt>
                <c:pt idx="217">
                  <c:v>1559.25</c:v>
                </c:pt>
                <c:pt idx="218">
                  <c:v>1556.5</c:v>
                </c:pt>
                <c:pt idx="219">
                  <c:v>1556.5</c:v>
                </c:pt>
                <c:pt idx="220">
                  <c:v>1556.5</c:v>
                </c:pt>
                <c:pt idx="221">
                  <c:v>1585.5</c:v>
                </c:pt>
                <c:pt idx="222">
                  <c:v>1554</c:v>
                </c:pt>
                <c:pt idx="223">
                  <c:v>1556.75</c:v>
                </c:pt>
                <c:pt idx="224">
                  <c:v>1543.25</c:v>
                </c:pt>
                <c:pt idx="225">
                  <c:v>1550.5</c:v>
                </c:pt>
                <c:pt idx="226">
                  <c:v>1550.5</c:v>
                </c:pt>
                <c:pt idx="227">
                  <c:v>1550.5</c:v>
                </c:pt>
                <c:pt idx="228">
                  <c:v>1537.5</c:v>
                </c:pt>
                <c:pt idx="229">
                  <c:v>1527</c:v>
                </c:pt>
                <c:pt idx="230">
                  <c:v>1529.5</c:v>
                </c:pt>
                <c:pt idx="231">
                  <c:v>1550</c:v>
                </c:pt>
                <c:pt idx="232">
                  <c:v>1523.5</c:v>
                </c:pt>
                <c:pt idx="233">
                  <c:v>1523.5</c:v>
                </c:pt>
                <c:pt idx="234">
                  <c:v>1523.5</c:v>
                </c:pt>
                <c:pt idx="235">
                  <c:v>1496</c:v>
                </c:pt>
                <c:pt idx="236">
                  <c:v>1535.5</c:v>
                </c:pt>
                <c:pt idx="237">
                  <c:v>1509.75</c:v>
                </c:pt>
                <c:pt idx="238">
                  <c:v>1542</c:v>
                </c:pt>
                <c:pt idx="239">
                  <c:v>1587.75</c:v>
                </c:pt>
                <c:pt idx="240">
                  <c:v>1587.75</c:v>
                </c:pt>
                <c:pt idx="241">
                  <c:v>1587.75</c:v>
                </c:pt>
                <c:pt idx="242">
                  <c:v>1587.75</c:v>
                </c:pt>
                <c:pt idx="243">
                  <c:v>1583.25</c:v>
                </c:pt>
                <c:pt idx="244">
                  <c:v>1579</c:v>
                </c:pt>
                <c:pt idx="245">
                  <c:v>1609.75</c:v>
                </c:pt>
                <c:pt idx="246">
                  <c:v>1587.25</c:v>
                </c:pt>
                <c:pt idx="247">
                  <c:v>1587.25</c:v>
                </c:pt>
                <c:pt idx="248">
                  <c:v>1587.25</c:v>
                </c:pt>
                <c:pt idx="249">
                  <c:v>1580.25</c:v>
                </c:pt>
                <c:pt idx="250">
                  <c:v>1608.75</c:v>
                </c:pt>
                <c:pt idx="251">
                  <c:v>1607.75</c:v>
                </c:pt>
                <c:pt idx="252">
                  <c:v>1617.75</c:v>
                </c:pt>
                <c:pt idx="253">
                  <c:v>1620.75</c:v>
                </c:pt>
                <c:pt idx="254">
                  <c:v>1620.75</c:v>
                </c:pt>
                <c:pt idx="255">
                  <c:v>1620.75</c:v>
                </c:pt>
                <c:pt idx="256">
                  <c:v>1602.75</c:v>
                </c:pt>
                <c:pt idx="257">
                  <c:v>1595.25</c:v>
                </c:pt>
                <c:pt idx="258">
                  <c:v>1611.5</c:v>
                </c:pt>
                <c:pt idx="259">
                  <c:v>1622.25</c:v>
                </c:pt>
                <c:pt idx="260">
                  <c:v>1615.75</c:v>
                </c:pt>
                <c:pt idx="261">
                  <c:v>1615.75</c:v>
                </c:pt>
                <c:pt idx="262">
                  <c:v>1615.75</c:v>
                </c:pt>
                <c:pt idx="263">
                  <c:v>1607.25</c:v>
                </c:pt>
                <c:pt idx="264">
                  <c:v>1577</c:v>
                </c:pt>
                <c:pt idx="265">
                  <c:v>1564.75</c:v>
                </c:pt>
                <c:pt idx="266">
                  <c:v>1569</c:v>
                </c:pt>
                <c:pt idx="267">
                  <c:v>1556.5</c:v>
                </c:pt>
                <c:pt idx="268">
                  <c:v>1556.5</c:v>
                </c:pt>
                <c:pt idx="269">
                  <c:v>1556.5</c:v>
                </c:pt>
                <c:pt idx="270">
                  <c:v>1537</c:v>
                </c:pt>
                <c:pt idx="271">
                  <c:v>1551</c:v>
                </c:pt>
                <c:pt idx="272">
                  <c:v>1566.75</c:v>
                </c:pt>
                <c:pt idx="273">
                  <c:v>1554.5</c:v>
                </c:pt>
                <c:pt idx="274">
                  <c:v>1546</c:v>
                </c:pt>
                <c:pt idx="275">
                  <c:v>1546</c:v>
                </c:pt>
                <c:pt idx="276">
                  <c:v>1546</c:v>
                </c:pt>
                <c:pt idx="277">
                  <c:v>1551.5</c:v>
                </c:pt>
                <c:pt idx="278">
                  <c:v>1539.5</c:v>
                </c:pt>
                <c:pt idx="279">
                  <c:v>1561</c:v>
                </c:pt>
                <c:pt idx="280">
                  <c:v>1544.25</c:v>
                </c:pt>
                <c:pt idx="281">
                  <c:v>1597.25</c:v>
                </c:pt>
                <c:pt idx="282">
                  <c:v>1597.25</c:v>
                </c:pt>
                <c:pt idx="283">
                  <c:v>1597.25</c:v>
                </c:pt>
                <c:pt idx="284">
                  <c:v>1576.5</c:v>
                </c:pt>
                <c:pt idx="285">
                  <c:v>1575.25</c:v>
                </c:pt>
                <c:pt idx="286">
                  <c:v>1572.5</c:v>
                </c:pt>
                <c:pt idx="287">
                  <c:v>1551.5</c:v>
                </c:pt>
                <c:pt idx="288">
                  <c:v>1548.25</c:v>
                </c:pt>
                <c:pt idx="289">
                  <c:v>1548.25</c:v>
                </c:pt>
                <c:pt idx="290">
                  <c:v>1548.25</c:v>
                </c:pt>
                <c:pt idx="291">
                  <c:v>1521.5</c:v>
                </c:pt>
                <c:pt idx="292">
                  <c:v>1513.25</c:v>
                </c:pt>
                <c:pt idx="293">
                  <c:v>1476.25</c:v>
                </c:pt>
                <c:pt idx="294">
                  <c:v>1452.25</c:v>
                </c:pt>
                <c:pt idx="295">
                  <c:v>1459.75</c:v>
                </c:pt>
                <c:pt idx="296">
                  <c:v>1459.75</c:v>
                </c:pt>
                <c:pt idx="297">
                  <c:v>1459.75</c:v>
                </c:pt>
                <c:pt idx="298">
                  <c:v>1442.25</c:v>
                </c:pt>
                <c:pt idx="299">
                  <c:v>1441.5</c:v>
                </c:pt>
                <c:pt idx="300">
                  <c:v>1451</c:v>
                </c:pt>
                <c:pt idx="301">
                  <c:v>1439.75</c:v>
                </c:pt>
                <c:pt idx="302">
                  <c:v>1447.25</c:v>
                </c:pt>
                <c:pt idx="303">
                  <c:v>1447.25</c:v>
                </c:pt>
                <c:pt idx="304">
                  <c:v>1447.25</c:v>
                </c:pt>
                <c:pt idx="305">
                  <c:v>1462.5</c:v>
                </c:pt>
                <c:pt idx="306">
                  <c:v>1471.75</c:v>
                </c:pt>
                <c:pt idx="307">
                  <c:v>1477.75</c:v>
                </c:pt>
                <c:pt idx="308">
                  <c:v>1495</c:v>
                </c:pt>
                <c:pt idx="309">
                  <c:v>1508.75</c:v>
                </c:pt>
                <c:pt idx="310">
                  <c:v>1508.75</c:v>
                </c:pt>
                <c:pt idx="311">
                  <c:v>1508.75</c:v>
                </c:pt>
                <c:pt idx="312">
                  <c:v>1498.75</c:v>
                </c:pt>
                <c:pt idx="313">
                  <c:v>1496.25</c:v>
                </c:pt>
                <c:pt idx="314">
                  <c:v>1508.5</c:v>
                </c:pt>
                <c:pt idx="315">
                  <c:v>1481</c:v>
                </c:pt>
                <c:pt idx="316">
                  <c:v>1478.75</c:v>
                </c:pt>
                <c:pt idx="317">
                  <c:v>1478.75</c:v>
                </c:pt>
                <c:pt idx="318">
                  <c:v>1478.75</c:v>
                </c:pt>
                <c:pt idx="319">
                  <c:v>1451</c:v>
                </c:pt>
                <c:pt idx="320">
                  <c:v>1457.25</c:v>
                </c:pt>
                <c:pt idx="321">
                  <c:v>1455.75</c:v>
                </c:pt>
                <c:pt idx="322">
                  <c:v>1453.25</c:v>
                </c:pt>
                <c:pt idx="323">
                  <c:v>1436</c:v>
                </c:pt>
              </c:numCache>
            </c:numRef>
          </c:val>
          <c:smooth val="0"/>
        </c:ser>
        <c:dLbls>
          <c:showLegendKey val="0"/>
          <c:showVal val="0"/>
          <c:showCatName val="0"/>
          <c:showSerName val="0"/>
          <c:showPercent val="0"/>
          <c:showBubbleSize val="0"/>
        </c:dLbls>
        <c:marker val="1"/>
        <c:smooth val="0"/>
        <c:axId val="257904640"/>
        <c:axId val="257902464"/>
      </c:lineChart>
      <c:dateAx>
        <c:axId val="257898752"/>
        <c:scaling>
          <c:orientation val="minMax"/>
        </c:scaling>
        <c:delete val="0"/>
        <c:axPos val="b"/>
        <c:numFmt formatCode="m/d/yyyy" sourceLinked="1"/>
        <c:majorTickMark val="out"/>
        <c:minorTickMark val="none"/>
        <c:tickLblPos val="nextTo"/>
        <c:txPr>
          <a:bodyPr/>
          <a:lstStyle/>
          <a:p>
            <a:pPr>
              <a:defRPr sz="1000"/>
            </a:pPr>
            <a:endParaRPr lang="zh-TW"/>
          </a:p>
        </c:txPr>
        <c:crossAx val="257900544"/>
        <c:crosses val="autoZero"/>
        <c:auto val="1"/>
        <c:lblOffset val="100"/>
        <c:baseTimeUnit val="days"/>
        <c:majorUnit val="1"/>
        <c:majorTimeUnit val="months"/>
        <c:minorUnit val="1"/>
        <c:minorTimeUnit val="months"/>
      </c:dateAx>
      <c:valAx>
        <c:axId val="257900544"/>
        <c:scaling>
          <c:orientation val="minMax"/>
        </c:scaling>
        <c:delete val="0"/>
        <c:axPos val="l"/>
        <c:majorGridlines/>
        <c:title>
          <c:tx>
            <c:rich>
              <a:bodyPr rot="0" vert="horz"/>
              <a:lstStyle/>
              <a:p>
                <a:pPr>
                  <a:defRPr/>
                </a:pPr>
                <a:r>
                  <a:rPr lang="zh-TW" altLang="en-US"/>
                  <a:t>鋁板片</a:t>
                </a:r>
              </a:p>
            </c:rich>
          </c:tx>
          <c:layout>
            <c:manualLayout>
              <c:xMode val="edge"/>
              <c:yMode val="edge"/>
              <c:x val="2.023944553481179E-2"/>
              <c:y val="2.7217348261776266E-2"/>
            </c:manualLayout>
          </c:layout>
          <c:overlay val="0"/>
        </c:title>
        <c:numFmt formatCode="General;General;;" sourceLinked="1"/>
        <c:majorTickMark val="out"/>
        <c:minorTickMark val="none"/>
        <c:tickLblPos val="nextTo"/>
        <c:txPr>
          <a:bodyPr/>
          <a:lstStyle/>
          <a:p>
            <a:pPr>
              <a:defRPr sz="1000"/>
            </a:pPr>
            <a:endParaRPr lang="zh-TW"/>
          </a:p>
        </c:txPr>
        <c:crossAx val="257898752"/>
        <c:crosses val="autoZero"/>
        <c:crossBetween val="between"/>
      </c:valAx>
      <c:valAx>
        <c:axId val="257902464"/>
        <c:scaling>
          <c:orientation val="minMax"/>
        </c:scaling>
        <c:delete val="0"/>
        <c:axPos val="r"/>
        <c:title>
          <c:tx>
            <c:rich>
              <a:bodyPr rot="0" vert="horz"/>
              <a:lstStyle/>
              <a:p>
                <a:pPr>
                  <a:defRPr/>
                </a:pPr>
                <a:r>
                  <a:rPr lang="zh-TW" altLang="en-US"/>
                  <a:t>鋁倫敦</a:t>
                </a:r>
                <a:r>
                  <a:rPr lang="en-US" altLang="zh-TW"/>
                  <a:t>LME</a:t>
                </a:r>
                <a:endParaRPr lang="zh-TW" altLang="en-US"/>
              </a:p>
            </c:rich>
          </c:tx>
          <c:layout>
            <c:manualLayout>
              <c:xMode val="edge"/>
              <c:yMode val="edge"/>
              <c:x val="0.87847132931142569"/>
              <c:y val="3.341692180922106E-2"/>
            </c:manualLayout>
          </c:layout>
          <c:overlay val="0"/>
        </c:title>
        <c:numFmt formatCode="General" sourceLinked="1"/>
        <c:majorTickMark val="out"/>
        <c:minorTickMark val="none"/>
        <c:tickLblPos val="nextTo"/>
        <c:txPr>
          <a:bodyPr/>
          <a:lstStyle/>
          <a:p>
            <a:pPr>
              <a:defRPr sz="1000"/>
            </a:pPr>
            <a:endParaRPr lang="zh-TW"/>
          </a:p>
        </c:txPr>
        <c:crossAx val="257904640"/>
        <c:crosses val="max"/>
        <c:crossBetween val="between"/>
      </c:valAx>
      <c:dateAx>
        <c:axId val="257904640"/>
        <c:scaling>
          <c:orientation val="minMax"/>
        </c:scaling>
        <c:delete val="1"/>
        <c:axPos val="b"/>
        <c:numFmt formatCode="m/d/yyyy" sourceLinked="1"/>
        <c:majorTickMark val="out"/>
        <c:minorTickMark val="none"/>
        <c:tickLblPos val="none"/>
        <c:crossAx val="257902464"/>
        <c:crosses val="autoZero"/>
        <c:auto val="1"/>
        <c:lblOffset val="100"/>
        <c:baseTimeUnit val="days"/>
      </c:dateAx>
    </c:plotArea>
    <c:legend>
      <c:legendPos val="b"/>
      <c:layout>
        <c:manualLayout>
          <c:xMode val="edge"/>
          <c:yMode val="edge"/>
          <c:x val="0.25288811749797624"/>
          <c:y val="0.83213241993141607"/>
          <c:w val="0.49760321211735747"/>
          <c:h val="0.12129660907734727"/>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6101024898083583E-2"/>
          <c:y val="3.5664863298012134E-2"/>
          <c:w val="0.86412089045127383"/>
          <c:h val="0.72852736149916741"/>
        </c:manualLayout>
      </c:layout>
      <c:lineChart>
        <c:grouping val="standard"/>
        <c:varyColors val="0"/>
        <c:ser>
          <c:idx val="0"/>
          <c:order val="0"/>
          <c:tx>
            <c:strRef>
              <c:f>銅、鋁、鎳、鋅、鉛!$Q$1</c:f>
              <c:strCache>
                <c:ptCount val="1"/>
                <c:pt idx="0">
                  <c:v>鎳 現貨 未稅出廠價(美元/公噸)</c:v>
                </c:pt>
              </c:strCache>
            </c:strRef>
          </c:tx>
          <c:spPr>
            <a:ln>
              <a:prstDash val="sysDash"/>
            </a:ln>
          </c:spPr>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銅、鋁、鎳、鋅、鉛!$Q$216:$Q$539</c:f>
              <c:numCache>
                <c:formatCode>General;General;;</c:formatCode>
                <c:ptCount val="324"/>
                <c:pt idx="0">
                  <c:v>18500</c:v>
                </c:pt>
                <c:pt idx="1">
                  <c:v>18500</c:v>
                </c:pt>
                <c:pt idx="2">
                  <c:v>18500</c:v>
                </c:pt>
                <c:pt idx="3">
                  <c:v>18500</c:v>
                </c:pt>
                <c:pt idx="4">
                  <c:v>18166.666666666661</c:v>
                </c:pt>
                <c:pt idx="5">
                  <c:v>18666.666666666661</c:v>
                </c:pt>
                <c:pt idx="6">
                  <c:v>18833.333333333321</c:v>
                </c:pt>
                <c:pt idx="7">
                  <c:v>19166.666666666661</c:v>
                </c:pt>
                <c:pt idx="8">
                  <c:v>19166.666666666661</c:v>
                </c:pt>
                <c:pt idx="9">
                  <c:v>19166.666666666661</c:v>
                </c:pt>
                <c:pt idx="10">
                  <c:v>19166.666666666661</c:v>
                </c:pt>
                <c:pt idx="11">
                  <c:v>18833.333333333321</c:v>
                </c:pt>
                <c:pt idx="12">
                  <c:v>18500</c:v>
                </c:pt>
                <c:pt idx="13">
                  <c:v>18000</c:v>
                </c:pt>
                <c:pt idx="14">
                  <c:v>17666.666666666661</c:v>
                </c:pt>
                <c:pt idx="15">
                  <c:v>17833.333333333321</c:v>
                </c:pt>
                <c:pt idx="16">
                  <c:v>17833.333333333321</c:v>
                </c:pt>
                <c:pt idx="17">
                  <c:v>17833.333333333321</c:v>
                </c:pt>
                <c:pt idx="18">
                  <c:v>18166.666666666661</c:v>
                </c:pt>
                <c:pt idx="19">
                  <c:v>17666.666666666661</c:v>
                </c:pt>
                <c:pt idx="20">
                  <c:v>18166.666666666661</c:v>
                </c:pt>
                <c:pt idx="21">
                  <c:v>18333.333333333321</c:v>
                </c:pt>
                <c:pt idx="22">
                  <c:v>18000</c:v>
                </c:pt>
                <c:pt idx="23">
                  <c:v>18000</c:v>
                </c:pt>
                <c:pt idx="24">
                  <c:v>18000</c:v>
                </c:pt>
                <c:pt idx="25">
                  <c:v>17500</c:v>
                </c:pt>
                <c:pt idx="26">
                  <c:v>17833.333333333321</c:v>
                </c:pt>
                <c:pt idx="27">
                  <c:v>17833.333333333321</c:v>
                </c:pt>
                <c:pt idx="28">
                  <c:v>18166.666666666661</c:v>
                </c:pt>
                <c:pt idx="29">
                  <c:v>18166.666666666661</c:v>
                </c:pt>
                <c:pt idx="30">
                  <c:v>18166.666666666661</c:v>
                </c:pt>
                <c:pt idx="31">
                  <c:v>18166.666666666661</c:v>
                </c:pt>
                <c:pt idx="32">
                  <c:v>18500</c:v>
                </c:pt>
                <c:pt idx="33">
                  <c:v>18666.666666666661</c:v>
                </c:pt>
                <c:pt idx="34">
                  <c:v>18666.666666666661</c:v>
                </c:pt>
                <c:pt idx="35">
                  <c:v>18333.333333333321</c:v>
                </c:pt>
                <c:pt idx="36">
                  <c:v>18500</c:v>
                </c:pt>
                <c:pt idx="37">
                  <c:v>18500</c:v>
                </c:pt>
                <c:pt idx="38">
                  <c:v>18500</c:v>
                </c:pt>
                <c:pt idx="39">
                  <c:v>18500</c:v>
                </c:pt>
                <c:pt idx="40">
                  <c:v>18500</c:v>
                </c:pt>
                <c:pt idx="41">
                  <c:v>18166.666666666661</c:v>
                </c:pt>
                <c:pt idx="42">
                  <c:v>18000</c:v>
                </c:pt>
                <c:pt idx="43">
                  <c:v>18000</c:v>
                </c:pt>
                <c:pt idx="44">
                  <c:v>18000</c:v>
                </c:pt>
                <c:pt idx="45">
                  <c:v>18000</c:v>
                </c:pt>
                <c:pt idx="46">
                  <c:v>17833.333333333321</c:v>
                </c:pt>
                <c:pt idx="47">
                  <c:v>17833.333333333321</c:v>
                </c:pt>
                <c:pt idx="48">
                  <c:v>17833.333333333321</c:v>
                </c:pt>
                <c:pt idx="49">
                  <c:v>17833.333333333321</c:v>
                </c:pt>
                <c:pt idx="50">
                  <c:v>17833.333333333321</c:v>
                </c:pt>
                <c:pt idx="51">
                  <c:v>17833.333333333321</c:v>
                </c:pt>
                <c:pt idx="52">
                  <c:v>17833.333333333321</c:v>
                </c:pt>
                <c:pt idx="53">
                  <c:v>17833.333333333321</c:v>
                </c:pt>
                <c:pt idx="54">
                  <c:v>17500</c:v>
                </c:pt>
                <c:pt idx="55">
                  <c:v>17666.666666666661</c:v>
                </c:pt>
                <c:pt idx="56">
                  <c:v>17666.666666666661</c:v>
                </c:pt>
                <c:pt idx="57">
                  <c:v>17666.666666666661</c:v>
                </c:pt>
                <c:pt idx="58">
                  <c:v>17666.666666666661</c:v>
                </c:pt>
                <c:pt idx="59">
                  <c:v>17666.666666666661</c:v>
                </c:pt>
                <c:pt idx="60">
                  <c:v>17333.333333333321</c:v>
                </c:pt>
                <c:pt idx="61">
                  <c:v>17000</c:v>
                </c:pt>
                <c:pt idx="62">
                  <c:v>16833.333333333321</c:v>
                </c:pt>
                <c:pt idx="63">
                  <c:v>17166.666666666661</c:v>
                </c:pt>
                <c:pt idx="64">
                  <c:v>17333.333333333321</c:v>
                </c:pt>
                <c:pt idx="65">
                  <c:v>17333.333333333321</c:v>
                </c:pt>
                <c:pt idx="66">
                  <c:v>17333.333333333321</c:v>
                </c:pt>
                <c:pt idx="67">
                  <c:v>17666.666666666661</c:v>
                </c:pt>
                <c:pt idx="68">
                  <c:v>17833.333333333321</c:v>
                </c:pt>
                <c:pt idx="69">
                  <c:v>17333.333333333321</c:v>
                </c:pt>
                <c:pt idx="70">
                  <c:v>17000</c:v>
                </c:pt>
                <c:pt idx="71">
                  <c:v>17166.666666666661</c:v>
                </c:pt>
                <c:pt idx="72">
                  <c:v>17166.666666666661</c:v>
                </c:pt>
                <c:pt idx="73">
                  <c:v>17166.666666666661</c:v>
                </c:pt>
                <c:pt idx="74">
                  <c:v>17500</c:v>
                </c:pt>
                <c:pt idx="75">
                  <c:v>17166.666666666661</c:v>
                </c:pt>
                <c:pt idx="76">
                  <c:v>17000</c:v>
                </c:pt>
                <c:pt idx="77">
                  <c:v>16833.333333333321</c:v>
                </c:pt>
                <c:pt idx="78">
                  <c:v>17166.666666666661</c:v>
                </c:pt>
                <c:pt idx="79">
                  <c:v>17166.666666666661</c:v>
                </c:pt>
                <c:pt idx="80">
                  <c:v>17166.666666666661</c:v>
                </c:pt>
                <c:pt idx="81">
                  <c:v>17500</c:v>
                </c:pt>
                <c:pt idx="82">
                  <c:v>17500</c:v>
                </c:pt>
                <c:pt idx="83">
                  <c:v>17000</c:v>
                </c:pt>
                <c:pt idx="84">
                  <c:v>16833.333333333321</c:v>
                </c:pt>
                <c:pt idx="85">
                  <c:v>16833.333333333321</c:v>
                </c:pt>
                <c:pt idx="86">
                  <c:v>16833.333333333321</c:v>
                </c:pt>
                <c:pt idx="87">
                  <c:v>16833.333333333321</c:v>
                </c:pt>
                <c:pt idx="88">
                  <c:v>16333.33333333333</c:v>
                </c:pt>
                <c:pt idx="89">
                  <c:v>16000</c:v>
                </c:pt>
                <c:pt idx="90">
                  <c:v>15500</c:v>
                </c:pt>
                <c:pt idx="91">
                  <c:v>15833.33333333333</c:v>
                </c:pt>
                <c:pt idx="92">
                  <c:v>15833.33333333333</c:v>
                </c:pt>
                <c:pt idx="93">
                  <c:v>15833.33333333333</c:v>
                </c:pt>
                <c:pt idx="94">
                  <c:v>15833.33333333333</c:v>
                </c:pt>
                <c:pt idx="95">
                  <c:v>15833.33333333333</c:v>
                </c:pt>
                <c:pt idx="96">
                  <c:v>16000</c:v>
                </c:pt>
                <c:pt idx="97">
                  <c:v>15500</c:v>
                </c:pt>
                <c:pt idx="98">
                  <c:v>15666.666666666662</c:v>
                </c:pt>
                <c:pt idx="99">
                  <c:v>15500</c:v>
                </c:pt>
                <c:pt idx="100">
                  <c:v>15500</c:v>
                </c:pt>
                <c:pt idx="101">
                  <c:v>15500</c:v>
                </c:pt>
                <c:pt idx="102">
                  <c:v>15666.666666666662</c:v>
                </c:pt>
                <c:pt idx="103">
                  <c:v>15500</c:v>
                </c:pt>
                <c:pt idx="104">
                  <c:v>15666.666666666662</c:v>
                </c:pt>
                <c:pt idx="105">
                  <c:v>15666.666666666662</c:v>
                </c:pt>
                <c:pt idx="106">
                  <c:v>15833.33333333333</c:v>
                </c:pt>
                <c:pt idx="107">
                  <c:v>15833.33333333333</c:v>
                </c:pt>
                <c:pt idx="108">
                  <c:v>15833.33333333333</c:v>
                </c:pt>
                <c:pt idx="109">
                  <c:v>15500</c:v>
                </c:pt>
                <c:pt idx="110">
                  <c:v>15666.666666666662</c:v>
                </c:pt>
                <c:pt idx="111">
                  <c:v>15666.666666666662</c:v>
                </c:pt>
                <c:pt idx="112">
                  <c:v>15666.666666666662</c:v>
                </c:pt>
                <c:pt idx="113">
                  <c:v>15666.666666666662</c:v>
                </c:pt>
                <c:pt idx="114">
                  <c:v>15666.666666666662</c:v>
                </c:pt>
                <c:pt idx="115">
                  <c:v>15666.666666666662</c:v>
                </c:pt>
                <c:pt idx="116">
                  <c:v>16166.666666666662</c:v>
                </c:pt>
                <c:pt idx="117">
                  <c:v>16333.33333333333</c:v>
                </c:pt>
                <c:pt idx="118">
                  <c:v>16333.33333333333</c:v>
                </c:pt>
                <c:pt idx="119">
                  <c:v>16166.666666666662</c:v>
                </c:pt>
                <c:pt idx="120">
                  <c:v>16166.666666666662</c:v>
                </c:pt>
                <c:pt idx="121">
                  <c:v>16166.666666666662</c:v>
                </c:pt>
                <c:pt idx="122">
                  <c:v>16166.666666666662</c:v>
                </c:pt>
                <c:pt idx="123">
                  <c:v>16500</c:v>
                </c:pt>
                <c:pt idx="124">
                  <c:v>16500</c:v>
                </c:pt>
                <c:pt idx="125">
                  <c:v>17166.666666666661</c:v>
                </c:pt>
                <c:pt idx="126">
                  <c:v>16833.333333333321</c:v>
                </c:pt>
                <c:pt idx="127">
                  <c:v>17000</c:v>
                </c:pt>
                <c:pt idx="128">
                  <c:v>17000</c:v>
                </c:pt>
                <c:pt idx="129">
                  <c:v>17000</c:v>
                </c:pt>
                <c:pt idx="130">
                  <c:v>17166.666666666661</c:v>
                </c:pt>
                <c:pt idx="131">
                  <c:v>17166.666666666661</c:v>
                </c:pt>
                <c:pt idx="132">
                  <c:v>17166.666666666661</c:v>
                </c:pt>
                <c:pt idx="133">
                  <c:v>17000</c:v>
                </c:pt>
                <c:pt idx="134">
                  <c:v>16500</c:v>
                </c:pt>
                <c:pt idx="135">
                  <c:v>16500</c:v>
                </c:pt>
                <c:pt idx="136">
                  <c:v>16500</c:v>
                </c:pt>
                <c:pt idx="137">
                  <c:v>16666.666666666661</c:v>
                </c:pt>
                <c:pt idx="138">
                  <c:v>16500</c:v>
                </c:pt>
                <c:pt idx="139">
                  <c:v>15833.33333333333</c:v>
                </c:pt>
                <c:pt idx="140">
                  <c:v>15833.33333333333</c:v>
                </c:pt>
                <c:pt idx="141">
                  <c:v>15666.666666666662</c:v>
                </c:pt>
                <c:pt idx="142">
                  <c:v>15666.666666666662</c:v>
                </c:pt>
                <c:pt idx="143">
                  <c:v>15666.666666666662</c:v>
                </c:pt>
                <c:pt idx="144">
                  <c:v>15333.33333333333</c:v>
                </c:pt>
                <c:pt idx="145">
                  <c:v>15333.33333333333</c:v>
                </c:pt>
                <c:pt idx="146">
                  <c:v>15333.33333333333</c:v>
                </c:pt>
                <c:pt idx="147">
                  <c:v>15666.666666666662</c:v>
                </c:pt>
                <c:pt idx="148">
                  <c:v>15666.666666666662</c:v>
                </c:pt>
                <c:pt idx="149">
                  <c:v>15666.666666666662</c:v>
                </c:pt>
                <c:pt idx="150">
                  <c:v>15666.666666666662</c:v>
                </c:pt>
                <c:pt idx="151">
                  <c:v>15500</c:v>
                </c:pt>
                <c:pt idx="152">
                  <c:v>15833.33333333333</c:v>
                </c:pt>
                <c:pt idx="153">
                  <c:v>16000</c:v>
                </c:pt>
                <c:pt idx="154">
                  <c:v>15833.33333333333</c:v>
                </c:pt>
                <c:pt idx="155">
                  <c:v>15833.33333333333</c:v>
                </c:pt>
                <c:pt idx="156">
                  <c:v>15833.33333333333</c:v>
                </c:pt>
                <c:pt idx="157">
                  <c:v>15833.33333333333</c:v>
                </c:pt>
                <c:pt idx="158">
                  <c:v>16166.666666666662</c:v>
                </c:pt>
                <c:pt idx="159">
                  <c:v>16500</c:v>
                </c:pt>
                <c:pt idx="160">
                  <c:v>16666.666666666661</c:v>
                </c:pt>
                <c:pt idx="161">
                  <c:v>16666.666666666661</c:v>
                </c:pt>
                <c:pt idx="162">
                  <c:v>16333.33333333333</c:v>
                </c:pt>
                <c:pt idx="163">
                  <c:v>16333.33333333333</c:v>
                </c:pt>
                <c:pt idx="164">
                  <c:v>16333.33333333333</c:v>
                </c:pt>
                <c:pt idx="165">
                  <c:v>16166.666666666662</c:v>
                </c:pt>
                <c:pt idx="166">
                  <c:v>16000</c:v>
                </c:pt>
                <c:pt idx="167">
                  <c:v>15666.666666666662</c:v>
                </c:pt>
                <c:pt idx="168">
                  <c:v>15666.666666666662</c:v>
                </c:pt>
                <c:pt idx="169">
                  <c:v>15666.666666666662</c:v>
                </c:pt>
                <c:pt idx="170">
                  <c:v>15666.666666666662</c:v>
                </c:pt>
                <c:pt idx="171">
                  <c:v>15666.666666666662</c:v>
                </c:pt>
                <c:pt idx="172">
                  <c:v>15666.666666666662</c:v>
                </c:pt>
                <c:pt idx="173">
                  <c:v>15500</c:v>
                </c:pt>
                <c:pt idx="174">
                  <c:v>15666.666666666662</c:v>
                </c:pt>
                <c:pt idx="175">
                  <c:v>15666.666666666662</c:v>
                </c:pt>
                <c:pt idx="176">
                  <c:v>15666.666666666662</c:v>
                </c:pt>
                <c:pt idx="177">
                  <c:v>15666.666666666662</c:v>
                </c:pt>
                <c:pt idx="178">
                  <c:v>15666.666666666662</c:v>
                </c:pt>
                <c:pt idx="179">
                  <c:v>15500</c:v>
                </c:pt>
                <c:pt idx="180">
                  <c:v>15000</c:v>
                </c:pt>
                <c:pt idx="181">
                  <c:v>15000</c:v>
                </c:pt>
                <c:pt idx="182">
                  <c:v>15000</c:v>
                </c:pt>
                <c:pt idx="183">
                  <c:v>15166.666666666662</c:v>
                </c:pt>
                <c:pt idx="184">
                  <c:v>15166.666666666662</c:v>
                </c:pt>
                <c:pt idx="185">
                  <c:v>15166.666666666662</c:v>
                </c:pt>
                <c:pt idx="186">
                  <c:v>15000</c:v>
                </c:pt>
                <c:pt idx="187">
                  <c:v>14666.666666666662</c:v>
                </c:pt>
                <c:pt idx="188">
                  <c:v>13833.33333333333</c:v>
                </c:pt>
                <c:pt idx="189">
                  <c:v>13833.33333333333</c:v>
                </c:pt>
                <c:pt idx="190">
                  <c:v>13833.33333333333</c:v>
                </c:pt>
                <c:pt idx="191">
                  <c:v>13833.33333333333</c:v>
                </c:pt>
                <c:pt idx="192">
                  <c:v>13833.33333333333</c:v>
                </c:pt>
                <c:pt idx="193">
                  <c:v>14166.666666666662</c:v>
                </c:pt>
                <c:pt idx="194">
                  <c:v>14666.666666666662</c:v>
                </c:pt>
                <c:pt idx="195">
                  <c:v>14666.666666666662</c:v>
                </c:pt>
                <c:pt idx="196">
                  <c:v>14500</c:v>
                </c:pt>
                <c:pt idx="197">
                  <c:v>14666.666666666662</c:v>
                </c:pt>
                <c:pt idx="198">
                  <c:v>14666.666666666662</c:v>
                </c:pt>
                <c:pt idx="199">
                  <c:v>14666.666666666662</c:v>
                </c:pt>
                <c:pt idx="200">
                  <c:v>14500</c:v>
                </c:pt>
                <c:pt idx="201">
                  <c:v>14666.666666666662</c:v>
                </c:pt>
                <c:pt idx="202">
                  <c:v>14666.666666666662</c:v>
                </c:pt>
                <c:pt idx="203">
                  <c:v>14500</c:v>
                </c:pt>
                <c:pt idx="204">
                  <c:v>14500</c:v>
                </c:pt>
                <c:pt idx="205">
                  <c:v>14500</c:v>
                </c:pt>
                <c:pt idx="206">
                  <c:v>14500</c:v>
                </c:pt>
                <c:pt idx="207">
                  <c:v>14500</c:v>
                </c:pt>
                <c:pt idx="208">
                  <c:v>14333.33333333333</c:v>
                </c:pt>
                <c:pt idx="209">
                  <c:v>14500</c:v>
                </c:pt>
                <c:pt idx="210">
                  <c:v>14500</c:v>
                </c:pt>
                <c:pt idx="211">
                  <c:v>14166.666666666662</c:v>
                </c:pt>
                <c:pt idx="212">
                  <c:v>14166.666666666662</c:v>
                </c:pt>
                <c:pt idx="213">
                  <c:v>14166.666666666662</c:v>
                </c:pt>
                <c:pt idx="214">
                  <c:v>14166.666666666662</c:v>
                </c:pt>
                <c:pt idx="215">
                  <c:v>14000</c:v>
                </c:pt>
                <c:pt idx="216">
                  <c:v>14000</c:v>
                </c:pt>
                <c:pt idx="217">
                  <c:v>14000</c:v>
                </c:pt>
                <c:pt idx="218">
                  <c:v>14000</c:v>
                </c:pt>
                <c:pt idx="219">
                  <c:v>14000</c:v>
                </c:pt>
                <c:pt idx="220">
                  <c:v>14000</c:v>
                </c:pt>
                <c:pt idx="221">
                  <c:v>14000</c:v>
                </c:pt>
                <c:pt idx="222">
                  <c:v>14333.33333333333</c:v>
                </c:pt>
                <c:pt idx="223">
                  <c:v>14166.666666666662</c:v>
                </c:pt>
                <c:pt idx="224">
                  <c:v>14166.666666666662</c:v>
                </c:pt>
                <c:pt idx="225">
                  <c:v>14000</c:v>
                </c:pt>
                <c:pt idx="226">
                  <c:v>14000</c:v>
                </c:pt>
                <c:pt idx="227">
                  <c:v>14000</c:v>
                </c:pt>
                <c:pt idx="228">
                  <c:v>14000</c:v>
                </c:pt>
                <c:pt idx="229">
                  <c:v>14166.666666666662</c:v>
                </c:pt>
                <c:pt idx="230">
                  <c:v>14000</c:v>
                </c:pt>
                <c:pt idx="231">
                  <c:v>14000</c:v>
                </c:pt>
                <c:pt idx="232">
                  <c:v>14000</c:v>
                </c:pt>
                <c:pt idx="233">
                  <c:v>14000</c:v>
                </c:pt>
                <c:pt idx="234">
                  <c:v>14000</c:v>
                </c:pt>
                <c:pt idx="235">
                  <c:v>13833.33333333333</c:v>
                </c:pt>
                <c:pt idx="236">
                  <c:v>13166.666666666662</c:v>
                </c:pt>
                <c:pt idx="237">
                  <c:v>13166.666666666662</c:v>
                </c:pt>
                <c:pt idx="238">
                  <c:v>13000</c:v>
                </c:pt>
                <c:pt idx="239">
                  <c:v>13666.666666666662</c:v>
                </c:pt>
                <c:pt idx="240">
                  <c:v>13666.666666666662</c:v>
                </c:pt>
                <c:pt idx="241">
                  <c:v>13666.666666666662</c:v>
                </c:pt>
                <c:pt idx="242">
                  <c:v>13666.666666666662</c:v>
                </c:pt>
                <c:pt idx="243">
                  <c:v>13666.666666666662</c:v>
                </c:pt>
                <c:pt idx="244">
                  <c:v>13333.33333333333</c:v>
                </c:pt>
                <c:pt idx="245">
                  <c:v>13333.33333333333</c:v>
                </c:pt>
                <c:pt idx="246">
                  <c:v>13500</c:v>
                </c:pt>
                <c:pt idx="247">
                  <c:v>13500</c:v>
                </c:pt>
                <c:pt idx="248">
                  <c:v>13500</c:v>
                </c:pt>
                <c:pt idx="249">
                  <c:v>13500</c:v>
                </c:pt>
                <c:pt idx="250">
                  <c:v>13333.33333333333</c:v>
                </c:pt>
                <c:pt idx="251">
                  <c:v>13666.666666666662</c:v>
                </c:pt>
                <c:pt idx="252">
                  <c:v>13666.666666666662</c:v>
                </c:pt>
                <c:pt idx="253">
                  <c:v>14000</c:v>
                </c:pt>
                <c:pt idx="254">
                  <c:v>14000</c:v>
                </c:pt>
                <c:pt idx="255">
                  <c:v>14000</c:v>
                </c:pt>
                <c:pt idx="256">
                  <c:v>13833.33333333333</c:v>
                </c:pt>
                <c:pt idx="257">
                  <c:v>13500</c:v>
                </c:pt>
                <c:pt idx="258">
                  <c:v>13666.666666666662</c:v>
                </c:pt>
                <c:pt idx="259">
                  <c:v>13666.666666666662</c:v>
                </c:pt>
                <c:pt idx="260">
                  <c:v>13500</c:v>
                </c:pt>
                <c:pt idx="261">
                  <c:v>13500</c:v>
                </c:pt>
                <c:pt idx="262">
                  <c:v>13500</c:v>
                </c:pt>
                <c:pt idx="263">
                  <c:v>13166.666666666662</c:v>
                </c:pt>
                <c:pt idx="264">
                  <c:v>13500</c:v>
                </c:pt>
                <c:pt idx="265">
                  <c:v>13333.33333333333</c:v>
                </c:pt>
                <c:pt idx="266">
                  <c:v>13500</c:v>
                </c:pt>
                <c:pt idx="267">
                  <c:v>13666.666666666662</c:v>
                </c:pt>
                <c:pt idx="268">
                  <c:v>13666.666666666662</c:v>
                </c:pt>
                <c:pt idx="269">
                  <c:v>13666.666666666662</c:v>
                </c:pt>
                <c:pt idx="270">
                  <c:v>13666.666666666662</c:v>
                </c:pt>
                <c:pt idx="271">
                  <c:v>13666.666666666662</c:v>
                </c:pt>
                <c:pt idx="272">
                  <c:v>13666.666666666662</c:v>
                </c:pt>
                <c:pt idx="273">
                  <c:v>14166.666666666662</c:v>
                </c:pt>
                <c:pt idx="274">
                  <c:v>13666.666666666662</c:v>
                </c:pt>
                <c:pt idx="275">
                  <c:v>13666.666666666662</c:v>
                </c:pt>
                <c:pt idx="276">
                  <c:v>13666.666666666662</c:v>
                </c:pt>
                <c:pt idx="277">
                  <c:v>13666.666666666662</c:v>
                </c:pt>
                <c:pt idx="278">
                  <c:v>13500</c:v>
                </c:pt>
                <c:pt idx="279">
                  <c:v>13500</c:v>
                </c:pt>
                <c:pt idx="280">
                  <c:v>13666.666666666662</c:v>
                </c:pt>
                <c:pt idx="281">
                  <c:v>13666.666666666662</c:v>
                </c:pt>
                <c:pt idx="282">
                  <c:v>13666.666666666662</c:v>
                </c:pt>
                <c:pt idx="283">
                  <c:v>13666.666666666662</c:v>
                </c:pt>
                <c:pt idx="284">
                  <c:v>14000</c:v>
                </c:pt>
                <c:pt idx="285">
                  <c:v>14166.666666666662</c:v>
                </c:pt>
                <c:pt idx="286">
                  <c:v>14000</c:v>
                </c:pt>
                <c:pt idx="287">
                  <c:v>14000</c:v>
                </c:pt>
                <c:pt idx="288">
                  <c:v>14000</c:v>
                </c:pt>
                <c:pt idx="289">
                  <c:v>14000</c:v>
                </c:pt>
                <c:pt idx="290">
                  <c:v>14000</c:v>
                </c:pt>
                <c:pt idx="291">
                  <c:v>14000</c:v>
                </c:pt>
                <c:pt idx="292">
                  <c:v>13833.33333333333</c:v>
                </c:pt>
                <c:pt idx="293">
                  <c:v>13833.33333333333</c:v>
                </c:pt>
                <c:pt idx="294">
                  <c:v>13833.33333333333</c:v>
                </c:pt>
                <c:pt idx="295">
                  <c:v>14000</c:v>
                </c:pt>
                <c:pt idx="296">
                  <c:v>14000</c:v>
                </c:pt>
                <c:pt idx="297">
                  <c:v>14000</c:v>
                </c:pt>
                <c:pt idx="298">
                  <c:v>14000</c:v>
                </c:pt>
                <c:pt idx="299">
                  <c:v>14000</c:v>
                </c:pt>
                <c:pt idx="300">
                  <c:v>14166.666666666662</c:v>
                </c:pt>
                <c:pt idx="301">
                  <c:v>14166.666666666662</c:v>
                </c:pt>
                <c:pt idx="302">
                  <c:v>14000</c:v>
                </c:pt>
                <c:pt idx="303">
                  <c:v>14000</c:v>
                </c:pt>
                <c:pt idx="304">
                  <c:v>14000</c:v>
                </c:pt>
                <c:pt idx="305">
                  <c:v>13666.666666666662</c:v>
                </c:pt>
                <c:pt idx="306">
                  <c:v>13666.666666666662</c:v>
                </c:pt>
                <c:pt idx="307">
                  <c:v>13333.33333333333</c:v>
                </c:pt>
                <c:pt idx="308">
                  <c:v>13333.33333333333</c:v>
                </c:pt>
                <c:pt idx="309">
                  <c:v>13166.666666666662</c:v>
                </c:pt>
                <c:pt idx="310">
                  <c:v>13166.666666666662</c:v>
                </c:pt>
                <c:pt idx="311">
                  <c:v>13166.666666666662</c:v>
                </c:pt>
                <c:pt idx="312">
                  <c:v>13166.666666666662</c:v>
                </c:pt>
                <c:pt idx="313">
                  <c:v>13166.666666666662</c:v>
                </c:pt>
                <c:pt idx="314">
                  <c:v>13000</c:v>
                </c:pt>
                <c:pt idx="315">
                  <c:v>13166.666666666662</c:v>
                </c:pt>
                <c:pt idx="316">
                  <c:v>13000</c:v>
                </c:pt>
                <c:pt idx="317">
                  <c:v>13000</c:v>
                </c:pt>
                <c:pt idx="318">
                  <c:v>13000</c:v>
                </c:pt>
                <c:pt idx="319">
                  <c:v>13000</c:v>
                </c:pt>
                <c:pt idx="320">
                  <c:v>12833.33333333333</c:v>
                </c:pt>
                <c:pt idx="321">
                  <c:v>12666.666666666662</c:v>
                </c:pt>
                <c:pt idx="322">
                  <c:v>12500</c:v>
                </c:pt>
                <c:pt idx="323">
                  <c:v>12500</c:v>
                </c:pt>
              </c:numCache>
            </c:numRef>
          </c:val>
          <c:smooth val="0"/>
        </c:ser>
        <c:ser>
          <c:idx val="1"/>
          <c:order val="1"/>
          <c:tx>
            <c:strRef>
              <c:f>銅、鋁、鎳、鋅、鉛!$R$1</c:f>
              <c:strCache>
                <c:ptCount val="1"/>
                <c:pt idx="0">
                  <c:v>鎳 倫敦LME 現貨 收盤價(美元/公噸)</c:v>
                </c:pt>
              </c:strCache>
            </c:strRef>
          </c:tx>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銅、鋁、鎳、鋅、鉛!$R$216:$R$539</c:f>
              <c:numCache>
                <c:formatCode>General;General;;</c:formatCode>
                <c:ptCount val="324"/>
                <c:pt idx="0">
                  <c:v>15074</c:v>
                </c:pt>
                <c:pt idx="1">
                  <c:v>14756</c:v>
                </c:pt>
                <c:pt idx="2">
                  <c:v>14756</c:v>
                </c:pt>
                <c:pt idx="3">
                  <c:v>14756</c:v>
                </c:pt>
                <c:pt idx="4">
                  <c:v>15126</c:v>
                </c:pt>
                <c:pt idx="5">
                  <c:v>15191</c:v>
                </c:pt>
                <c:pt idx="6">
                  <c:v>15483</c:v>
                </c:pt>
                <c:pt idx="7">
                  <c:v>15486</c:v>
                </c:pt>
                <c:pt idx="8">
                  <c:v>15235.5</c:v>
                </c:pt>
                <c:pt idx="9">
                  <c:v>15235.5</c:v>
                </c:pt>
                <c:pt idx="10">
                  <c:v>15235.5</c:v>
                </c:pt>
                <c:pt idx="11">
                  <c:v>15029</c:v>
                </c:pt>
                <c:pt idx="12">
                  <c:v>14585</c:v>
                </c:pt>
                <c:pt idx="13">
                  <c:v>14241</c:v>
                </c:pt>
                <c:pt idx="14">
                  <c:v>14413.5</c:v>
                </c:pt>
                <c:pt idx="15">
                  <c:v>14722</c:v>
                </c:pt>
                <c:pt idx="16">
                  <c:v>14722</c:v>
                </c:pt>
                <c:pt idx="17">
                  <c:v>14722</c:v>
                </c:pt>
                <c:pt idx="18">
                  <c:v>14417</c:v>
                </c:pt>
                <c:pt idx="19">
                  <c:v>14721</c:v>
                </c:pt>
                <c:pt idx="20">
                  <c:v>14971.5</c:v>
                </c:pt>
                <c:pt idx="21">
                  <c:v>14792</c:v>
                </c:pt>
                <c:pt idx="22">
                  <c:v>14293</c:v>
                </c:pt>
                <c:pt idx="23">
                  <c:v>14293</c:v>
                </c:pt>
                <c:pt idx="24">
                  <c:v>14293</c:v>
                </c:pt>
                <c:pt idx="25">
                  <c:v>14692</c:v>
                </c:pt>
                <c:pt idx="26">
                  <c:v>14730.5</c:v>
                </c:pt>
                <c:pt idx="27">
                  <c:v>14993</c:v>
                </c:pt>
                <c:pt idx="28">
                  <c:v>14846</c:v>
                </c:pt>
                <c:pt idx="29">
                  <c:v>15109</c:v>
                </c:pt>
                <c:pt idx="30">
                  <c:v>15109</c:v>
                </c:pt>
                <c:pt idx="31">
                  <c:v>15109</c:v>
                </c:pt>
                <c:pt idx="32">
                  <c:v>15274</c:v>
                </c:pt>
                <c:pt idx="33">
                  <c:v>15255.5</c:v>
                </c:pt>
                <c:pt idx="34">
                  <c:v>15070</c:v>
                </c:pt>
                <c:pt idx="35">
                  <c:v>15122.8</c:v>
                </c:pt>
                <c:pt idx="36">
                  <c:v>15179</c:v>
                </c:pt>
                <c:pt idx="37">
                  <c:v>15179</c:v>
                </c:pt>
                <c:pt idx="38">
                  <c:v>15179</c:v>
                </c:pt>
                <c:pt idx="39">
                  <c:v>15098.8</c:v>
                </c:pt>
                <c:pt idx="40">
                  <c:v>14764.8</c:v>
                </c:pt>
                <c:pt idx="41">
                  <c:v>14690.5</c:v>
                </c:pt>
                <c:pt idx="42">
                  <c:v>14648</c:v>
                </c:pt>
                <c:pt idx="43">
                  <c:v>14589</c:v>
                </c:pt>
                <c:pt idx="44">
                  <c:v>14589</c:v>
                </c:pt>
                <c:pt idx="45">
                  <c:v>14589</c:v>
                </c:pt>
                <c:pt idx="46">
                  <c:v>14542</c:v>
                </c:pt>
                <c:pt idx="47">
                  <c:v>14178.5</c:v>
                </c:pt>
                <c:pt idx="48">
                  <c:v>14194.5</c:v>
                </c:pt>
                <c:pt idx="49">
                  <c:v>13927.5</c:v>
                </c:pt>
                <c:pt idx="50">
                  <c:v>13898.5</c:v>
                </c:pt>
                <c:pt idx="51">
                  <c:v>13898.5</c:v>
                </c:pt>
                <c:pt idx="52">
                  <c:v>13898.5</c:v>
                </c:pt>
                <c:pt idx="53">
                  <c:v>14068</c:v>
                </c:pt>
                <c:pt idx="54">
                  <c:v>14291</c:v>
                </c:pt>
                <c:pt idx="55">
                  <c:v>14325</c:v>
                </c:pt>
                <c:pt idx="56">
                  <c:v>14322.5</c:v>
                </c:pt>
                <c:pt idx="57">
                  <c:v>14037</c:v>
                </c:pt>
                <c:pt idx="58">
                  <c:v>14037</c:v>
                </c:pt>
                <c:pt idx="59">
                  <c:v>14037</c:v>
                </c:pt>
                <c:pt idx="60">
                  <c:v>13793.5</c:v>
                </c:pt>
                <c:pt idx="61">
                  <c:v>13614.5</c:v>
                </c:pt>
                <c:pt idx="62">
                  <c:v>13878.5</c:v>
                </c:pt>
                <c:pt idx="63">
                  <c:v>14139.5</c:v>
                </c:pt>
                <c:pt idx="64">
                  <c:v>14311</c:v>
                </c:pt>
                <c:pt idx="65">
                  <c:v>14311</c:v>
                </c:pt>
                <c:pt idx="66">
                  <c:v>14311</c:v>
                </c:pt>
                <c:pt idx="67">
                  <c:v>14447</c:v>
                </c:pt>
                <c:pt idx="68">
                  <c:v>13992</c:v>
                </c:pt>
                <c:pt idx="69">
                  <c:v>13717</c:v>
                </c:pt>
                <c:pt idx="70">
                  <c:v>13848</c:v>
                </c:pt>
                <c:pt idx="71">
                  <c:v>14079.5</c:v>
                </c:pt>
                <c:pt idx="72">
                  <c:v>14079.5</c:v>
                </c:pt>
                <c:pt idx="73">
                  <c:v>14079.5</c:v>
                </c:pt>
                <c:pt idx="74">
                  <c:v>13871</c:v>
                </c:pt>
                <c:pt idx="75">
                  <c:v>13677.5</c:v>
                </c:pt>
                <c:pt idx="76">
                  <c:v>13466</c:v>
                </c:pt>
                <c:pt idx="77">
                  <c:v>13734.5</c:v>
                </c:pt>
                <c:pt idx="78">
                  <c:v>14210</c:v>
                </c:pt>
                <c:pt idx="79">
                  <c:v>14210</c:v>
                </c:pt>
                <c:pt idx="80">
                  <c:v>14210</c:v>
                </c:pt>
                <c:pt idx="81">
                  <c:v>14261.5</c:v>
                </c:pt>
                <c:pt idx="82">
                  <c:v>13907.5</c:v>
                </c:pt>
                <c:pt idx="83">
                  <c:v>13629</c:v>
                </c:pt>
                <c:pt idx="84">
                  <c:v>13647</c:v>
                </c:pt>
                <c:pt idx="85">
                  <c:v>13233</c:v>
                </c:pt>
                <c:pt idx="86">
                  <c:v>13233</c:v>
                </c:pt>
                <c:pt idx="87">
                  <c:v>13233</c:v>
                </c:pt>
                <c:pt idx="88">
                  <c:v>12824.5</c:v>
                </c:pt>
                <c:pt idx="89">
                  <c:v>12339</c:v>
                </c:pt>
                <c:pt idx="90">
                  <c:v>12659</c:v>
                </c:pt>
                <c:pt idx="91">
                  <c:v>12977</c:v>
                </c:pt>
                <c:pt idx="92">
                  <c:v>12977</c:v>
                </c:pt>
                <c:pt idx="93">
                  <c:v>12977</c:v>
                </c:pt>
                <c:pt idx="94">
                  <c:v>12977</c:v>
                </c:pt>
                <c:pt idx="95">
                  <c:v>12977</c:v>
                </c:pt>
                <c:pt idx="96">
                  <c:v>12496</c:v>
                </c:pt>
                <c:pt idx="97">
                  <c:v>12524.5</c:v>
                </c:pt>
                <c:pt idx="98">
                  <c:v>12483</c:v>
                </c:pt>
                <c:pt idx="99">
                  <c:v>12581.5</c:v>
                </c:pt>
                <c:pt idx="100">
                  <c:v>12581.5</c:v>
                </c:pt>
                <c:pt idx="101">
                  <c:v>12581.5</c:v>
                </c:pt>
                <c:pt idx="102">
                  <c:v>12356.5</c:v>
                </c:pt>
                <c:pt idx="103">
                  <c:v>12546</c:v>
                </c:pt>
                <c:pt idx="104">
                  <c:v>12635</c:v>
                </c:pt>
                <c:pt idx="105">
                  <c:v>12798</c:v>
                </c:pt>
                <c:pt idx="106">
                  <c:v>12508.5</c:v>
                </c:pt>
                <c:pt idx="107">
                  <c:v>12508.5</c:v>
                </c:pt>
                <c:pt idx="108">
                  <c:v>12508.5</c:v>
                </c:pt>
                <c:pt idx="109">
                  <c:v>12751</c:v>
                </c:pt>
                <c:pt idx="110">
                  <c:v>12628</c:v>
                </c:pt>
                <c:pt idx="111">
                  <c:v>12626.5</c:v>
                </c:pt>
                <c:pt idx="112">
                  <c:v>12658</c:v>
                </c:pt>
                <c:pt idx="113">
                  <c:v>13158</c:v>
                </c:pt>
                <c:pt idx="114">
                  <c:v>13158</c:v>
                </c:pt>
                <c:pt idx="115">
                  <c:v>13158</c:v>
                </c:pt>
                <c:pt idx="116">
                  <c:v>13516</c:v>
                </c:pt>
                <c:pt idx="117">
                  <c:v>13410</c:v>
                </c:pt>
                <c:pt idx="118">
                  <c:v>13391</c:v>
                </c:pt>
                <c:pt idx="119">
                  <c:v>13915</c:v>
                </c:pt>
                <c:pt idx="120">
                  <c:v>13708.5</c:v>
                </c:pt>
                <c:pt idx="121">
                  <c:v>13708.5</c:v>
                </c:pt>
                <c:pt idx="122">
                  <c:v>13708.5</c:v>
                </c:pt>
                <c:pt idx="123">
                  <c:v>13708.5</c:v>
                </c:pt>
                <c:pt idx="124">
                  <c:v>14258</c:v>
                </c:pt>
                <c:pt idx="125">
                  <c:v>13930.5</c:v>
                </c:pt>
                <c:pt idx="126">
                  <c:v>14099</c:v>
                </c:pt>
                <c:pt idx="127">
                  <c:v>14260</c:v>
                </c:pt>
                <c:pt idx="128">
                  <c:v>14260</c:v>
                </c:pt>
                <c:pt idx="129">
                  <c:v>14260</c:v>
                </c:pt>
                <c:pt idx="130">
                  <c:v>14241</c:v>
                </c:pt>
                <c:pt idx="131">
                  <c:v>14318</c:v>
                </c:pt>
                <c:pt idx="132">
                  <c:v>14014</c:v>
                </c:pt>
                <c:pt idx="133">
                  <c:v>13739</c:v>
                </c:pt>
                <c:pt idx="134">
                  <c:v>13941.5</c:v>
                </c:pt>
                <c:pt idx="135">
                  <c:v>13941.5</c:v>
                </c:pt>
                <c:pt idx="136">
                  <c:v>13941.5</c:v>
                </c:pt>
                <c:pt idx="137">
                  <c:v>13711.5</c:v>
                </c:pt>
                <c:pt idx="138">
                  <c:v>13048</c:v>
                </c:pt>
                <c:pt idx="139">
                  <c:v>13069</c:v>
                </c:pt>
                <c:pt idx="140">
                  <c:v>12957</c:v>
                </c:pt>
                <c:pt idx="141">
                  <c:v>12664</c:v>
                </c:pt>
                <c:pt idx="142">
                  <c:v>12664</c:v>
                </c:pt>
                <c:pt idx="143">
                  <c:v>12664</c:v>
                </c:pt>
                <c:pt idx="144">
                  <c:v>12664</c:v>
                </c:pt>
                <c:pt idx="145">
                  <c:v>12625.5</c:v>
                </c:pt>
                <c:pt idx="146">
                  <c:v>12776</c:v>
                </c:pt>
                <c:pt idx="147">
                  <c:v>12767</c:v>
                </c:pt>
                <c:pt idx="148">
                  <c:v>12588</c:v>
                </c:pt>
                <c:pt idx="149">
                  <c:v>12588</c:v>
                </c:pt>
                <c:pt idx="150">
                  <c:v>12588</c:v>
                </c:pt>
                <c:pt idx="151">
                  <c:v>12957</c:v>
                </c:pt>
                <c:pt idx="152">
                  <c:v>13021</c:v>
                </c:pt>
                <c:pt idx="153">
                  <c:v>12967.5</c:v>
                </c:pt>
                <c:pt idx="154">
                  <c:v>12922</c:v>
                </c:pt>
                <c:pt idx="155">
                  <c:v>13145</c:v>
                </c:pt>
                <c:pt idx="156">
                  <c:v>13145</c:v>
                </c:pt>
                <c:pt idx="157">
                  <c:v>13145</c:v>
                </c:pt>
                <c:pt idx="158">
                  <c:v>13405</c:v>
                </c:pt>
                <c:pt idx="159">
                  <c:v>13460</c:v>
                </c:pt>
                <c:pt idx="160">
                  <c:v>13563.5</c:v>
                </c:pt>
                <c:pt idx="161">
                  <c:v>13267.5</c:v>
                </c:pt>
                <c:pt idx="162">
                  <c:v>13093</c:v>
                </c:pt>
                <c:pt idx="163">
                  <c:v>13093</c:v>
                </c:pt>
                <c:pt idx="164">
                  <c:v>13093</c:v>
                </c:pt>
                <c:pt idx="165">
                  <c:v>12915</c:v>
                </c:pt>
                <c:pt idx="166">
                  <c:v>12685</c:v>
                </c:pt>
                <c:pt idx="167">
                  <c:v>12714.5</c:v>
                </c:pt>
                <c:pt idx="168">
                  <c:v>12681</c:v>
                </c:pt>
                <c:pt idx="169">
                  <c:v>12671.5</c:v>
                </c:pt>
                <c:pt idx="170">
                  <c:v>12671.5</c:v>
                </c:pt>
                <c:pt idx="171">
                  <c:v>12671.5</c:v>
                </c:pt>
                <c:pt idx="172">
                  <c:v>12367</c:v>
                </c:pt>
                <c:pt idx="173">
                  <c:v>12817.5</c:v>
                </c:pt>
                <c:pt idx="174">
                  <c:v>12725.5</c:v>
                </c:pt>
                <c:pt idx="175">
                  <c:v>12654.5</c:v>
                </c:pt>
                <c:pt idx="176">
                  <c:v>12402</c:v>
                </c:pt>
                <c:pt idx="177">
                  <c:v>12402</c:v>
                </c:pt>
                <c:pt idx="178">
                  <c:v>12402</c:v>
                </c:pt>
                <c:pt idx="179">
                  <c:v>11787.5</c:v>
                </c:pt>
                <c:pt idx="180">
                  <c:v>11932.5</c:v>
                </c:pt>
                <c:pt idx="181">
                  <c:v>11982</c:v>
                </c:pt>
                <c:pt idx="182">
                  <c:v>12157</c:v>
                </c:pt>
                <c:pt idx="183">
                  <c:v>11957</c:v>
                </c:pt>
                <c:pt idx="184">
                  <c:v>11957</c:v>
                </c:pt>
                <c:pt idx="185">
                  <c:v>11957</c:v>
                </c:pt>
                <c:pt idx="186">
                  <c:v>11655</c:v>
                </c:pt>
                <c:pt idx="187">
                  <c:v>10604</c:v>
                </c:pt>
                <c:pt idx="188">
                  <c:v>10913</c:v>
                </c:pt>
                <c:pt idx="189">
                  <c:v>11456</c:v>
                </c:pt>
                <c:pt idx="190">
                  <c:v>11218.25</c:v>
                </c:pt>
                <c:pt idx="191">
                  <c:v>11218.25</c:v>
                </c:pt>
                <c:pt idx="192">
                  <c:v>11218.25</c:v>
                </c:pt>
                <c:pt idx="193">
                  <c:v>11713</c:v>
                </c:pt>
                <c:pt idx="194">
                  <c:v>11582.5</c:v>
                </c:pt>
                <c:pt idx="195">
                  <c:v>11436</c:v>
                </c:pt>
                <c:pt idx="196">
                  <c:v>11590</c:v>
                </c:pt>
                <c:pt idx="197">
                  <c:v>11460.5</c:v>
                </c:pt>
                <c:pt idx="198">
                  <c:v>11460.5</c:v>
                </c:pt>
                <c:pt idx="199">
                  <c:v>11460.5</c:v>
                </c:pt>
                <c:pt idx="200">
                  <c:v>11656</c:v>
                </c:pt>
                <c:pt idx="201">
                  <c:v>11630</c:v>
                </c:pt>
                <c:pt idx="202">
                  <c:v>11422</c:v>
                </c:pt>
                <c:pt idx="203">
                  <c:v>11384</c:v>
                </c:pt>
                <c:pt idx="204">
                  <c:v>11251.5</c:v>
                </c:pt>
                <c:pt idx="205">
                  <c:v>11251.5</c:v>
                </c:pt>
                <c:pt idx="206">
                  <c:v>11251.5</c:v>
                </c:pt>
                <c:pt idx="207">
                  <c:v>10982</c:v>
                </c:pt>
                <c:pt idx="208">
                  <c:v>11278</c:v>
                </c:pt>
                <c:pt idx="209">
                  <c:v>11202</c:v>
                </c:pt>
                <c:pt idx="210">
                  <c:v>10978</c:v>
                </c:pt>
                <c:pt idx="211">
                  <c:v>10993.5</c:v>
                </c:pt>
                <c:pt idx="212">
                  <c:v>10993.5</c:v>
                </c:pt>
                <c:pt idx="213">
                  <c:v>10993.5</c:v>
                </c:pt>
                <c:pt idx="214">
                  <c:v>10696</c:v>
                </c:pt>
                <c:pt idx="215">
                  <c:v>10780</c:v>
                </c:pt>
                <c:pt idx="216">
                  <c:v>10812</c:v>
                </c:pt>
                <c:pt idx="217">
                  <c:v>10808</c:v>
                </c:pt>
                <c:pt idx="218">
                  <c:v>10757.5</c:v>
                </c:pt>
                <c:pt idx="219">
                  <c:v>10757.5</c:v>
                </c:pt>
                <c:pt idx="220">
                  <c:v>10757.5</c:v>
                </c:pt>
                <c:pt idx="221">
                  <c:v>11107.5</c:v>
                </c:pt>
                <c:pt idx="222">
                  <c:v>10711.5</c:v>
                </c:pt>
                <c:pt idx="223">
                  <c:v>10559.5</c:v>
                </c:pt>
                <c:pt idx="224">
                  <c:v>10426</c:v>
                </c:pt>
                <c:pt idx="225">
                  <c:v>10568</c:v>
                </c:pt>
                <c:pt idx="226">
                  <c:v>10568</c:v>
                </c:pt>
                <c:pt idx="227">
                  <c:v>10568</c:v>
                </c:pt>
                <c:pt idx="228">
                  <c:v>10593</c:v>
                </c:pt>
                <c:pt idx="229">
                  <c:v>10322</c:v>
                </c:pt>
                <c:pt idx="230">
                  <c:v>10381</c:v>
                </c:pt>
                <c:pt idx="231">
                  <c:v>10370</c:v>
                </c:pt>
                <c:pt idx="232">
                  <c:v>10168</c:v>
                </c:pt>
                <c:pt idx="233">
                  <c:v>10168</c:v>
                </c:pt>
                <c:pt idx="234">
                  <c:v>10168</c:v>
                </c:pt>
                <c:pt idx="235">
                  <c:v>9478</c:v>
                </c:pt>
                <c:pt idx="236">
                  <c:v>9580</c:v>
                </c:pt>
                <c:pt idx="237">
                  <c:v>9538</c:v>
                </c:pt>
                <c:pt idx="238">
                  <c:v>10031</c:v>
                </c:pt>
                <c:pt idx="239">
                  <c:v>10033</c:v>
                </c:pt>
                <c:pt idx="240">
                  <c:v>10033</c:v>
                </c:pt>
                <c:pt idx="241">
                  <c:v>10033</c:v>
                </c:pt>
                <c:pt idx="242">
                  <c:v>10033</c:v>
                </c:pt>
                <c:pt idx="243">
                  <c:v>9729</c:v>
                </c:pt>
                <c:pt idx="244">
                  <c:v>9838.5</c:v>
                </c:pt>
                <c:pt idx="245">
                  <c:v>9976</c:v>
                </c:pt>
                <c:pt idx="246">
                  <c:v>9923.5</c:v>
                </c:pt>
                <c:pt idx="247">
                  <c:v>9923.5</c:v>
                </c:pt>
                <c:pt idx="248">
                  <c:v>9923.5</c:v>
                </c:pt>
                <c:pt idx="249">
                  <c:v>9727</c:v>
                </c:pt>
                <c:pt idx="250">
                  <c:v>9975</c:v>
                </c:pt>
                <c:pt idx="251">
                  <c:v>10073</c:v>
                </c:pt>
                <c:pt idx="252">
                  <c:v>10419.5</c:v>
                </c:pt>
                <c:pt idx="253">
                  <c:v>10270.5</c:v>
                </c:pt>
                <c:pt idx="254">
                  <c:v>10270.5</c:v>
                </c:pt>
                <c:pt idx="255">
                  <c:v>10270.5</c:v>
                </c:pt>
                <c:pt idx="256">
                  <c:v>9888</c:v>
                </c:pt>
                <c:pt idx="257">
                  <c:v>10062.5</c:v>
                </c:pt>
                <c:pt idx="258">
                  <c:v>10093</c:v>
                </c:pt>
                <c:pt idx="259">
                  <c:v>9959</c:v>
                </c:pt>
                <c:pt idx="260">
                  <c:v>9644</c:v>
                </c:pt>
                <c:pt idx="261">
                  <c:v>9644</c:v>
                </c:pt>
                <c:pt idx="262">
                  <c:v>9644</c:v>
                </c:pt>
                <c:pt idx="263">
                  <c:v>9829</c:v>
                </c:pt>
                <c:pt idx="264">
                  <c:v>9655</c:v>
                </c:pt>
                <c:pt idx="265">
                  <c:v>9719</c:v>
                </c:pt>
                <c:pt idx="266">
                  <c:v>9875</c:v>
                </c:pt>
                <c:pt idx="267">
                  <c:v>9918</c:v>
                </c:pt>
                <c:pt idx="268">
                  <c:v>9918</c:v>
                </c:pt>
                <c:pt idx="269">
                  <c:v>9918</c:v>
                </c:pt>
                <c:pt idx="270">
                  <c:v>9844</c:v>
                </c:pt>
                <c:pt idx="271">
                  <c:v>9842</c:v>
                </c:pt>
                <c:pt idx="272">
                  <c:v>10365.5</c:v>
                </c:pt>
                <c:pt idx="273">
                  <c:v>10014.5</c:v>
                </c:pt>
                <c:pt idx="274">
                  <c:v>9994</c:v>
                </c:pt>
                <c:pt idx="275">
                  <c:v>9994</c:v>
                </c:pt>
                <c:pt idx="276">
                  <c:v>9994</c:v>
                </c:pt>
                <c:pt idx="277">
                  <c:v>9907</c:v>
                </c:pt>
                <c:pt idx="278">
                  <c:v>9918</c:v>
                </c:pt>
                <c:pt idx="279">
                  <c:v>10131</c:v>
                </c:pt>
                <c:pt idx="280">
                  <c:v>10138</c:v>
                </c:pt>
                <c:pt idx="281">
                  <c:v>10463</c:v>
                </c:pt>
                <c:pt idx="282">
                  <c:v>10463</c:v>
                </c:pt>
                <c:pt idx="283">
                  <c:v>10463</c:v>
                </c:pt>
                <c:pt idx="284">
                  <c:v>10614</c:v>
                </c:pt>
                <c:pt idx="285">
                  <c:v>10439.5</c:v>
                </c:pt>
                <c:pt idx="286">
                  <c:v>10442</c:v>
                </c:pt>
                <c:pt idx="287">
                  <c:v>10529</c:v>
                </c:pt>
                <c:pt idx="288">
                  <c:v>10554.75</c:v>
                </c:pt>
                <c:pt idx="289">
                  <c:v>10554.75</c:v>
                </c:pt>
                <c:pt idx="290">
                  <c:v>10554.75</c:v>
                </c:pt>
                <c:pt idx="291">
                  <c:v>10347.5</c:v>
                </c:pt>
                <c:pt idx="292">
                  <c:v>10367</c:v>
                </c:pt>
                <c:pt idx="293">
                  <c:v>10245.5</c:v>
                </c:pt>
                <c:pt idx="294">
                  <c:v>10405</c:v>
                </c:pt>
                <c:pt idx="295">
                  <c:v>10488.5</c:v>
                </c:pt>
                <c:pt idx="296">
                  <c:v>10488.5</c:v>
                </c:pt>
                <c:pt idx="297">
                  <c:v>10488.5</c:v>
                </c:pt>
                <c:pt idx="298">
                  <c:v>10430</c:v>
                </c:pt>
                <c:pt idx="299">
                  <c:v>10547</c:v>
                </c:pt>
                <c:pt idx="300">
                  <c:v>10585</c:v>
                </c:pt>
                <c:pt idx="301">
                  <c:v>10364</c:v>
                </c:pt>
                <c:pt idx="302">
                  <c:v>10046</c:v>
                </c:pt>
                <c:pt idx="303">
                  <c:v>10046</c:v>
                </c:pt>
                <c:pt idx="304">
                  <c:v>10046</c:v>
                </c:pt>
                <c:pt idx="305">
                  <c:v>10103.5</c:v>
                </c:pt>
                <c:pt idx="306">
                  <c:v>9877.5</c:v>
                </c:pt>
                <c:pt idx="307">
                  <c:v>9835</c:v>
                </c:pt>
                <c:pt idx="308">
                  <c:v>9770.5</c:v>
                </c:pt>
                <c:pt idx="309">
                  <c:v>9600</c:v>
                </c:pt>
                <c:pt idx="310">
                  <c:v>9600</c:v>
                </c:pt>
                <c:pt idx="311">
                  <c:v>9600</c:v>
                </c:pt>
                <c:pt idx="312">
                  <c:v>9548</c:v>
                </c:pt>
                <c:pt idx="313">
                  <c:v>9472.5</c:v>
                </c:pt>
                <c:pt idx="314">
                  <c:v>9626</c:v>
                </c:pt>
                <c:pt idx="315">
                  <c:v>9376</c:v>
                </c:pt>
                <c:pt idx="316">
                  <c:v>9389.5</c:v>
                </c:pt>
                <c:pt idx="317">
                  <c:v>9389.5</c:v>
                </c:pt>
                <c:pt idx="318">
                  <c:v>9389.5</c:v>
                </c:pt>
                <c:pt idx="319">
                  <c:v>9271.5</c:v>
                </c:pt>
                <c:pt idx="320">
                  <c:v>9068</c:v>
                </c:pt>
                <c:pt idx="321">
                  <c:v>8939.5</c:v>
                </c:pt>
                <c:pt idx="322">
                  <c:v>8911.5</c:v>
                </c:pt>
                <c:pt idx="323">
                  <c:v>8693</c:v>
                </c:pt>
              </c:numCache>
            </c:numRef>
          </c:val>
          <c:smooth val="0"/>
        </c:ser>
        <c:dLbls>
          <c:showLegendKey val="0"/>
          <c:showVal val="0"/>
          <c:showCatName val="0"/>
          <c:showSerName val="0"/>
          <c:showPercent val="0"/>
          <c:showBubbleSize val="0"/>
        </c:dLbls>
        <c:marker val="1"/>
        <c:smooth val="0"/>
        <c:axId val="257069440"/>
        <c:axId val="257070976"/>
      </c:lineChart>
      <c:dateAx>
        <c:axId val="257069440"/>
        <c:scaling>
          <c:orientation val="minMax"/>
        </c:scaling>
        <c:delete val="0"/>
        <c:axPos val="b"/>
        <c:numFmt formatCode="m/d/yyyy" sourceLinked="1"/>
        <c:majorTickMark val="out"/>
        <c:minorTickMark val="none"/>
        <c:tickLblPos val="nextTo"/>
        <c:txPr>
          <a:bodyPr/>
          <a:lstStyle/>
          <a:p>
            <a:pPr>
              <a:defRPr sz="1000"/>
            </a:pPr>
            <a:endParaRPr lang="zh-TW"/>
          </a:p>
        </c:txPr>
        <c:crossAx val="257070976"/>
        <c:crosses val="autoZero"/>
        <c:auto val="1"/>
        <c:lblOffset val="100"/>
        <c:baseTimeUnit val="days"/>
        <c:majorUnit val="1"/>
        <c:majorTimeUnit val="months"/>
        <c:minorUnit val="1"/>
        <c:minorTimeUnit val="months"/>
      </c:dateAx>
      <c:valAx>
        <c:axId val="257070976"/>
        <c:scaling>
          <c:orientation val="minMax"/>
          <c:min val="8000"/>
        </c:scaling>
        <c:delete val="0"/>
        <c:axPos val="l"/>
        <c:majorGridlines/>
        <c:numFmt formatCode="General;General;;" sourceLinked="1"/>
        <c:majorTickMark val="out"/>
        <c:minorTickMark val="none"/>
        <c:tickLblPos val="nextTo"/>
        <c:txPr>
          <a:bodyPr/>
          <a:lstStyle/>
          <a:p>
            <a:pPr>
              <a:defRPr sz="1000"/>
            </a:pPr>
            <a:endParaRPr lang="zh-TW"/>
          </a:p>
        </c:txPr>
        <c:crossAx val="257069440"/>
        <c:crosses val="autoZero"/>
        <c:crossBetween val="between"/>
      </c:valAx>
    </c:plotArea>
    <c:legend>
      <c:legendPos val="b"/>
      <c:layout>
        <c:manualLayout>
          <c:xMode val="edge"/>
          <c:yMode val="edge"/>
          <c:x val="9.9887123007071948E-2"/>
          <c:y val="0.90901913739079454"/>
          <c:w val="0.76904947848318295"/>
          <c:h val="8.6589753348446596E-2"/>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4518742800402091E-2"/>
          <c:y val="3.3456532674510174E-2"/>
          <c:w val="0.87667330272918298"/>
          <c:h val="0.64559248810476233"/>
        </c:manualLayout>
      </c:layout>
      <c:lineChart>
        <c:grouping val="standard"/>
        <c:varyColors val="0"/>
        <c:ser>
          <c:idx val="0"/>
          <c:order val="0"/>
          <c:tx>
            <c:strRef>
              <c:f>銅、鋁、鎳、鋅、鉛!$S$1</c:f>
              <c:strCache>
                <c:ptCount val="1"/>
                <c:pt idx="0">
                  <c:v>鋅 倫敦LME 現貨 收盤價(美元/公噸)</c:v>
                </c:pt>
              </c:strCache>
            </c:strRef>
          </c:tx>
          <c:spPr>
            <a:ln>
              <a:prstDash val="sysDash"/>
            </a:ln>
          </c:spPr>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銅、鋁、鎳、鋅、鉛!$S$216:$S$539</c:f>
              <c:numCache>
                <c:formatCode>General;General;;</c:formatCode>
                <c:ptCount val="324"/>
                <c:pt idx="0">
                  <c:v>2167</c:v>
                </c:pt>
                <c:pt idx="1">
                  <c:v>2194.75</c:v>
                </c:pt>
                <c:pt idx="2">
                  <c:v>2194.75</c:v>
                </c:pt>
                <c:pt idx="3">
                  <c:v>2194.75</c:v>
                </c:pt>
                <c:pt idx="4">
                  <c:v>2173</c:v>
                </c:pt>
                <c:pt idx="5">
                  <c:v>2163</c:v>
                </c:pt>
                <c:pt idx="6">
                  <c:v>2122.5</c:v>
                </c:pt>
                <c:pt idx="7">
                  <c:v>2148.25</c:v>
                </c:pt>
                <c:pt idx="8">
                  <c:v>2145.5</c:v>
                </c:pt>
                <c:pt idx="9">
                  <c:v>2145.5</c:v>
                </c:pt>
                <c:pt idx="10">
                  <c:v>2145.5</c:v>
                </c:pt>
                <c:pt idx="11">
                  <c:v>2127.5</c:v>
                </c:pt>
                <c:pt idx="12">
                  <c:v>2070.5</c:v>
                </c:pt>
                <c:pt idx="13">
                  <c:v>2024</c:v>
                </c:pt>
                <c:pt idx="14">
                  <c:v>2054.25</c:v>
                </c:pt>
                <c:pt idx="15">
                  <c:v>2091.75</c:v>
                </c:pt>
                <c:pt idx="16">
                  <c:v>2091.75</c:v>
                </c:pt>
                <c:pt idx="17">
                  <c:v>2091.75</c:v>
                </c:pt>
                <c:pt idx="18">
                  <c:v>2074</c:v>
                </c:pt>
                <c:pt idx="19">
                  <c:v>2095</c:v>
                </c:pt>
                <c:pt idx="20">
                  <c:v>2135</c:v>
                </c:pt>
                <c:pt idx="21">
                  <c:v>2135.25</c:v>
                </c:pt>
                <c:pt idx="22">
                  <c:v>2085.25</c:v>
                </c:pt>
                <c:pt idx="23">
                  <c:v>2085.25</c:v>
                </c:pt>
                <c:pt idx="24">
                  <c:v>2085.25</c:v>
                </c:pt>
                <c:pt idx="25">
                  <c:v>2126</c:v>
                </c:pt>
                <c:pt idx="26">
                  <c:v>2097.75</c:v>
                </c:pt>
                <c:pt idx="27">
                  <c:v>2108.75</c:v>
                </c:pt>
                <c:pt idx="28">
                  <c:v>2082.25</c:v>
                </c:pt>
                <c:pt idx="29">
                  <c:v>2119.75</c:v>
                </c:pt>
                <c:pt idx="30">
                  <c:v>2119.75</c:v>
                </c:pt>
                <c:pt idx="31">
                  <c:v>2119.75</c:v>
                </c:pt>
                <c:pt idx="32">
                  <c:v>2124</c:v>
                </c:pt>
                <c:pt idx="33">
                  <c:v>2148.25</c:v>
                </c:pt>
                <c:pt idx="34">
                  <c:v>2131</c:v>
                </c:pt>
                <c:pt idx="35">
                  <c:v>2135.75</c:v>
                </c:pt>
                <c:pt idx="36">
                  <c:v>2152.5</c:v>
                </c:pt>
                <c:pt idx="37">
                  <c:v>2152.5</c:v>
                </c:pt>
                <c:pt idx="38">
                  <c:v>2152.5</c:v>
                </c:pt>
                <c:pt idx="39">
                  <c:v>2149.5</c:v>
                </c:pt>
                <c:pt idx="40">
                  <c:v>2102.25</c:v>
                </c:pt>
                <c:pt idx="41">
                  <c:v>2105.5</c:v>
                </c:pt>
                <c:pt idx="42">
                  <c:v>2135.75</c:v>
                </c:pt>
                <c:pt idx="43">
                  <c:v>2140.75</c:v>
                </c:pt>
                <c:pt idx="44">
                  <c:v>2140.75</c:v>
                </c:pt>
                <c:pt idx="45">
                  <c:v>2140.75</c:v>
                </c:pt>
                <c:pt idx="46">
                  <c:v>2138.75</c:v>
                </c:pt>
                <c:pt idx="47">
                  <c:v>2089.5</c:v>
                </c:pt>
                <c:pt idx="48">
                  <c:v>2072.75</c:v>
                </c:pt>
                <c:pt idx="49">
                  <c:v>2061.75</c:v>
                </c:pt>
                <c:pt idx="50">
                  <c:v>2031</c:v>
                </c:pt>
                <c:pt idx="51">
                  <c:v>2031</c:v>
                </c:pt>
                <c:pt idx="52">
                  <c:v>2031</c:v>
                </c:pt>
                <c:pt idx="53">
                  <c:v>2030.75</c:v>
                </c:pt>
                <c:pt idx="54">
                  <c:v>2060.5</c:v>
                </c:pt>
                <c:pt idx="55">
                  <c:v>2042.25</c:v>
                </c:pt>
                <c:pt idx="56">
                  <c:v>2054.5</c:v>
                </c:pt>
                <c:pt idx="57">
                  <c:v>2048.25</c:v>
                </c:pt>
                <c:pt idx="58">
                  <c:v>2048.25</c:v>
                </c:pt>
                <c:pt idx="59">
                  <c:v>2048.25</c:v>
                </c:pt>
                <c:pt idx="60">
                  <c:v>2038.5</c:v>
                </c:pt>
                <c:pt idx="61">
                  <c:v>2008.75</c:v>
                </c:pt>
                <c:pt idx="62">
                  <c:v>2009</c:v>
                </c:pt>
                <c:pt idx="63">
                  <c:v>1999.25</c:v>
                </c:pt>
                <c:pt idx="64">
                  <c:v>2000.5</c:v>
                </c:pt>
                <c:pt idx="65">
                  <c:v>2000.5</c:v>
                </c:pt>
                <c:pt idx="66">
                  <c:v>2000.5</c:v>
                </c:pt>
                <c:pt idx="67">
                  <c:v>2021.75</c:v>
                </c:pt>
                <c:pt idx="68">
                  <c:v>2000.5</c:v>
                </c:pt>
                <c:pt idx="69">
                  <c:v>1979</c:v>
                </c:pt>
                <c:pt idx="70">
                  <c:v>1993</c:v>
                </c:pt>
                <c:pt idx="71">
                  <c:v>2000.5</c:v>
                </c:pt>
                <c:pt idx="72">
                  <c:v>2000.5</c:v>
                </c:pt>
                <c:pt idx="73">
                  <c:v>2000.5</c:v>
                </c:pt>
                <c:pt idx="74">
                  <c:v>1991.25</c:v>
                </c:pt>
                <c:pt idx="75">
                  <c:v>2001.75</c:v>
                </c:pt>
                <c:pt idx="76">
                  <c:v>1977.25</c:v>
                </c:pt>
                <c:pt idx="77">
                  <c:v>2010.25</c:v>
                </c:pt>
                <c:pt idx="78">
                  <c:v>2053.75</c:v>
                </c:pt>
                <c:pt idx="79">
                  <c:v>2053.75</c:v>
                </c:pt>
                <c:pt idx="80">
                  <c:v>2053.75</c:v>
                </c:pt>
                <c:pt idx="81">
                  <c:v>2077.25</c:v>
                </c:pt>
                <c:pt idx="82">
                  <c:v>2076.75</c:v>
                </c:pt>
                <c:pt idx="83">
                  <c:v>2070.75</c:v>
                </c:pt>
                <c:pt idx="84">
                  <c:v>2079</c:v>
                </c:pt>
                <c:pt idx="85">
                  <c:v>2072.25</c:v>
                </c:pt>
                <c:pt idx="86">
                  <c:v>2072.25</c:v>
                </c:pt>
                <c:pt idx="87">
                  <c:v>2072.25</c:v>
                </c:pt>
                <c:pt idx="88">
                  <c:v>2099</c:v>
                </c:pt>
                <c:pt idx="89">
                  <c:v>2072</c:v>
                </c:pt>
                <c:pt idx="90">
                  <c:v>2094</c:v>
                </c:pt>
                <c:pt idx="91">
                  <c:v>2121.25</c:v>
                </c:pt>
                <c:pt idx="92">
                  <c:v>2121.25</c:v>
                </c:pt>
                <c:pt idx="93">
                  <c:v>2121.25</c:v>
                </c:pt>
                <c:pt idx="94">
                  <c:v>2121.25</c:v>
                </c:pt>
                <c:pt idx="95">
                  <c:v>2121.25</c:v>
                </c:pt>
                <c:pt idx="96">
                  <c:v>2145</c:v>
                </c:pt>
                <c:pt idx="97">
                  <c:v>2151.75</c:v>
                </c:pt>
                <c:pt idx="98">
                  <c:v>2171.5</c:v>
                </c:pt>
                <c:pt idx="99">
                  <c:v>2202.5</c:v>
                </c:pt>
                <c:pt idx="100">
                  <c:v>2202.5</c:v>
                </c:pt>
                <c:pt idx="101">
                  <c:v>2202.5</c:v>
                </c:pt>
                <c:pt idx="102">
                  <c:v>2199.5</c:v>
                </c:pt>
                <c:pt idx="103">
                  <c:v>2183.5</c:v>
                </c:pt>
                <c:pt idx="104">
                  <c:v>2191.5</c:v>
                </c:pt>
                <c:pt idx="105">
                  <c:v>2222</c:v>
                </c:pt>
                <c:pt idx="106">
                  <c:v>2206.25</c:v>
                </c:pt>
                <c:pt idx="107">
                  <c:v>2206.25</c:v>
                </c:pt>
                <c:pt idx="108">
                  <c:v>2206.25</c:v>
                </c:pt>
                <c:pt idx="109">
                  <c:v>2170.75</c:v>
                </c:pt>
                <c:pt idx="110">
                  <c:v>2201.25</c:v>
                </c:pt>
                <c:pt idx="111">
                  <c:v>2232.25</c:v>
                </c:pt>
                <c:pt idx="112">
                  <c:v>2219.5</c:v>
                </c:pt>
                <c:pt idx="113">
                  <c:v>2244.5</c:v>
                </c:pt>
                <c:pt idx="114">
                  <c:v>2244.5</c:v>
                </c:pt>
                <c:pt idx="115">
                  <c:v>2244.5</c:v>
                </c:pt>
                <c:pt idx="116">
                  <c:v>2303.5</c:v>
                </c:pt>
                <c:pt idx="117">
                  <c:v>2306</c:v>
                </c:pt>
                <c:pt idx="118">
                  <c:v>2321</c:v>
                </c:pt>
                <c:pt idx="119">
                  <c:v>2367</c:v>
                </c:pt>
                <c:pt idx="120">
                  <c:v>2364</c:v>
                </c:pt>
                <c:pt idx="121">
                  <c:v>2364</c:v>
                </c:pt>
                <c:pt idx="122">
                  <c:v>2364</c:v>
                </c:pt>
                <c:pt idx="123">
                  <c:v>2364</c:v>
                </c:pt>
                <c:pt idx="124">
                  <c:v>2433.5</c:v>
                </c:pt>
                <c:pt idx="125">
                  <c:v>2381.5</c:v>
                </c:pt>
                <c:pt idx="126">
                  <c:v>2385</c:v>
                </c:pt>
                <c:pt idx="127">
                  <c:v>2361.75</c:v>
                </c:pt>
                <c:pt idx="128">
                  <c:v>2361.75</c:v>
                </c:pt>
                <c:pt idx="129">
                  <c:v>2361.75</c:v>
                </c:pt>
                <c:pt idx="130">
                  <c:v>2312</c:v>
                </c:pt>
                <c:pt idx="131">
                  <c:v>2366.5</c:v>
                </c:pt>
                <c:pt idx="132">
                  <c:v>2347</c:v>
                </c:pt>
                <c:pt idx="133">
                  <c:v>2311.25</c:v>
                </c:pt>
                <c:pt idx="134">
                  <c:v>2289.5</c:v>
                </c:pt>
                <c:pt idx="135">
                  <c:v>2289.5</c:v>
                </c:pt>
                <c:pt idx="136">
                  <c:v>2289.5</c:v>
                </c:pt>
                <c:pt idx="137">
                  <c:v>2280.75</c:v>
                </c:pt>
                <c:pt idx="138">
                  <c:v>2222</c:v>
                </c:pt>
                <c:pt idx="139">
                  <c:v>2189.5</c:v>
                </c:pt>
                <c:pt idx="140">
                  <c:v>2181</c:v>
                </c:pt>
                <c:pt idx="141">
                  <c:v>2168.5</c:v>
                </c:pt>
                <c:pt idx="142">
                  <c:v>2168.5</c:v>
                </c:pt>
                <c:pt idx="143">
                  <c:v>2168.5</c:v>
                </c:pt>
                <c:pt idx="144">
                  <c:v>2168.5</c:v>
                </c:pt>
                <c:pt idx="145">
                  <c:v>2168</c:v>
                </c:pt>
                <c:pt idx="146">
                  <c:v>2182.25</c:v>
                </c:pt>
                <c:pt idx="147">
                  <c:v>2228.25</c:v>
                </c:pt>
                <c:pt idx="148">
                  <c:v>2182</c:v>
                </c:pt>
                <c:pt idx="149">
                  <c:v>2182</c:v>
                </c:pt>
                <c:pt idx="150">
                  <c:v>2182</c:v>
                </c:pt>
                <c:pt idx="151">
                  <c:v>2147.5</c:v>
                </c:pt>
                <c:pt idx="152">
                  <c:v>2150.25</c:v>
                </c:pt>
                <c:pt idx="153">
                  <c:v>2161.75</c:v>
                </c:pt>
                <c:pt idx="154">
                  <c:v>2131.25</c:v>
                </c:pt>
                <c:pt idx="155">
                  <c:v>2117.75</c:v>
                </c:pt>
                <c:pt idx="156">
                  <c:v>2117.75</c:v>
                </c:pt>
                <c:pt idx="157">
                  <c:v>2117.75</c:v>
                </c:pt>
                <c:pt idx="158">
                  <c:v>2128.25</c:v>
                </c:pt>
                <c:pt idx="159">
                  <c:v>2148.75</c:v>
                </c:pt>
                <c:pt idx="160">
                  <c:v>2124</c:v>
                </c:pt>
                <c:pt idx="161">
                  <c:v>2107.75</c:v>
                </c:pt>
                <c:pt idx="162">
                  <c:v>2112.5</c:v>
                </c:pt>
                <c:pt idx="163">
                  <c:v>2112.5</c:v>
                </c:pt>
                <c:pt idx="164">
                  <c:v>2112.5</c:v>
                </c:pt>
                <c:pt idx="165">
                  <c:v>2092.25</c:v>
                </c:pt>
                <c:pt idx="166">
                  <c:v>2077</c:v>
                </c:pt>
                <c:pt idx="167">
                  <c:v>2062.25</c:v>
                </c:pt>
                <c:pt idx="168">
                  <c:v>2051.75</c:v>
                </c:pt>
                <c:pt idx="169">
                  <c:v>2031.25</c:v>
                </c:pt>
                <c:pt idx="170">
                  <c:v>2031.25</c:v>
                </c:pt>
                <c:pt idx="171">
                  <c:v>2031.25</c:v>
                </c:pt>
                <c:pt idx="172">
                  <c:v>2020</c:v>
                </c:pt>
                <c:pt idx="173">
                  <c:v>2043</c:v>
                </c:pt>
                <c:pt idx="174">
                  <c:v>2034.25</c:v>
                </c:pt>
                <c:pt idx="175">
                  <c:v>2027.25</c:v>
                </c:pt>
                <c:pt idx="176">
                  <c:v>2025</c:v>
                </c:pt>
                <c:pt idx="177">
                  <c:v>2025</c:v>
                </c:pt>
                <c:pt idx="178">
                  <c:v>2025</c:v>
                </c:pt>
                <c:pt idx="179">
                  <c:v>2016.5</c:v>
                </c:pt>
                <c:pt idx="180">
                  <c:v>1995.75</c:v>
                </c:pt>
                <c:pt idx="181">
                  <c:v>2041</c:v>
                </c:pt>
                <c:pt idx="182">
                  <c:v>2015.5</c:v>
                </c:pt>
                <c:pt idx="183">
                  <c:v>2011.75</c:v>
                </c:pt>
                <c:pt idx="184">
                  <c:v>2011.75</c:v>
                </c:pt>
                <c:pt idx="185">
                  <c:v>2011.75</c:v>
                </c:pt>
                <c:pt idx="186">
                  <c:v>2009.25</c:v>
                </c:pt>
                <c:pt idx="187">
                  <c:v>1923.25</c:v>
                </c:pt>
                <c:pt idx="188">
                  <c:v>1980.5</c:v>
                </c:pt>
                <c:pt idx="189">
                  <c:v>2010.25</c:v>
                </c:pt>
                <c:pt idx="190">
                  <c:v>2004.25</c:v>
                </c:pt>
                <c:pt idx="191">
                  <c:v>2004.25</c:v>
                </c:pt>
                <c:pt idx="192">
                  <c:v>2004.25</c:v>
                </c:pt>
                <c:pt idx="193">
                  <c:v>2045.5</c:v>
                </c:pt>
                <c:pt idx="194">
                  <c:v>2044.25</c:v>
                </c:pt>
                <c:pt idx="195">
                  <c:v>2068.5</c:v>
                </c:pt>
                <c:pt idx="196">
                  <c:v>2063</c:v>
                </c:pt>
                <c:pt idx="197">
                  <c:v>2056.25</c:v>
                </c:pt>
                <c:pt idx="198">
                  <c:v>2056.25</c:v>
                </c:pt>
                <c:pt idx="199">
                  <c:v>2056.25</c:v>
                </c:pt>
                <c:pt idx="200">
                  <c:v>2046.25</c:v>
                </c:pt>
                <c:pt idx="201">
                  <c:v>2030.5</c:v>
                </c:pt>
                <c:pt idx="202">
                  <c:v>1995.5</c:v>
                </c:pt>
                <c:pt idx="203">
                  <c:v>1977.25</c:v>
                </c:pt>
                <c:pt idx="204">
                  <c:v>1945.75</c:v>
                </c:pt>
                <c:pt idx="205">
                  <c:v>1945.75</c:v>
                </c:pt>
                <c:pt idx="206">
                  <c:v>1945.75</c:v>
                </c:pt>
                <c:pt idx="207">
                  <c:v>1926</c:v>
                </c:pt>
                <c:pt idx="208">
                  <c:v>1978.5</c:v>
                </c:pt>
                <c:pt idx="209">
                  <c:v>1973</c:v>
                </c:pt>
                <c:pt idx="210">
                  <c:v>1957.25</c:v>
                </c:pt>
                <c:pt idx="211">
                  <c:v>1912.5</c:v>
                </c:pt>
                <c:pt idx="212">
                  <c:v>1912.5</c:v>
                </c:pt>
                <c:pt idx="213">
                  <c:v>1912.5</c:v>
                </c:pt>
                <c:pt idx="214">
                  <c:v>1900</c:v>
                </c:pt>
                <c:pt idx="215">
                  <c:v>1911.75</c:v>
                </c:pt>
                <c:pt idx="216">
                  <c:v>1883.75</c:v>
                </c:pt>
                <c:pt idx="217">
                  <c:v>1857.25</c:v>
                </c:pt>
                <c:pt idx="218">
                  <c:v>1851.75</c:v>
                </c:pt>
                <c:pt idx="219">
                  <c:v>1851.75</c:v>
                </c:pt>
                <c:pt idx="220">
                  <c:v>1851.75</c:v>
                </c:pt>
                <c:pt idx="221">
                  <c:v>1872</c:v>
                </c:pt>
                <c:pt idx="222">
                  <c:v>1795.25</c:v>
                </c:pt>
                <c:pt idx="223">
                  <c:v>1822.25</c:v>
                </c:pt>
                <c:pt idx="224">
                  <c:v>1831.5</c:v>
                </c:pt>
                <c:pt idx="225">
                  <c:v>1827.75</c:v>
                </c:pt>
                <c:pt idx="226">
                  <c:v>1827.75</c:v>
                </c:pt>
                <c:pt idx="227">
                  <c:v>1827.75</c:v>
                </c:pt>
                <c:pt idx="228">
                  <c:v>1809</c:v>
                </c:pt>
                <c:pt idx="229">
                  <c:v>1758.5</c:v>
                </c:pt>
                <c:pt idx="230">
                  <c:v>1780.25</c:v>
                </c:pt>
                <c:pt idx="231">
                  <c:v>1810.5</c:v>
                </c:pt>
                <c:pt idx="232">
                  <c:v>1762</c:v>
                </c:pt>
                <c:pt idx="233">
                  <c:v>1762</c:v>
                </c:pt>
                <c:pt idx="234">
                  <c:v>1762</c:v>
                </c:pt>
                <c:pt idx="235">
                  <c:v>1701.5</c:v>
                </c:pt>
                <c:pt idx="236">
                  <c:v>1733.75</c:v>
                </c:pt>
                <c:pt idx="237">
                  <c:v>1684.75</c:v>
                </c:pt>
                <c:pt idx="238">
                  <c:v>1752</c:v>
                </c:pt>
                <c:pt idx="239">
                  <c:v>1807.25</c:v>
                </c:pt>
                <c:pt idx="240">
                  <c:v>1807.25</c:v>
                </c:pt>
                <c:pt idx="241">
                  <c:v>1807.25</c:v>
                </c:pt>
                <c:pt idx="242">
                  <c:v>1807.25</c:v>
                </c:pt>
                <c:pt idx="243">
                  <c:v>1804.5</c:v>
                </c:pt>
                <c:pt idx="244">
                  <c:v>1810.75</c:v>
                </c:pt>
                <c:pt idx="245">
                  <c:v>1803.5</c:v>
                </c:pt>
                <c:pt idx="246">
                  <c:v>1779.25</c:v>
                </c:pt>
                <c:pt idx="247">
                  <c:v>1779.25</c:v>
                </c:pt>
                <c:pt idx="248">
                  <c:v>1779.25</c:v>
                </c:pt>
                <c:pt idx="249">
                  <c:v>1765.75</c:v>
                </c:pt>
                <c:pt idx="250">
                  <c:v>1807.75</c:v>
                </c:pt>
                <c:pt idx="251">
                  <c:v>1810.25</c:v>
                </c:pt>
                <c:pt idx="252">
                  <c:v>1805.75</c:v>
                </c:pt>
                <c:pt idx="253">
                  <c:v>1804.75</c:v>
                </c:pt>
                <c:pt idx="254">
                  <c:v>1804.75</c:v>
                </c:pt>
                <c:pt idx="255">
                  <c:v>1804.75</c:v>
                </c:pt>
                <c:pt idx="256">
                  <c:v>1737.75</c:v>
                </c:pt>
                <c:pt idx="257">
                  <c:v>1718.75</c:v>
                </c:pt>
                <c:pt idx="258">
                  <c:v>1728.5</c:v>
                </c:pt>
                <c:pt idx="259">
                  <c:v>1706.75</c:v>
                </c:pt>
                <c:pt idx="260">
                  <c:v>1673</c:v>
                </c:pt>
                <c:pt idx="261">
                  <c:v>1673</c:v>
                </c:pt>
                <c:pt idx="262">
                  <c:v>1673</c:v>
                </c:pt>
                <c:pt idx="263">
                  <c:v>1641</c:v>
                </c:pt>
                <c:pt idx="264">
                  <c:v>1612.25</c:v>
                </c:pt>
                <c:pt idx="265">
                  <c:v>1634</c:v>
                </c:pt>
                <c:pt idx="266">
                  <c:v>1660.75</c:v>
                </c:pt>
                <c:pt idx="267">
                  <c:v>1615.75</c:v>
                </c:pt>
                <c:pt idx="268">
                  <c:v>1615.75</c:v>
                </c:pt>
                <c:pt idx="269">
                  <c:v>1615.75</c:v>
                </c:pt>
                <c:pt idx="270">
                  <c:v>1613.25</c:v>
                </c:pt>
                <c:pt idx="271">
                  <c:v>1640</c:v>
                </c:pt>
                <c:pt idx="272">
                  <c:v>1671</c:v>
                </c:pt>
                <c:pt idx="273">
                  <c:v>1669.25</c:v>
                </c:pt>
                <c:pt idx="274">
                  <c:v>1665.5</c:v>
                </c:pt>
                <c:pt idx="275">
                  <c:v>1665.5</c:v>
                </c:pt>
                <c:pt idx="276">
                  <c:v>1665.5</c:v>
                </c:pt>
                <c:pt idx="277">
                  <c:v>1643</c:v>
                </c:pt>
                <c:pt idx="278">
                  <c:v>1634.25</c:v>
                </c:pt>
                <c:pt idx="279">
                  <c:v>1670.25</c:v>
                </c:pt>
                <c:pt idx="280">
                  <c:v>1644.25</c:v>
                </c:pt>
                <c:pt idx="281">
                  <c:v>1816.25</c:v>
                </c:pt>
                <c:pt idx="282">
                  <c:v>1816.25</c:v>
                </c:pt>
                <c:pt idx="283">
                  <c:v>1816.25</c:v>
                </c:pt>
                <c:pt idx="284">
                  <c:v>1820.75</c:v>
                </c:pt>
                <c:pt idx="285">
                  <c:v>1797</c:v>
                </c:pt>
                <c:pt idx="286">
                  <c:v>1792.25</c:v>
                </c:pt>
                <c:pt idx="287">
                  <c:v>1802.25</c:v>
                </c:pt>
                <c:pt idx="288">
                  <c:v>1777.25</c:v>
                </c:pt>
                <c:pt idx="289">
                  <c:v>1777.25</c:v>
                </c:pt>
                <c:pt idx="290">
                  <c:v>1777.25</c:v>
                </c:pt>
                <c:pt idx="291">
                  <c:v>1768.5</c:v>
                </c:pt>
                <c:pt idx="292">
                  <c:v>1737.75</c:v>
                </c:pt>
                <c:pt idx="293">
                  <c:v>1701</c:v>
                </c:pt>
                <c:pt idx="294">
                  <c:v>1726.25</c:v>
                </c:pt>
                <c:pt idx="295">
                  <c:v>1732.5</c:v>
                </c:pt>
                <c:pt idx="296">
                  <c:v>1732.5</c:v>
                </c:pt>
                <c:pt idx="297">
                  <c:v>1732.5</c:v>
                </c:pt>
                <c:pt idx="298">
                  <c:v>1719.75</c:v>
                </c:pt>
                <c:pt idx="299">
                  <c:v>1720.5</c:v>
                </c:pt>
                <c:pt idx="300">
                  <c:v>1720.75</c:v>
                </c:pt>
                <c:pt idx="301">
                  <c:v>1687.25</c:v>
                </c:pt>
                <c:pt idx="302">
                  <c:v>1689</c:v>
                </c:pt>
                <c:pt idx="303">
                  <c:v>1689</c:v>
                </c:pt>
                <c:pt idx="304">
                  <c:v>1689</c:v>
                </c:pt>
                <c:pt idx="305">
                  <c:v>1659</c:v>
                </c:pt>
                <c:pt idx="306">
                  <c:v>1668.5</c:v>
                </c:pt>
                <c:pt idx="307">
                  <c:v>1656.25</c:v>
                </c:pt>
                <c:pt idx="308">
                  <c:v>1638.75</c:v>
                </c:pt>
                <c:pt idx="309">
                  <c:v>1636</c:v>
                </c:pt>
                <c:pt idx="310">
                  <c:v>1636</c:v>
                </c:pt>
                <c:pt idx="311">
                  <c:v>1636</c:v>
                </c:pt>
                <c:pt idx="312">
                  <c:v>1621</c:v>
                </c:pt>
                <c:pt idx="313">
                  <c:v>1584.25</c:v>
                </c:pt>
                <c:pt idx="314">
                  <c:v>1607.5</c:v>
                </c:pt>
                <c:pt idx="315">
                  <c:v>1597.5</c:v>
                </c:pt>
                <c:pt idx="316">
                  <c:v>1602.5</c:v>
                </c:pt>
                <c:pt idx="317">
                  <c:v>1602.5</c:v>
                </c:pt>
                <c:pt idx="318">
                  <c:v>1602.5</c:v>
                </c:pt>
                <c:pt idx="319">
                  <c:v>1565.75</c:v>
                </c:pt>
                <c:pt idx="320">
                  <c:v>1526.5</c:v>
                </c:pt>
                <c:pt idx="321">
                  <c:v>1495.25</c:v>
                </c:pt>
                <c:pt idx="322">
                  <c:v>1515.5</c:v>
                </c:pt>
                <c:pt idx="323">
                  <c:v>1550</c:v>
                </c:pt>
              </c:numCache>
            </c:numRef>
          </c:val>
          <c:smooth val="0"/>
        </c:ser>
        <c:ser>
          <c:idx val="1"/>
          <c:order val="1"/>
          <c:tx>
            <c:strRef>
              <c:f>銅、鋁、鎳、鋅、鉛!$T$1</c:f>
              <c:strCache>
                <c:ptCount val="1"/>
                <c:pt idx="0">
                  <c:v>鋅 99.95%澳洲進口 東又悅(上午) 未稅出廠價(美元/公噸)</c:v>
                </c:pt>
              </c:strCache>
            </c:strRef>
          </c:tx>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銅、鋁、鎳、鋅、鉛!$T$216:$T$539</c:f>
              <c:numCache>
                <c:formatCode>General;General;;</c:formatCode>
                <c:ptCount val="324"/>
                <c:pt idx="0">
                  <c:v>2566.6666666666647</c:v>
                </c:pt>
                <c:pt idx="1">
                  <c:v>2566.6666666666647</c:v>
                </c:pt>
                <c:pt idx="2">
                  <c:v>2566.6666666666647</c:v>
                </c:pt>
                <c:pt idx="3">
                  <c:v>2566.6666666666647</c:v>
                </c:pt>
                <c:pt idx="4">
                  <c:v>2600</c:v>
                </c:pt>
                <c:pt idx="5">
                  <c:v>2600</c:v>
                </c:pt>
                <c:pt idx="6">
                  <c:v>2600</c:v>
                </c:pt>
                <c:pt idx="7">
                  <c:v>2566.6666666666647</c:v>
                </c:pt>
                <c:pt idx="8">
                  <c:v>2566.6666666666647</c:v>
                </c:pt>
                <c:pt idx="9">
                  <c:v>2566.6666666666647</c:v>
                </c:pt>
                <c:pt idx="10">
                  <c:v>2566.6666666666647</c:v>
                </c:pt>
                <c:pt idx="11">
                  <c:v>2566.6666666666647</c:v>
                </c:pt>
                <c:pt idx="12">
                  <c:v>2533.3333333333362</c:v>
                </c:pt>
                <c:pt idx="13">
                  <c:v>2466.6666666666647</c:v>
                </c:pt>
                <c:pt idx="14">
                  <c:v>2433.3333333333362</c:v>
                </c:pt>
                <c:pt idx="15">
                  <c:v>2433.3333333333362</c:v>
                </c:pt>
                <c:pt idx="16">
                  <c:v>2433.3333333333362</c:v>
                </c:pt>
                <c:pt idx="17">
                  <c:v>2433.3333333333362</c:v>
                </c:pt>
                <c:pt idx="18">
                  <c:v>2466.6666666666647</c:v>
                </c:pt>
                <c:pt idx="19">
                  <c:v>2466.6666666666647</c:v>
                </c:pt>
                <c:pt idx="20">
                  <c:v>2500</c:v>
                </c:pt>
                <c:pt idx="21">
                  <c:v>2500</c:v>
                </c:pt>
                <c:pt idx="22">
                  <c:v>2533.3333333333362</c:v>
                </c:pt>
                <c:pt idx="23">
                  <c:v>2533.3333333333362</c:v>
                </c:pt>
                <c:pt idx="24">
                  <c:v>2533.3333333333362</c:v>
                </c:pt>
                <c:pt idx="25">
                  <c:v>2466.6666666666647</c:v>
                </c:pt>
                <c:pt idx="26">
                  <c:v>2500</c:v>
                </c:pt>
                <c:pt idx="27">
                  <c:v>2500</c:v>
                </c:pt>
                <c:pt idx="28">
                  <c:v>2466.6666666666647</c:v>
                </c:pt>
                <c:pt idx="29">
                  <c:v>2466.6666666666647</c:v>
                </c:pt>
                <c:pt idx="30">
                  <c:v>2466.6666666666647</c:v>
                </c:pt>
                <c:pt idx="31">
                  <c:v>2466.6666666666647</c:v>
                </c:pt>
                <c:pt idx="32">
                  <c:v>2500</c:v>
                </c:pt>
                <c:pt idx="33">
                  <c:v>2533.3333333333362</c:v>
                </c:pt>
                <c:pt idx="34">
                  <c:v>2566.6666666666647</c:v>
                </c:pt>
                <c:pt idx="35">
                  <c:v>2500</c:v>
                </c:pt>
                <c:pt idx="36">
                  <c:v>2533.3333333333362</c:v>
                </c:pt>
                <c:pt idx="37">
                  <c:v>2533.3333333333362</c:v>
                </c:pt>
                <c:pt idx="38">
                  <c:v>2533.3333333333362</c:v>
                </c:pt>
                <c:pt idx="39">
                  <c:v>2533.3333333333362</c:v>
                </c:pt>
                <c:pt idx="40">
                  <c:v>2533.3333333333362</c:v>
                </c:pt>
                <c:pt idx="41">
                  <c:v>2500</c:v>
                </c:pt>
                <c:pt idx="42">
                  <c:v>2500</c:v>
                </c:pt>
                <c:pt idx="43">
                  <c:v>2533.3333333333362</c:v>
                </c:pt>
                <c:pt idx="44">
                  <c:v>2533.3333333333362</c:v>
                </c:pt>
                <c:pt idx="45">
                  <c:v>2533.3333333333362</c:v>
                </c:pt>
                <c:pt idx="46">
                  <c:v>2533.3333333333362</c:v>
                </c:pt>
                <c:pt idx="47">
                  <c:v>2533.3333333333362</c:v>
                </c:pt>
                <c:pt idx="48">
                  <c:v>2533.3333333333362</c:v>
                </c:pt>
                <c:pt idx="49">
                  <c:v>2533.3333333333362</c:v>
                </c:pt>
                <c:pt idx="50">
                  <c:v>2533.3333333333362</c:v>
                </c:pt>
                <c:pt idx="51">
                  <c:v>2533.3333333333362</c:v>
                </c:pt>
                <c:pt idx="52">
                  <c:v>2533.3333333333362</c:v>
                </c:pt>
                <c:pt idx="53">
                  <c:v>2533.3333333333362</c:v>
                </c:pt>
                <c:pt idx="54">
                  <c:v>2433.3333333333362</c:v>
                </c:pt>
                <c:pt idx="55">
                  <c:v>2466.6666666666647</c:v>
                </c:pt>
                <c:pt idx="56">
                  <c:v>2433.3333333333362</c:v>
                </c:pt>
                <c:pt idx="57">
                  <c:v>2433.3333333333362</c:v>
                </c:pt>
                <c:pt idx="58">
                  <c:v>2433.3333333333362</c:v>
                </c:pt>
                <c:pt idx="59">
                  <c:v>2433.3333333333362</c:v>
                </c:pt>
                <c:pt idx="60">
                  <c:v>2433.3333333333362</c:v>
                </c:pt>
                <c:pt idx="61">
                  <c:v>2433.3333333333362</c:v>
                </c:pt>
                <c:pt idx="62">
                  <c:v>2400</c:v>
                </c:pt>
                <c:pt idx="63">
                  <c:v>2400</c:v>
                </c:pt>
                <c:pt idx="64">
                  <c:v>2366.6666666666647</c:v>
                </c:pt>
                <c:pt idx="65">
                  <c:v>2366.6666666666647</c:v>
                </c:pt>
                <c:pt idx="66">
                  <c:v>2366.6666666666647</c:v>
                </c:pt>
                <c:pt idx="67">
                  <c:v>2400</c:v>
                </c:pt>
                <c:pt idx="68">
                  <c:v>2400</c:v>
                </c:pt>
                <c:pt idx="69">
                  <c:v>2400</c:v>
                </c:pt>
                <c:pt idx="70">
                  <c:v>2366.6666666666647</c:v>
                </c:pt>
                <c:pt idx="71">
                  <c:v>2400</c:v>
                </c:pt>
                <c:pt idx="72">
                  <c:v>2400</c:v>
                </c:pt>
                <c:pt idx="73">
                  <c:v>2400</c:v>
                </c:pt>
                <c:pt idx="74">
                  <c:v>2400</c:v>
                </c:pt>
                <c:pt idx="75">
                  <c:v>2400</c:v>
                </c:pt>
                <c:pt idx="76">
                  <c:v>2400</c:v>
                </c:pt>
                <c:pt idx="77">
                  <c:v>2400</c:v>
                </c:pt>
                <c:pt idx="78">
                  <c:v>2400</c:v>
                </c:pt>
                <c:pt idx="79">
                  <c:v>2400</c:v>
                </c:pt>
                <c:pt idx="80">
                  <c:v>2400</c:v>
                </c:pt>
                <c:pt idx="81">
                  <c:v>2433.3333333333362</c:v>
                </c:pt>
                <c:pt idx="82">
                  <c:v>2466.6666666666647</c:v>
                </c:pt>
                <c:pt idx="83">
                  <c:v>2433.3333333333362</c:v>
                </c:pt>
                <c:pt idx="84">
                  <c:v>2433.3333333333362</c:v>
                </c:pt>
                <c:pt idx="85">
                  <c:v>2433.3333333333362</c:v>
                </c:pt>
                <c:pt idx="86">
                  <c:v>2433.3333333333362</c:v>
                </c:pt>
                <c:pt idx="87">
                  <c:v>2433.3333333333362</c:v>
                </c:pt>
                <c:pt idx="88">
                  <c:v>2433.3333333333362</c:v>
                </c:pt>
                <c:pt idx="89">
                  <c:v>2466.6666666666647</c:v>
                </c:pt>
                <c:pt idx="90">
                  <c:v>2433.3333333333362</c:v>
                </c:pt>
                <c:pt idx="91">
                  <c:v>2466.6666666666647</c:v>
                </c:pt>
                <c:pt idx="92">
                  <c:v>2466.6666666666647</c:v>
                </c:pt>
                <c:pt idx="93">
                  <c:v>2466.6666666666647</c:v>
                </c:pt>
                <c:pt idx="94">
                  <c:v>2466.6666666666647</c:v>
                </c:pt>
                <c:pt idx="95">
                  <c:v>2466.6666666666647</c:v>
                </c:pt>
                <c:pt idx="96">
                  <c:v>2500</c:v>
                </c:pt>
                <c:pt idx="97">
                  <c:v>2500</c:v>
                </c:pt>
                <c:pt idx="98">
                  <c:v>2500</c:v>
                </c:pt>
                <c:pt idx="99">
                  <c:v>2533.3333333333362</c:v>
                </c:pt>
                <c:pt idx="100">
                  <c:v>2533.3333333333362</c:v>
                </c:pt>
                <c:pt idx="101">
                  <c:v>2533.3333333333362</c:v>
                </c:pt>
                <c:pt idx="102">
                  <c:v>2566.6666666666647</c:v>
                </c:pt>
                <c:pt idx="103">
                  <c:v>2566.6666666666647</c:v>
                </c:pt>
                <c:pt idx="104">
                  <c:v>2566.6666666666647</c:v>
                </c:pt>
                <c:pt idx="105">
                  <c:v>2566.6666666666647</c:v>
                </c:pt>
                <c:pt idx="106">
                  <c:v>2600</c:v>
                </c:pt>
                <c:pt idx="107">
                  <c:v>2600</c:v>
                </c:pt>
                <c:pt idx="108">
                  <c:v>2600</c:v>
                </c:pt>
                <c:pt idx="109">
                  <c:v>2600</c:v>
                </c:pt>
                <c:pt idx="110">
                  <c:v>2533.3333333333362</c:v>
                </c:pt>
                <c:pt idx="111">
                  <c:v>2566.6666666666647</c:v>
                </c:pt>
                <c:pt idx="112">
                  <c:v>2600</c:v>
                </c:pt>
                <c:pt idx="113">
                  <c:v>2566.6666666666647</c:v>
                </c:pt>
                <c:pt idx="114">
                  <c:v>2566.6666666666647</c:v>
                </c:pt>
                <c:pt idx="115">
                  <c:v>2566.6666666666647</c:v>
                </c:pt>
                <c:pt idx="116">
                  <c:v>2600</c:v>
                </c:pt>
                <c:pt idx="117">
                  <c:v>2633.3333333333362</c:v>
                </c:pt>
                <c:pt idx="118">
                  <c:v>2633.3333333333362</c:v>
                </c:pt>
                <c:pt idx="119">
                  <c:v>2633.3333333333362</c:v>
                </c:pt>
                <c:pt idx="120">
                  <c:v>2633.3333333333362</c:v>
                </c:pt>
                <c:pt idx="121">
                  <c:v>2633.3333333333362</c:v>
                </c:pt>
                <c:pt idx="122">
                  <c:v>2633.3333333333362</c:v>
                </c:pt>
                <c:pt idx="123">
                  <c:v>2700</c:v>
                </c:pt>
                <c:pt idx="124">
                  <c:v>2700</c:v>
                </c:pt>
                <c:pt idx="125">
                  <c:v>2766.6666666666647</c:v>
                </c:pt>
                <c:pt idx="126">
                  <c:v>2700</c:v>
                </c:pt>
                <c:pt idx="127">
                  <c:v>2700</c:v>
                </c:pt>
                <c:pt idx="128">
                  <c:v>2700</c:v>
                </c:pt>
                <c:pt idx="129">
                  <c:v>2700</c:v>
                </c:pt>
                <c:pt idx="130">
                  <c:v>2700</c:v>
                </c:pt>
                <c:pt idx="131">
                  <c:v>2633.3333333333362</c:v>
                </c:pt>
                <c:pt idx="132">
                  <c:v>2700</c:v>
                </c:pt>
                <c:pt idx="133">
                  <c:v>2700</c:v>
                </c:pt>
                <c:pt idx="134">
                  <c:v>2633.3333333333362</c:v>
                </c:pt>
                <c:pt idx="135">
                  <c:v>2633.3333333333362</c:v>
                </c:pt>
                <c:pt idx="136">
                  <c:v>2633.3333333333362</c:v>
                </c:pt>
                <c:pt idx="137">
                  <c:v>2600</c:v>
                </c:pt>
                <c:pt idx="138">
                  <c:v>2600</c:v>
                </c:pt>
                <c:pt idx="139">
                  <c:v>2533.3333333333362</c:v>
                </c:pt>
                <c:pt idx="140">
                  <c:v>2533.3333333333362</c:v>
                </c:pt>
                <c:pt idx="141">
                  <c:v>2500</c:v>
                </c:pt>
                <c:pt idx="142">
                  <c:v>2500</c:v>
                </c:pt>
                <c:pt idx="143">
                  <c:v>2500</c:v>
                </c:pt>
                <c:pt idx="144">
                  <c:v>2466.6666666666647</c:v>
                </c:pt>
                <c:pt idx="145">
                  <c:v>2500</c:v>
                </c:pt>
                <c:pt idx="146">
                  <c:v>2500</c:v>
                </c:pt>
                <c:pt idx="147">
                  <c:v>2533.3333333333362</c:v>
                </c:pt>
                <c:pt idx="148">
                  <c:v>2566.6666666666647</c:v>
                </c:pt>
                <c:pt idx="149">
                  <c:v>2566.6666666666647</c:v>
                </c:pt>
                <c:pt idx="150">
                  <c:v>2566.6666666666647</c:v>
                </c:pt>
                <c:pt idx="151">
                  <c:v>2500</c:v>
                </c:pt>
                <c:pt idx="152">
                  <c:v>2466.6666666666647</c:v>
                </c:pt>
                <c:pt idx="153">
                  <c:v>2500</c:v>
                </c:pt>
                <c:pt idx="154">
                  <c:v>2500</c:v>
                </c:pt>
                <c:pt idx="155">
                  <c:v>2466.6666666666647</c:v>
                </c:pt>
                <c:pt idx="156">
                  <c:v>2466.6666666666647</c:v>
                </c:pt>
                <c:pt idx="157">
                  <c:v>2466.6666666666647</c:v>
                </c:pt>
                <c:pt idx="158">
                  <c:v>2466.6666666666647</c:v>
                </c:pt>
                <c:pt idx="159">
                  <c:v>2500</c:v>
                </c:pt>
                <c:pt idx="160">
                  <c:v>2533.3333333333362</c:v>
                </c:pt>
                <c:pt idx="161">
                  <c:v>2500</c:v>
                </c:pt>
                <c:pt idx="162">
                  <c:v>2466.6666666666647</c:v>
                </c:pt>
                <c:pt idx="163">
                  <c:v>2466.6666666666647</c:v>
                </c:pt>
                <c:pt idx="164">
                  <c:v>2466.6666666666647</c:v>
                </c:pt>
                <c:pt idx="165">
                  <c:v>2466.6666666666647</c:v>
                </c:pt>
                <c:pt idx="166">
                  <c:v>2433.3333333333362</c:v>
                </c:pt>
                <c:pt idx="167">
                  <c:v>2433.3333333333362</c:v>
                </c:pt>
                <c:pt idx="168">
                  <c:v>2433.3333333333362</c:v>
                </c:pt>
                <c:pt idx="169">
                  <c:v>2433.3333333333362</c:v>
                </c:pt>
                <c:pt idx="170">
                  <c:v>2433.3333333333362</c:v>
                </c:pt>
                <c:pt idx="171">
                  <c:v>2433.3333333333362</c:v>
                </c:pt>
                <c:pt idx="172">
                  <c:v>2366.6666666666647</c:v>
                </c:pt>
                <c:pt idx="173">
                  <c:v>2366.6666666666647</c:v>
                </c:pt>
                <c:pt idx="174">
                  <c:v>2366.6666666666647</c:v>
                </c:pt>
                <c:pt idx="175">
                  <c:v>2366.6666666666647</c:v>
                </c:pt>
                <c:pt idx="176">
                  <c:v>2366.6666666666647</c:v>
                </c:pt>
                <c:pt idx="177">
                  <c:v>2366.6666666666647</c:v>
                </c:pt>
                <c:pt idx="178">
                  <c:v>2366.6666666666647</c:v>
                </c:pt>
                <c:pt idx="179">
                  <c:v>2366.6666666666647</c:v>
                </c:pt>
                <c:pt idx="180">
                  <c:v>2366.6666666666647</c:v>
                </c:pt>
                <c:pt idx="181">
                  <c:v>2333.3333333333362</c:v>
                </c:pt>
                <c:pt idx="182">
                  <c:v>2400</c:v>
                </c:pt>
                <c:pt idx="183">
                  <c:v>2366.6666666666647</c:v>
                </c:pt>
                <c:pt idx="184">
                  <c:v>2366.6666666666647</c:v>
                </c:pt>
                <c:pt idx="185">
                  <c:v>2366.6666666666647</c:v>
                </c:pt>
                <c:pt idx="186">
                  <c:v>2333.3333333333362</c:v>
                </c:pt>
                <c:pt idx="187">
                  <c:v>2366.6666666666647</c:v>
                </c:pt>
                <c:pt idx="188">
                  <c:v>2300</c:v>
                </c:pt>
                <c:pt idx="189">
                  <c:v>2333.3333333333362</c:v>
                </c:pt>
                <c:pt idx="190">
                  <c:v>2366.6666666666647</c:v>
                </c:pt>
                <c:pt idx="191">
                  <c:v>2366.6666666666647</c:v>
                </c:pt>
                <c:pt idx="192">
                  <c:v>2366.6666666666647</c:v>
                </c:pt>
                <c:pt idx="193">
                  <c:v>2333.3333333333362</c:v>
                </c:pt>
                <c:pt idx="194">
                  <c:v>2400</c:v>
                </c:pt>
                <c:pt idx="195">
                  <c:v>2400</c:v>
                </c:pt>
                <c:pt idx="196">
                  <c:v>2433.3333333333362</c:v>
                </c:pt>
                <c:pt idx="197">
                  <c:v>2433.3333333333362</c:v>
                </c:pt>
                <c:pt idx="198">
                  <c:v>2433.3333333333362</c:v>
                </c:pt>
                <c:pt idx="199">
                  <c:v>2433.3333333333362</c:v>
                </c:pt>
                <c:pt idx="200">
                  <c:v>2400</c:v>
                </c:pt>
                <c:pt idx="201">
                  <c:v>2400</c:v>
                </c:pt>
                <c:pt idx="202">
                  <c:v>2400</c:v>
                </c:pt>
                <c:pt idx="203">
                  <c:v>2366.6666666666647</c:v>
                </c:pt>
                <c:pt idx="204">
                  <c:v>2366.6666666666647</c:v>
                </c:pt>
                <c:pt idx="205">
                  <c:v>2366.6666666666647</c:v>
                </c:pt>
                <c:pt idx="206">
                  <c:v>2366.6666666666647</c:v>
                </c:pt>
                <c:pt idx="207">
                  <c:v>2333.3333333333362</c:v>
                </c:pt>
                <c:pt idx="208">
                  <c:v>2300</c:v>
                </c:pt>
                <c:pt idx="209">
                  <c:v>2366.6666666666647</c:v>
                </c:pt>
                <c:pt idx="210">
                  <c:v>2366.6666666666647</c:v>
                </c:pt>
                <c:pt idx="211">
                  <c:v>2333.3333333333362</c:v>
                </c:pt>
                <c:pt idx="212">
                  <c:v>2333.3333333333362</c:v>
                </c:pt>
                <c:pt idx="213">
                  <c:v>2333.3333333333362</c:v>
                </c:pt>
                <c:pt idx="214">
                  <c:v>2300</c:v>
                </c:pt>
                <c:pt idx="215">
                  <c:v>2300</c:v>
                </c:pt>
                <c:pt idx="216">
                  <c:v>2300</c:v>
                </c:pt>
                <c:pt idx="217">
                  <c:v>2300</c:v>
                </c:pt>
                <c:pt idx="218">
                  <c:v>2233.3333333333362</c:v>
                </c:pt>
                <c:pt idx="219">
                  <c:v>2233.3333333333362</c:v>
                </c:pt>
                <c:pt idx="220">
                  <c:v>2233.3333333333362</c:v>
                </c:pt>
                <c:pt idx="221">
                  <c:v>2233.3333333333362</c:v>
                </c:pt>
                <c:pt idx="222">
                  <c:v>2266.6666666666647</c:v>
                </c:pt>
                <c:pt idx="223">
                  <c:v>2166.6666666666647</c:v>
                </c:pt>
                <c:pt idx="224">
                  <c:v>2233.3333333333362</c:v>
                </c:pt>
                <c:pt idx="225">
                  <c:v>2266.6666666666647</c:v>
                </c:pt>
                <c:pt idx="226">
                  <c:v>2266.6666666666647</c:v>
                </c:pt>
                <c:pt idx="227">
                  <c:v>2266.6666666666647</c:v>
                </c:pt>
                <c:pt idx="228">
                  <c:v>2233.3333333333362</c:v>
                </c:pt>
                <c:pt idx="229">
                  <c:v>2233.3333333333362</c:v>
                </c:pt>
                <c:pt idx="230">
                  <c:v>2200</c:v>
                </c:pt>
                <c:pt idx="231">
                  <c:v>2200</c:v>
                </c:pt>
                <c:pt idx="232">
                  <c:v>2233.3333333333362</c:v>
                </c:pt>
                <c:pt idx="233">
                  <c:v>2233.3333333333362</c:v>
                </c:pt>
                <c:pt idx="234">
                  <c:v>2233.3333333333362</c:v>
                </c:pt>
                <c:pt idx="235">
                  <c:v>2166.6666666666647</c:v>
                </c:pt>
                <c:pt idx="236">
                  <c:v>2166.6666666666647</c:v>
                </c:pt>
                <c:pt idx="237">
                  <c:v>2166.6666666666647</c:v>
                </c:pt>
                <c:pt idx="238">
                  <c:v>2133.3333333333362</c:v>
                </c:pt>
                <c:pt idx="239">
                  <c:v>2166.6666666666647</c:v>
                </c:pt>
                <c:pt idx="240">
                  <c:v>2166.6666666666647</c:v>
                </c:pt>
                <c:pt idx="241">
                  <c:v>2166.6666666666647</c:v>
                </c:pt>
                <c:pt idx="242">
                  <c:v>2233.3333333333362</c:v>
                </c:pt>
                <c:pt idx="243">
                  <c:v>2233.3333333333362</c:v>
                </c:pt>
                <c:pt idx="244">
                  <c:v>2233.3333333333362</c:v>
                </c:pt>
                <c:pt idx="245">
                  <c:v>2233.3333333333362</c:v>
                </c:pt>
                <c:pt idx="246">
                  <c:v>2233.3333333333362</c:v>
                </c:pt>
                <c:pt idx="247">
                  <c:v>2233.3333333333362</c:v>
                </c:pt>
                <c:pt idx="248">
                  <c:v>2233.3333333333362</c:v>
                </c:pt>
                <c:pt idx="249">
                  <c:v>2233.3333333333362</c:v>
                </c:pt>
                <c:pt idx="250">
                  <c:v>2200</c:v>
                </c:pt>
                <c:pt idx="251">
                  <c:v>2266.6666666666647</c:v>
                </c:pt>
                <c:pt idx="252">
                  <c:v>2233.3333333333362</c:v>
                </c:pt>
                <c:pt idx="253">
                  <c:v>2233.3333333333362</c:v>
                </c:pt>
                <c:pt idx="254">
                  <c:v>2233.3333333333362</c:v>
                </c:pt>
                <c:pt idx="255">
                  <c:v>2233.3333333333362</c:v>
                </c:pt>
                <c:pt idx="256">
                  <c:v>2233.3333333333362</c:v>
                </c:pt>
                <c:pt idx="257">
                  <c:v>2200</c:v>
                </c:pt>
                <c:pt idx="258">
                  <c:v>2166.6666666666647</c:v>
                </c:pt>
                <c:pt idx="259">
                  <c:v>2166.6666666666647</c:v>
                </c:pt>
                <c:pt idx="260">
                  <c:v>2133.3333333333362</c:v>
                </c:pt>
                <c:pt idx="261">
                  <c:v>2133.3333333333362</c:v>
                </c:pt>
                <c:pt idx="262">
                  <c:v>2133.3333333333362</c:v>
                </c:pt>
                <c:pt idx="263">
                  <c:v>2066.6666666666647</c:v>
                </c:pt>
                <c:pt idx="264">
                  <c:v>2033.3333333333326</c:v>
                </c:pt>
                <c:pt idx="265">
                  <c:v>2066.6666666666647</c:v>
                </c:pt>
                <c:pt idx="266">
                  <c:v>2066.6666666666647</c:v>
                </c:pt>
                <c:pt idx="267">
                  <c:v>2100</c:v>
                </c:pt>
                <c:pt idx="268">
                  <c:v>2100</c:v>
                </c:pt>
                <c:pt idx="269">
                  <c:v>2100</c:v>
                </c:pt>
                <c:pt idx="270">
                  <c:v>2100</c:v>
                </c:pt>
                <c:pt idx="271">
                  <c:v>2066.6666666666647</c:v>
                </c:pt>
                <c:pt idx="272">
                  <c:v>2100</c:v>
                </c:pt>
                <c:pt idx="273">
                  <c:v>2133.3333333333362</c:v>
                </c:pt>
                <c:pt idx="274">
                  <c:v>2100</c:v>
                </c:pt>
                <c:pt idx="275">
                  <c:v>2100</c:v>
                </c:pt>
                <c:pt idx="276">
                  <c:v>2100</c:v>
                </c:pt>
                <c:pt idx="277">
                  <c:v>2133.3333333333362</c:v>
                </c:pt>
                <c:pt idx="278">
                  <c:v>2066.6666666666647</c:v>
                </c:pt>
                <c:pt idx="279">
                  <c:v>2066.6666666666647</c:v>
                </c:pt>
                <c:pt idx="280">
                  <c:v>2100</c:v>
                </c:pt>
                <c:pt idx="281">
                  <c:v>2100</c:v>
                </c:pt>
                <c:pt idx="282">
                  <c:v>2100</c:v>
                </c:pt>
                <c:pt idx="283">
                  <c:v>2100</c:v>
                </c:pt>
                <c:pt idx="284">
                  <c:v>2266.6666666666647</c:v>
                </c:pt>
                <c:pt idx="285">
                  <c:v>2266.6666666666647</c:v>
                </c:pt>
                <c:pt idx="286">
                  <c:v>2233.3333333333362</c:v>
                </c:pt>
                <c:pt idx="287">
                  <c:v>2266.6666666666647</c:v>
                </c:pt>
                <c:pt idx="288">
                  <c:v>2233.3333333333362</c:v>
                </c:pt>
                <c:pt idx="289">
                  <c:v>2233.3333333333362</c:v>
                </c:pt>
                <c:pt idx="290">
                  <c:v>2233.3333333333362</c:v>
                </c:pt>
                <c:pt idx="291">
                  <c:v>2200</c:v>
                </c:pt>
                <c:pt idx="292">
                  <c:v>2166.6666666666647</c:v>
                </c:pt>
                <c:pt idx="293">
                  <c:v>2166.6666666666647</c:v>
                </c:pt>
                <c:pt idx="294">
                  <c:v>2133.3333333333362</c:v>
                </c:pt>
                <c:pt idx="295">
                  <c:v>2166.6666666666647</c:v>
                </c:pt>
                <c:pt idx="296">
                  <c:v>2166.6666666666647</c:v>
                </c:pt>
                <c:pt idx="297">
                  <c:v>2166.6666666666647</c:v>
                </c:pt>
                <c:pt idx="298">
                  <c:v>2133.3333333333362</c:v>
                </c:pt>
                <c:pt idx="299">
                  <c:v>2133.3333333333362</c:v>
                </c:pt>
                <c:pt idx="300">
                  <c:v>2133.3333333333362</c:v>
                </c:pt>
                <c:pt idx="301">
                  <c:v>2133.3333333333362</c:v>
                </c:pt>
                <c:pt idx="302">
                  <c:v>2100</c:v>
                </c:pt>
                <c:pt idx="303">
                  <c:v>2100</c:v>
                </c:pt>
                <c:pt idx="304">
                  <c:v>2100</c:v>
                </c:pt>
                <c:pt idx="305">
                  <c:v>2100</c:v>
                </c:pt>
                <c:pt idx="306">
                  <c:v>2100</c:v>
                </c:pt>
                <c:pt idx="307">
                  <c:v>2100</c:v>
                </c:pt>
                <c:pt idx="308">
                  <c:v>2066.6666666666647</c:v>
                </c:pt>
                <c:pt idx="309">
                  <c:v>2066.6666666666647</c:v>
                </c:pt>
                <c:pt idx="310">
                  <c:v>2066.6666666666647</c:v>
                </c:pt>
                <c:pt idx="311">
                  <c:v>2066.6666666666647</c:v>
                </c:pt>
                <c:pt idx="312">
                  <c:v>2066.6666666666647</c:v>
                </c:pt>
                <c:pt idx="313">
                  <c:v>2033.3333333333326</c:v>
                </c:pt>
                <c:pt idx="314">
                  <c:v>2033.3333333333326</c:v>
                </c:pt>
                <c:pt idx="315">
                  <c:v>2033.3333333333326</c:v>
                </c:pt>
                <c:pt idx="316">
                  <c:v>2033.3333333333326</c:v>
                </c:pt>
                <c:pt idx="317">
                  <c:v>2033.3333333333326</c:v>
                </c:pt>
                <c:pt idx="318">
                  <c:v>2033.3333333333326</c:v>
                </c:pt>
                <c:pt idx="319">
                  <c:v>2033.3333333333326</c:v>
                </c:pt>
                <c:pt idx="320">
                  <c:v>2000</c:v>
                </c:pt>
                <c:pt idx="321">
                  <c:v>1933.3333333333326</c:v>
                </c:pt>
                <c:pt idx="322">
                  <c:v>1933.3333333333326</c:v>
                </c:pt>
                <c:pt idx="323">
                  <c:v>1933.3333333333326</c:v>
                </c:pt>
              </c:numCache>
            </c:numRef>
          </c:val>
          <c:smooth val="0"/>
        </c:ser>
        <c:dLbls>
          <c:showLegendKey val="0"/>
          <c:showVal val="0"/>
          <c:showCatName val="0"/>
          <c:showSerName val="0"/>
          <c:showPercent val="0"/>
          <c:showBubbleSize val="0"/>
        </c:dLbls>
        <c:marker val="1"/>
        <c:smooth val="0"/>
        <c:axId val="257935616"/>
        <c:axId val="257941504"/>
      </c:lineChart>
      <c:dateAx>
        <c:axId val="257935616"/>
        <c:scaling>
          <c:orientation val="minMax"/>
        </c:scaling>
        <c:delete val="0"/>
        <c:axPos val="b"/>
        <c:numFmt formatCode="m/d/yyyy" sourceLinked="1"/>
        <c:majorTickMark val="out"/>
        <c:minorTickMark val="none"/>
        <c:tickLblPos val="nextTo"/>
        <c:txPr>
          <a:bodyPr/>
          <a:lstStyle/>
          <a:p>
            <a:pPr>
              <a:defRPr sz="1000"/>
            </a:pPr>
            <a:endParaRPr lang="zh-TW"/>
          </a:p>
        </c:txPr>
        <c:crossAx val="257941504"/>
        <c:crosses val="autoZero"/>
        <c:auto val="1"/>
        <c:lblOffset val="100"/>
        <c:baseTimeUnit val="days"/>
        <c:majorUnit val="1"/>
        <c:majorTimeUnit val="months"/>
        <c:minorUnit val="1"/>
        <c:minorTimeUnit val="months"/>
      </c:dateAx>
      <c:valAx>
        <c:axId val="257941504"/>
        <c:scaling>
          <c:orientation val="minMax"/>
          <c:min val="1300"/>
        </c:scaling>
        <c:delete val="0"/>
        <c:axPos val="l"/>
        <c:majorGridlines/>
        <c:numFmt formatCode="General;General;;" sourceLinked="1"/>
        <c:majorTickMark val="out"/>
        <c:minorTickMark val="none"/>
        <c:tickLblPos val="nextTo"/>
        <c:txPr>
          <a:bodyPr/>
          <a:lstStyle/>
          <a:p>
            <a:pPr>
              <a:defRPr sz="1000"/>
            </a:pPr>
            <a:endParaRPr lang="zh-TW"/>
          </a:p>
        </c:txPr>
        <c:crossAx val="257935616"/>
        <c:crosses val="autoZero"/>
        <c:crossBetween val="between"/>
      </c:valAx>
    </c:plotArea>
    <c:legend>
      <c:legendPos val="b"/>
      <c:layout>
        <c:manualLayout>
          <c:xMode val="edge"/>
          <c:yMode val="edge"/>
          <c:x val="0.15945376230644026"/>
          <c:y val="0.89258938296264545"/>
          <c:w val="0.70706545000085619"/>
          <c:h val="9.0068373842093791E-2"/>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5193059517740404E-2"/>
          <c:y val="2.821264462139449E-2"/>
          <c:w val="0.87545753789106129"/>
          <c:h val="0.59593568172399503"/>
        </c:manualLayout>
      </c:layout>
      <c:lineChart>
        <c:grouping val="standard"/>
        <c:varyColors val="0"/>
        <c:ser>
          <c:idx val="0"/>
          <c:order val="0"/>
          <c:tx>
            <c:strRef>
              <c:f>銅、鋁、鎳、鋅、鉛!$U$1</c:f>
              <c:strCache>
                <c:ptCount val="1"/>
                <c:pt idx="0">
                  <c:v>鉛錠 99.97% 泰銘 未稅出廠價(美元/公噸)</c:v>
                </c:pt>
              </c:strCache>
            </c:strRef>
          </c:tx>
          <c:spPr>
            <a:ln>
              <a:prstDash val="sysDash"/>
            </a:ln>
          </c:spPr>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銅、鋁、鎳、鋅、鉛!$U$216:$U$539</c:f>
              <c:numCache>
                <c:formatCode>General;General;;</c:formatCode>
                <c:ptCount val="324"/>
                <c:pt idx="0">
                  <c:v>2233.3333333333362</c:v>
                </c:pt>
                <c:pt idx="1">
                  <c:v>2233.3333333333362</c:v>
                </c:pt>
                <c:pt idx="2">
                  <c:v>2233.3333333333362</c:v>
                </c:pt>
                <c:pt idx="3">
                  <c:v>2233.3333333333362</c:v>
                </c:pt>
                <c:pt idx="4">
                  <c:v>2233.3333333333362</c:v>
                </c:pt>
                <c:pt idx="5">
                  <c:v>2233.3333333333362</c:v>
                </c:pt>
                <c:pt idx="6">
                  <c:v>2233.3333333333362</c:v>
                </c:pt>
                <c:pt idx="7">
                  <c:v>2233.3333333333362</c:v>
                </c:pt>
                <c:pt idx="8">
                  <c:v>2233.3333333333362</c:v>
                </c:pt>
                <c:pt idx="9">
                  <c:v>2233.3333333333362</c:v>
                </c:pt>
                <c:pt idx="10">
                  <c:v>2233.3333333333362</c:v>
                </c:pt>
                <c:pt idx="11">
                  <c:v>2233.3333333333362</c:v>
                </c:pt>
                <c:pt idx="12">
                  <c:v>2233.3333333333362</c:v>
                </c:pt>
                <c:pt idx="13">
                  <c:v>2233.3333333333362</c:v>
                </c:pt>
                <c:pt idx="14">
                  <c:v>2233.3333333333362</c:v>
                </c:pt>
                <c:pt idx="15">
                  <c:v>2233.3333333333362</c:v>
                </c:pt>
                <c:pt idx="16">
                  <c:v>2233.3333333333362</c:v>
                </c:pt>
                <c:pt idx="17">
                  <c:v>2233.3333333333362</c:v>
                </c:pt>
                <c:pt idx="18">
                  <c:v>2233.3333333333362</c:v>
                </c:pt>
                <c:pt idx="19">
                  <c:v>2233.3333333333362</c:v>
                </c:pt>
                <c:pt idx="20">
                  <c:v>2233.3333333333362</c:v>
                </c:pt>
                <c:pt idx="21">
                  <c:v>2233.3333333333362</c:v>
                </c:pt>
                <c:pt idx="22">
                  <c:v>2233.3333333333362</c:v>
                </c:pt>
                <c:pt idx="23">
                  <c:v>2233.3333333333362</c:v>
                </c:pt>
                <c:pt idx="24">
                  <c:v>2233.3333333333362</c:v>
                </c:pt>
                <c:pt idx="25">
                  <c:v>2233.3333333333362</c:v>
                </c:pt>
                <c:pt idx="26">
                  <c:v>2233.3333333333362</c:v>
                </c:pt>
                <c:pt idx="27">
                  <c:v>2233.3333333333362</c:v>
                </c:pt>
                <c:pt idx="28">
                  <c:v>2233.3333333333362</c:v>
                </c:pt>
                <c:pt idx="29">
                  <c:v>2233.3333333333362</c:v>
                </c:pt>
                <c:pt idx="30">
                  <c:v>2233.3333333333362</c:v>
                </c:pt>
                <c:pt idx="31">
                  <c:v>2200</c:v>
                </c:pt>
                <c:pt idx="32">
                  <c:v>2200</c:v>
                </c:pt>
                <c:pt idx="33">
                  <c:v>2200</c:v>
                </c:pt>
                <c:pt idx="34">
                  <c:v>2200</c:v>
                </c:pt>
                <c:pt idx="35">
                  <c:v>2200</c:v>
                </c:pt>
                <c:pt idx="36">
                  <c:v>2200</c:v>
                </c:pt>
                <c:pt idx="37">
                  <c:v>2200</c:v>
                </c:pt>
                <c:pt idx="38">
                  <c:v>2200</c:v>
                </c:pt>
                <c:pt idx="39">
                  <c:v>2200</c:v>
                </c:pt>
                <c:pt idx="40">
                  <c:v>2200</c:v>
                </c:pt>
                <c:pt idx="41">
                  <c:v>2200</c:v>
                </c:pt>
                <c:pt idx="42">
                  <c:v>2200</c:v>
                </c:pt>
                <c:pt idx="43">
                  <c:v>2200</c:v>
                </c:pt>
                <c:pt idx="44">
                  <c:v>2200</c:v>
                </c:pt>
                <c:pt idx="45">
                  <c:v>2200</c:v>
                </c:pt>
                <c:pt idx="46">
                  <c:v>2200</c:v>
                </c:pt>
                <c:pt idx="47">
                  <c:v>2200</c:v>
                </c:pt>
                <c:pt idx="48">
                  <c:v>2200</c:v>
                </c:pt>
                <c:pt idx="49">
                  <c:v>2200</c:v>
                </c:pt>
                <c:pt idx="50">
                  <c:v>2200</c:v>
                </c:pt>
                <c:pt idx="51">
                  <c:v>2200</c:v>
                </c:pt>
                <c:pt idx="52">
                  <c:v>2200</c:v>
                </c:pt>
                <c:pt idx="53">
                  <c:v>2200</c:v>
                </c:pt>
                <c:pt idx="54">
                  <c:v>2200</c:v>
                </c:pt>
                <c:pt idx="55">
                  <c:v>2200</c:v>
                </c:pt>
                <c:pt idx="56">
                  <c:v>2200</c:v>
                </c:pt>
                <c:pt idx="57">
                  <c:v>2200</c:v>
                </c:pt>
                <c:pt idx="58">
                  <c:v>2200</c:v>
                </c:pt>
                <c:pt idx="59">
                  <c:v>2183.3333333333362</c:v>
                </c:pt>
                <c:pt idx="60">
                  <c:v>2183.3333333333362</c:v>
                </c:pt>
                <c:pt idx="61">
                  <c:v>2183.3333333333362</c:v>
                </c:pt>
                <c:pt idx="62">
                  <c:v>2183.3333333333362</c:v>
                </c:pt>
                <c:pt idx="63">
                  <c:v>2183.3333333333362</c:v>
                </c:pt>
                <c:pt idx="64">
                  <c:v>2183.3333333333362</c:v>
                </c:pt>
                <c:pt idx="65">
                  <c:v>2183.3333333333362</c:v>
                </c:pt>
                <c:pt idx="66">
                  <c:v>2183.3333333333362</c:v>
                </c:pt>
                <c:pt idx="67">
                  <c:v>2183.3333333333362</c:v>
                </c:pt>
                <c:pt idx="68">
                  <c:v>2183.3333333333362</c:v>
                </c:pt>
                <c:pt idx="69">
                  <c:v>2183.3333333333362</c:v>
                </c:pt>
                <c:pt idx="70">
                  <c:v>2183.3333333333362</c:v>
                </c:pt>
                <c:pt idx="71">
                  <c:v>2183.3333333333362</c:v>
                </c:pt>
                <c:pt idx="72">
                  <c:v>2183.3333333333362</c:v>
                </c:pt>
                <c:pt idx="73">
                  <c:v>2183.3333333333362</c:v>
                </c:pt>
                <c:pt idx="74">
                  <c:v>2183.3333333333362</c:v>
                </c:pt>
                <c:pt idx="75">
                  <c:v>2183.3333333333362</c:v>
                </c:pt>
                <c:pt idx="76">
                  <c:v>2183.3333333333362</c:v>
                </c:pt>
                <c:pt idx="77">
                  <c:v>2183.3333333333362</c:v>
                </c:pt>
                <c:pt idx="78">
                  <c:v>2183.3333333333362</c:v>
                </c:pt>
                <c:pt idx="79">
                  <c:v>2183.3333333333362</c:v>
                </c:pt>
                <c:pt idx="80">
                  <c:v>2183.3333333333362</c:v>
                </c:pt>
                <c:pt idx="81">
                  <c:v>2183.3333333333362</c:v>
                </c:pt>
                <c:pt idx="82">
                  <c:v>2183.3333333333362</c:v>
                </c:pt>
                <c:pt idx="83">
                  <c:v>2183.3333333333362</c:v>
                </c:pt>
                <c:pt idx="84">
                  <c:v>2183.3333333333362</c:v>
                </c:pt>
                <c:pt idx="85">
                  <c:v>2183.3333333333362</c:v>
                </c:pt>
                <c:pt idx="86">
                  <c:v>2183.3333333333362</c:v>
                </c:pt>
                <c:pt idx="87">
                  <c:v>2183.3333333333362</c:v>
                </c:pt>
                <c:pt idx="88">
                  <c:v>2183.3333333333362</c:v>
                </c:pt>
                <c:pt idx="89">
                  <c:v>2183.3333333333362</c:v>
                </c:pt>
                <c:pt idx="90">
                  <c:v>2166.6666666666647</c:v>
                </c:pt>
                <c:pt idx="91">
                  <c:v>2166.6666666666647</c:v>
                </c:pt>
                <c:pt idx="92">
                  <c:v>2166.6666666666647</c:v>
                </c:pt>
                <c:pt idx="93">
                  <c:v>2166.6666666666647</c:v>
                </c:pt>
                <c:pt idx="94">
                  <c:v>2166.6666666666647</c:v>
                </c:pt>
                <c:pt idx="95">
                  <c:v>2166.6666666666647</c:v>
                </c:pt>
                <c:pt idx="96">
                  <c:v>2166.6666666666647</c:v>
                </c:pt>
                <c:pt idx="97">
                  <c:v>2166.6666666666647</c:v>
                </c:pt>
                <c:pt idx="98">
                  <c:v>2166.6666666666647</c:v>
                </c:pt>
                <c:pt idx="99">
                  <c:v>2166.6666666666647</c:v>
                </c:pt>
                <c:pt idx="100">
                  <c:v>2166.6666666666647</c:v>
                </c:pt>
                <c:pt idx="101">
                  <c:v>2166.6666666666647</c:v>
                </c:pt>
                <c:pt idx="102">
                  <c:v>2166.6666666666647</c:v>
                </c:pt>
                <c:pt idx="103">
                  <c:v>2166.6666666666647</c:v>
                </c:pt>
                <c:pt idx="104">
                  <c:v>2166.6666666666647</c:v>
                </c:pt>
                <c:pt idx="105">
                  <c:v>2166.6666666666647</c:v>
                </c:pt>
                <c:pt idx="106">
                  <c:v>2166.6666666666647</c:v>
                </c:pt>
                <c:pt idx="107">
                  <c:v>2166.6666666666647</c:v>
                </c:pt>
                <c:pt idx="108">
                  <c:v>2166.6666666666647</c:v>
                </c:pt>
                <c:pt idx="109">
                  <c:v>2166.6666666666647</c:v>
                </c:pt>
                <c:pt idx="110">
                  <c:v>2166.6666666666647</c:v>
                </c:pt>
                <c:pt idx="111">
                  <c:v>2166.6666666666647</c:v>
                </c:pt>
                <c:pt idx="112">
                  <c:v>2166.6666666666647</c:v>
                </c:pt>
                <c:pt idx="113">
                  <c:v>2166.6666666666647</c:v>
                </c:pt>
                <c:pt idx="114">
                  <c:v>2166.6666666666647</c:v>
                </c:pt>
                <c:pt idx="115">
                  <c:v>2166.6666666666647</c:v>
                </c:pt>
                <c:pt idx="116">
                  <c:v>2166.6666666666647</c:v>
                </c:pt>
                <c:pt idx="117">
                  <c:v>2166.6666666666647</c:v>
                </c:pt>
                <c:pt idx="118">
                  <c:v>2166.6666666666647</c:v>
                </c:pt>
                <c:pt idx="119">
                  <c:v>2166.6666666666647</c:v>
                </c:pt>
                <c:pt idx="120">
                  <c:v>2400</c:v>
                </c:pt>
                <c:pt idx="121">
                  <c:v>2400</c:v>
                </c:pt>
                <c:pt idx="122">
                  <c:v>2400</c:v>
                </c:pt>
                <c:pt idx="123">
                  <c:v>2400</c:v>
                </c:pt>
                <c:pt idx="124">
                  <c:v>2400</c:v>
                </c:pt>
                <c:pt idx="125">
                  <c:v>2400</c:v>
                </c:pt>
                <c:pt idx="126">
                  <c:v>2400</c:v>
                </c:pt>
                <c:pt idx="127">
                  <c:v>2400</c:v>
                </c:pt>
                <c:pt idx="128">
                  <c:v>2400</c:v>
                </c:pt>
                <c:pt idx="129">
                  <c:v>2400</c:v>
                </c:pt>
                <c:pt idx="130">
                  <c:v>2400</c:v>
                </c:pt>
                <c:pt idx="131">
                  <c:v>2400</c:v>
                </c:pt>
                <c:pt idx="132">
                  <c:v>2400</c:v>
                </c:pt>
                <c:pt idx="133">
                  <c:v>2400</c:v>
                </c:pt>
                <c:pt idx="134">
                  <c:v>2400</c:v>
                </c:pt>
                <c:pt idx="135">
                  <c:v>2400</c:v>
                </c:pt>
                <c:pt idx="136">
                  <c:v>2400</c:v>
                </c:pt>
                <c:pt idx="137">
                  <c:v>2400</c:v>
                </c:pt>
                <c:pt idx="138">
                  <c:v>2400</c:v>
                </c:pt>
                <c:pt idx="139">
                  <c:v>2400</c:v>
                </c:pt>
                <c:pt idx="140">
                  <c:v>2400</c:v>
                </c:pt>
                <c:pt idx="141">
                  <c:v>2400</c:v>
                </c:pt>
                <c:pt idx="142">
                  <c:v>2400</c:v>
                </c:pt>
                <c:pt idx="143">
                  <c:v>2400</c:v>
                </c:pt>
                <c:pt idx="144">
                  <c:v>2400</c:v>
                </c:pt>
                <c:pt idx="145">
                  <c:v>2400</c:v>
                </c:pt>
                <c:pt idx="146">
                  <c:v>2400</c:v>
                </c:pt>
                <c:pt idx="147">
                  <c:v>2400</c:v>
                </c:pt>
                <c:pt idx="148">
                  <c:v>2400</c:v>
                </c:pt>
                <c:pt idx="149">
                  <c:v>2400</c:v>
                </c:pt>
                <c:pt idx="150">
                  <c:v>2400</c:v>
                </c:pt>
                <c:pt idx="151">
                  <c:v>2400</c:v>
                </c:pt>
                <c:pt idx="152">
                  <c:v>2400</c:v>
                </c:pt>
                <c:pt idx="153">
                  <c:v>2400</c:v>
                </c:pt>
                <c:pt idx="154">
                  <c:v>2400</c:v>
                </c:pt>
                <c:pt idx="155">
                  <c:v>2400</c:v>
                </c:pt>
                <c:pt idx="156">
                  <c:v>2400</c:v>
                </c:pt>
                <c:pt idx="157">
                  <c:v>2400</c:v>
                </c:pt>
                <c:pt idx="158">
                  <c:v>2400</c:v>
                </c:pt>
                <c:pt idx="159">
                  <c:v>2400</c:v>
                </c:pt>
                <c:pt idx="160">
                  <c:v>2400</c:v>
                </c:pt>
                <c:pt idx="161">
                  <c:v>2400</c:v>
                </c:pt>
                <c:pt idx="162">
                  <c:v>2400</c:v>
                </c:pt>
                <c:pt idx="163">
                  <c:v>2400</c:v>
                </c:pt>
                <c:pt idx="164">
                  <c:v>2400</c:v>
                </c:pt>
                <c:pt idx="165">
                  <c:v>2400</c:v>
                </c:pt>
                <c:pt idx="166">
                  <c:v>2400</c:v>
                </c:pt>
                <c:pt idx="167">
                  <c:v>2400</c:v>
                </c:pt>
                <c:pt idx="168">
                  <c:v>2400</c:v>
                </c:pt>
                <c:pt idx="169">
                  <c:v>2400</c:v>
                </c:pt>
                <c:pt idx="170">
                  <c:v>2400</c:v>
                </c:pt>
                <c:pt idx="171">
                  <c:v>2400</c:v>
                </c:pt>
                <c:pt idx="172">
                  <c:v>2400</c:v>
                </c:pt>
                <c:pt idx="173">
                  <c:v>2400</c:v>
                </c:pt>
                <c:pt idx="174">
                  <c:v>2400</c:v>
                </c:pt>
                <c:pt idx="175">
                  <c:v>2400</c:v>
                </c:pt>
                <c:pt idx="176">
                  <c:v>2400</c:v>
                </c:pt>
                <c:pt idx="177">
                  <c:v>2400</c:v>
                </c:pt>
                <c:pt idx="178">
                  <c:v>2400</c:v>
                </c:pt>
                <c:pt idx="179">
                  <c:v>2400</c:v>
                </c:pt>
                <c:pt idx="180">
                  <c:v>2400</c:v>
                </c:pt>
                <c:pt idx="181">
                  <c:v>2233.3333333333362</c:v>
                </c:pt>
                <c:pt idx="182">
                  <c:v>2233.3333333333362</c:v>
                </c:pt>
                <c:pt idx="183">
                  <c:v>2233.3333333333362</c:v>
                </c:pt>
                <c:pt idx="184">
                  <c:v>2233.3333333333362</c:v>
                </c:pt>
                <c:pt idx="185">
                  <c:v>2233.3333333333362</c:v>
                </c:pt>
                <c:pt idx="186">
                  <c:v>2233.3333333333362</c:v>
                </c:pt>
                <c:pt idx="187">
                  <c:v>2233.3333333333362</c:v>
                </c:pt>
                <c:pt idx="188">
                  <c:v>2233.3333333333362</c:v>
                </c:pt>
                <c:pt idx="189">
                  <c:v>2233.3333333333362</c:v>
                </c:pt>
                <c:pt idx="190">
                  <c:v>2233.3333333333362</c:v>
                </c:pt>
                <c:pt idx="191">
                  <c:v>2233.3333333333362</c:v>
                </c:pt>
                <c:pt idx="192">
                  <c:v>2233.3333333333362</c:v>
                </c:pt>
                <c:pt idx="193">
                  <c:v>2233.3333333333362</c:v>
                </c:pt>
                <c:pt idx="194">
                  <c:v>2233.3333333333362</c:v>
                </c:pt>
                <c:pt idx="195">
                  <c:v>2233.3333333333362</c:v>
                </c:pt>
                <c:pt idx="196">
                  <c:v>2233.3333333333362</c:v>
                </c:pt>
                <c:pt idx="197">
                  <c:v>2233.3333333333362</c:v>
                </c:pt>
                <c:pt idx="198">
                  <c:v>2233.3333333333362</c:v>
                </c:pt>
                <c:pt idx="199">
                  <c:v>2233.3333333333362</c:v>
                </c:pt>
                <c:pt idx="200">
                  <c:v>2233.3333333333362</c:v>
                </c:pt>
                <c:pt idx="201">
                  <c:v>2233.3333333333362</c:v>
                </c:pt>
                <c:pt idx="202">
                  <c:v>2233.3333333333362</c:v>
                </c:pt>
                <c:pt idx="203">
                  <c:v>2233.3333333333362</c:v>
                </c:pt>
                <c:pt idx="204">
                  <c:v>2233.3333333333362</c:v>
                </c:pt>
                <c:pt idx="205">
                  <c:v>2233.3333333333362</c:v>
                </c:pt>
                <c:pt idx="206">
                  <c:v>2233.3333333333362</c:v>
                </c:pt>
                <c:pt idx="207">
                  <c:v>2233.3333333333362</c:v>
                </c:pt>
                <c:pt idx="208">
                  <c:v>2233.3333333333362</c:v>
                </c:pt>
                <c:pt idx="209">
                  <c:v>2233.3333333333362</c:v>
                </c:pt>
                <c:pt idx="210">
                  <c:v>2233.3333333333362</c:v>
                </c:pt>
                <c:pt idx="211">
                  <c:v>2233.3333333333362</c:v>
                </c:pt>
                <c:pt idx="212">
                  <c:v>2166.6666666666647</c:v>
                </c:pt>
                <c:pt idx="213">
                  <c:v>2166.6666666666647</c:v>
                </c:pt>
                <c:pt idx="214">
                  <c:v>2166.6666666666647</c:v>
                </c:pt>
                <c:pt idx="215">
                  <c:v>2166.6666666666647</c:v>
                </c:pt>
                <c:pt idx="216">
                  <c:v>2166.6666666666647</c:v>
                </c:pt>
                <c:pt idx="217">
                  <c:v>2166.6666666666647</c:v>
                </c:pt>
                <c:pt idx="218">
                  <c:v>2166.6666666666647</c:v>
                </c:pt>
                <c:pt idx="219">
                  <c:v>2166.6666666666647</c:v>
                </c:pt>
                <c:pt idx="220">
                  <c:v>2166.6666666666647</c:v>
                </c:pt>
                <c:pt idx="221">
                  <c:v>2166.6666666666647</c:v>
                </c:pt>
                <c:pt idx="222">
                  <c:v>2166.6666666666647</c:v>
                </c:pt>
                <c:pt idx="223">
                  <c:v>2166.6666666666647</c:v>
                </c:pt>
                <c:pt idx="224">
                  <c:v>2166.6666666666647</c:v>
                </c:pt>
                <c:pt idx="225">
                  <c:v>2166.6666666666647</c:v>
                </c:pt>
                <c:pt idx="226">
                  <c:v>2166.6666666666647</c:v>
                </c:pt>
                <c:pt idx="227">
                  <c:v>2166.6666666666647</c:v>
                </c:pt>
                <c:pt idx="228">
                  <c:v>2166.6666666666647</c:v>
                </c:pt>
                <c:pt idx="229">
                  <c:v>2166.6666666666647</c:v>
                </c:pt>
                <c:pt idx="230">
                  <c:v>2166.6666666666647</c:v>
                </c:pt>
                <c:pt idx="231">
                  <c:v>2166.6666666666647</c:v>
                </c:pt>
                <c:pt idx="232">
                  <c:v>2166.6666666666647</c:v>
                </c:pt>
                <c:pt idx="233">
                  <c:v>2166.6666666666647</c:v>
                </c:pt>
                <c:pt idx="234">
                  <c:v>2166.6666666666647</c:v>
                </c:pt>
                <c:pt idx="235">
                  <c:v>2166.6666666666647</c:v>
                </c:pt>
                <c:pt idx="236">
                  <c:v>2166.6666666666647</c:v>
                </c:pt>
                <c:pt idx="237">
                  <c:v>2166.6666666666647</c:v>
                </c:pt>
                <c:pt idx="238">
                  <c:v>2166.6666666666647</c:v>
                </c:pt>
                <c:pt idx="239">
                  <c:v>2166.6666666666647</c:v>
                </c:pt>
                <c:pt idx="240">
                  <c:v>2166.6666666666647</c:v>
                </c:pt>
                <c:pt idx="241">
                  <c:v>2166.6666666666647</c:v>
                </c:pt>
                <c:pt idx="242">
                  <c:v>2166.6666666666647</c:v>
                </c:pt>
                <c:pt idx="243">
                  <c:v>2166.6666666666647</c:v>
                </c:pt>
                <c:pt idx="244">
                  <c:v>2166.6666666666647</c:v>
                </c:pt>
                <c:pt idx="245">
                  <c:v>2166.6666666666647</c:v>
                </c:pt>
                <c:pt idx="246">
                  <c:v>2166.6666666666647</c:v>
                </c:pt>
                <c:pt idx="247">
                  <c:v>2166.6666666666647</c:v>
                </c:pt>
                <c:pt idx="248">
                  <c:v>2166.6666666666647</c:v>
                </c:pt>
                <c:pt idx="249">
                  <c:v>2166.6666666666647</c:v>
                </c:pt>
                <c:pt idx="250">
                  <c:v>2166.6666666666647</c:v>
                </c:pt>
                <c:pt idx="251">
                  <c:v>2166.6666666666647</c:v>
                </c:pt>
                <c:pt idx="252">
                  <c:v>2166.6666666666647</c:v>
                </c:pt>
                <c:pt idx="253">
                  <c:v>2166.6666666666647</c:v>
                </c:pt>
                <c:pt idx="254">
                  <c:v>2166.6666666666647</c:v>
                </c:pt>
                <c:pt idx="255">
                  <c:v>2166.6666666666647</c:v>
                </c:pt>
                <c:pt idx="256">
                  <c:v>2166.6666666666647</c:v>
                </c:pt>
                <c:pt idx="257">
                  <c:v>2166.6666666666647</c:v>
                </c:pt>
                <c:pt idx="258">
                  <c:v>2166.6666666666647</c:v>
                </c:pt>
                <c:pt idx="259">
                  <c:v>2166.6666666666647</c:v>
                </c:pt>
                <c:pt idx="260">
                  <c:v>2166.6666666666647</c:v>
                </c:pt>
                <c:pt idx="261">
                  <c:v>2166.6666666666647</c:v>
                </c:pt>
                <c:pt idx="262">
                  <c:v>2166.6666666666647</c:v>
                </c:pt>
                <c:pt idx="263">
                  <c:v>2166.6666666666647</c:v>
                </c:pt>
                <c:pt idx="264">
                  <c:v>2166.6666666666647</c:v>
                </c:pt>
                <c:pt idx="265">
                  <c:v>2166.6666666666647</c:v>
                </c:pt>
                <c:pt idx="266">
                  <c:v>2166.6666666666647</c:v>
                </c:pt>
                <c:pt idx="267">
                  <c:v>2166.6666666666647</c:v>
                </c:pt>
                <c:pt idx="268">
                  <c:v>2166.6666666666647</c:v>
                </c:pt>
                <c:pt idx="269">
                  <c:v>2166.6666666666647</c:v>
                </c:pt>
                <c:pt idx="270">
                  <c:v>2166.6666666666647</c:v>
                </c:pt>
                <c:pt idx="271">
                  <c:v>2166.6666666666647</c:v>
                </c:pt>
                <c:pt idx="272">
                  <c:v>2166.6666666666647</c:v>
                </c:pt>
                <c:pt idx="273">
                  <c:v>2200</c:v>
                </c:pt>
                <c:pt idx="274">
                  <c:v>2200</c:v>
                </c:pt>
                <c:pt idx="275">
                  <c:v>2200</c:v>
                </c:pt>
                <c:pt idx="276">
                  <c:v>2200</c:v>
                </c:pt>
                <c:pt idx="277">
                  <c:v>2200</c:v>
                </c:pt>
                <c:pt idx="278">
                  <c:v>2200</c:v>
                </c:pt>
                <c:pt idx="279">
                  <c:v>2200</c:v>
                </c:pt>
                <c:pt idx="280">
                  <c:v>2200</c:v>
                </c:pt>
                <c:pt idx="281">
                  <c:v>2200</c:v>
                </c:pt>
                <c:pt idx="282">
                  <c:v>2200</c:v>
                </c:pt>
                <c:pt idx="283">
                  <c:v>2200</c:v>
                </c:pt>
                <c:pt idx="284">
                  <c:v>2200</c:v>
                </c:pt>
                <c:pt idx="285">
                  <c:v>2200</c:v>
                </c:pt>
                <c:pt idx="286">
                  <c:v>2200</c:v>
                </c:pt>
                <c:pt idx="287">
                  <c:v>2200</c:v>
                </c:pt>
                <c:pt idx="288">
                  <c:v>2200</c:v>
                </c:pt>
                <c:pt idx="289">
                  <c:v>2200</c:v>
                </c:pt>
                <c:pt idx="290">
                  <c:v>2200</c:v>
                </c:pt>
                <c:pt idx="291">
                  <c:v>2200</c:v>
                </c:pt>
                <c:pt idx="292">
                  <c:v>2200</c:v>
                </c:pt>
                <c:pt idx="293">
                  <c:v>2200</c:v>
                </c:pt>
                <c:pt idx="294">
                  <c:v>2200</c:v>
                </c:pt>
                <c:pt idx="295">
                  <c:v>2200</c:v>
                </c:pt>
                <c:pt idx="296">
                  <c:v>2200</c:v>
                </c:pt>
                <c:pt idx="297">
                  <c:v>2200</c:v>
                </c:pt>
                <c:pt idx="298">
                  <c:v>2200</c:v>
                </c:pt>
                <c:pt idx="299">
                  <c:v>2200</c:v>
                </c:pt>
                <c:pt idx="300">
                  <c:v>2200</c:v>
                </c:pt>
                <c:pt idx="301">
                  <c:v>2200</c:v>
                </c:pt>
                <c:pt idx="302">
                  <c:v>2200</c:v>
                </c:pt>
                <c:pt idx="303">
                  <c:v>2200</c:v>
                </c:pt>
                <c:pt idx="304">
                  <c:v>2233.3333333333362</c:v>
                </c:pt>
                <c:pt idx="305">
                  <c:v>2233.3333333333362</c:v>
                </c:pt>
                <c:pt idx="306">
                  <c:v>2233.3333333333362</c:v>
                </c:pt>
                <c:pt idx="307">
                  <c:v>2233.3333333333362</c:v>
                </c:pt>
                <c:pt idx="308">
                  <c:v>2233.3333333333362</c:v>
                </c:pt>
                <c:pt idx="309">
                  <c:v>2233.3333333333362</c:v>
                </c:pt>
                <c:pt idx="310">
                  <c:v>2233.3333333333362</c:v>
                </c:pt>
                <c:pt idx="311">
                  <c:v>2233.3333333333362</c:v>
                </c:pt>
                <c:pt idx="312">
                  <c:v>2233.3333333333362</c:v>
                </c:pt>
                <c:pt idx="313">
                  <c:v>2233.3333333333362</c:v>
                </c:pt>
                <c:pt idx="314">
                  <c:v>2233.3333333333362</c:v>
                </c:pt>
                <c:pt idx="315">
                  <c:v>2233.3333333333362</c:v>
                </c:pt>
                <c:pt idx="316">
                  <c:v>2233.3333333333362</c:v>
                </c:pt>
                <c:pt idx="317">
                  <c:v>2233.3333333333362</c:v>
                </c:pt>
                <c:pt idx="318">
                  <c:v>2233.3333333333362</c:v>
                </c:pt>
                <c:pt idx="319">
                  <c:v>2233.3333333333362</c:v>
                </c:pt>
                <c:pt idx="320">
                  <c:v>2233.3333333333362</c:v>
                </c:pt>
                <c:pt idx="321">
                  <c:v>2233.3333333333362</c:v>
                </c:pt>
                <c:pt idx="322">
                  <c:v>2233.3333333333362</c:v>
                </c:pt>
                <c:pt idx="323">
                  <c:v>2233.3333333333362</c:v>
                </c:pt>
              </c:numCache>
            </c:numRef>
          </c:val>
          <c:smooth val="0"/>
        </c:ser>
        <c:ser>
          <c:idx val="1"/>
          <c:order val="1"/>
          <c:tx>
            <c:strRef>
              <c:f>銅、鋁、鎳、鋅、鉛!$V$1</c:f>
              <c:strCache>
                <c:ptCount val="1"/>
                <c:pt idx="0">
                  <c:v>鉛 倫敦LME 現貨 收盤價(美元/公噸)</c:v>
                </c:pt>
              </c:strCache>
            </c:strRef>
          </c:tx>
          <c:marker>
            <c:symbol val="none"/>
          </c:marker>
          <c:cat>
            <c:numRef>
              <c:f>銅、鋁、鎳、鋅、鉛!$L$216:$L$539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銅、鋁、鎳、鋅、鉛!$V$216:$V$539</c:f>
              <c:numCache>
                <c:formatCode>General;General;;</c:formatCode>
                <c:ptCount val="324"/>
                <c:pt idx="0">
                  <c:v>1843</c:v>
                </c:pt>
                <c:pt idx="1">
                  <c:v>1859.25</c:v>
                </c:pt>
                <c:pt idx="2">
                  <c:v>1859.25</c:v>
                </c:pt>
                <c:pt idx="3">
                  <c:v>1859.25</c:v>
                </c:pt>
                <c:pt idx="4">
                  <c:v>1830.25</c:v>
                </c:pt>
                <c:pt idx="5">
                  <c:v>1829.75</c:v>
                </c:pt>
                <c:pt idx="6">
                  <c:v>1834.5</c:v>
                </c:pt>
                <c:pt idx="7">
                  <c:v>1837.25</c:v>
                </c:pt>
                <c:pt idx="8">
                  <c:v>1856</c:v>
                </c:pt>
                <c:pt idx="9">
                  <c:v>1856</c:v>
                </c:pt>
                <c:pt idx="10">
                  <c:v>1856</c:v>
                </c:pt>
                <c:pt idx="11">
                  <c:v>1851</c:v>
                </c:pt>
                <c:pt idx="12">
                  <c:v>1813.25</c:v>
                </c:pt>
                <c:pt idx="13">
                  <c:v>1750</c:v>
                </c:pt>
                <c:pt idx="14">
                  <c:v>1765.5</c:v>
                </c:pt>
                <c:pt idx="15">
                  <c:v>1842.5</c:v>
                </c:pt>
                <c:pt idx="16">
                  <c:v>1842.5</c:v>
                </c:pt>
                <c:pt idx="17">
                  <c:v>1842.5</c:v>
                </c:pt>
                <c:pt idx="18">
                  <c:v>1845.5</c:v>
                </c:pt>
                <c:pt idx="19">
                  <c:v>1894.5</c:v>
                </c:pt>
                <c:pt idx="20">
                  <c:v>1908</c:v>
                </c:pt>
                <c:pt idx="21">
                  <c:v>1876.75</c:v>
                </c:pt>
                <c:pt idx="22">
                  <c:v>1832.5</c:v>
                </c:pt>
                <c:pt idx="23">
                  <c:v>1832.5</c:v>
                </c:pt>
                <c:pt idx="24">
                  <c:v>1832.5</c:v>
                </c:pt>
                <c:pt idx="25">
                  <c:v>1857.5</c:v>
                </c:pt>
                <c:pt idx="26">
                  <c:v>1856.5</c:v>
                </c:pt>
                <c:pt idx="27">
                  <c:v>1874.5</c:v>
                </c:pt>
                <c:pt idx="28">
                  <c:v>1846.25</c:v>
                </c:pt>
                <c:pt idx="29">
                  <c:v>1844.5</c:v>
                </c:pt>
                <c:pt idx="30">
                  <c:v>1844.5</c:v>
                </c:pt>
                <c:pt idx="31">
                  <c:v>1844.5</c:v>
                </c:pt>
                <c:pt idx="32">
                  <c:v>1834.5</c:v>
                </c:pt>
                <c:pt idx="33">
                  <c:v>1835.75</c:v>
                </c:pt>
                <c:pt idx="34">
                  <c:v>1853.5</c:v>
                </c:pt>
                <c:pt idx="35">
                  <c:v>1832.25</c:v>
                </c:pt>
                <c:pt idx="36">
                  <c:v>1838.75</c:v>
                </c:pt>
                <c:pt idx="37">
                  <c:v>1838.75</c:v>
                </c:pt>
                <c:pt idx="38">
                  <c:v>1838.75</c:v>
                </c:pt>
                <c:pt idx="39">
                  <c:v>1837.5</c:v>
                </c:pt>
                <c:pt idx="40">
                  <c:v>1817.75</c:v>
                </c:pt>
                <c:pt idx="41">
                  <c:v>1786.5</c:v>
                </c:pt>
                <c:pt idx="42">
                  <c:v>1819.75</c:v>
                </c:pt>
                <c:pt idx="43">
                  <c:v>1835.5</c:v>
                </c:pt>
                <c:pt idx="44">
                  <c:v>1835.5</c:v>
                </c:pt>
                <c:pt idx="45">
                  <c:v>1835.5</c:v>
                </c:pt>
                <c:pt idx="46">
                  <c:v>1818.5</c:v>
                </c:pt>
                <c:pt idx="47">
                  <c:v>1774.25</c:v>
                </c:pt>
                <c:pt idx="48">
                  <c:v>1795.25</c:v>
                </c:pt>
                <c:pt idx="49">
                  <c:v>1782</c:v>
                </c:pt>
                <c:pt idx="50">
                  <c:v>1754.25</c:v>
                </c:pt>
                <c:pt idx="51">
                  <c:v>1754.25</c:v>
                </c:pt>
                <c:pt idx="52">
                  <c:v>1754.25</c:v>
                </c:pt>
                <c:pt idx="53">
                  <c:v>1747</c:v>
                </c:pt>
                <c:pt idx="54">
                  <c:v>1758.25</c:v>
                </c:pt>
                <c:pt idx="55">
                  <c:v>1733.25</c:v>
                </c:pt>
                <c:pt idx="56">
                  <c:v>1745</c:v>
                </c:pt>
                <c:pt idx="57">
                  <c:v>1713.75</c:v>
                </c:pt>
                <c:pt idx="58">
                  <c:v>1713.75</c:v>
                </c:pt>
                <c:pt idx="59">
                  <c:v>1713.75</c:v>
                </c:pt>
                <c:pt idx="60">
                  <c:v>1734.25</c:v>
                </c:pt>
                <c:pt idx="61">
                  <c:v>1738.75</c:v>
                </c:pt>
                <c:pt idx="62">
                  <c:v>1766</c:v>
                </c:pt>
                <c:pt idx="63">
                  <c:v>1816</c:v>
                </c:pt>
                <c:pt idx="64">
                  <c:v>1817.5</c:v>
                </c:pt>
                <c:pt idx="65">
                  <c:v>1817.5</c:v>
                </c:pt>
                <c:pt idx="66">
                  <c:v>1817.5</c:v>
                </c:pt>
                <c:pt idx="67">
                  <c:v>1838.75</c:v>
                </c:pt>
                <c:pt idx="68">
                  <c:v>1809.25</c:v>
                </c:pt>
                <c:pt idx="69">
                  <c:v>1804.5</c:v>
                </c:pt>
                <c:pt idx="70">
                  <c:v>1815.1</c:v>
                </c:pt>
                <c:pt idx="71">
                  <c:v>1776.5</c:v>
                </c:pt>
                <c:pt idx="72">
                  <c:v>1776.5</c:v>
                </c:pt>
                <c:pt idx="73">
                  <c:v>1776.5</c:v>
                </c:pt>
                <c:pt idx="74">
                  <c:v>1742</c:v>
                </c:pt>
                <c:pt idx="75">
                  <c:v>1715</c:v>
                </c:pt>
                <c:pt idx="76">
                  <c:v>1684.25</c:v>
                </c:pt>
                <c:pt idx="77">
                  <c:v>1716.5</c:v>
                </c:pt>
                <c:pt idx="78">
                  <c:v>1789.5</c:v>
                </c:pt>
                <c:pt idx="79">
                  <c:v>1789.5</c:v>
                </c:pt>
                <c:pt idx="80">
                  <c:v>1789.5</c:v>
                </c:pt>
                <c:pt idx="81">
                  <c:v>1847.25</c:v>
                </c:pt>
                <c:pt idx="82">
                  <c:v>1853</c:v>
                </c:pt>
                <c:pt idx="83">
                  <c:v>1842</c:v>
                </c:pt>
                <c:pt idx="84">
                  <c:v>1848</c:v>
                </c:pt>
                <c:pt idx="85">
                  <c:v>1824.25</c:v>
                </c:pt>
                <c:pt idx="86">
                  <c:v>1824.25</c:v>
                </c:pt>
                <c:pt idx="87">
                  <c:v>1824.25</c:v>
                </c:pt>
                <c:pt idx="88">
                  <c:v>1823.75</c:v>
                </c:pt>
                <c:pt idx="89">
                  <c:v>1832.25</c:v>
                </c:pt>
                <c:pt idx="90">
                  <c:v>1860.25</c:v>
                </c:pt>
                <c:pt idx="91">
                  <c:v>1882.25</c:v>
                </c:pt>
                <c:pt idx="92">
                  <c:v>1882.25</c:v>
                </c:pt>
                <c:pt idx="93">
                  <c:v>1882.25</c:v>
                </c:pt>
                <c:pt idx="94">
                  <c:v>1882.25</c:v>
                </c:pt>
                <c:pt idx="95">
                  <c:v>1882.25</c:v>
                </c:pt>
                <c:pt idx="96">
                  <c:v>1904.5</c:v>
                </c:pt>
                <c:pt idx="97">
                  <c:v>1923</c:v>
                </c:pt>
                <c:pt idx="98">
                  <c:v>1963.5</c:v>
                </c:pt>
                <c:pt idx="99">
                  <c:v>1999.75</c:v>
                </c:pt>
                <c:pt idx="100">
                  <c:v>1999.75</c:v>
                </c:pt>
                <c:pt idx="101">
                  <c:v>1999.75</c:v>
                </c:pt>
                <c:pt idx="102">
                  <c:v>1985</c:v>
                </c:pt>
                <c:pt idx="103">
                  <c:v>1972.5</c:v>
                </c:pt>
                <c:pt idx="104">
                  <c:v>1992.25</c:v>
                </c:pt>
                <c:pt idx="105">
                  <c:v>2042</c:v>
                </c:pt>
                <c:pt idx="106">
                  <c:v>2026.25</c:v>
                </c:pt>
                <c:pt idx="107">
                  <c:v>2026.25</c:v>
                </c:pt>
                <c:pt idx="108">
                  <c:v>2026.25</c:v>
                </c:pt>
                <c:pt idx="109">
                  <c:v>2011</c:v>
                </c:pt>
                <c:pt idx="110">
                  <c:v>2032.25</c:v>
                </c:pt>
                <c:pt idx="111">
                  <c:v>2042.75</c:v>
                </c:pt>
                <c:pt idx="112">
                  <c:v>2021.5</c:v>
                </c:pt>
                <c:pt idx="113">
                  <c:v>2059.5</c:v>
                </c:pt>
                <c:pt idx="114">
                  <c:v>2059.5</c:v>
                </c:pt>
                <c:pt idx="115">
                  <c:v>2059.5</c:v>
                </c:pt>
                <c:pt idx="116">
                  <c:v>2098.25</c:v>
                </c:pt>
                <c:pt idx="117">
                  <c:v>2077.25</c:v>
                </c:pt>
                <c:pt idx="118">
                  <c:v>2090</c:v>
                </c:pt>
                <c:pt idx="119">
                  <c:v>2123.5</c:v>
                </c:pt>
                <c:pt idx="120">
                  <c:v>2119</c:v>
                </c:pt>
                <c:pt idx="121">
                  <c:v>2119</c:v>
                </c:pt>
                <c:pt idx="122">
                  <c:v>2119</c:v>
                </c:pt>
                <c:pt idx="123">
                  <c:v>2119</c:v>
                </c:pt>
                <c:pt idx="124">
                  <c:v>2156.5</c:v>
                </c:pt>
                <c:pt idx="125">
                  <c:v>2078</c:v>
                </c:pt>
                <c:pt idx="126">
                  <c:v>2065.25</c:v>
                </c:pt>
                <c:pt idx="127">
                  <c:v>2024.5</c:v>
                </c:pt>
                <c:pt idx="128">
                  <c:v>2024.5</c:v>
                </c:pt>
                <c:pt idx="129">
                  <c:v>2024.5</c:v>
                </c:pt>
                <c:pt idx="130">
                  <c:v>1994</c:v>
                </c:pt>
                <c:pt idx="131">
                  <c:v>2039.5</c:v>
                </c:pt>
                <c:pt idx="132">
                  <c:v>2005.75</c:v>
                </c:pt>
                <c:pt idx="133">
                  <c:v>1954.5</c:v>
                </c:pt>
                <c:pt idx="134">
                  <c:v>1962.25</c:v>
                </c:pt>
                <c:pt idx="135">
                  <c:v>1962.25</c:v>
                </c:pt>
                <c:pt idx="136">
                  <c:v>1962.25</c:v>
                </c:pt>
                <c:pt idx="137">
                  <c:v>1951</c:v>
                </c:pt>
                <c:pt idx="138">
                  <c:v>1921.75</c:v>
                </c:pt>
                <c:pt idx="139">
                  <c:v>1918.5</c:v>
                </c:pt>
                <c:pt idx="140">
                  <c:v>1960</c:v>
                </c:pt>
                <c:pt idx="141">
                  <c:v>1933</c:v>
                </c:pt>
                <c:pt idx="142">
                  <c:v>1933</c:v>
                </c:pt>
                <c:pt idx="143">
                  <c:v>1933</c:v>
                </c:pt>
                <c:pt idx="144">
                  <c:v>1933</c:v>
                </c:pt>
                <c:pt idx="145">
                  <c:v>1920</c:v>
                </c:pt>
                <c:pt idx="146">
                  <c:v>1932.5</c:v>
                </c:pt>
                <c:pt idx="147">
                  <c:v>1974</c:v>
                </c:pt>
                <c:pt idx="148">
                  <c:v>1933.75</c:v>
                </c:pt>
                <c:pt idx="149">
                  <c:v>1933.75</c:v>
                </c:pt>
                <c:pt idx="150">
                  <c:v>1933.75</c:v>
                </c:pt>
                <c:pt idx="151">
                  <c:v>1913.75</c:v>
                </c:pt>
                <c:pt idx="152">
                  <c:v>1910.5</c:v>
                </c:pt>
                <c:pt idx="153">
                  <c:v>1936.5</c:v>
                </c:pt>
                <c:pt idx="154">
                  <c:v>1911.75</c:v>
                </c:pt>
                <c:pt idx="155">
                  <c:v>1886.5</c:v>
                </c:pt>
                <c:pt idx="156">
                  <c:v>1886.5</c:v>
                </c:pt>
                <c:pt idx="157">
                  <c:v>1886.5</c:v>
                </c:pt>
                <c:pt idx="158">
                  <c:v>1897.75</c:v>
                </c:pt>
                <c:pt idx="159">
                  <c:v>1918.25</c:v>
                </c:pt>
                <c:pt idx="160">
                  <c:v>1911.5</c:v>
                </c:pt>
                <c:pt idx="161">
                  <c:v>1852.5</c:v>
                </c:pt>
                <c:pt idx="162">
                  <c:v>1848.75</c:v>
                </c:pt>
                <c:pt idx="163">
                  <c:v>1848.75</c:v>
                </c:pt>
                <c:pt idx="164">
                  <c:v>1848.75</c:v>
                </c:pt>
                <c:pt idx="165">
                  <c:v>1804.75</c:v>
                </c:pt>
                <c:pt idx="166">
                  <c:v>1775.5</c:v>
                </c:pt>
                <c:pt idx="167">
                  <c:v>1781.75</c:v>
                </c:pt>
                <c:pt idx="168">
                  <c:v>1790.25</c:v>
                </c:pt>
                <c:pt idx="169">
                  <c:v>1769</c:v>
                </c:pt>
                <c:pt idx="170">
                  <c:v>1769</c:v>
                </c:pt>
                <c:pt idx="171">
                  <c:v>1769</c:v>
                </c:pt>
                <c:pt idx="172">
                  <c:v>1746.5</c:v>
                </c:pt>
                <c:pt idx="173">
                  <c:v>1778.5</c:v>
                </c:pt>
                <c:pt idx="174">
                  <c:v>1769.5</c:v>
                </c:pt>
                <c:pt idx="175">
                  <c:v>1774.75</c:v>
                </c:pt>
                <c:pt idx="176">
                  <c:v>1760.75</c:v>
                </c:pt>
                <c:pt idx="177">
                  <c:v>1760.75</c:v>
                </c:pt>
                <c:pt idx="178">
                  <c:v>1760.75</c:v>
                </c:pt>
                <c:pt idx="179">
                  <c:v>1766.25</c:v>
                </c:pt>
                <c:pt idx="180">
                  <c:v>1743.75</c:v>
                </c:pt>
                <c:pt idx="181">
                  <c:v>1767</c:v>
                </c:pt>
                <c:pt idx="182">
                  <c:v>1774.75</c:v>
                </c:pt>
                <c:pt idx="183">
                  <c:v>1754.25</c:v>
                </c:pt>
                <c:pt idx="184">
                  <c:v>1754.25</c:v>
                </c:pt>
                <c:pt idx="185">
                  <c:v>1754.25</c:v>
                </c:pt>
                <c:pt idx="186">
                  <c:v>1752</c:v>
                </c:pt>
                <c:pt idx="187">
                  <c:v>1710.25</c:v>
                </c:pt>
                <c:pt idx="188">
                  <c:v>1777.75</c:v>
                </c:pt>
                <c:pt idx="189">
                  <c:v>1808.5</c:v>
                </c:pt>
                <c:pt idx="190">
                  <c:v>1788</c:v>
                </c:pt>
                <c:pt idx="191">
                  <c:v>1788</c:v>
                </c:pt>
                <c:pt idx="192">
                  <c:v>1788</c:v>
                </c:pt>
                <c:pt idx="193">
                  <c:v>1838.75</c:v>
                </c:pt>
                <c:pt idx="194">
                  <c:v>1829</c:v>
                </c:pt>
                <c:pt idx="195">
                  <c:v>1852.5</c:v>
                </c:pt>
                <c:pt idx="196">
                  <c:v>1821</c:v>
                </c:pt>
                <c:pt idx="197">
                  <c:v>1827.25</c:v>
                </c:pt>
                <c:pt idx="198">
                  <c:v>1827.25</c:v>
                </c:pt>
                <c:pt idx="199">
                  <c:v>1827.25</c:v>
                </c:pt>
                <c:pt idx="200">
                  <c:v>1798.25</c:v>
                </c:pt>
                <c:pt idx="201">
                  <c:v>1774</c:v>
                </c:pt>
                <c:pt idx="202">
                  <c:v>1756.75</c:v>
                </c:pt>
                <c:pt idx="203">
                  <c:v>1715.25</c:v>
                </c:pt>
                <c:pt idx="204">
                  <c:v>1703</c:v>
                </c:pt>
                <c:pt idx="205">
                  <c:v>1703</c:v>
                </c:pt>
                <c:pt idx="206">
                  <c:v>1703</c:v>
                </c:pt>
                <c:pt idx="207">
                  <c:v>1680.75</c:v>
                </c:pt>
                <c:pt idx="208">
                  <c:v>1707.25</c:v>
                </c:pt>
                <c:pt idx="209">
                  <c:v>1716</c:v>
                </c:pt>
                <c:pt idx="210">
                  <c:v>1702.75</c:v>
                </c:pt>
                <c:pt idx="211">
                  <c:v>1695</c:v>
                </c:pt>
                <c:pt idx="212">
                  <c:v>1695</c:v>
                </c:pt>
                <c:pt idx="213">
                  <c:v>1695</c:v>
                </c:pt>
                <c:pt idx="214">
                  <c:v>1697</c:v>
                </c:pt>
                <c:pt idx="215">
                  <c:v>1732.5</c:v>
                </c:pt>
                <c:pt idx="216">
                  <c:v>1718.5</c:v>
                </c:pt>
                <c:pt idx="217">
                  <c:v>1696.25</c:v>
                </c:pt>
                <c:pt idx="218">
                  <c:v>1720.5</c:v>
                </c:pt>
                <c:pt idx="219">
                  <c:v>1720.5</c:v>
                </c:pt>
                <c:pt idx="220">
                  <c:v>1720.5</c:v>
                </c:pt>
                <c:pt idx="221">
                  <c:v>1748</c:v>
                </c:pt>
                <c:pt idx="222">
                  <c:v>1710.25</c:v>
                </c:pt>
                <c:pt idx="223">
                  <c:v>1730.25</c:v>
                </c:pt>
                <c:pt idx="224">
                  <c:v>1732.5</c:v>
                </c:pt>
                <c:pt idx="225">
                  <c:v>1742.25</c:v>
                </c:pt>
                <c:pt idx="226">
                  <c:v>1742.25</c:v>
                </c:pt>
                <c:pt idx="227">
                  <c:v>1742.25</c:v>
                </c:pt>
                <c:pt idx="228">
                  <c:v>1715.75</c:v>
                </c:pt>
                <c:pt idx="229">
                  <c:v>1680.25</c:v>
                </c:pt>
                <c:pt idx="230">
                  <c:v>1682.75</c:v>
                </c:pt>
                <c:pt idx="231">
                  <c:v>1706.5</c:v>
                </c:pt>
                <c:pt idx="232">
                  <c:v>1695</c:v>
                </c:pt>
                <c:pt idx="233">
                  <c:v>1695</c:v>
                </c:pt>
                <c:pt idx="234">
                  <c:v>1695</c:v>
                </c:pt>
                <c:pt idx="235">
                  <c:v>1654</c:v>
                </c:pt>
                <c:pt idx="236">
                  <c:v>1674.5</c:v>
                </c:pt>
                <c:pt idx="237">
                  <c:v>1640</c:v>
                </c:pt>
                <c:pt idx="238">
                  <c:v>1670.75</c:v>
                </c:pt>
                <c:pt idx="239">
                  <c:v>1724.5</c:v>
                </c:pt>
                <c:pt idx="240">
                  <c:v>1724.5</c:v>
                </c:pt>
                <c:pt idx="241">
                  <c:v>1724.5</c:v>
                </c:pt>
                <c:pt idx="242">
                  <c:v>1724.5</c:v>
                </c:pt>
                <c:pt idx="243">
                  <c:v>1721</c:v>
                </c:pt>
                <c:pt idx="244">
                  <c:v>1700</c:v>
                </c:pt>
                <c:pt idx="245">
                  <c:v>1705.75</c:v>
                </c:pt>
                <c:pt idx="246">
                  <c:v>1651.5</c:v>
                </c:pt>
                <c:pt idx="247">
                  <c:v>1651.5</c:v>
                </c:pt>
                <c:pt idx="248">
                  <c:v>1651.5</c:v>
                </c:pt>
                <c:pt idx="249">
                  <c:v>1655.75</c:v>
                </c:pt>
                <c:pt idx="250">
                  <c:v>1681.25</c:v>
                </c:pt>
                <c:pt idx="251">
                  <c:v>1709</c:v>
                </c:pt>
                <c:pt idx="252">
                  <c:v>1722.25</c:v>
                </c:pt>
                <c:pt idx="253">
                  <c:v>1699.25</c:v>
                </c:pt>
                <c:pt idx="254">
                  <c:v>1699.25</c:v>
                </c:pt>
                <c:pt idx="255">
                  <c:v>1699.25</c:v>
                </c:pt>
                <c:pt idx="256">
                  <c:v>1667.75</c:v>
                </c:pt>
                <c:pt idx="257">
                  <c:v>1679.75</c:v>
                </c:pt>
                <c:pt idx="258">
                  <c:v>1722</c:v>
                </c:pt>
                <c:pt idx="259">
                  <c:v>1708.25</c:v>
                </c:pt>
                <c:pt idx="260">
                  <c:v>1681.75</c:v>
                </c:pt>
                <c:pt idx="261">
                  <c:v>1681.75</c:v>
                </c:pt>
                <c:pt idx="262">
                  <c:v>1681.75</c:v>
                </c:pt>
                <c:pt idx="263">
                  <c:v>1695.25</c:v>
                </c:pt>
                <c:pt idx="264">
                  <c:v>1673.75</c:v>
                </c:pt>
                <c:pt idx="265">
                  <c:v>1687.75</c:v>
                </c:pt>
                <c:pt idx="266">
                  <c:v>1686.75</c:v>
                </c:pt>
                <c:pt idx="267">
                  <c:v>1654</c:v>
                </c:pt>
                <c:pt idx="268">
                  <c:v>1654</c:v>
                </c:pt>
                <c:pt idx="269">
                  <c:v>1654</c:v>
                </c:pt>
                <c:pt idx="270">
                  <c:v>1647</c:v>
                </c:pt>
                <c:pt idx="271">
                  <c:v>1646</c:v>
                </c:pt>
                <c:pt idx="272">
                  <c:v>1657.75</c:v>
                </c:pt>
                <c:pt idx="273">
                  <c:v>1634.25</c:v>
                </c:pt>
                <c:pt idx="274">
                  <c:v>1626</c:v>
                </c:pt>
                <c:pt idx="275">
                  <c:v>1626</c:v>
                </c:pt>
                <c:pt idx="276">
                  <c:v>1626</c:v>
                </c:pt>
                <c:pt idx="277">
                  <c:v>1609.75</c:v>
                </c:pt>
                <c:pt idx="278">
                  <c:v>1611.5</c:v>
                </c:pt>
                <c:pt idx="279">
                  <c:v>1661.5</c:v>
                </c:pt>
                <c:pt idx="280">
                  <c:v>1665.75</c:v>
                </c:pt>
                <c:pt idx="281">
                  <c:v>1772.5</c:v>
                </c:pt>
                <c:pt idx="282">
                  <c:v>1772.5</c:v>
                </c:pt>
                <c:pt idx="283">
                  <c:v>1772.5</c:v>
                </c:pt>
                <c:pt idx="284">
                  <c:v>1800.5</c:v>
                </c:pt>
                <c:pt idx="285">
                  <c:v>1766</c:v>
                </c:pt>
                <c:pt idx="286">
                  <c:v>1782</c:v>
                </c:pt>
                <c:pt idx="287">
                  <c:v>1784.25</c:v>
                </c:pt>
                <c:pt idx="288">
                  <c:v>1801.75</c:v>
                </c:pt>
                <c:pt idx="289">
                  <c:v>1801.75</c:v>
                </c:pt>
                <c:pt idx="290">
                  <c:v>1801.75</c:v>
                </c:pt>
                <c:pt idx="291">
                  <c:v>1778</c:v>
                </c:pt>
                <c:pt idx="292">
                  <c:v>1765.5</c:v>
                </c:pt>
                <c:pt idx="293">
                  <c:v>1721</c:v>
                </c:pt>
                <c:pt idx="294">
                  <c:v>1743.5</c:v>
                </c:pt>
                <c:pt idx="295">
                  <c:v>1737.25</c:v>
                </c:pt>
                <c:pt idx="296">
                  <c:v>1737.25</c:v>
                </c:pt>
                <c:pt idx="297">
                  <c:v>1737.25</c:v>
                </c:pt>
                <c:pt idx="298">
                  <c:v>1741</c:v>
                </c:pt>
                <c:pt idx="299">
                  <c:v>1734.75</c:v>
                </c:pt>
                <c:pt idx="300">
                  <c:v>1729</c:v>
                </c:pt>
                <c:pt idx="301">
                  <c:v>1697.25</c:v>
                </c:pt>
                <c:pt idx="302">
                  <c:v>1679.5</c:v>
                </c:pt>
                <c:pt idx="303">
                  <c:v>1679.5</c:v>
                </c:pt>
                <c:pt idx="304">
                  <c:v>1679.5</c:v>
                </c:pt>
                <c:pt idx="305">
                  <c:v>1682.75</c:v>
                </c:pt>
                <c:pt idx="306">
                  <c:v>1671.75</c:v>
                </c:pt>
                <c:pt idx="307">
                  <c:v>1666.25</c:v>
                </c:pt>
                <c:pt idx="308">
                  <c:v>1642.75</c:v>
                </c:pt>
                <c:pt idx="309">
                  <c:v>1648</c:v>
                </c:pt>
                <c:pt idx="310">
                  <c:v>1648</c:v>
                </c:pt>
                <c:pt idx="311">
                  <c:v>1648</c:v>
                </c:pt>
                <c:pt idx="312">
                  <c:v>1645.5</c:v>
                </c:pt>
                <c:pt idx="313">
                  <c:v>1619.5</c:v>
                </c:pt>
                <c:pt idx="314">
                  <c:v>1606</c:v>
                </c:pt>
                <c:pt idx="315">
                  <c:v>1604</c:v>
                </c:pt>
                <c:pt idx="316">
                  <c:v>1599.5</c:v>
                </c:pt>
                <c:pt idx="317">
                  <c:v>1599.5</c:v>
                </c:pt>
                <c:pt idx="318">
                  <c:v>1599.5</c:v>
                </c:pt>
                <c:pt idx="319">
                  <c:v>1587.5</c:v>
                </c:pt>
                <c:pt idx="320">
                  <c:v>1585.5</c:v>
                </c:pt>
                <c:pt idx="321">
                  <c:v>1580.25</c:v>
                </c:pt>
                <c:pt idx="322">
                  <c:v>1576</c:v>
                </c:pt>
                <c:pt idx="323">
                  <c:v>1585.75</c:v>
                </c:pt>
              </c:numCache>
            </c:numRef>
          </c:val>
          <c:smooth val="0"/>
        </c:ser>
        <c:dLbls>
          <c:showLegendKey val="0"/>
          <c:showVal val="0"/>
          <c:showCatName val="0"/>
          <c:showSerName val="0"/>
          <c:showPercent val="0"/>
          <c:showBubbleSize val="0"/>
        </c:dLbls>
        <c:marker val="1"/>
        <c:smooth val="0"/>
        <c:axId val="257712512"/>
        <c:axId val="257714048"/>
      </c:lineChart>
      <c:dateAx>
        <c:axId val="257712512"/>
        <c:scaling>
          <c:orientation val="minMax"/>
        </c:scaling>
        <c:delete val="0"/>
        <c:axPos val="b"/>
        <c:numFmt formatCode="m/d/yyyy" sourceLinked="1"/>
        <c:majorTickMark val="out"/>
        <c:minorTickMark val="none"/>
        <c:tickLblPos val="nextTo"/>
        <c:txPr>
          <a:bodyPr/>
          <a:lstStyle/>
          <a:p>
            <a:pPr>
              <a:defRPr sz="1000"/>
            </a:pPr>
            <a:endParaRPr lang="zh-TW"/>
          </a:p>
        </c:txPr>
        <c:crossAx val="257714048"/>
        <c:crosses val="autoZero"/>
        <c:auto val="1"/>
        <c:lblOffset val="100"/>
        <c:baseTimeUnit val="days"/>
        <c:majorUnit val="1"/>
        <c:majorTimeUnit val="months"/>
        <c:minorUnit val="1"/>
        <c:minorTimeUnit val="months"/>
      </c:dateAx>
      <c:valAx>
        <c:axId val="257714048"/>
        <c:scaling>
          <c:orientation val="minMax"/>
          <c:min val="1500"/>
        </c:scaling>
        <c:delete val="0"/>
        <c:axPos val="l"/>
        <c:majorGridlines/>
        <c:numFmt formatCode="General;General;;" sourceLinked="1"/>
        <c:majorTickMark val="out"/>
        <c:minorTickMark val="none"/>
        <c:tickLblPos val="nextTo"/>
        <c:txPr>
          <a:bodyPr/>
          <a:lstStyle/>
          <a:p>
            <a:pPr>
              <a:defRPr sz="1000"/>
            </a:pPr>
            <a:endParaRPr lang="zh-TW"/>
          </a:p>
        </c:txPr>
        <c:crossAx val="257712512"/>
        <c:crosses val="autoZero"/>
        <c:crossBetween val="between"/>
      </c:valAx>
    </c:plotArea>
    <c:legend>
      <c:legendPos val="b"/>
      <c:layout>
        <c:manualLayout>
          <c:xMode val="edge"/>
          <c:yMode val="edge"/>
          <c:x val="0.19473638359003634"/>
          <c:y val="0.8353874210276615"/>
          <c:w val="0.56563903186340037"/>
          <c:h val="0.14335277678519151"/>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309389063029947"/>
          <c:y val="2.2009506664625693E-2"/>
          <c:w val="0.82861287834539454"/>
          <c:h val="0.6588578516811745"/>
        </c:manualLayout>
      </c:layout>
      <c:lineChart>
        <c:grouping val="standard"/>
        <c:varyColors val="0"/>
        <c:ser>
          <c:idx val="0"/>
          <c:order val="0"/>
          <c:tx>
            <c:strRef>
              <c:f>錫、鎂、鈦、鈷、釹!$M$1</c:f>
              <c:strCache>
                <c:ptCount val="1"/>
                <c:pt idx="0">
                  <c:v>錫 匯亮 99.9%現貨 未稅出廠價(美元/公噸)</c:v>
                </c:pt>
              </c:strCache>
            </c:strRef>
          </c:tx>
          <c:spPr>
            <a:ln>
              <a:prstDash val="sysDash"/>
            </a:ln>
          </c:spPr>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錫、鎂、鈦、鈷、釹!$M$216:$M$539</c:f>
              <c:numCache>
                <c:formatCode>General;General;;</c:formatCode>
                <c:ptCount val="324"/>
                <c:pt idx="0">
                  <c:v>21800</c:v>
                </c:pt>
                <c:pt idx="1">
                  <c:v>21800</c:v>
                </c:pt>
                <c:pt idx="2">
                  <c:v>21800</c:v>
                </c:pt>
                <c:pt idx="3">
                  <c:v>21800</c:v>
                </c:pt>
                <c:pt idx="4">
                  <c:v>21916.666666666661</c:v>
                </c:pt>
                <c:pt idx="5">
                  <c:v>21933.333333333321</c:v>
                </c:pt>
                <c:pt idx="6">
                  <c:v>21883.333333333321</c:v>
                </c:pt>
                <c:pt idx="7">
                  <c:v>21933.333333333321</c:v>
                </c:pt>
                <c:pt idx="8">
                  <c:v>21916.666666666661</c:v>
                </c:pt>
                <c:pt idx="9">
                  <c:v>21916.666666666661</c:v>
                </c:pt>
                <c:pt idx="10">
                  <c:v>21916.666666666661</c:v>
                </c:pt>
                <c:pt idx="11">
                  <c:v>21816.666666666661</c:v>
                </c:pt>
                <c:pt idx="12">
                  <c:v>21816.666666666661</c:v>
                </c:pt>
                <c:pt idx="13">
                  <c:v>21766.666666666661</c:v>
                </c:pt>
                <c:pt idx="14">
                  <c:v>21733.333333333321</c:v>
                </c:pt>
                <c:pt idx="15">
                  <c:v>21633.333333333321</c:v>
                </c:pt>
                <c:pt idx="16">
                  <c:v>21633.333333333321</c:v>
                </c:pt>
                <c:pt idx="17">
                  <c:v>21633.333333333321</c:v>
                </c:pt>
                <c:pt idx="18">
                  <c:v>21566.666666666661</c:v>
                </c:pt>
                <c:pt idx="19">
                  <c:v>21616.666666666661</c:v>
                </c:pt>
                <c:pt idx="20">
                  <c:v>21600</c:v>
                </c:pt>
                <c:pt idx="21">
                  <c:v>21533.333333333321</c:v>
                </c:pt>
                <c:pt idx="22">
                  <c:v>21433.333333333321</c:v>
                </c:pt>
                <c:pt idx="23">
                  <c:v>21433.333333333321</c:v>
                </c:pt>
                <c:pt idx="24">
                  <c:v>21433.333333333321</c:v>
                </c:pt>
                <c:pt idx="25">
                  <c:v>21433.333333333321</c:v>
                </c:pt>
                <c:pt idx="26">
                  <c:v>21416.666666666661</c:v>
                </c:pt>
                <c:pt idx="27">
                  <c:v>21383.333333333321</c:v>
                </c:pt>
                <c:pt idx="28">
                  <c:v>21500</c:v>
                </c:pt>
                <c:pt idx="29">
                  <c:v>21533.333333333321</c:v>
                </c:pt>
                <c:pt idx="30">
                  <c:v>21533.333333333321</c:v>
                </c:pt>
                <c:pt idx="31">
                  <c:v>21533.333333333321</c:v>
                </c:pt>
                <c:pt idx="32">
                  <c:v>21566.666666666661</c:v>
                </c:pt>
                <c:pt idx="33">
                  <c:v>21500</c:v>
                </c:pt>
                <c:pt idx="34">
                  <c:v>21366.666666666661</c:v>
                </c:pt>
                <c:pt idx="35">
                  <c:v>21383.333333333321</c:v>
                </c:pt>
                <c:pt idx="36">
                  <c:v>21383.333333333321</c:v>
                </c:pt>
                <c:pt idx="37">
                  <c:v>21383.333333333321</c:v>
                </c:pt>
                <c:pt idx="38">
                  <c:v>21383.333333333321</c:v>
                </c:pt>
                <c:pt idx="39">
                  <c:v>21416.666666666661</c:v>
                </c:pt>
                <c:pt idx="40">
                  <c:v>21350</c:v>
                </c:pt>
                <c:pt idx="41">
                  <c:v>21316.666666666661</c:v>
                </c:pt>
                <c:pt idx="42">
                  <c:v>21250</c:v>
                </c:pt>
                <c:pt idx="43">
                  <c:v>21250</c:v>
                </c:pt>
                <c:pt idx="44">
                  <c:v>21250</c:v>
                </c:pt>
                <c:pt idx="45">
                  <c:v>21250</c:v>
                </c:pt>
                <c:pt idx="46">
                  <c:v>21133.333333333321</c:v>
                </c:pt>
                <c:pt idx="47">
                  <c:v>21233.333333333321</c:v>
                </c:pt>
                <c:pt idx="48">
                  <c:v>21233.333333333321</c:v>
                </c:pt>
                <c:pt idx="49">
                  <c:v>21233.333333333321</c:v>
                </c:pt>
                <c:pt idx="50">
                  <c:v>21233.333333333321</c:v>
                </c:pt>
                <c:pt idx="51">
                  <c:v>21233.333333333321</c:v>
                </c:pt>
                <c:pt idx="52">
                  <c:v>21233.333333333321</c:v>
                </c:pt>
                <c:pt idx="53">
                  <c:v>21233.333333333321</c:v>
                </c:pt>
                <c:pt idx="54">
                  <c:v>21200</c:v>
                </c:pt>
                <c:pt idx="55">
                  <c:v>21133.333333333321</c:v>
                </c:pt>
                <c:pt idx="56">
                  <c:v>21100</c:v>
                </c:pt>
                <c:pt idx="57">
                  <c:v>21100</c:v>
                </c:pt>
                <c:pt idx="58">
                  <c:v>21100</c:v>
                </c:pt>
                <c:pt idx="59">
                  <c:v>21100</c:v>
                </c:pt>
                <c:pt idx="60">
                  <c:v>20833.333333333321</c:v>
                </c:pt>
                <c:pt idx="61">
                  <c:v>20833.333333333321</c:v>
                </c:pt>
                <c:pt idx="62">
                  <c:v>20733.333333333321</c:v>
                </c:pt>
                <c:pt idx="63">
                  <c:v>20783.333333333321</c:v>
                </c:pt>
                <c:pt idx="64">
                  <c:v>20750</c:v>
                </c:pt>
                <c:pt idx="65">
                  <c:v>20750</c:v>
                </c:pt>
                <c:pt idx="66">
                  <c:v>20750</c:v>
                </c:pt>
                <c:pt idx="67">
                  <c:v>20700</c:v>
                </c:pt>
                <c:pt idx="68">
                  <c:v>20666.666666666661</c:v>
                </c:pt>
                <c:pt idx="69">
                  <c:v>20700</c:v>
                </c:pt>
                <c:pt idx="70">
                  <c:v>20616.666666666661</c:v>
                </c:pt>
                <c:pt idx="71">
                  <c:v>20516.666666666661</c:v>
                </c:pt>
                <c:pt idx="72">
                  <c:v>20516.666666666661</c:v>
                </c:pt>
                <c:pt idx="73">
                  <c:v>20516.666666666661</c:v>
                </c:pt>
                <c:pt idx="74">
                  <c:v>20500</c:v>
                </c:pt>
                <c:pt idx="75">
                  <c:v>20483.333333333321</c:v>
                </c:pt>
                <c:pt idx="76">
                  <c:v>20450</c:v>
                </c:pt>
                <c:pt idx="77">
                  <c:v>20333.333333333321</c:v>
                </c:pt>
                <c:pt idx="78">
                  <c:v>20316.666666666661</c:v>
                </c:pt>
                <c:pt idx="79">
                  <c:v>20316.666666666661</c:v>
                </c:pt>
                <c:pt idx="80">
                  <c:v>20316.666666666661</c:v>
                </c:pt>
                <c:pt idx="81">
                  <c:v>20300</c:v>
                </c:pt>
                <c:pt idx="82">
                  <c:v>20233.333333333321</c:v>
                </c:pt>
                <c:pt idx="83">
                  <c:v>20216.666666666661</c:v>
                </c:pt>
                <c:pt idx="84">
                  <c:v>20116.666666666661</c:v>
                </c:pt>
                <c:pt idx="85">
                  <c:v>20116.666666666661</c:v>
                </c:pt>
                <c:pt idx="86">
                  <c:v>20116.666666666661</c:v>
                </c:pt>
                <c:pt idx="87">
                  <c:v>20116.666666666661</c:v>
                </c:pt>
                <c:pt idx="88">
                  <c:v>20083.333333333321</c:v>
                </c:pt>
                <c:pt idx="89">
                  <c:v>20000</c:v>
                </c:pt>
                <c:pt idx="90">
                  <c:v>19900</c:v>
                </c:pt>
                <c:pt idx="91">
                  <c:v>19716.666666666661</c:v>
                </c:pt>
                <c:pt idx="92">
                  <c:v>19716.666666666661</c:v>
                </c:pt>
                <c:pt idx="93">
                  <c:v>19716.666666666661</c:v>
                </c:pt>
                <c:pt idx="94">
                  <c:v>19716.666666666661</c:v>
                </c:pt>
                <c:pt idx="95">
                  <c:v>19716.666666666661</c:v>
                </c:pt>
                <c:pt idx="96">
                  <c:v>19350</c:v>
                </c:pt>
                <c:pt idx="97">
                  <c:v>19383.333333333321</c:v>
                </c:pt>
                <c:pt idx="98">
                  <c:v>19366.666666666661</c:v>
                </c:pt>
                <c:pt idx="99">
                  <c:v>19350</c:v>
                </c:pt>
                <c:pt idx="100">
                  <c:v>19350</c:v>
                </c:pt>
                <c:pt idx="101">
                  <c:v>19350</c:v>
                </c:pt>
                <c:pt idx="102">
                  <c:v>19416.666666666661</c:v>
                </c:pt>
                <c:pt idx="103">
                  <c:v>19350</c:v>
                </c:pt>
                <c:pt idx="104">
                  <c:v>19350</c:v>
                </c:pt>
                <c:pt idx="105">
                  <c:v>19250</c:v>
                </c:pt>
                <c:pt idx="106">
                  <c:v>18933.333333333321</c:v>
                </c:pt>
                <c:pt idx="107">
                  <c:v>18933.333333333321</c:v>
                </c:pt>
                <c:pt idx="108">
                  <c:v>18933.333333333321</c:v>
                </c:pt>
                <c:pt idx="109">
                  <c:v>18783.333333333321</c:v>
                </c:pt>
                <c:pt idx="110">
                  <c:v>18833.333333333321</c:v>
                </c:pt>
                <c:pt idx="111">
                  <c:v>18816.666666666661</c:v>
                </c:pt>
                <c:pt idx="112">
                  <c:v>18883.333333333321</c:v>
                </c:pt>
                <c:pt idx="113">
                  <c:v>18733.333333333321</c:v>
                </c:pt>
                <c:pt idx="114">
                  <c:v>18733.333333333321</c:v>
                </c:pt>
                <c:pt idx="115">
                  <c:v>18733.333333333321</c:v>
                </c:pt>
                <c:pt idx="116">
                  <c:v>18533.333333333321</c:v>
                </c:pt>
                <c:pt idx="117">
                  <c:v>18516.666666666661</c:v>
                </c:pt>
                <c:pt idx="118">
                  <c:v>18433.333333333321</c:v>
                </c:pt>
                <c:pt idx="119">
                  <c:v>18000</c:v>
                </c:pt>
                <c:pt idx="120">
                  <c:v>18000</c:v>
                </c:pt>
                <c:pt idx="121">
                  <c:v>18000</c:v>
                </c:pt>
                <c:pt idx="122">
                  <c:v>18000</c:v>
                </c:pt>
                <c:pt idx="123">
                  <c:v>17800</c:v>
                </c:pt>
                <c:pt idx="124">
                  <c:v>17766.666666666661</c:v>
                </c:pt>
                <c:pt idx="125">
                  <c:v>17733.333333333321</c:v>
                </c:pt>
                <c:pt idx="126">
                  <c:v>17750</c:v>
                </c:pt>
                <c:pt idx="127">
                  <c:v>17750</c:v>
                </c:pt>
                <c:pt idx="128">
                  <c:v>17750</c:v>
                </c:pt>
                <c:pt idx="129">
                  <c:v>17750</c:v>
                </c:pt>
                <c:pt idx="130">
                  <c:v>17683.333333333321</c:v>
                </c:pt>
                <c:pt idx="131">
                  <c:v>17633.333333333321</c:v>
                </c:pt>
                <c:pt idx="132">
                  <c:v>17616.666666666661</c:v>
                </c:pt>
                <c:pt idx="133">
                  <c:v>17533.333333333321</c:v>
                </c:pt>
                <c:pt idx="134">
                  <c:v>17466.666666666661</c:v>
                </c:pt>
                <c:pt idx="135">
                  <c:v>17466.666666666661</c:v>
                </c:pt>
                <c:pt idx="136">
                  <c:v>17466.666666666661</c:v>
                </c:pt>
                <c:pt idx="137">
                  <c:v>17383.333333333321</c:v>
                </c:pt>
                <c:pt idx="138">
                  <c:v>17400</c:v>
                </c:pt>
                <c:pt idx="139">
                  <c:v>17333.333333333321</c:v>
                </c:pt>
                <c:pt idx="140">
                  <c:v>17316.666666666661</c:v>
                </c:pt>
                <c:pt idx="141">
                  <c:v>17250</c:v>
                </c:pt>
                <c:pt idx="142">
                  <c:v>17250</c:v>
                </c:pt>
                <c:pt idx="143">
                  <c:v>17250</c:v>
                </c:pt>
                <c:pt idx="144">
                  <c:v>17233.333333333321</c:v>
                </c:pt>
                <c:pt idx="145">
                  <c:v>17216.666666666661</c:v>
                </c:pt>
                <c:pt idx="146">
                  <c:v>17183.333333333321</c:v>
                </c:pt>
                <c:pt idx="147">
                  <c:v>17166.666666666661</c:v>
                </c:pt>
                <c:pt idx="148">
                  <c:v>17066.666666666661</c:v>
                </c:pt>
                <c:pt idx="149">
                  <c:v>17066.666666666661</c:v>
                </c:pt>
                <c:pt idx="150">
                  <c:v>17066.666666666661</c:v>
                </c:pt>
                <c:pt idx="151">
                  <c:v>17050</c:v>
                </c:pt>
                <c:pt idx="152">
                  <c:v>17133.333333333321</c:v>
                </c:pt>
                <c:pt idx="153">
                  <c:v>17066.666666666661</c:v>
                </c:pt>
                <c:pt idx="154">
                  <c:v>17083.333333333321</c:v>
                </c:pt>
                <c:pt idx="155">
                  <c:v>17050</c:v>
                </c:pt>
                <c:pt idx="156">
                  <c:v>17050</c:v>
                </c:pt>
                <c:pt idx="157">
                  <c:v>17050</c:v>
                </c:pt>
                <c:pt idx="158">
                  <c:v>17133.333333333321</c:v>
                </c:pt>
                <c:pt idx="159">
                  <c:v>17150</c:v>
                </c:pt>
                <c:pt idx="160">
                  <c:v>17116.666666666661</c:v>
                </c:pt>
                <c:pt idx="161">
                  <c:v>17000</c:v>
                </c:pt>
                <c:pt idx="162">
                  <c:v>16950</c:v>
                </c:pt>
                <c:pt idx="163">
                  <c:v>16950</c:v>
                </c:pt>
                <c:pt idx="164">
                  <c:v>16950</c:v>
                </c:pt>
                <c:pt idx="165">
                  <c:v>17000</c:v>
                </c:pt>
                <c:pt idx="166">
                  <c:v>16966.666666666661</c:v>
                </c:pt>
                <c:pt idx="167">
                  <c:v>16950</c:v>
                </c:pt>
                <c:pt idx="168">
                  <c:v>17033.333333333321</c:v>
                </c:pt>
                <c:pt idx="169">
                  <c:v>17033.333333333321</c:v>
                </c:pt>
                <c:pt idx="170">
                  <c:v>17033.333333333321</c:v>
                </c:pt>
                <c:pt idx="171">
                  <c:v>17033.333333333321</c:v>
                </c:pt>
                <c:pt idx="172">
                  <c:v>16883.333333333321</c:v>
                </c:pt>
                <c:pt idx="173">
                  <c:v>16933.333333333321</c:v>
                </c:pt>
                <c:pt idx="174">
                  <c:v>16983.333333333321</c:v>
                </c:pt>
                <c:pt idx="175">
                  <c:v>16966.666666666661</c:v>
                </c:pt>
                <c:pt idx="176">
                  <c:v>16933.333333333321</c:v>
                </c:pt>
                <c:pt idx="177">
                  <c:v>16933.333333333321</c:v>
                </c:pt>
                <c:pt idx="178">
                  <c:v>16933.333333333321</c:v>
                </c:pt>
                <c:pt idx="179">
                  <c:v>16866.666666666661</c:v>
                </c:pt>
                <c:pt idx="180">
                  <c:v>16783.333333333321</c:v>
                </c:pt>
                <c:pt idx="181">
                  <c:v>16733.333333333321</c:v>
                </c:pt>
                <c:pt idx="182">
                  <c:v>16683.333333333321</c:v>
                </c:pt>
                <c:pt idx="183">
                  <c:v>16650</c:v>
                </c:pt>
                <c:pt idx="184">
                  <c:v>16650</c:v>
                </c:pt>
                <c:pt idx="185">
                  <c:v>16650</c:v>
                </c:pt>
                <c:pt idx="186">
                  <c:v>16616.666666666661</c:v>
                </c:pt>
                <c:pt idx="187">
                  <c:v>16566.666666666661</c:v>
                </c:pt>
                <c:pt idx="188">
                  <c:v>16500</c:v>
                </c:pt>
                <c:pt idx="189">
                  <c:v>16433.333333333321</c:v>
                </c:pt>
                <c:pt idx="190">
                  <c:v>16433.333333333321</c:v>
                </c:pt>
                <c:pt idx="191">
                  <c:v>16433.333333333321</c:v>
                </c:pt>
                <c:pt idx="192">
                  <c:v>16433.333333333321</c:v>
                </c:pt>
                <c:pt idx="193">
                  <c:v>16366.666666666662</c:v>
                </c:pt>
                <c:pt idx="194">
                  <c:v>16383.33333333333</c:v>
                </c:pt>
                <c:pt idx="195">
                  <c:v>16383.33333333333</c:v>
                </c:pt>
                <c:pt idx="196">
                  <c:v>16466.666666666661</c:v>
                </c:pt>
                <c:pt idx="197">
                  <c:v>16600</c:v>
                </c:pt>
                <c:pt idx="198">
                  <c:v>16600</c:v>
                </c:pt>
                <c:pt idx="199">
                  <c:v>16600</c:v>
                </c:pt>
                <c:pt idx="200">
                  <c:v>16666.666666666661</c:v>
                </c:pt>
                <c:pt idx="201">
                  <c:v>16633.333333333321</c:v>
                </c:pt>
                <c:pt idx="202">
                  <c:v>16433.333333333321</c:v>
                </c:pt>
                <c:pt idx="203">
                  <c:v>16400</c:v>
                </c:pt>
                <c:pt idx="204">
                  <c:v>16483.333333333321</c:v>
                </c:pt>
                <c:pt idx="205">
                  <c:v>16483.333333333321</c:v>
                </c:pt>
                <c:pt idx="206">
                  <c:v>16483.333333333321</c:v>
                </c:pt>
                <c:pt idx="207">
                  <c:v>16583.333333333321</c:v>
                </c:pt>
                <c:pt idx="208">
                  <c:v>16853.333333333321</c:v>
                </c:pt>
                <c:pt idx="209">
                  <c:v>17350</c:v>
                </c:pt>
                <c:pt idx="210">
                  <c:v>17416.666666666661</c:v>
                </c:pt>
                <c:pt idx="211">
                  <c:v>17400</c:v>
                </c:pt>
                <c:pt idx="212">
                  <c:v>17400</c:v>
                </c:pt>
                <c:pt idx="213">
                  <c:v>17400</c:v>
                </c:pt>
                <c:pt idx="214">
                  <c:v>17616.666666666661</c:v>
                </c:pt>
                <c:pt idx="215">
                  <c:v>17566.666666666661</c:v>
                </c:pt>
                <c:pt idx="216">
                  <c:v>17416.666666666661</c:v>
                </c:pt>
                <c:pt idx="217">
                  <c:v>17183.333333333321</c:v>
                </c:pt>
                <c:pt idx="218">
                  <c:v>17233.333333333321</c:v>
                </c:pt>
                <c:pt idx="219">
                  <c:v>17233.333333333321</c:v>
                </c:pt>
                <c:pt idx="220">
                  <c:v>17233.333333333321</c:v>
                </c:pt>
                <c:pt idx="221">
                  <c:v>17033.333333333321</c:v>
                </c:pt>
                <c:pt idx="222">
                  <c:v>17250</c:v>
                </c:pt>
                <c:pt idx="223">
                  <c:v>17383.333333333321</c:v>
                </c:pt>
                <c:pt idx="224">
                  <c:v>17250</c:v>
                </c:pt>
                <c:pt idx="225">
                  <c:v>17233.333333333321</c:v>
                </c:pt>
                <c:pt idx="226">
                  <c:v>17233.333333333321</c:v>
                </c:pt>
                <c:pt idx="227">
                  <c:v>17233.333333333321</c:v>
                </c:pt>
                <c:pt idx="228">
                  <c:v>17316.666666666661</c:v>
                </c:pt>
                <c:pt idx="229">
                  <c:v>17400</c:v>
                </c:pt>
                <c:pt idx="230">
                  <c:v>17783.333333333321</c:v>
                </c:pt>
                <c:pt idx="231">
                  <c:v>17700</c:v>
                </c:pt>
                <c:pt idx="232">
                  <c:v>17783.333333333321</c:v>
                </c:pt>
                <c:pt idx="233">
                  <c:v>17783.333333333321</c:v>
                </c:pt>
                <c:pt idx="234">
                  <c:v>17783.333333333321</c:v>
                </c:pt>
                <c:pt idx="235">
                  <c:v>17700</c:v>
                </c:pt>
                <c:pt idx="236">
                  <c:v>17583.333333333321</c:v>
                </c:pt>
                <c:pt idx="237">
                  <c:v>17366.666666666661</c:v>
                </c:pt>
                <c:pt idx="238">
                  <c:v>17233.333333333321</c:v>
                </c:pt>
                <c:pt idx="239">
                  <c:v>17150</c:v>
                </c:pt>
                <c:pt idx="240">
                  <c:v>17150</c:v>
                </c:pt>
                <c:pt idx="241">
                  <c:v>17150</c:v>
                </c:pt>
                <c:pt idx="242">
                  <c:v>17266.666666666661</c:v>
                </c:pt>
                <c:pt idx="243">
                  <c:v>17250</c:v>
                </c:pt>
                <c:pt idx="244">
                  <c:v>17216.666666666661</c:v>
                </c:pt>
                <c:pt idx="245">
                  <c:v>17383.333333333321</c:v>
                </c:pt>
                <c:pt idx="246">
                  <c:v>17400</c:v>
                </c:pt>
                <c:pt idx="247">
                  <c:v>17400</c:v>
                </c:pt>
                <c:pt idx="248">
                  <c:v>17400</c:v>
                </c:pt>
                <c:pt idx="249">
                  <c:v>17433.333333333321</c:v>
                </c:pt>
                <c:pt idx="250">
                  <c:v>17450</c:v>
                </c:pt>
                <c:pt idx="251">
                  <c:v>17466.666666666661</c:v>
                </c:pt>
                <c:pt idx="252">
                  <c:v>17433.333333333321</c:v>
                </c:pt>
                <c:pt idx="253">
                  <c:v>17466.666666666661</c:v>
                </c:pt>
                <c:pt idx="254">
                  <c:v>17466.666666666661</c:v>
                </c:pt>
                <c:pt idx="255">
                  <c:v>17466.666666666661</c:v>
                </c:pt>
                <c:pt idx="256">
                  <c:v>17616.666666666661</c:v>
                </c:pt>
                <c:pt idx="257">
                  <c:v>17750</c:v>
                </c:pt>
                <c:pt idx="258">
                  <c:v>17633.333333333321</c:v>
                </c:pt>
                <c:pt idx="259">
                  <c:v>17666.666666666661</c:v>
                </c:pt>
                <c:pt idx="260">
                  <c:v>17516.666666666661</c:v>
                </c:pt>
                <c:pt idx="261">
                  <c:v>17516.666666666661</c:v>
                </c:pt>
                <c:pt idx="262">
                  <c:v>17516.666666666661</c:v>
                </c:pt>
                <c:pt idx="263">
                  <c:v>17516.666666666661</c:v>
                </c:pt>
                <c:pt idx="264">
                  <c:v>17583.333333333321</c:v>
                </c:pt>
                <c:pt idx="265">
                  <c:v>17616.666666666661</c:v>
                </c:pt>
                <c:pt idx="266">
                  <c:v>17683.333333333321</c:v>
                </c:pt>
                <c:pt idx="267">
                  <c:v>17716.666666666661</c:v>
                </c:pt>
                <c:pt idx="268">
                  <c:v>17716.666666666661</c:v>
                </c:pt>
                <c:pt idx="269">
                  <c:v>17716.666666666661</c:v>
                </c:pt>
                <c:pt idx="270">
                  <c:v>17716.666666666661</c:v>
                </c:pt>
                <c:pt idx="271">
                  <c:v>17716.666666666661</c:v>
                </c:pt>
                <c:pt idx="272">
                  <c:v>17683.333333333321</c:v>
                </c:pt>
                <c:pt idx="273">
                  <c:v>17566.666666666661</c:v>
                </c:pt>
                <c:pt idx="274">
                  <c:v>17816.666666666661</c:v>
                </c:pt>
                <c:pt idx="275">
                  <c:v>17816.666666666661</c:v>
                </c:pt>
                <c:pt idx="276">
                  <c:v>17816.666666666661</c:v>
                </c:pt>
                <c:pt idx="277">
                  <c:v>17750</c:v>
                </c:pt>
                <c:pt idx="278">
                  <c:v>17683.333333333321</c:v>
                </c:pt>
                <c:pt idx="279">
                  <c:v>17783.333333333321</c:v>
                </c:pt>
                <c:pt idx="280">
                  <c:v>17783.333333333321</c:v>
                </c:pt>
                <c:pt idx="281">
                  <c:v>17783.333333333321</c:v>
                </c:pt>
                <c:pt idx="282">
                  <c:v>17783.333333333321</c:v>
                </c:pt>
                <c:pt idx="283">
                  <c:v>17783.333333333321</c:v>
                </c:pt>
                <c:pt idx="284">
                  <c:v>18000</c:v>
                </c:pt>
                <c:pt idx="285">
                  <c:v>17883.333333333321</c:v>
                </c:pt>
                <c:pt idx="286">
                  <c:v>17950</c:v>
                </c:pt>
                <c:pt idx="287">
                  <c:v>17783.333333333321</c:v>
                </c:pt>
                <c:pt idx="288">
                  <c:v>17900</c:v>
                </c:pt>
                <c:pt idx="289">
                  <c:v>17900</c:v>
                </c:pt>
                <c:pt idx="290">
                  <c:v>17900</c:v>
                </c:pt>
                <c:pt idx="291">
                  <c:v>17916.666666666661</c:v>
                </c:pt>
                <c:pt idx="292">
                  <c:v>17933.333333333321</c:v>
                </c:pt>
                <c:pt idx="293">
                  <c:v>17916.666666666661</c:v>
                </c:pt>
                <c:pt idx="294">
                  <c:v>17966.666666666661</c:v>
                </c:pt>
                <c:pt idx="295">
                  <c:v>17933.333333333321</c:v>
                </c:pt>
                <c:pt idx="296">
                  <c:v>17933.333333333321</c:v>
                </c:pt>
                <c:pt idx="297">
                  <c:v>17933.333333333321</c:v>
                </c:pt>
                <c:pt idx="298">
                  <c:v>17950</c:v>
                </c:pt>
                <c:pt idx="299">
                  <c:v>17900</c:v>
                </c:pt>
                <c:pt idx="300">
                  <c:v>17900</c:v>
                </c:pt>
                <c:pt idx="301">
                  <c:v>17900</c:v>
                </c:pt>
                <c:pt idx="302">
                  <c:v>17850</c:v>
                </c:pt>
                <c:pt idx="303">
                  <c:v>17850</c:v>
                </c:pt>
                <c:pt idx="304">
                  <c:v>17850</c:v>
                </c:pt>
                <c:pt idx="305">
                  <c:v>17783.333333333321</c:v>
                </c:pt>
                <c:pt idx="306">
                  <c:v>17766.666666666661</c:v>
                </c:pt>
                <c:pt idx="307">
                  <c:v>17750</c:v>
                </c:pt>
                <c:pt idx="308">
                  <c:v>17733.333333333321</c:v>
                </c:pt>
                <c:pt idx="309">
                  <c:v>17750</c:v>
                </c:pt>
                <c:pt idx="310">
                  <c:v>17750</c:v>
                </c:pt>
                <c:pt idx="311">
                  <c:v>17750</c:v>
                </c:pt>
                <c:pt idx="312">
                  <c:v>17866.666666666661</c:v>
                </c:pt>
                <c:pt idx="313">
                  <c:v>17883.333333333321</c:v>
                </c:pt>
                <c:pt idx="314">
                  <c:v>17900</c:v>
                </c:pt>
                <c:pt idx="315">
                  <c:v>17883.333333333321</c:v>
                </c:pt>
                <c:pt idx="316">
                  <c:v>17866.666666666661</c:v>
                </c:pt>
                <c:pt idx="317">
                  <c:v>17866.666666666661</c:v>
                </c:pt>
                <c:pt idx="318">
                  <c:v>17866.666666666661</c:v>
                </c:pt>
                <c:pt idx="319">
                  <c:v>17916.666666666661</c:v>
                </c:pt>
                <c:pt idx="320">
                  <c:v>17933.333333333321</c:v>
                </c:pt>
                <c:pt idx="321">
                  <c:v>17933.333333333321</c:v>
                </c:pt>
                <c:pt idx="322">
                  <c:v>17800</c:v>
                </c:pt>
                <c:pt idx="323">
                  <c:v>17733.333333333321</c:v>
                </c:pt>
              </c:numCache>
            </c:numRef>
          </c:val>
          <c:smooth val="0"/>
        </c:ser>
        <c:ser>
          <c:idx val="1"/>
          <c:order val="1"/>
          <c:tx>
            <c:strRef>
              <c:f>錫、鎂、鈦、鈷、釹!$N$1</c:f>
              <c:strCache>
                <c:ptCount val="1"/>
                <c:pt idx="0">
                  <c:v>錫 倫敦LME 現貨 收盤價(美元/公噸)</c:v>
                </c:pt>
              </c:strCache>
            </c:strRef>
          </c:tx>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錫、鎂、鈦、鈷、釹!$N$216:$N$539</c:f>
              <c:numCache>
                <c:formatCode>General;General;;</c:formatCode>
                <c:ptCount val="324"/>
                <c:pt idx="0">
                  <c:v>19433.5</c:v>
                </c:pt>
                <c:pt idx="1">
                  <c:v>19676</c:v>
                </c:pt>
                <c:pt idx="2">
                  <c:v>19676</c:v>
                </c:pt>
                <c:pt idx="3">
                  <c:v>19676</c:v>
                </c:pt>
                <c:pt idx="4">
                  <c:v>19515</c:v>
                </c:pt>
                <c:pt idx="5">
                  <c:v>19785</c:v>
                </c:pt>
                <c:pt idx="6">
                  <c:v>19694</c:v>
                </c:pt>
                <c:pt idx="7">
                  <c:v>19777</c:v>
                </c:pt>
                <c:pt idx="8">
                  <c:v>19548</c:v>
                </c:pt>
                <c:pt idx="9">
                  <c:v>19548</c:v>
                </c:pt>
                <c:pt idx="10">
                  <c:v>19548</c:v>
                </c:pt>
                <c:pt idx="11">
                  <c:v>19897</c:v>
                </c:pt>
                <c:pt idx="12">
                  <c:v>19504</c:v>
                </c:pt>
                <c:pt idx="13">
                  <c:v>19335</c:v>
                </c:pt>
                <c:pt idx="14">
                  <c:v>19322</c:v>
                </c:pt>
                <c:pt idx="15">
                  <c:v>19339</c:v>
                </c:pt>
                <c:pt idx="16">
                  <c:v>19339</c:v>
                </c:pt>
                <c:pt idx="17">
                  <c:v>19339</c:v>
                </c:pt>
                <c:pt idx="18">
                  <c:v>19294</c:v>
                </c:pt>
                <c:pt idx="19">
                  <c:v>19416</c:v>
                </c:pt>
                <c:pt idx="20">
                  <c:v>19345</c:v>
                </c:pt>
                <c:pt idx="21">
                  <c:v>19485.5</c:v>
                </c:pt>
                <c:pt idx="22">
                  <c:v>19449</c:v>
                </c:pt>
                <c:pt idx="23">
                  <c:v>19449</c:v>
                </c:pt>
                <c:pt idx="24">
                  <c:v>19449</c:v>
                </c:pt>
                <c:pt idx="25">
                  <c:v>19563</c:v>
                </c:pt>
                <c:pt idx="26">
                  <c:v>19271</c:v>
                </c:pt>
                <c:pt idx="27">
                  <c:v>19201</c:v>
                </c:pt>
                <c:pt idx="28">
                  <c:v>19137</c:v>
                </c:pt>
                <c:pt idx="29">
                  <c:v>18983</c:v>
                </c:pt>
                <c:pt idx="30">
                  <c:v>18983</c:v>
                </c:pt>
                <c:pt idx="31">
                  <c:v>18983</c:v>
                </c:pt>
                <c:pt idx="32">
                  <c:v>18815</c:v>
                </c:pt>
                <c:pt idx="33">
                  <c:v>18987</c:v>
                </c:pt>
                <c:pt idx="34">
                  <c:v>18963</c:v>
                </c:pt>
                <c:pt idx="35">
                  <c:v>18931.25</c:v>
                </c:pt>
                <c:pt idx="36">
                  <c:v>18471</c:v>
                </c:pt>
                <c:pt idx="37">
                  <c:v>18471</c:v>
                </c:pt>
                <c:pt idx="38">
                  <c:v>18471</c:v>
                </c:pt>
                <c:pt idx="39">
                  <c:v>18222</c:v>
                </c:pt>
                <c:pt idx="40">
                  <c:v>18173</c:v>
                </c:pt>
                <c:pt idx="41">
                  <c:v>17629</c:v>
                </c:pt>
                <c:pt idx="42">
                  <c:v>17981</c:v>
                </c:pt>
                <c:pt idx="43">
                  <c:v>18249</c:v>
                </c:pt>
                <c:pt idx="44">
                  <c:v>18249</c:v>
                </c:pt>
                <c:pt idx="45">
                  <c:v>18249</c:v>
                </c:pt>
                <c:pt idx="46">
                  <c:v>18094</c:v>
                </c:pt>
                <c:pt idx="47">
                  <c:v>18018</c:v>
                </c:pt>
                <c:pt idx="48">
                  <c:v>18044</c:v>
                </c:pt>
                <c:pt idx="49">
                  <c:v>18146</c:v>
                </c:pt>
                <c:pt idx="50">
                  <c:v>17868</c:v>
                </c:pt>
                <c:pt idx="51">
                  <c:v>17868</c:v>
                </c:pt>
                <c:pt idx="52">
                  <c:v>17868</c:v>
                </c:pt>
                <c:pt idx="53">
                  <c:v>17943</c:v>
                </c:pt>
                <c:pt idx="54">
                  <c:v>18069</c:v>
                </c:pt>
                <c:pt idx="55">
                  <c:v>18093</c:v>
                </c:pt>
                <c:pt idx="56">
                  <c:v>18068</c:v>
                </c:pt>
                <c:pt idx="57">
                  <c:v>17914</c:v>
                </c:pt>
                <c:pt idx="58">
                  <c:v>17914</c:v>
                </c:pt>
                <c:pt idx="59">
                  <c:v>17914</c:v>
                </c:pt>
                <c:pt idx="60">
                  <c:v>17755</c:v>
                </c:pt>
                <c:pt idx="61">
                  <c:v>17801</c:v>
                </c:pt>
                <c:pt idx="62">
                  <c:v>17750</c:v>
                </c:pt>
                <c:pt idx="63">
                  <c:v>18099</c:v>
                </c:pt>
                <c:pt idx="64">
                  <c:v>18062</c:v>
                </c:pt>
                <c:pt idx="65">
                  <c:v>18062</c:v>
                </c:pt>
                <c:pt idx="66">
                  <c:v>18062</c:v>
                </c:pt>
                <c:pt idx="67">
                  <c:v>18154</c:v>
                </c:pt>
                <c:pt idx="68">
                  <c:v>17745</c:v>
                </c:pt>
                <c:pt idx="69">
                  <c:v>17377</c:v>
                </c:pt>
                <c:pt idx="70">
                  <c:v>17173</c:v>
                </c:pt>
                <c:pt idx="71">
                  <c:v>17260</c:v>
                </c:pt>
                <c:pt idx="72">
                  <c:v>17260</c:v>
                </c:pt>
                <c:pt idx="73">
                  <c:v>17260</c:v>
                </c:pt>
                <c:pt idx="74">
                  <c:v>17503</c:v>
                </c:pt>
                <c:pt idx="75">
                  <c:v>17321</c:v>
                </c:pt>
                <c:pt idx="76">
                  <c:v>16832</c:v>
                </c:pt>
                <c:pt idx="77">
                  <c:v>16956</c:v>
                </c:pt>
                <c:pt idx="78">
                  <c:v>17261</c:v>
                </c:pt>
                <c:pt idx="79">
                  <c:v>17261</c:v>
                </c:pt>
                <c:pt idx="80">
                  <c:v>17261</c:v>
                </c:pt>
                <c:pt idx="81">
                  <c:v>17611</c:v>
                </c:pt>
                <c:pt idx="82">
                  <c:v>17507</c:v>
                </c:pt>
                <c:pt idx="83">
                  <c:v>17344</c:v>
                </c:pt>
                <c:pt idx="84">
                  <c:v>17098</c:v>
                </c:pt>
                <c:pt idx="85">
                  <c:v>17143</c:v>
                </c:pt>
                <c:pt idx="86">
                  <c:v>17143</c:v>
                </c:pt>
                <c:pt idx="87">
                  <c:v>17143</c:v>
                </c:pt>
                <c:pt idx="88">
                  <c:v>16987</c:v>
                </c:pt>
                <c:pt idx="89">
                  <c:v>16543</c:v>
                </c:pt>
                <c:pt idx="90">
                  <c:v>16516</c:v>
                </c:pt>
                <c:pt idx="91">
                  <c:v>16744</c:v>
                </c:pt>
                <c:pt idx="92">
                  <c:v>16744</c:v>
                </c:pt>
                <c:pt idx="93">
                  <c:v>16744</c:v>
                </c:pt>
                <c:pt idx="94">
                  <c:v>16744</c:v>
                </c:pt>
                <c:pt idx="95">
                  <c:v>16744</c:v>
                </c:pt>
                <c:pt idx="96">
                  <c:v>16705</c:v>
                </c:pt>
                <c:pt idx="97">
                  <c:v>16657</c:v>
                </c:pt>
                <c:pt idx="98">
                  <c:v>16554.5</c:v>
                </c:pt>
                <c:pt idx="99">
                  <c:v>16651</c:v>
                </c:pt>
                <c:pt idx="100">
                  <c:v>16651</c:v>
                </c:pt>
                <c:pt idx="101">
                  <c:v>16651</c:v>
                </c:pt>
                <c:pt idx="102">
                  <c:v>16046</c:v>
                </c:pt>
                <c:pt idx="103">
                  <c:v>16221</c:v>
                </c:pt>
                <c:pt idx="104">
                  <c:v>15797</c:v>
                </c:pt>
                <c:pt idx="105">
                  <c:v>14936</c:v>
                </c:pt>
                <c:pt idx="106">
                  <c:v>14794</c:v>
                </c:pt>
                <c:pt idx="107">
                  <c:v>14794</c:v>
                </c:pt>
                <c:pt idx="108">
                  <c:v>14794</c:v>
                </c:pt>
                <c:pt idx="109">
                  <c:v>14503</c:v>
                </c:pt>
                <c:pt idx="110">
                  <c:v>15489</c:v>
                </c:pt>
                <c:pt idx="111">
                  <c:v>15520</c:v>
                </c:pt>
                <c:pt idx="112">
                  <c:v>15447</c:v>
                </c:pt>
                <c:pt idx="113">
                  <c:v>15798</c:v>
                </c:pt>
                <c:pt idx="114">
                  <c:v>15798</c:v>
                </c:pt>
                <c:pt idx="115">
                  <c:v>15798</c:v>
                </c:pt>
                <c:pt idx="116">
                  <c:v>16225</c:v>
                </c:pt>
                <c:pt idx="117">
                  <c:v>15702</c:v>
                </c:pt>
                <c:pt idx="118">
                  <c:v>15720</c:v>
                </c:pt>
                <c:pt idx="119">
                  <c:v>15992</c:v>
                </c:pt>
                <c:pt idx="120">
                  <c:v>15966</c:v>
                </c:pt>
                <c:pt idx="121">
                  <c:v>15966</c:v>
                </c:pt>
                <c:pt idx="122">
                  <c:v>15966</c:v>
                </c:pt>
                <c:pt idx="123">
                  <c:v>15966</c:v>
                </c:pt>
                <c:pt idx="124">
                  <c:v>16069</c:v>
                </c:pt>
                <c:pt idx="125">
                  <c:v>16170</c:v>
                </c:pt>
                <c:pt idx="126">
                  <c:v>15946</c:v>
                </c:pt>
                <c:pt idx="127">
                  <c:v>15872</c:v>
                </c:pt>
                <c:pt idx="128">
                  <c:v>15872</c:v>
                </c:pt>
                <c:pt idx="129">
                  <c:v>15872</c:v>
                </c:pt>
                <c:pt idx="130">
                  <c:v>15769</c:v>
                </c:pt>
                <c:pt idx="131">
                  <c:v>15869</c:v>
                </c:pt>
                <c:pt idx="132">
                  <c:v>15670</c:v>
                </c:pt>
                <c:pt idx="133">
                  <c:v>15821</c:v>
                </c:pt>
                <c:pt idx="134">
                  <c:v>15745</c:v>
                </c:pt>
                <c:pt idx="135">
                  <c:v>15745</c:v>
                </c:pt>
                <c:pt idx="136">
                  <c:v>15745</c:v>
                </c:pt>
                <c:pt idx="137">
                  <c:v>15871.5</c:v>
                </c:pt>
                <c:pt idx="138">
                  <c:v>15972</c:v>
                </c:pt>
                <c:pt idx="139">
                  <c:v>16021</c:v>
                </c:pt>
                <c:pt idx="140">
                  <c:v>15773</c:v>
                </c:pt>
                <c:pt idx="141">
                  <c:v>15747</c:v>
                </c:pt>
                <c:pt idx="142">
                  <c:v>15747</c:v>
                </c:pt>
                <c:pt idx="143">
                  <c:v>15747</c:v>
                </c:pt>
                <c:pt idx="144">
                  <c:v>15747</c:v>
                </c:pt>
                <c:pt idx="145">
                  <c:v>15360</c:v>
                </c:pt>
                <c:pt idx="146">
                  <c:v>15556</c:v>
                </c:pt>
                <c:pt idx="147">
                  <c:v>15510</c:v>
                </c:pt>
                <c:pt idx="148">
                  <c:v>15560.75</c:v>
                </c:pt>
                <c:pt idx="149">
                  <c:v>15560.75</c:v>
                </c:pt>
                <c:pt idx="150">
                  <c:v>15560.75</c:v>
                </c:pt>
                <c:pt idx="151">
                  <c:v>15336</c:v>
                </c:pt>
                <c:pt idx="152">
                  <c:v>15506</c:v>
                </c:pt>
                <c:pt idx="153">
                  <c:v>15576.75</c:v>
                </c:pt>
                <c:pt idx="154">
                  <c:v>15428</c:v>
                </c:pt>
                <c:pt idx="155">
                  <c:v>15279</c:v>
                </c:pt>
                <c:pt idx="156">
                  <c:v>15279</c:v>
                </c:pt>
                <c:pt idx="157">
                  <c:v>15279</c:v>
                </c:pt>
                <c:pt idx="158">
                  <c:v>15412</c:v>
                </c:pt>
                <c:pt idx="159">
                  <c:v>15219.5</c:v>
                </c:pt>
                <c:pt idx="160">
                  <c:v>15348</c:v>
                </c:pt>
                <c:pt idx="161">
                  <c:v>14874.25</c:v>
                </c:pt>
                <c:pt idx="162">
                  <c:v>14732.5</c:v>
                </c:pt>
                <c:pt idx="163">
                  <c:v>14732.5</c:v>
                </c:pt>
                <c:pt idx="164">
                  <c:v>14732.5</c:v>
                </c:pt>
                <c:pt idx="165">
                  <c:v>14775</c:v>
                </c:pt>
                <c:pt idx="166">
                  <c:v>14664</c:v>
                </c:pt>
                <c:pt idx="167">
                  <c:v>14714</c:v>
                </c:pt>
                <c:pt idx="168">
                  <c:v>15331</c:v>
                </c:pt>
                <c:pt idx="169">
                  <c:v>15365</c:v>
                </c:pt>
                <c:pt idx="170">
                  <c:v>15365</c:v>
                </c:pt>
                <c:pt idx="171">
                  <c:v>15365</c:v>
                </c:pt>
                <c:pt idx="172">
                  <c:v>15320.75</c:v>
                </c:pt>
                <c:pt idx="173">
                  <c:v>15341</c:v>
                </c:pt>
                <c:pt idx="174">
                  <c:v>15150</c:v>
                </c:pt>
                <c:pt idx="175">
                  <c:v>14859</c:v>
                </c:pt>
                <c:pt idx="176">
                  <c:v>14879</c:v>
                </c:pt>
                <c:pt idx="177">
                  <c:v>14879</c:v>
                </c:pt>
                <c:pt idx="178">
                  <c:v>14879</c:v>
                </c:pt>
                <c:pt idx="179">
                  <c:v>14410</c:v>
                </c:pt>
                <c:pt idx="180">
                  <c:v>13908</c:v>
                </c:pt>
                <c:pt idx="181">
                  <c:v>14544</c:v>
                </c:pt>
                <c:pt idx="182">
                  <c:v>14404</c:v>
                </c:pt>
                <c:pt idx="183">
                  <c:v>14368</c:v>
                </c:pt>
                <c:pt idx="184">
                  <c:v>14368</c:v>
                </c:pt>
                <c:pt idx="185">
                  <c:v>14368</c:v>
                </c:pt>
                <c:pt idx="186">
                  <c:v>14343.75</c:v>
                </c:pt>
                <c:pt idx="187">
                  <c:v>13885.5</c:v>
                </c:pt>
                <c:pt idx="188">
                  <c:v>14249</c:v>
                </c:pt>
                <c:pt idx="189">
                  <c:v>14325.25</c:v>
                </c:pt>
                <c:pt idx="190">
                  <c:v>14260.25</c:v>
                </c:pt>
                <c:pt idx="191">
                  <c:v>14260.25</c:v>
                </c:pt>
                <c:pt idx="192">
                  <c:v>14260.25</c:v>
                </c:pt>
                <c:pt idx="193">
                  <c:v>14616</c:v>
                </c:pt>
                <c:pt idx="194">
                  <c:v>14752</c:v>
                </c:pt>
                <c:pt idx="195">
                  <c:v>14671</c:v>
                </c:pt>
                <c:pt idx="196">
                  <c:v>15149</c:v>
                </c:pt>
                <c:pt idx="197">
                  <c:v>15840</c:v>
                </c:pt>
                <c:pt idx="198">
                  <c:v>15840</c:v>
                </c:pt>
                <c:pt idx="199">
                  <c:v>15840</c:v>
                </c:pt>
                <c:pt idx="200">
                  <c:v>15590.5</c:v>
                </c:pt>
                <c:pt idx="201">
                  <c:v>15347</c:v>
                </c:pt>
                <c:pt idx="202">
                  <c:v>14802</c:v>
                </c:pt>
                <c:pt idx="203">
                  <c:v>14972</c:v>
                </c:pt>
                <c:pt idx="204">
                  <c:v>15454</c:v>
                </c:pt>
                <c:pt idx="205">
                  <c:v>15454</c:v>
                </c:pt>
                <c:pt idx="206">
                  <c:v>15454</c:v>
                </c:pt>
                <c:pt idx="207">
                  <c:v>15767</c:v>
                </c:pt>
                <c:pt idx="208">
                  <c:v>16320</c:v>
                </c:pt>
                <c:pt idx="209">
                  <c:v>16330</c:v>
                </c:pt>
                <c:pt idx="210">
                  <c:v>16265</c:v>
                </c:pt>
                <c:pt idx="211">
                  <c:v>16390</c:v>
                </c:pt>
                <c:pt idx="212">
                  <c:v>16390</c:v>
                </c:pt>
                <c:pt idx="213">
                  <c:v>16390</c:v>
                </c:pt>
                <c:pt idx="214">
                  <c:v>16025</c:v>
                </c:pt>
                <c:pt idx="215">
                  <c:v>15796</c:v>
                </c:pt>
                <c:pt idx="216">
                  <c:v>15542</c:v>
                </c:pt>
                <c:pt idx="217">
                  <c:v>15534</c:v>
                </c:pt>
                <c:pt idx="218">
                  <c:v>15325</c:v>
                </c:pt>
                <c:pt idx="219">
                  <c:v>15325</c:v>
                </c:pt>
                <c:pt idx="220">
                  <c:v>15325</c:v>
                </c:pt>
                <c:pt idx="221">
                  <c:v>15798</c:v>
                </c:pt>
                <c:pt idx="222">
                  <c:v>15318.5</c:v>
                </c:pt>
                <c:pt idx="223">
                  <c:v>15147</c:v>
                </c:pt>
                <c:pt idx="224">
                  <c:v>15025</c:v>
                </c:pt>
                <c:pt idx="225">
                  <c:v>15500</c:v>
                </c:pt>
                <c:pt idx="226">
                  <c:v>15500</c:v>
                </c:pt>
                <c:pt idx="227">
                  <c:v>15500</c:v>
                </c:pt>
                <c:pt idx="228">
                  <c:v>15725</c:v>
                </c:pt>
                <c:pt idx="229">
                  <c:v>15685</c:v>
                </c:pt>
                <c:pt idx="230">
                  <c:v>15545</c:v>
                </c:pt>
                <c:pt idx="231">
                  <c:v>15330</c:v>
                </c:pt>
                <c:pt idx="232">
                  <c:v>15015</c:v>
                </c:pt>
                <c:pt idx="233">
                  <c:v>15015</c:v>
                </c:pt>
                <c:pt idx="234">
                  <c:v>15015</c:v>
                </c:pt>
                <c:pt idx="235">
                  <c:v>14190</c:v>
                </c:pt>
                <c:pt idx="236">
                  <c:v>14350</c:v>
                </c:pt>
                <c:pt idx="237">
                  <c:v>14015</c:v>
                </c:pt>
                <c:pt idx="238">
                  <c:v>14000</c:v>
                </c:pt>
                <c:pt idx="239">
                  <c:v>14410</c:v>
                </c:pt>
                <c:pt idx="240">
                  <c:v>14410</c:v>
                </c:pt>
                <c:pt idx="241">
                  <c:v>14410</c:v>
                </c:pt>
                <c:pt idx="242">
                  <c:v>14410</c:v>
                </c:pt>
                <c:pt idx="243">
                  <c:v>15015</c:v>
                </c:pt>
                <c:pt idx="244">
                  <c:v>15495</c:v>
                </c:pt>
                <c:pt idx="245">
                  <c:v>15395</c:v>
                </c:pt>
                <c:pt idx="246">
                  <c:v>15215</c:v>
                </c:pt>
                <c:pt idx="247">
                  <c:v>15215</c:v>
                </c:pt>
                <c:pt idx="248">
                  <c:v>15215</c:v>
                </c:pt>
                <c:pt idx="249">
                  <c:v>15158</c:v>
                </c:pt>
                <c:pt idx="250">
                  <c:v>15136</c:v>
                </c:pt>
                <c:pt idx="251">
                  <c:v>15219.5</c:v>
                </c:pt>
                <c:pt idx="252">
                  <c:v>15738</c:v>
                </c:pt>
                <c:pt idx="253">
                  <c:v>15740</c:v>
                </c:pt>
                <c:pt idx="254">
                  <c:v>15740</c:v>
                </c:pt>
                <c:pt idx="255">
                  <c:v>15740</c:v>
                </c:pt>
                <c:pt idx="256">
                  <c:v>15915</c:v>
                </c:pt>
                <c:pt idx="257">
                  <c:v>15830</c:v>
                </c:pt>
                <c:pt idx="258">
                  <c:v>15800</c:v>
                </c:pt>
                <c:pt idx="259">
                  <c:v>15630</c:v>
                </c:pt>
                <c:pt idx="260">
                  <c:v>15302</c:v>
                </c:pt>
                <c:pt idx="261">
                  <c:v>15302</c:v>
                </c:pt>
                <c:pt idx="262">
                  <c:v>15302</c:v>
                </c:pt>
                <c:pt idx="263">
                  <c:v>15239</c:v>
                </c:pt>
                <c:pt idx="264">
                  <c:v>14915</c:v>
                </c:pt>
                <c:pt idx="265">
                  <c:v>15052</c:v>
                </c:pt>
                <c:pt idx="266">
                  <c:v>15350</c:v>
                </c:pt>
                <c:pt idx="267">
                  <c:v>15297</c:v>
                </c:pt>
                <c:pt idx="268">
                  <c:v>15297</c:v>
                </c:pt>
                <c:pt idx="269">
                  <c:v>15297</c:v>
                </c:pt>
                <c:pt idx="270">
                  <c:v>15987</c:v>
                </c:pt>
                <c:pt idx="271">
                  <c:v>15835</c:v>
                </c:pt>
                <c:pt idx="272">
                  <c:v>15710</c:v>
                </c:pt>
                <c:pt idx="273">
                  <c:v>15567</c:v>
                </c:pt>
                <c:pt idx="274">
                  <c:v>15707</c:v>
                </c:pt>
                <c:pt idx="275">
                  <c:v>15707</c:v>
                </c:pt>
                <c:pt idx="276">
                  <c:v>15707</c:v>
                </c:pt>
                <c:pt idx="277">
                  <c:v>15758</c:v>
                </c:pt>
                <c:pt idx="278">
                  <c:v>15945</c:v>
                </c:pt>
                <c:pt idx="279">
                  <c:v>16255</c:v>
                </c:pt>
                <c:pt idx="280">
                  <c:v>16027</c:v>
                </c:pt>
                <c:pt idx="281">
                  <c:v>16282</c:v>
                </c:pt>
                <c:pt idx="282">
                  <c:v>16282</c:v>
                </c:pt>
                <c:pt idx="283">
                  <c:v>16282</c:v>
                </c:pt>
                <c:pt idx="284">
                  <c:v>15922</c:v>
                </c:pt>
                <c:pt idx="285">
                  <c:v>15933</c:v>
                </c:pt>
                <c:pt idx="286">
                  <c:v>16107</c:v>
                </c:pt>
                <c:pt idx="287">
                  <c:v>16009</c:v>
                </c:pt>
                <c:pt idx="288">
                  <c:v>15959.5</c:v>
                </c:pt>
                <c:pt idx="289">
                  <c:v>15959.5</c:v>
                </c:pt>
                <c:pt idx="290">
                  <c:v>15959.5</c:v>
                </c:pt>
                <c:pt idx="291">
                  <c:v>15987</c:v>
                </c:pt>
                <c:pt idx="292">
                  <c:v>15960</c:v>
                </c:pt>
                <c:pt idx="293">
                  <c:v>15980</c:v>
                </c:pt>
                <c:pt idx="294">
                  <c:v>15918</c:v>
                </c:pt>
                <c:pt idx="295">
                  <c:v>15830</c:v>
                </c:pt>
                <c:pt idx="296">
                  <c:v>15830</c:v>
                </c:pt>
                <c:pt idx="297">
                  <c:v>15830</c:v>
                </c:pt>
                <c:pt idx="298">
                  <c:v>15597</c:v>
                </c:pt>
                <c:pt idx="299">
                  <c:v>15472</c:v>
                </c:pt>
                <c:pt idx="300">
                  <c:v>15248</c:v>
                </c:pt>
                <c:pt idx="301">
                  <c:v>15000</c:v>
                </c:pt>
                <c:pt idx="302">
                  <c:v>15018</c:v>
                </c:pt>
                <c:pt idx="303">
                  <c:v>15018</c:v>
                </c:pt>
                <c:pt idx="304">
                  <c:v>15018</c:v>
                </c:pt>
                <c:pt idx="305">
                  <c:v>14884</c:v>
                </c:pt>
                <c:pt idx="306">
                  <c:v>14886</c:v>
                </c:pt>
                <c:pt idx="307">
                  <c:v>14920</c:v>
                </c:pt>
                <c:pt idx="308">
                  <c:v>14692</c:v>
                </c:pt>
                <c:pt idx="309">
                  <c:v>14669</c:v>
                </c:pt>
                <c:pt idx="310">
                  <c:v>14669</c:v>
                </c:pt>
                <c:pt idx="311">
                  <c:v>14669</c:v>
                </c:pt>
                <c:pt idx="312">
                  <c:v>14594</c:v>
                </c:pt>
                <c:pt idx="313">
                  <c:v>14726</c:v>
                </c:pt>
                <c:pt idx="314">
                  <c:v>14832</c:v>
                </c:pt>
                <c:pt idx="315">
                  <c:v>14634</c:v>
                </c:pt>
                <c:pt idx="316">
                  <c:v>14770</c:v>
                </c:pt>
                <c:pt idx="317">
                  <c:v>14770</c:v>
                </c:pt>
                <c:pt idx="318">
                  <c:v>14770</c:v>
                </c:pt>
                <c:pt idx="319">
                  <c:v>14720</c:v>
                </c:pt>
                <c:pt idx="320">
                  <c:v>14715</c:v>
                </c:pt>
                <c:pt idx="321">
                  <c:v>14610</c:v>
                </c:pt>
                <c:pt idx="322">
                  <c:v>14660</c:v>
                </c:pt>
                <c:pt idx="323">
                  <c:v>14662</c:v>
                </c:pt>
              </c:numCache>
            </c:numRef>
          </c:val>
          <c:smooth val="0"/>
        </c:ser>
        <c:dLbls>
          <c:showLegendKey val="0"/>
          <c:showVal val="0"/>
          <c:showCatName val="0"/>
          <c:showSerName val="0"/>
          <c:showPercent val="0"/>
          <c:showBubbleSize val="0"/>
        </c:dLbls>
        <c:marker val="1"/>
        <c:smooth val="0"/>
        <c:axId val="257743104"/>
        <c:axId val="257748992"/>
      </c:lineChart>
      <c:dateAx>
        <c:axId val="257743104"/>
        <c:scaling>
          <c:orientation val="minMax"/>
        </c:scaling>
        <c:delete val="0"/>
        <c:axPos val="b"/>
        <c:numFmt formatCode="m/d/yyyy" sourceLinked="1"/>
        <c:majorTickMark val="out"/>
        <c:minorTickMark val="none"/>
        <c:tickLblPos val="nextTo"/>
        <c:txPr>
          <a:bodyPr/>
          <a:lstStyle/>
          <a:p>
            <a:pPr>
              <a:defRPr sz="1000"/>
            </a:pPr>
            <a:endParaRPr lang="zh-TW"/>
          </a:p>
        </c:txPr>
        <c:crossAx val="257748992"/>
        <c:crosses val="autoZero"/>
        <c:auto val="1"/>
        <c:lblOffset val="100"/>
        <c:baseTimeUnit val="days"/>
        <c:majorUnit val="1"/>
        <c:majorTimeUnit val="months"/>
        <c:minorUnit val="1"/>
        <c:minorTimeUnit val="months"/>
      </c:dateAx>
      <c:valAx>
        <c:axId val="257748992"/>
        <c:scaling>
          <c:orientation val="minMax"/>
          <c:min val="13000"/>
        </c:scaling>
        <c:delete val="0"/>
        <c:axPos val="l"/>
        <c:majorGridlines/>
        <c:numFmt formatCode="General;General;;" sourceLinked="1"/>
        <c:majorTickMark val="out"/>
        <c:minorTickMark val="none"/>
        <c:tickLblPos val="nextTo"/>
        <c:txPr>
          <a:bodyPr/>
          <a:lstStyle/>
          <a:p>
            <a:pPr>
              <a:defRPr sz="1000"/>
            </a:pPr>
            <a:endParaRPr lang="zh-TW"/>
          </a:p>
        </c:txPr>
        <c:crossAx val="257743104"/>
        <c:crosses val="autoZero"/>
        <c:crossBetween val="between"/>
      </c:valAx>
    </c:plotArea>
    <c:legend>
      <c:legendPos val="b"/>
      <c:layout>
        <c:manualLayout>
          <c:xMode val="edge"/>
          <c:yMode val="edge"/>
          <c:x val="7.110527601446158E-2"/>
          <c:y val="0.87854314422132151"/>
          <c:w val="0.8399182801517453"/>
          <c:h val="9.0181769831398736E-2"/>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245783663022502E-2"/>
          <c:y val="4.3861812985214417E-2"/>
          <c:w val="0.85891939326771194"/>
          <c:h val="0.66415688582856225"/>
        </c:manualLayout>
      </c:layout>
      <c:lineChart>
        <c:grouping val="standard"/>
        <c:varyColors val="0"/>
        <c:ser>
          <c:idx val="0"/>
          <c:order val="0"/>
          <c:tx>
            <c:strRef>
              <c:f>錫、鎂、鈦、鈷、釹!$O$1</c:f>
              <c:strCache>
                <c:ptCount val="1"/>
                <c:pt idx="0">
                  <c:v>鎂錠 唐德 未稅出廠價(美元/公噸)</c:v>
                </c:pt>
              </c:strCache>
            </c:strRef>
          </c:tx>
          <c:spPr>
            <a:ln>
              <a:prstDash val="sysDash"/>
            </a:ln>
          </c:spPr>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錫、鎂、鈦、鈷、釹!$O$216:$O$539</c:f>
              <c:numCache>
                <c:formatCode>General;General;;</c:formatCode>
                <c:ptCount val="324"/>
                <c:pt idx="0">
                  <c:v>2433.3333333333362</c:v>
                </c:pt>
                <c:pt idx="1">
                  <c:v>2433.3333333333362</c:v>
                </c:pt>
                <c:pt idx="2">
                  <c:v>2433.3333333333362</c:v>
                </c:pt>
                <c:pt idx="3">
                  <c:v>2433.3333333333362</c:v>
                </c:pt>
                <c:pt idx="4">
                  <c:v>2433.3333333333362</c:v>
                </c:pt>
                <c:pt idx="5">
                  <c:v>2433.3333333333362</c:v>
                </c:pt>
                <c:pt idx="6">
                  <c:v>2433.3333333333362</c:v>
                </c:pt>
                <c:pt idx="7">
                  <c:v>2433.3333333333362</c:v>
                </c:pt>
                <c:pt idx="8">
                  <c:v>2433.3333333333362</c:v>
                </c:pt>
                <c:pt idx="9">
                  <c:v>2433.3333333333362</c:v>
                </c:pt>
                <c:pt idx="10">
                  <c:v>2433.3333333333362</c:v>
                </c:pt>
                <c:pt idx="11">
                  <c:v>2433.3333333333362</c:v>
                </c:pt>
                <c:pt idx="12">
                  <c:v>2433.3333333333362</c:v>
                </c:pt>
                <c:pt idx="13">
                  <c:v>2433.3333333333362</c:v>
                </c:pt>
                <c:pt idx="14">
                  <c:v>2433.3333333333362</c:v>
                </c:pt>
                <c:pt idx="15">
                  <c:v>2433.3333333333362</c:v>
                </c:pt>
                <c:pt idx="16">
                  <c:v>2433.3333333333362</c:v>
                </c:pt>
                <c:pt idx="17">
                  <c:v>2433.3333333333362</c:v>
                </c:pt>
                <c:pt idx="18">
                  <c:v>2433.3333333333362</c:v>
                </c:pt>
                <c:pt idx="19">
                  <c:v>2433.3333333333362</c:v>
                </c:pt>
                <c:pt idx="20">
                  <c:v>2433.3333333333362</c:v>
                </c:pt>
                <c:pt idx="21">
                  <c:v>2433.3333333333362</c:v>
                </c:pt>
                <c:pt idx="22">
                  <c:v>2333.3333333333362</c:v>
                </c:pt>
                <c:pt idx="23">
                  <c:v>2333.3333333333362</c:v>
                </c:pt>
                <c:pt idx="24">
                  <c:v>2333.3333333333362</c:v>
                </c:pt>
                <c:pt idx="25">
                  <c:v>2333.3333333333362</c:v>
                </c:pt>
                <c:pt idx="26">
                  <c:v>2333.3333333333362</c:v>
                </c:pt>
                <c:pt idx="27">
                  <c:v>2333.3333333333362</c:v>
                </c:pt>
                <c:pt idx="28">
                  <c:v>2333.3333333333362</c:v>
                </c:pt>
                <c:pt idx="29">
                  <c:v>2333.3333333333362</c:v>
                </c:pt>
                <c:pt idx="30">
                  <c:v>2333.3333333333362</c:v>
                </c:pt>
                <c:pt idx="31">
                  <c:v>2333.3333333333362</c:v>
                </c:pt>
                <c:pt idx="32">
                  <c:v>2333.3333333333362</c:v>
                </c:pt>
                <c:pt idx="33">
                  <c:v>2333.3333333333362</c:v>
                </c:pt>
                <c:pt idx="34">
                  <c:v>2333.3333333333362</c:v>
                </c:pt>
                <c:pt idx="35">
                  <c:v>2333.3333333333362</c:v>
                </c:pt>
                <c:pt idx="36">
                  <c:v>2333.3333333333362</c:v>
                </c:pt>
                <c:pt idx="37">
                  <c:v>2333.3333333333362</c:v>
                </c:pt>
                <c:pt idx="38">
                  <c:v>2333.3333333333362</c:v>
                </c:pt>
                <c:pt idx="39">
                  <c:v>2333.3333333333362</c:v>
                </c:pt>
                <c:pt idx="40">
                  <c:v>2333.3333333333362</c:v>
                </c:pt>
                <c:pt idx="41">
                  <c:v>2333.3333333333362</c:v>
                </c:pt>
                <c:pt idx="42">
                  <c:v>2333.3333333333362</c:v>
                </c:pt>
                <c:pt idx="43">
                  <c:v>2333.3333333333362</c:v>
                </c:pt>
                <c:pt idx="44">
                  <c:v>2333.3333333333362</c:v>
                </c:pt>
                <c:pt idx="45">
                  <c:v>2333.3333333333362</c:v>
                </c:pt>
                <c:pt idx="46">
                  <c:v>2333.3333333333362</c:v>
                </c:pt>
                <c:pt idx="47">
                  <c:v>2333.3333333333362</c:v>
                </c:pt>
                <c:pt idx="48">
                  <c:v>2333.3333333333362</c:v>
                </c:pt>
                <c:pt idx="49">
                  <c:v>2333.3333333333362</c:v>
                </c:pt>
                <c:pt idx="50">
                  <c:v>2333.3333333333362</c:v>
                </c:pt>
                <c:pt idx="51">
                  <c:v>2333.3333333333362</c:v>
                </c:pt>
                <c:pt idx="52">
                  <c:v>2333.3333333333362</c:v>
                </c:pt>
                <c:pt idx="53">
                  <c:v>2333.3333333333362</c:v>
                </c:pt>
                <c:pt idx="54">
                  <c:v>2333.3333333333362</c:v>
                </c:pt>
                <c:pt idx="55">
                  <c:v>2333.3333333333362</c:v>
                </c:pt>
                <c:pt idx="56">
                  <c:v>2333.3333333333362</c:v>
                </c:pt>
                <c:pt idx="57">
                  <c:v>2333.3333333333362</c:v>
                </c:pt>
                <c:pt idx="58">
                  <c:v>2333.3333333333362</c:v>
                </c:pt>
                <c:pt idx="59">
                  <c:v>2333.3333333333362</c:v>
                </c:pt>
                <c:pt idx="60">
                  <c:v>2333.3333333333362</c:v>
                </c:pt>
                <c:pt idx="61">
                  <c:v>2333.3333333333362</c:v>
                </c:pt>
                <c:pt idx="62">
                  <c:v>2333.3333333333362</c:v>
                </c:pt>
                <c:pt idx="63">
                  <c:v>2333.3333333333362</c:v>
                </c:pt>
                <c:pt idx="64">
                  <c:v>2333.3333333333362</c:v>
                </c:pt>
                <c:pt idx="65">
                  <c:v>2333.3333333333362</c:v>
                </c:pt>
                <c:pt idx="66">
                  <c:v>2333.3333333333362</c:v>
                </c:pt>
                <c:pt idx="67">
                  <c:v>2333.3333333333362</c:v>
                </c:pt>
                <c:pt idx="68">
                  <c:v>2333.3333333333362</c:v>
                </c:pt>
                <c:pt idx="69">
                  <c:v>2333.3333333333362</c:v>
                </c:pt>
                <c:pt idx="70">
                  <c:v>2333.3333333333362</c:v>
                </c:pt>
                <c:pt idx="71">
                  <c:v>2333.3333333333362</c:v>
                </c:pt>
                <c:pt idx="72">
                  <c:v>2333.3333333333362</c:v>
                </c:pt>
                <c:pt idx="73">
                  <c:v>2333.3333333333362</c:v>
                </c:pt>
                <c:pt idx="74">
                  <c:v>2333.3333333333362</c:v>
                </c:pt>
                <c:pt idx="75">
                  <c:v>2333.3333333333362</c:v>
                </c:pt>
                <c:pt idx="76">
                  <c:v>2333.3333333333362</c:v>
                </c:pt>
                <c:pt idx="77">
                  <c:v>2333.3333333333362</c:v>
                </c:pt>
                <c:pt idx="78">
                  <c:v>2333.3333333333362</c:v>
                </c:pt>
                <c:pt idx="79">
                  <c:v>2333.3333333333362</c:v>
                </c:pt>
                <c:pt idx="80">
                  <c:v>2333.3333333333362</c:v>
                </c:pt>
                <c:pt idx="81">
                  <c:v>2333.3333333333362</c:v>
                </c:pt>
                <c:pt idx="82">
                  <c:v>2333.3333333333362</c:v>
                </c:pt>
                <c:pt idx="83">
                  <c:v>2333.3333333333362</c:v>
                </c:pt>
                <c:pt idx="84">
                  <c:v>2333.3333333333362</c:v>
                </c:pt>
                <c:pt idx="85">
                  <c:v>2333.3333333333362</c:v>
                </c:pt>
                <c:pt idx="86">
                  <c:v>2333.3333333333362</c:v>
                </c:pt>
                <c:pt idx="87">
                  <c:v>2333.3333333333362</c:v>
                </c:pt>
                <c:pt idx="88">
                  <c:v>2333.3333333333362</c:v>
                </c:pt>
                <c:pt idx="89">
                  <c:v>2333.3333333333362</c:v>
                </c:pt>
                <c:pt idx="90">
                  <c:v>2333.3333333333362</c:v>
                </c:pt>
                <c:pt idx="91">
                  <c:v>2333.3333333333362</c:v>
                </c:pt>
                <c:pt idx="92">
                  <c:v>2333.3333333333362</c:v>
                </c:pt>
                <c:pt idx="93">
                  <c:v>2333.3333333333362</c:v>
                </c:pt>
                <c:pt idx="94">
                  <c:v>2333.3333333333362</c:v>
                </c:pt>
                <c:pt idx="95">
                  <c:v>2333.3333333333362</c:v>
                </c:pt>
                <c:pt idx="96">
                  <c:v>2333.3333333333362</c:v>
                </c:pt>
                <c:pt idx="97">
                  <c:v>2333.3333333333362</c:v>
                </c:pt>
                <c:pt idx="98">
                  <c:v>2333.3333333333362</c:v>
                </c:pt>
                <c:pt idx="99">
                  <c:v>2333.3333333333362</c:v>
                </c:pt>
                <c:pt idx="100">
                  <c:v>2333.3333333333362</c:v>
                </c:pt>
                <c:pt idx="101">
                  <c:v>2333.3333333333362</c:v>
                </c:pt>
                <c:pt idx="102">
                  <c:v>2333.3333333333362</c:v>
                </c:pt>
                <c:pt idx="103">
                  <c:v>2333.3333333333362</c:v>
                </c:pt>
                <c:pt idx="104">
                  <c:v>2333.3333333333362</c:v>
                </c:pt>
                <c:pt idx="105">
                  <c:v>2333.3333333333362</c:v>
                </c:pt>
                <c:pt idx="106">
                  <c:v>2333.3333333333362</c:v>
                </c:pt>
                <c:pt idx="107">
                  <c:v>2333.3333333333362</c:v>
                </c:pt>
                <c:pt idx="108">
                  <c:v>2333.3333333333362</c:v>
                </c:pt>
                <c:pt idx="109">
                  <c:v>2333.3333333333362</c:v>
                </c:pt>
                <c:pt idx="110">
                  <c:v>2333.3333333333362</c:v>
                </c:pt>
                <c:pt idx="111">
                  <c:v>2333.3333333333362</c:v>
                </c:pt>
                <c:pt idx="112">
                  <c:v>2333.3333333333362</c:v>
                </c:pt>
                <c:pt idx="113">
                  <c:v>2333.3333333333362</c:v>
                </c:pt>
                <c:pt idx="114">
                  <c:v>2333.3333333333362</c:v>
                </c:pt>
                <c:pt idx="115">
                  <c:v>2333.3333333333362</c:v>
                </c:pt>
                <c:pt idx="116">
                  <c:v>2333.3333333333362</c:v>
                </c:pt>
                <c:pt idx="117">
                  <c:v>2333.3333333333362</c:v>
                </c:pt>
                <c:pt idx="118">
                  <c:v>2333.3333333333362</c:v>
                </c:pt>
                <c:pt idx="119">
                  <c:v>2333.3333333333362</c:v>
                </c:pt>
                <c:pt idx="120">
                  <c:v>2333.3333333333362</c:v>
                </c:pt>
                <c:pt idx="121">
                  <c:v>2333.3333333333362</c:v>
                </c:pt>
                <c:pt idx="122">
                  <c:v>2333.3333333333362</c:v>
                </c:pt>
                <c:pt idx="123">
                  <c:v>2333.3333333333362</c:v>
                </c:pt>
                <c:pt idx="124">
                  <c:v>2333.3333333333362</c:v>
                </c:pt>
                <c:pt idx="125">
                  <c:v>2333.3333333333362</c:v>
                </c:pt>
                <c:pt idx="126">
                  <c:v>2366.6666666666647</c:v>
                </c:pt>
                <c:pt idx="127">
                  <c:v>2366.6666666666647</c:v>
                </c:pt>
                <c:pt idx="128">
                  <c:v>2366.6666666666647</c:v>
                </c:pt>
                <c:pt idx="129">
                  <c:v>2366.6666666666647</c:v>
                </c:pt>
                <c:pt idx="130">
                  <c:v>2366.6666666666647</c:v>
                </c:pt>
                <c:pt idx="131">
                  <c:v>2366.6666666666647</c:v>
                </c:pt>
                <c:pt idx="132">
                  <c:v>2366.6666666666647</c:v>
                </c:pt>
                <c:pt idx="133">
                  <c:v>2366.6666666666647</c:v>
                </c:pt>
                <c:pt idx="134">
                  <c:v>2366.6666666666647</c:v>
                </c:pt>
                <c:pt idx="135">
                  <c:v>2366.6666666666647</c:v>
                </c:pt>
                <c:pt idx="136">
                  <c:v>2366.6666666666647</c:v>
                </c:pt>
                <c:pt idx="137">
                  <c:v>2366.6666666666647</c:v>
                </c:pt>
                <c:pt idx="138">
                  <c:v>2366.6666666666647</c:v>
                </c:pt>
                <c:pt idx="139">
                  <c:v>2366.6666666666647</c:v>
                </c:pt>
                <c:pt idx="140">
                  <c:v>2366.6666666666647</c:v>
                </c:pt>
                <c:pt idx="141">
                  <c:v>2366.6666666666647</c:v>
                </c:pt>
                <c:pt idx="142">
                  <c:v>2366.6666666666647</c:v>
                </c:pt>
                <c:pt idx="143">
                  <c:v>2366.6666666666647</c:v>
                </c:pt>
                <c:pt idx="144">
                  <c:v>2366.6666666666647</c:v>
                </c:pt>
                <c:pt idx="145">
                  <c:v>2366.6666666666647</c:v>
                </c:pt>
                <c:pt idx="146">
                  <c:v>2366.6666666666647</c:v>
                </c:pt>
                <c:pt idx="147">
                  <c:v>2366.6666666666647</c:v>
                </c:pt>
                <c:pt idx="148">
                  <c:v>2366.6666666666647</c:v>
                </c:pt>
                <c:pt idx="149">
                  <c:v>2366.6666666666647</c:v>
                </c:pt>
                <c:pt idx="150">
                  <c:v>2366.6666666666647</c:v>
                </c:pt>
                <c:pt idx="151">
                  <c:v>2366.6666666666647</c:v>
                </c:pt>
                <c:pt idx="152">
                  <c:v>2366.6666666666647</c:v>
                </c:pt>
                <c:pt idx="153">
                  <c:v>2366.6666666666647</c:v>
                </c:pt>
                <c:pt idx="154">
                  <c:v>2366.6666666666647</c:v>
                </c:pt>
                <c:pt idx="155">
                  <c:v>2366.6666666666647</c:v>
                </c:pt>
                <c:pt idx="156">
                  <c:v>2366.6666666666647</c:v>
                </c:pt>
                <c:pt idx="157">
                  <c:v>2366.6666666666647</c:v>
                </c:pt>
                <c:pt idx="158">
                  <c:v>2366.6666666666647</c:v>
                </c:pt>
                <c:pt idx="159">
                  <c:v>2366.6666666666647</c:v>
                </c:pt>
                <c:pt idx="160">
                  <c:v>2366.6666666666647</c:v>
                </c:pt>
                <c:pt idx="161">
                  <c:v>2366.6666666666647</c:v>
                </c:pt>
                <c:pt idx="162">
                  <c:v>2366.6666666666647</c:v>
                </c:pt>
                <c:pt idx="163">
                  <c:v>2366.6666666666647</c:v>
                </c:pt>
                <c:pt idx="164">
                  <c:v>2366.6666666666647</c:v>
                </c:pt>
                <c:pt idx="165">
                  <c:v>2366.6666666666647</c:v>
                </c:pt>
                <c:pt idx="166">
                  <c:v>2366.6666666666647</c:v>
                </c:pt>
                <c:pt idx="167">
                  <c:v>2366.6666666666647</c:v>
                </c:pt>
                <c:pt idx="168">
                  <c:v>2366.6666666666647</c:v>
                </c:pt>
                <c:pt idx="169">
                  <c:v>2366.6666666666647</c:v>
                </c:pt>
                <c:pt idx="170">
                  <c:v>2366.6666666666647</c:v>
                </c:pt>
                <c:pt idx="171">
                  <c:v>2366.6666666666647</c:v>
                </c:pt>
                <c:pt idx="172">
                  <c:v>2366.6666666666647</c:v>
                </c:pt>
                <c:pt idx="173">
                  <c:v>2366.6666666666647</c:v>
                </c:pt>
                <c:pt idx="174">
                  <c:v>2366.6666666666647</c:v>
                </c:pt>
                <c:pt idx="175">
                  <c:v>2366.6666666666647</c:v>
                </c:pt>
                <c:pt idx="176">
                  <c:v>2366.6666666666647</c:v>
                </c:pt>
                <c:pt idx="177">
                  <c:v>2366.6666666666647</c:v>
                </c:pt>
                <c:pt idx="178">
                  <c:v>2366.6666666666647</c:v>
                </c:pt>
                <c:pt idx="179">
                  <c:v>2366.6666666666647</c:v>
                </c:pt>
                <c:pt idx="180">
                  <c:v>2366.6666666666647</c:v>
                </c:pt>
                <c:pt idx="181">
                  <c:v>2366.6666666666647</c:v>
                </c:pt>
                <c:pt idx="182">
                  <c:v>2366.6666666666647</c:v>
                </c:pt>
                <c:pt idx="183">
                  <c:v>2366.6666666666647</c:v>
                </c:pt>
                <c:pt idx="184">
                  <c:v>2366.6666666666647</c:v>
                </c:pt>
                <c:pt idx="185">
                  <c:v>2366.6666666666647</c:v>
                </c:pt>
                <c:pt idx="186">
                  <c:v>2366.6666666666647</c:v>
                </c:pt>
                <c:pt idx="187">
                  <c:v>2366.6666666666647</c:v>
                </c:pt>
                <c:pt idx="188">
                  <c:v>2366.6666666666647</c:v>
                </c:pt>
                <c:pt idx="189">
                  <c:v>2366.6666666666647</c:v>
                </c:pt>
                <c:pt idx="190">
                  <c:v>2366.6666666666647</c:v>
                </c:pt>
                <c:pt idx="191">
                  <c:v>2366.6666666666647</c:v>
                </c:pt>
                <c:pt idx="192">
                  <c:v>2366.6666666666647</c:v>
                </c:pt>
                <c:pt idx="193">
                  <c:v>2366.6666666666647</c:v>
                </c:pt>
                <c:pt idx="194">
                  <c:v>2366.6666666666647</c:v>
                </c:pt>
                <c:pt idx="195">
                  <c:v>2366.6666666666647</c:v>
                </c:pt>
                <c:pt idx="196">
                  <c:v>2366.6666666666647</c:v>
                </c:pt>
                <c:pt idx="197">
                  <c:v>2366.6666666666647</c:v>
                </c:pt>
                <c:pt idx="198">
                  <c:v>2366.6666666666647</c:v>
                </c:pt>
                <c:pt idx="199">
                  <c:v>2366.6666666666647</c:v>
                </c:pt>
                <c:pt idx="200">
                  <c:v>2366.6666666666647</c:v>
                </c:pt>
                <c:pt idx="201">
                  <c:v>2366.6666666666647</c:v>
                </c:pt>
                <c:pt idx="202">
                  <c:v>2366.6666666666647</c:v>
                </c:pt>
                <c:pt idx="203">
                  <c:v>2366.6666666666647</c:v>
                </c:pt>
                <c:pt idx="204">
                  <c:v>2366.6666666666647</c:v>
                </c:pt>
                <c:pt idx="205">
                  <c:v>2366.6666666666647</c:v>
                </c:pt>
                <c:pt idx="206">
                  <c:v>2366.6666666666647</c:v>
                </c:pt>
                <c:pt idx="207">
                  <c:v>2366.6666666666647</c:v>
                </c:pt>
                <c:pt idx="208">
                  <c:v>2366.6666666666647</c:v>
                </c:pt>
                <c:pt idx="209">
                  <c:v>2366.6666666666647</c:v>
                </c:pt>
                <c:pt idx="210">
                  <c:v>2366.6666666666647</c:v>
                </c:pt>
                <c:pt idx="211">
                  <c:v>2366.6666666666647</c:v>
                </c:pt>
                <c:pt idx="212">
                  <c:v>2366.6666666666647</c:v>
                </c:pt>
                <c:pt idx="213">
                  <c:v>2366.6666666666647</c:v>
                </c:pt>
                <c:pt idx="214">
                  <c:v>2366.6666666666647</c:v>
                </c:pt>
                <c:pt idx="215">
                  <c:v>2366.6666666666647</c:v>
                </c:pt>
                <c:pt idx="216">
                  <c:v>2366.6666666666647</c:v>
                </c:pt>
                <c:pt idx="217">
                  <c:v>2366.6666666666647</c:v>
                </c:pt>
                <c:pt idx="218">
                  <c:v>2366.6666666666647</c:v>
                </c:pt>
                <c:pt idx="219">
                  <c:v>2366.6666666666647</c:v>
                </c:pt>
                <c:pt idx="220">
                  <c:v>2366.6666666666647</c:v>
                </c:pt>
                <c:pt idx="221">
                  <c:v>2366.6666666666647</c:v>
                </c:pt>
                <c:pt idx="222">
                  <c:v>2366.6666666666647</c:v>
                </c:pt>
                <c:pt idx="223">
                  <c:v>2366.6666666666647</c:v>
                </c:pt>
                <c:pt idx="224">
                  <c:v>2366.6666666666647</c:v>
                </c:pt>
                <c:pt idx="225">
                  <c:v>2366.6666666666647</c:v>
                </c:pt>
                <c:pt idx="226">
                  <c:v>2366.6666666666647</c:v>
                </c:pt>
                <c:pt idx="227">
                  <c:v>2366.6666666666647</c:v>
                </c:pt>
                <c:pt idx="228">
                  <c:v>2366.6666666666647</c:v>
                </c:pt>
                <c:pt idx="229">
                  <c:v>2366.6666666666647</c:v>
                </c:pt>
                <c:pt idx="230">
                  <c:v>2366.6666666666647</c:v>
                </c:pt>
                <c:pt idx="231">
                  <c:v>2400</c:v>
                </c:pt>
                <c:pt idx="232">
                  <c:v>2400</c:v>
                </c:pt>
                <c:pt idx="233">
                  <c:v>2400</c:v>
                </c:pt>
                <c:pt idx="234">
                  <c:v>2400</c:v>
                </c:pt>
                <c:pt idx="235">
                  <c:v>2400</c:v>
                </c:pt>
                <c:pt idx="236">
                  <c:v>2400</c:v>
                </c:pt>
                <c:pt idx="237">
                  <c:v>2400</c:v>
                </c:pt>
                <c:pt idx="238">
                  <c:v>2400</c:v>
                </c:pt>
                <c:pt idx="239">
                  <c:v>2400</c:v>
                </c:pt>
                <c:pt idx="240">
                  <c:v>2400</c:v>
                </c:pt>
                <c:pt idx="241">
                  <c:v>2400</c:v>
                </c:pt>
                <c:pt idx="242">
                  <c:v>2400</c:v>
                </c:pt>
                <c:pt idx="243">
                  <c:v>2400</c:v>
                </c:pt>
                <c:pt idx="244">
                  <c:v>2400</c:v>
                </c:pt>
                <c:pt idx="245">
                  <c:v>2400</c:v>
                </c:pt>
                <c:pt idx="246">
                  <c:v>2400</c:v>
                </c:pt>
                <c:pt idx="247">
                  <c:v>2400</c:v>
                </c:pt>
                <c:pt idx="248">
                  <c:v>2400</c:v>
                </c:pt>
                <c:pt idx="249">
                  <c:v>2400</c:v>
                </c:pt>
                <c:pt idx="250">
                  <c:v>2400</c:v>
                </c:pt>
                <c:pt idx="251">
                  <c:v>2433.3333333333362</c:v>
                </c:pt>
                <c:pt idx="252">
                  <c:v>2400</c:v>
                </c:pt>
                <c:pt idx="253">
                  <c:v>2400</c:v>
                </c:pt>
                <c:pt idx="254">
                  <c:v>2400</c:v>
                </c:pt>
                <c:pt idx="255">
                  <c:v>2400</c:v>
                </c:pt>
                <c:pt idx="256">
                  <c:v>2400</c:v>
                </c:pt>
                <c:pt idx="257">
                  <c:v>2400</c:v>
                </c:pt>
                <c:pt idx="258">
                  <c:v>2400</c:v>
                </c:pt>
                <c:pt idx="259">
                  <c:v>2400</c:v>
                </c:pt>
                <c:pt idx="260">
                  <c:v>2400</c:v>
                </c:pt>
                <c:pt idx="261">
                  <c:v>2400</c:v>
                </c:pt>
                <c:pt idx="262">
                  <c:v>2400</c:v>
                </c:pt>
                <c:pt idx="263">
                  <c:v>2400</c:v>
                </c:pt>
                <c:pt idx="264">
                  <c:v>2400</c:v>
                </c:pt>
                <c:pt idx="265">
                  <c:v>2400</c:v>
                </c:pt>
                <c:pt idx="266">
                  <c:v>2400</c:v>
                </c:pt>
                <c:pt idx="267">
                  <c:v>2433.3333333333362</c:v>
                </c:pt>
                <c:pt idx="268">
                  <c:v>2433.3333333333362</c:v>
                </c:pt>
                <c:pt idx="269">
                  <c:v>2433.3333333333362</c:v>
                </c:pt>
                <c:pt idx="270">
                  <c:v>2433.3333333333362</c:v>
                </c:pt>
                <c:pt idx="271">
                  <c:v>2433.3333333333362</c:v>
                </c:pt>
                <c:pt idx="272">
                  <c:v>2433.3333333333362</c:v>
                </c:pt>
                <c:pt idx="273">
                  <c:v>2400</c:v>
                </c:pt>
                <c:pt idx="274">
                  <c:v>2400</c:v>
                </c:pt>
                <c:pt idx="275">
                  <c:v>2400</c:v>
                </c:pt>
                <c:pt idx="276">
                  <c:v>2400</c:v>
                </c:pt>
                <c:pt idx="277">
                  <c:v>2400</c:v>
                </c:pt>
                <c:pt idx="278">
                  <c:v>2400</c:v>
                </c:pt>
                <c:pt idx="279">
                  <c:v>2400</c:v>
                </c:pt>
                <c:pt idx="280">
                  <c:v>2400</c:v>
                </c:pt>
                <c:pt idx="281">
                  <c:v>2400</c:v>
                </c:pt>
                <c:pt idx="282">
                  <c:v>2400</c:v>
                </c:pt>
                <c:pt idx="283">
                  <c:v>2400</c:v>
                </c:pt>
                <c:pt idx="284">
                  <c:v>2400</c:v>
                </c:pt>
                <c:pt idx="285">
                  <c:v>2366.6666666666647</c:v>
                </c:pt>
                <c:pt idx="286">
                  <c:v>2366.6666666666647</c:v>
                </c:pt>
                <c:pt idx="287">
                  <c:v>2366.6666666666647</c:v>
                </c:pt>
                <c:pt idx="288">
                  <c:v>2366.6666666666647</c:v>
                </c:pt>
                <c:pt idx="289">
                  <c:v>2366.6666666666647</c:v>
                </c:pt>
                <c:pt idx="290">
                  <c:v>2366.6666666666647</c:v>
                </c:pt>
                <c:pt idx="291">
                  <c:v>2366.6666666666647</c:v>
                </c:pt>
                <c:pt idx="292">
                  <c:v>2366.6666666666647</c:v>
                </c:pt>
                <c:pt idx="293">
                  <c:v>2366.6666666666647</c:v>
                </c:pt>
                <c:pt idx="294">
                  <c:v>2366.6666666666647</c:v>
                </c:pt>
                <c:pt idx="295">
                  <c:v>2366.6666666666647</c:v>
                </c:pt>
                <c:pt idx="296">
                  <c:v>2366.6666666666647</c:v>
                </c:pt>
                <c:pt idx="297">
                  <c:v>2366.6666666666647</c:v>
                </c:pt>
                <c:pt idx="298">
                  <c:v>2366.6666666666647</c:v>
                </c:pt>
                <c:pt idx="299">
                  <c:v>2366.6666666666647</c:v>
                </c:pt>
                <c:pt idx="300">
                  <c:v>2366.6666666666647</c:v>
                </c:pt>
                <c:pt idx="301">
                  <c:v>2400</c:v>
                </c:pt>
                <c:pt idx="302">
                  <c:v>2400</c:v>
                </c:pt>
                <c:pt idx="303">
                  <c:v>2400</c:v>
                </c:pt>
                <c:pt idx="304">
                  <c:v>2400</c:v>
                </c:pt>
                <c:pt idx="305">
                  <c:v>2400</c:v>
                </c:pt>
                <c:pt idx="306">
                  <c:v>2366.6666666666647</c:v>
                </c:pt>
                <c:pt idx="307">
                  <c:v>2366.6666666666647</c:v>
                </c:pt>
                <c:pt idx="308">
                  <c:v>2366.6666666666647</c:v>
                </c:pt>
                <c:pt idx="309">
                  <c:v>2366.6666666666647</c:v>
                </c:pt>
                <c:pt idx="310">
                  <c:v>2366.6666666666647</c:v>
                </c:pt>
                <c:pt idx="311">
                  <c:v>2366.6666666666647</c:v>
                </c:pt>
                <c:pt idx="312">
                  <c:v>2400</c:v>
                </c:pt>
                <c:pt idx="313">
                  <c:v>2400</c:v>
                </c:pt>
                <c:pt idx="314">
                  <c:v>2400</c:v>
                </c:pt>
                <c:pt idx="315">
                  <c:v>2400</c:v>
                </c:pt>
                <c:pt idx="316">
                  <c:v>2400</c:v>
                </c:pt>
                <c:pt idx="317">
                  <c:v>2400</c:v>
                </c:pt>
                <c:pt idx="318">
                  <c:v>2400</c:v>
                </c:pt>
                <c:pt idx="319">
                  <c:v>2400</c:v>
                </c:pt>
                <c:pt idx="320">
                  <c:v>2400</c:v>
                </c:pt>
                <c:pt idx="321">
                  <c:v>2400</c:v>
                </c:pt>
                <c:pt idx="322">
                  <c:v>2400</c:v>
                </c:pt>
                <c:pt idx="323">
                  <c:v>2400</c:v>
                </c:pt>
              </c:numCache>
            </c:numRef>
          </c:val>
          <c:smooth val="0"/>
        </c:ser>
        <c:ser>
          <c:idx val="1"/>
          <c:order val="1"/>
          <c:tx>
            <c:strRef>
              <c:f>錫、鎂、鈦、鈷、釹!$P$1</c:f>
              <c:strCache>
                <c:ptCount val="1"/>
                <c:pt idx="0">
                  <c:v>鎂 &gt;99.8% 英國 流通價(美元/公噸)</c:v>
                </c:pt>
              </c:strCache>
            </c:strRef>
          </c:tx>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錫、鎂、鈦、鈷、釹!$P$216:$P$539</c:f>
              <c:numCache>
                <c:formatCode>General;General;;</c:formatCode>
                <c:ptCount val="324"/>
                <c:pt idx="0">
                  <c:v>2540</c:v>
                </c:pt>
                <c:pt idx="1">
                  <c:v>2540</c:v>
                </c:pt>
                <c:pt idx="2">
                  <c:v>2540</c:v>
                </c:pt>
                <c:pt idx="3">
                  <c:v>2540</c:v>
                </c:pt>
                <c:pt idx="4">
                  <c:v>2540</c:v>
                </c:pt>
                <c:pt idx="5">
                  <c:v>2540</c:v>
                </c:pt>
                <c:pt idx="6">
                  <c:v>2540</c:v>
                </c:pt>
                <c:pt idx="7">
                  <c:v>2540</c:v>
                </c:pt>
                <c:pt idx="8">
                  <c:v>2540</c:v>
                </c:pt>
                <c:pt idx="9">
                  <c:v>2540</c:v>
                </c:pt>
                <c:pt idx="10">
                  <c:v>2540</c:v>
                </c:pt>
                <c:pt idx="11">
                  <c:v>2540</c:v>
                </c:pt>
                <c:pt idx="12">
                  <c:v>2540</c:v>
                </c:pt>
                <c:pt idx="13">
                  <c:v>2465</c:v>
                </c:pt>
                <c:pt idx="14">
                  <c:v>2465</c:v>
                </c:pt>
                <c:pt idx="15">
                  <c:v>2465</c:v>
                </c:pt>
                <c:pt idx="16">
                  <c:v>2465</c:v>
                </c:pt>
                <c:pt idx="17">
                  <c:v>2465</c:v>
                </c:pt>
                <c:pt idx="18">
                  <c:v>2465</c:v>
                </c:pt>
                <c:pt idx="19">
                  <c:v>2465</c:v>
                </c:pt>
                <c:pt idx="20">
                  <c:v>2450</c:v>
                </c:pt>
                <c:pt idx="21">
                  <c:v>2450</c:v>
                </c:pt>
                <c:pt idx="22">
                  <c:v>2450</c:v>
                </c:pt>
                <c:pt idx="23">
                  <c:v>2450</c:v>
                </c:pt>
                <c:pt idx="24">
                  <c:v>2450</c:v>
                </c:pt>
                <c:pt idx="25">
                  <c:v>2450</c:v>
                </c:pt>
                <c:pt idx="26">
                  <c:v>2450</c:v>
                </c:pt>
                <c:pt idx="27">
                  <c:v>2400</c:v>
                </c:pt>
                <c:pt idx="28">
                  <c:v>2400</c:v>
                </c:pt>
                <c:pt idx="29">
                  <c:v>2400</c:v>
                </c:pt>
                <c:pt idx="30">
                  <c:v>2400</c:v>
                </c:pt>
                <c:pt idx="31">
                  <c:v>2400</c:v>
                </c:pt>
                <c:pt idx="32">
                  <c:v>2400</c:v>
                </c:pt>
                <c:pt idx="33">
                  <c:v>2400</c:v>
                </c:pt>
                <c:pt idx="34">
                  <c:v>2400</c:v>
                </c:pt>
                <c:pt idx="35">
                  <c:v>2400</c:v>
                </c:pt>
                <c:pt idx="36">
                  <c:v>2400</c:v>
                </c:pt>
                <c:pt idx="37">
                  <c:v>2400</c:v>
                </c:pt>
                <c:pt idx="38">
                  <c:v>2400</c:v>
                </c:pt>
                <c:pt idx="39">
                  <c:v>2400</c:v>
                </c:pt>
                <c:pt idx="40">
                  <c:v>2400</c:v>
                </c:pt>
                <c:pt idx="41">
                  <c:v>2400</c:v>
                </c:pt>
                <c:pt idx="42">
                  <c:v>2400</c:v>
                </c:pt>
                <c:pt idx="43">
                  <c:v>2400</c:v>
                </c:pt>
                <c:pt idx="44">
                  <c:v>2400</c:v>
                </c:pt>
                <c:pt idx="45">
                  <c:v>2400</c:v>
                </c:pt>
                <c:pt idx="46">
                  <c:v>2400</c:v>
                </c:pt>
                <c:pt idx="47">
                  <c:v>2400</c:v>
                </c:pt>
                <c:pt idx="48">
                  <c:v>2350</c:v>
                </c:pt>
                <c:pt idx="49">
                  <c:v>2350</c:v>
                </c:pt>
                <c:pt idx="50">
                  <c:v>2350</c:v>
                </c:pt>
                <c:pt idx="51">
                  <c:v>2350</c:v>
                </c:pt>
                <c:pt idx="52">
                  <c:v>2350</c:v>
                </c:pt>
                <c:pt idx="53">
                  <c:v>2350</c:v>
                </c:pt>
                <c:pt idx="54">
                  <c:v>2350</c:v>
                </c:pt>
                <c:pt idx="55">
                  <c:v>2350</c:v>
                </c:pt>
                <c:pt idx="56">
                  <c:v>2350</c:v>
                </c:pt>
                <c:pt idx="57">
                  <c:v>2350</c:v>
                </c:pt>
                <c:pt idx="58">
                  <c:v>2350</c:v>
                </c:pt>
                <c:pt idx="59">
                  <c:v>2350</c:v>
                </c:pt>
                <c:pt idx="60">
                  <c:v>2350</c:v>
                </c:pt>
                <c:pt idx="61">
                  <c:v>2350</c:v>
                </c:pt>
                <c:pt idx="62">
                  <c:v>2330</c:v>
                </c:pt>
                <c:pt idx="63">
                  <c:v>2330</c:v>
                </c:pt>
                <c:pt idx="64">
                  <c:v>2330</c:v>
                </c:pt>
                <c:pt idx="65">
                  <c:v>2330</c:v>
                </c:pt>
                <c:pt idx="66">
                  <c:v>2330</c:v>
                </c:pt>
                <c:pt idx="67">
                  <c:v>2330</c:v>
                </c:pt>
                <c:pt idx="68">
                  <c:v>2330</c:v>
                </c:pt>
                <c:pt idx="69">
                  <c:v>2330</c:v>
                </c:pt>
                <c:pt idx="70">
                  <c:v>2330</c:v>
                </c:pt>
                <c:pt idx="71">
                  <c:v>2330</c:v>
                </c:pt>
                <c:pt idx="72">
                  <c:v>2330</c:v>
                </c:pt>
                <c:pt idx="73">
                  <c:v>2330</c:v>
                </c:pt>
                <c:pt idx="74">
                  <c:v>2330</c:v>
                </c:pt>
                <c:pt idx="75">
                  <c:v>2330</c:v>
                </c:pt>
                <c:pt idx="76">
                  <c:v>2330</c:v>
                </c:pt>
                <c:pt idx="77">
                  <c:v>2330</c:v>
                </c:pt>
                <c:pt idx="78">
                  <c:v>2330</c:v>
                </c:pt>
                <c:pt idx="79">
                  <c:v>2330</c:v>
                </c:pt>
                <c:pt idx="80">
                  <c:v>2330</c:v>
                </c:pt>
                <c:pt idx="81">
                  <c:v>2330</c:v>
                </c:pt>
                <c:pt idx="82">
                  <c:v>2330</c:v>
                </c:pt>
                <c:pt idx="83">
                  <c:v>2300</c:v>
                </c:pt>
                <c:pt idx="84">
                  <c:v>2300</c:v>
                </c:pt>
                <c:pt idx="85">
                  <c:v>2300</c:v>
                </c:pt>
                <c:pt idx="86">
                  <c:v>2300</c:v>
                </c:pt>
                <c:pt idx="87">
                  <c:v>2300</c:v>
                </c:pt>
                <c:pt idx="88">
                  <c:v>2300</c:v>
                </c:pt>
                <c:pt idx="89">
                  <c:v>2300</c:v>
                </c:pt>
                <c:pt idx="90">
                  <c:v>2300</c:v>
                </c:pt>
                <c:pt idx="91">
                  <c:v>2300</c:v>
                </c:pt>
                <c:pt idx="92">
                  <c:v>2300</c:v>
                </c:pt>
                <c:pt idx="93">
                  <c:v>2300</c:v>
                </c:pt>
                <c:pt idx="94">
                  <c:v>2300</c:v>
                </c:pt>
                <c:pt idx="95">
                  <c:v>2300</c:v>
                </c:pt>
                <c:pt idx="96">
                  <c:v>2300</c:v>
                </c:pt>
                <c:pt idx="97">
                  <c:v>2300</c:v>
                </c:pt>
                <c:pt idx="98">
                  <c:v>2300</c:v>
                </c:pt>
                <c:pt idx="99">
                  <c:v>2300</c:v>
                </c:pt>
                <c:pt idx="100">
                  <c:v>2300</c:v>
                </c:pt>
                <c:pt idx="101">
                  <c:v>2300</c:v>
                </c:pt>
                <c:pt idx="102">
                  <c:v>2300</c:v>
                </c:pt>
                <c:pt idx="103">
                  <c:v>2300</c:v>
                </c:pt>
                <c:pt idx="104">
                  <c:v>2300</c:v>
                </c:pt>
                <c:pt idx="105">
                  <c:v>2300</c:v>
                </c:pt>
                <c:pt idx="106">
                  <c:v>2300</c:v>
                </c:pt>
                <c:pt idx="107">
                  <c:v>2300</c:v>
                </c:pt>
                <c:pt idx="108">
                  <c:v>2300</c:v>
                </c:pt>
                <c:pt idx="109">
                  <c:v>2300</c:v>
                </c:pt>
                <c:pt idx="110">
                  <c:v>2300</c:v>
                </c:pt>
                <c:pt idx="111">
                  <c:v>2300</c:v>
                </c:pt>
                <c:pt idx="112">
                  <c:v>2300</c:v>
                </c:pt>
                <c:pt idx="113">
                  <c:v>2300</c:v>
                </c:pt>
                <c:pt idx="114">
                  <c:v>2300</c:v>
                </c:pt>
                <c:pt idx="115">
                  <c:v>2300</c:v>
                </c:pt>
                <c:pt idx="116">
                  <c:v>2300</c:v>
                </c:pt>
                <c:pt idx="117">
                  <c:v>2300</c:v>
                </c:pt>
                <c:pt idx="118">
                  <c:v>2300</c:v>
                </c:pt>
                <c:pt idx="119">
                  <c:v>2300</c:v>
                </c:pt>
                <c:pt idx="120">
                  <c:v>2300</c:v>
                </c:pt>
                <c:pt idx="121">
                  <c:v>2300</c:v>
                </c:pt>
                <c:pt idx="122">
                  <c:v>2300</c:v>
                </c:pt>
                <c:pt idx="123">
                  <c:v>2300</c:v>
                </c:pt>
                <c:pt idx="124">
                  <c:v>2300</c:v>
                </c:pt>
                <c:pt idx="125">
                  <c:v>2300</c:v>
                </c:pt>
                <c:pt idx="126">
                  <c:v>2300</c:v>
                </c:pt>
                <c:pt idx="127">
                  <c:v>2300</c:v>
                </c:pt>
                <c:pt idx="128">
                  <c:v>2300</c:v>
                </c:pt>
                <c:pt idx="129">
                  <c:v>2300</c:v>
                </c:pt>
                <c:pt idx="130">
                  <c:v>2300</c:v>
                </c:pt>
                <c:pt idx="131">
                  <c:v>2300</c:v>
                </c:pt>
                <c:pt idx="132">
                  <c:v>2300</c:v>
                </c:pt>
                <c:pt idx="133">
                  <c:v>2300</c:v>
                </c:pt>
                <c:pt idx="134">
                  <c:v>2300</c:v>
                </c:pt>
                <c:pt idx="135">
                  <c:v>2300</c:v>
                </c:pt>
                <c:pt idx="136">
                  <c:v>2300</c:v>
                </c:pt>
                <c:pt idx="137">
                  <c:v>2300</c:v>
                </c:pt>
                <c:pt idx="138">
                  <c:v>2300</c:v>
                </c:pt>
                <c:pt idx="139">
                  <c:v>2300</c:v>
                </c:pt>
                <c:pt idx="140">
                  <c:v>2300</c:v>
                </c:pt>
                <c:pt idx="141">
                  <c:v>2300</c:v>
                </c:pt>
                <c:pt idx="142">
                  <c:v>2300</c:v>
                </c:pt>
                <c:pt idx="143">
                  <c:v>2300</c:v>
                </c:pt>
                <c:pt idx="144">
                  <c:v>2300</c:v>
                </c:pt>
                <c:pt idx="145">
                  <c:v>2300</c:v>
                </c:pt>
                <c:pt idx="146">
                  <c:v>2300</c:v>
                </c:pt>
                <c:pt idx="147">
                  <c:v>2300</c:v>
                </c:pt>
                <c:pt idx="148">
                  <c:v>2300</c:v>
                </c:pt>
                <c:pt idx="149">
                  <c:v>2300</c:v>
                </c:pt>
                <c:pt idx="150">
                  <c:v>2300</c:v>
                </c:pt>
                <c:pt idx="151">
                  <c:v>2300</c:v>
                </c:pt>
                <c:pt idx="152">
                  <c:v>2300</c:v>
                </c:pt>
                <c:pt idx="153">
                  <c:v>2300</c:v>
                </c:pt>
                <c:pt idx="154">
                  <c:v>2300</c:v>
                </c:pt>
                <c:pt idx="155">
                  <c:v>2300</c:v>
                </c:pt>
                <c:pt idx="156">
                  <c:v>2300</c:v>
                </c:pt>
                <c:pt idx="157">
                  <c:v>2300</c:v>
                </c:pt>
                <c:pt idx="158">
                  <c:v>2300</c:v>
                </c:pt>
                <c:pt idx="159">
                  <c:v>2300</c:v>
                </c:pt>
                <c:pt idx="160">
                  <c:v>2300</c:v>
                </c:pt>
                <c:pt idx="161">
                  <c:v>2300</c:v>
                </c:pt>
                <c:pt idx="162">
                  <c:v>2300</c:v>
                </c:pt>
                <c:pt idx="163">
                  <c:v>2300</c:v>
                </c:pt>
                <c:pt idx="164">
                  <c:v>2300</c:v>
                </c:pt>
                <c:pt idx="165">
                  <c:v>2300</c:v>
                </c:pt>
                <c:pt idx="166">
                  <c:v>2300</c:v>
                </c:pt>
                <c:pt idx="167">
                  <c:v>2325</c:v>
                </c:pt>
                <c:pt idx="168">
                  <c:v>2325</c:v>
                </c:pt>
                <c:pt idx="169">
                  <c:v>2325</c:v>
                </c:pt>
                <c:pt idx="170">
                  <c:v>2325</c:v>
                </c:pt>
                <c:pt idx="171">
                  <c:v>2325</c:v>
                </c:pt>
                <c:pt idx="172">
                  <c:v>2325</c:v>
                </c:pt>
                <c:pt idx="173">
                  <c:v>2325</c:v>
                </c:pt>
                <c:pt idx="174">
                  <c:v>2275</c:v>
                </c:pt>
                <c:pt idx="175">
                  <c:v>2275</c:v>
                </c:pt>
                <c:pt idx="176">
                  <c:v>2275</c:v>
                </c:pt>
                <c:pt idx="177">
                  <c:v>2275</c:v>
                </c:pt>
                <c:pt idx="178">
                  <c:v>2275</c:v>
                </c:pt>
                <c:pt idx="179">
                  <c:v>2275</c:v>
                </c:pt>
                <c:pt idx="180">
                  <c:v>2275</c:v>
                </c:pt>
                <c:pt idx="181">
                  <c:v>2275</c:v>
                </c:pt>
                <c:pt idx="182">
                  <c:v>2275</c:v>
                </c:pt>
                <c:pt idx="183">
                  <c:v>2275</c:v>
                </c:pt>
                <c:pt idx="184">
                  <c:v>2275</c:v>
                </c:pt>
                <c:pt idx="185">
                  <c:v>2275</c:v>
                </c:pt>
                <c:pt idx="186">
                  <c:v>2275</c:v>
                </c:pt>
                <c:pt idx="187">
                  <c:v>2275</c:v>
                </c:pt>
                <c:pt idx="188">
                  <c:v>2275</c:v>
                </c:pt>
                <c:pt idx="189">
                  <c:v>2275</c:v>
                </c:pt>
                <c:pt idx="190">
                  <c:v>2275</c:v>
                </c:pt>
                <c:pt idx="191">
                  <c:v>2275</c:v>
                </c:pt>
                <c:pt idx="192">
                  <c:v>2275</c:v>
                </c:pt>
                <c:pt idx="193">
                  <c:v>2275</c:v>
                </c:pt>
                <c:pt idx="194">
                  <c:v>2275</c:v>
                </c:pt>
                <c:pt idx="195">
                  <c:v>2275</c:v>
                </c:pt>
                <c:pt idx="196">
                  <c:v>2275</c:v>
                </c:pt>
                <c:pt idx="197">
                  <c:v>2275</c:v>
                </c:pt>
                <c:pt idx="198">
                  <c:v>2275</c:v>
                </c:pt>
                <c:pt idx="199">
                  <c:v>2275</c:v>
                </c:pt>
                <c:pt idx="200">
                  <c:v>2275</c:v>
                </c:pt>
                <c:pt idx="201">
                  <c:v>2275</c:v>
                </c:pt>
                <c:pt idx="202">
                  <c:v>2275</c:v>
                </c:pt>
                <c:pt idx="203">
                  <c:v>2275</c:v>
                </c:pt>
                <c:pt idx="204">
                  <c:v>2275</c:v>
                </c:pt>
                <c:pt idx="205">
                  <c:v>2275</c:v>
                </c:pt>
                <c:pt idx="206">
                  <c:v>2275</c:v>
                </c:pt>
                <c:pt idx="207">
                  <c:v>2275</c:v>
                </c:pt>
                <c:pt idx="208">
                  <c:v>2275</c:v>
                </c:pt>
                <c:pt idx="209">
                  <c:v>2275</c:v>
                </c:pt>
                <c:pt idx="210">
                  <c:v>2275</c:v>
                </c:pt>
                <c:pt idx="211">
                  <c:v>2275</c:v>
                </c:pt>
                <c:pt idx="212">
                  <c:v>2275</c:v>
                </c:pt>
                <c:pt idx="213">
                  <c:v>2275</c:v>
                </c:pt>
                <c:pt idx="214">
                  <c:v>2275</c:v>
                </c:pt>
                <c:pt idx="215">
                  <c:v>2275</c:v>
                </c:pt>
                <c:pt idx="216">
                  <c:v>2275</c:v>
                </c:pt>
                <c:pt idx="217">
                  <c:v>2275</c:v>
                </c:pt>
                <c:pt idx="218">
                  <c:v>2275</c:v>
                </c:pt>
                <c:pt idx="219">
                  <c:v>2275</c:v>
                </c:pt>
                <c:pt idx="220">
                  <c:v>2275</c:v>
                </c:pt>
                <c:pt idx="221">
                  <c:v>2275</c:v>
                </c:pt>
                <c:pt idx="222">
                  <c:v>2275</c:v>
                </c:pt>
                <c:pt idx="223">
                  <c:v>2270</c:v>
                </c:pt>
                <c:pt idx="224">
                  <c:v>2270</c:v>
                </c:pt>
                <c:pt idx="225">
                  <c:v>2270</c:v>
                </c:pt>
                <c:pt idx="226">
                  <c:v>2270</c:v>
                </c:pt>
                <c:pt idx="227">
                  <c:v>2270</c:v>
                </c:pt>
                <c:pt idx="228">
                  <c:v>2270</c:v>
                </c:pt>
                <c:pt idx="229">
                  <c:v>2270</c:v>
                </c:pt>
                <c:pt idx="230">
                  <c:v>2270</c:v>
                </c:pt>
                <c:pt idx="231">
                  <c:v>2270</c:v>
                </c:pt>
                <c:pt idx="232">
                  <c:v>2270</c:v>
                </c:pt>
                <c:pt idx="233">
                  <c:v>2270</c:v>
                </c:pt>
                <c:pt idx="234">
                  <c:v>2270</c:v>
                </c:pt>
                <c:pt idx="235">
                  <c:v>2270</c:v>
                </c:pt>
                <c:pt idx="236">
                  <c:v>2270</c:v>
                </c:pt>
                <c:pt idx="237">
                  <c:v>2275</c:v>
                </c:pt>
                <c:pt idx="238">
                  <c:v>2275</c:v>
                </c:pt>
                <c:pt idx="239">
                  <c:v>2275</c:v>
                </c:pt>
                <c:pt idx="240">
                  <c:v>2275</c:v>
                </c:pt>
                <c:pt idx="241">
                  <c:v>2275</c:v>
                </c:pt>
                <c:pt idx="242">
                  <c:v>2275</c:v>
                </c:pt>
                <c:pt idx="243">
                  <c:v>2275</c:v>
                </c:pt>
                <c:pt idx="244">
                  <c:v>2175</c:v>
                </c:pt>
                <c:pt idx="245">
                  <c:v>2175</c:v>
                </c:pt>
                <c:pt idx="246">
                  <c:v>2175</c:v>
                </c:pt>
                <c:pt idx="247">
                  <c:v>2175</c:v>
                </c:pt>
                <c:pt idx="248">
                  <c:v>2175</c:v>
                </c:pt>
                <c:pt idx="249">
                  <c:v>2175</c:v>
                </c:pt>
                <c:pt idx="250">
                  <c:v>2175</c:v>
                </c:pt>
                <c:pt idx="251">
                  <c:v>2175</c:v>
                </c:pt>
                <c:pt idx="252">
                  <c:v>2175</c:v>
                </c:pt>
                <c:pt idx="253">
                  <c:v>2175</c:v>
                </c:pt>
                <c:pt idx="254">
                  <c:v>2175</c:v>
                </c:pt>
                <c:pt idx="255">
                  <c:v>2175</c:v>
                </c:pt>
                <c:pt idx="256">
                  <c:v>2175</c:v>
                </c:pt>
                <c:pt idx="257">
                  <c:v>2175</c:v>
                </c:pt>
                <c:pt idx="258">
                  <c:v>2175</c:v>
                </c:pt>
                <c:pt idx="259">
                  <c:v>2175</c:v>
                </c:pt>
                <c:pt idx="260">
                  <c:v>2175</c:v>
                </c:pt>
                <c:pt idx="261">
                  <c:v>2175</c:v>
                </c:pt>
                <c:pt idx="262">
                  <c:v>2175</c:v>
                </c:pt>
                <c:pt idx="263">
                  <c:v>2175</c:v>
                </c:pt>
                <c:pt idx="264">
                  <c:v>2175</c:v>
                </c:pt>
                <c:pt idx="265">
                  <c:v>2175</c:v>
                </c:pt>
                <c:pt idx="266">
                  <c:v>2175</c:v>
                </c:pt>
                <c:pt idx="267">
                  <c:v>2175</c:v>
                </c:pt>
                <c:pt idx="268">
                  <c:v>2175</c:v>
                </c:pt>
                <c:pt idx="269">
                  <c:v>2175</c:v>
                </c:pt>
                <c:pt idx="270">
                  <c:v>2175</c:v>
                </c:pt>
                <c:pt idx="271">
                  <c:v>2175</c:v>
                </c:pt>
                <c:pt idx="272">
                  <c:v>2175</c:v>
                </c:pt>
                <c:pt idx="273">
                  <c:v>2095</c:v>
                </c:pt>
                <c:pt idx="274">
                  <c:v>2095</c:v>
                </c:pt>
                <c:pt idx="275">
                  <c:v>2095</c:v>
                </c:pt>
                <c:pt idx="276">
                  <c:v>2095</c:v>
                </c:pt>
                <c:pt idx="277">
                  <c:v>2095</c:v>
                </c:pt>
                <c:pt idx="278">
                  <c:v>2095</c:v>
                </c:pt>
                <c:pt idx="279">
                  <c:v>2150</c:v>
                </c:pt>
                <c:pt idx="280">
                  <c:v>2150</c:v>
                </c:pt>
                <c:pt idx="281">
                  <c:v>2150</c:v>
                </c:pt>
                <c:pt idx="282">
                  <c:v>2150</c:v>
                </c:pt>
                <c:pt idx="283">
                  <c:v>2150</c:v>
                </c:pt>
                <c:pt idx="284">
                  <c:v>2150</c:v>
                </c:pt>
                <c:pt idx="285">
                  <c:v>2150</c:v>
                </c:pt>
                <c:pt idx="286">
                  <c:v>2150</c:v>
                </c:pt>
                <c:pt idx="287">
                  <c:v>2150</c:v>
                </c:pt>
                <c:pt idx="288">
                  <c:v>2150</c:v>
                </c:pt>
                <c:pt idx="289">
                  <c:v>2150</c:v>
                </c:pt>
                <c:pt idx="290">
                  <c:v>2150</c:v>
                </c:pt>
                <c:pt idx="291">
                  <c:v>2150</c:v>
                </c:pt>
                <c:pt idx="292">
                  <c:v>2150</c:v>
                </c:pt>
                <c:pt idx="293">
                  <c:v>2150</c:v>
                </c:pt>
                <c:pt idx="294">
                  <c:v>2150</c:v>
                </c:pt>
                <c:pt idx="295">
                  <c:v>2150</c:v>
                </c:pt>
                <c:pt idx="296">
                  <c:v>2150</c:v>
                </c:pt>
                <c:pt idx="297">
                  <c:v>2150</c:v>
                </c:pt>
                <c:pt idx="298">
                  <c:v>2150</c:v>
                </c:pt>
                <c:pt idx="299">
                  <c:v>2150</c:v>
                </c:pt>
                <c:pt idx="300">
                  <c:v>2130</c:v>
                </c:pt>
                <c:pt idx="301">
                  <c:v>2130</c:v>
                </c:pt>
                <c:pt idx="302">
                  <c:v>2130</c:v>
                </c:pt>
                <c:pt idx="303">
                  <c:v>2130</c:v>
                </c:pt>
                <c:pt idx="304">
                  <c:v>2130</c:v>
                </c:pt>
                <c:pt idx="305">
                  <c:v>2130</c:v>
                </c:pt>
                <c:pt idx="306">
                  <c:v>2130</c:v>
                </c:pt>
                <c:pt idx="307">
                  <c:v>2130</c:v>
                </c:pt>
                <c:pt idx="308">
                  <c:v>2130</c:v>
                </c:pt>
                <c:pt idx="309">
                  <c:v>2130</c:v>
                </c:pt>
                <c:pt idx="310">
                  <c:v>2130</c:v>
                </c:pt>
                <c:pt idx="311">
                  <c:v>2130</c:v>
                </c:pt>
                <c:pt idx="312">
                  <c:v>2130</c:v>
                </c:pt>
                <c:pt idx="313">
                  <c:v>2130</c:v>
                </c:pt>
                <c:pt idx="314">
                  <c:v>2050</c:v>
                </c:pt>
                <c:pt idx="315">
                  <c:v>2050</c:v>
                </c:pt>
                <c:pt idx="316">
                  <c:v>2050</c:v>
                </c:pt>
                <c:pt idx="317">
                  <c:v>2050</c:v>
                </c:pt>
                <c:pt idx="318">
                  <c:v>2050</c:v>
                </c:pt>
                <c:pt idx="319">
                  <c:v>2050</c:v>
                </c:pt>
                <c:pt idx="320">
                  <c:v>2050</c:v>
                </c:pt>
                <c:pt idx="321">
                  <c:v>2050</c:v>
                </c:pt>
                <c:pt idx="322">
                  <c:v>2050</c:v>
                </c:pt>
                <c:pt idx="323">
                  <c:v>2050</c:v>
                </c:pt>
              </c:numCache>
            </c:numRef>
          </c:val>
          <c:smooth val="0"/>
        </c:ser>
        <c:dLbls>
          <c:showLegendKey val="0"/>
          <c:showVal val="0"/>
          <c:showCatName val="0"/>
          <c:showSerName val="0"/>
          <c:showPercent val="0"/>
          <c:showBubbleSize val="0"/>
        </c:dLbls>
        <c:marker val="1"/>
        <c:smooth val="0"/>
        <c:axId val="258044288"/>
        <c:axId val="258045824"/>
      </c:lineChart>
      <c:dateAx>
        <c:axId val="258044288"/>
        <c:scaling>
          <c:orientation val="minMax"/>
        </c:scaling>
        <c:delete val="0"/>
        <c:axPos val="b"/>
        <c:numFmt formatCode="m/d/yyyy" sourceLinked="1"/>
        <c:majorTickMark val="out"/>
        <c:minorTickMark val="none"/>
        <c:tickLblPos val="nextTo"/>
        <c:txPr>
          <a:bodyPr/>
          <a:lstStyle/>
          <a:p>
            <a:pPr>
              <a:defRPr sz="1000"/>
            </a:pPr>
            <a:endParaRPr lang="zh-TW"/>
          </a:p>
        </c:txPr>
        <c:crossAx val="258045824"/>
        <c:crosses val="autoZero"/>
        <c:auto val="1"/>
        <c:lblOffset val="100"/>
        <c:baseTimeUnit val="days"/>
        <c:majorUnit val="1"/>
        <c:majorTimeUnit val="months"/>
        <c:minorUnit val="1"/>
        <c:minorTimeUnit val="months"/>
      </c:dateAx>
      <c:valAx>
        <c:axId val="258045824"/>
        <c:scaling>
          <c:orientation val="minMax"/>
          <c:min val="2000"/>
        </c:scaling>
        <c:delete val="0"/>
        <c:axPos val="l"/>
        <c:majorGridlines/>
        <c:numFmt formatCode="General;General;;" sourceLinked="1"/>
        <c:majorTickMark val="out"/>
        <c:minorTickMark val="none"/>
        <c:tickLblPos val="nextTo"/>
        <c:txPr>
          <a:bodyPr/>
          <a:lstStyle/>
          <a:p>
            <a:pPr>
              <a:defRPr sz="1000"/>
            </a:pPr>
            <a:endParaRPr lang="zh-TW"/>
          </a:p>
        </c:txPr>
        <c:crossAx val="258044288"/>
        <c:crosses val="autoZero"/>
        <c:crossBetween val="between"/>
      </c:valAx>
    </c:plotArea>
    <c:legend>
      <c:legendPos val="b"/>
      <c:layout>
        <c:manualLayout>
          <c:xMode val="edge"/>
          <c:yMode val="edge"/>
          <c:x val="4.2277440747191017E-2"/>
          <c:y val="0.89729160778823591"/>
          <c:w val="0.8761422247622872"/>
          <c:h val="0.10270839221176395"/>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991409890057933E-2"/>
          <c:y val="0.14518718511894943"/>
          <c:w val="0.82499809937550961"/>
          <c:h val="0.5527671913116704"/>
        </c:manualLayout>
      </c:layout>
      <c:lineChart>
        <c:grouping val="standard"/>
        <c:varyColors val="0"/>
        <c:ser>
          <c:idx val="0"/>
          <c:order val="0"/>
          <c:tx>
            <c:strRef>
              <c:f>錫、鎂、鈦、鈷、釹!$Q$1</c:f>
              <c:strCache>
                <c:ptCount val="1"/>
                <c:pt idx="0">
                  <c:v>海綿鈦 99.6% 歐洲 流通價(美元/公斤)</c:v>
                </c:pt>
              </c:strCache>
            </c:strRef>
          </c:tx>
          <c:spPr>
            <a:ln>
              <a:prstDash val="sysDash"/>
            </a:ln>
          </c:spPr>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錫、鎂、鈦、鈷、釹!$Q$216:$Q$539</c:f>
              <c:numCache>
                <c:formatCode>General</c:formatCode>
                <c:ptCount val="324"/>
                <c:pt idx="0">
                  <c:v>9.9</c:v>
                </c:pt>
                <c:pt idx="1">
                  <c:v>9.9</c:v>
                </c:pt>
                <c:pt idx="2">
                  <c:v>9.9</c:v>
                </c:pt>
                <c:pt idx="3">
                  <c:v>9.9</c:v>
                </c:pt>
                <c:pt idx="4">
                  <c:v>9.9</c:v>
                </c:pt>
                <c:pt idx="5">
                  <c:v>9.9</c:v>
                </c:pt>
                <c:pt idx="6">
                  <c:v>9.9</c:v>
                </c:pt>
                <c:pt idx="7">
                  <c:v>9.9</c:v>
                </c:pt>
                <c:pt idx="8">
                  <c:v>9.9</c:v>
                </c:pt>
                <c:pt idx="9">
                  <c:v>9.9</c:v>
                </c:pt>
                <c:pt idx="10">
                  <c:v>9.9</c:v>
                </c:pt>
                <c:pt idx="11">
                  <c:v>9.9</c:v>
                </c:pt>
                <c:pt idx="12">
                  <c:v>9.9</c:v>
                </c:pt>
                <c:pt idx="13">
                  <c:v>9.9</c:v>
                </c:pt>
                <c:pt idx="14">
                  <c:v>9.9</c:v>
                </c:pt>
                <c:pt idx="15">
                  <c:v>9.9</c:v>
                </c:pt>
                <c:pt idx="16">
                  <c:v>9.9</c:v>
                </c:pt>
                <c:pt idx="17">
                  <c:v>9.9</c:v>
                </c:pt>
                <c:pt idx="18">
                  <c:v>9.9</c:v>
                </c:pt>
                <c:pt idx="19">
                  <c:v>9.9</c:v>
                </c:pt>
                <c:pt idx="20">
                  <c:v>9.9</c:v>
                </c:pt>
                <c:pt idx="21">
                  <c:v>9.9</c:v>
                </c:pt>
                <c:pt idx="22">
                  <c:v>9.9</c:v>
                </c:pt>
                <c:pt idx="23">
                  <c:v>9.9</c:v>
                </c:pt>
                <c:pt idx="24">
                  <c:v>9.9</c:v>
                </c:pt>
                <c:pt idx="25">
                  <c:v>9.9</c:v>
                </c:pt>
                <c:pt idx="26">
                  <c:v>9.9</c:v>
                </c:pt>
                <c:pt idx="27">
                  <c:v>9.9</c:v>
                </c:pt>
                <c:pt idx="28">
                  <c:v>9.9</c:v>
                </c:pt>
                <c:pt idx="29">
                  <c:v>9.9</c:v>
                </c:pt>
                <c:pt idx="30">
                  <c:v>9.9</c:v>
                </c:pt>
                <c:pt idx="31">
                  <c:v>9.9</c:v>
                </c:pt>
                <c:pt idx="32">
                  <c:v>9.9</c:v>
                </c:pt>
                <c:pt idx="33">
                  <c:v>9.9</c:v>
                </c:pt>
                <c:pt idx="34">
                  <c:v>9.9</c:v>
                </c:pt>
                <c:pt idx="35">
                  <c:v>9.65</c:v>
                </c:pt>
                <c:pt idx="36">
                  <c:v>9.65</c:v>
                </c:pt>
                <c:pt idx="37">
                  <c:v>9.65</c:v>
                </c:pt>
                <c:pt idx="38">
                  <c:v>9.65</c:v>
                </c:pt>
                <c:pt idx="39">
                  <c:v>9.65</c:v>
                </c:pt>
                <c:pt idx="40">
                  <c:v>9.65</c:v>
                </c:pt>
                <c:pt idx="41">
                  <c:v>9.65</c:v>
                </c:pt>
                <c:pt idx="42">
                  <c:v>9.65</c:v>
                </c:pt>
                <c:pt idx="43">
                  <c:v>9.65</c:v>
                </c:pt>
                <c:pt idx="44">
                  <c:v>9.65</c:v>
                </c:pt>
                <c:pt idx="45">
                  <c:v>9.65</c:v>
                </c:pt>
                <c:pt idx="46">
                  <c:v>9.65</c:v>
                </c:pt>
                <c:pt idx="47">
                  <c:v>9.65</c:v>
                </c:pt>
                <c:pt idx="48">
                  <c:v>9.65</c:v>
                </c:pt>
                <c:pt idx="49">
                  <c:v>9.65</c:v>
                </c:pt>
                <c:pt idx="50">
                  <c:v>9.65</c:v>
                </c:pt>
                <c:pt idx="51">
                  <c:v>9.65</c:v>
                </c:pt>
                <c:pt idx="52">
                  <c:v>9.65</c:v>
                </c:pt>
                <c:pt idx="53">
                  <c:v>9.65</c:v>
                </c:pt>
                <c:pt idx="54">
                  <c:v>9.5</c:v>
                </c:pt>
                <c:pt idx="55">
                  <c:v>9.5</c:v>
                </c:pt>
                <c:pt idx="56">
                  <c:v>9.5</c:v>
                </c:pt>
                <c:pt idx="57">
                  <c:v>9.5</c:v>
                </c:pt>
                <c:pt idx="58">
                  <c:v>9.5</c:v>
                </c:pt>
                <c:pt idx="59">
                  <c:v>9.5</c:v>
                </c:pt>
                <c:pt idx="60">
                  <c:v>9.5</c:v>
                </c:pt>
                <c:pt idx="61">
                  <c:v>9.5</c:v>
                </c:pt>
                <c:pt idx="62">
                  <c:v>9.5</c:v>
                </c:pt>
                <c:pt idx="63">
                  <c:v>9.5</c:v>
                </c:pt>
                <c:pt idx="64">
                  <c:v>9.5</c:v>
                </c:pt>
                <c:pt idx="65">
                  <c:v>9.5</c:v>
                </c:pt>
                <c:pt idx="66">
                  <c:v>9.5</c:v>
                </c:pt>
                <c:pt idx="67">
                  <c:v>9.5</c:v>
                </c:pt>
                <c:pt idx="68">
                  <c:v>9.5</c:v>
                </c:pt>
                <c:pt idx="69">
                  <c:v>9.5</c:v>
                </c:pt>
                <c:pt idx="70">
                  <c:v>9.5</c:v>
                </c:pt>
                <c:pt idx="71">
                  <c:v>9.5</c:v>
                </c:pt>
                <c:pt idx="72">
                  <c:v>9.5</c:v>
                </c:pt>
                <c:pt idx="73">
                  <c:v>9.5</c:v>
                </c:pt>
                <c:pt idx="74">
                  <c:v>9.5</c:v>
                </c:pt>
                <c:pt idx="75">
                  <c:v>9.5</c:v>
                </c:pt>
                <c:pt idx="76">
                  <c:v>9.5</c:v>
                </c:pt>
                <c:pt idx="77">
                  <c:v>9.5</c:v>
                </c:pt>
                <c:pt idx="78">
                  <c:v>9.5</c:v>
                </c:pt>
                <c:pt idx="79">
                  <c:v>9.5</c:v>
                </c:pt>
                <c:pt idx="80">
                  <c:v>9.5</c:v>
                </c:pt>
                <c:pt idx="81">
                  <c:v>9.5</c:v>
                </c:pt>
                <c:pt idx="82">
                  <c:v>9.5</c:v>
                </c:pt>
                <c:pt idx="83">
                  <c:v>9.5</c:v>
                </c:pt>
                <c:pt idx="84">
                  <c:v>9.5</c:v>
                </c:pt>
                <c:pt idx="85">
                  <c:v>9.5</c:v>
                </c:pt>
                <c:pt idx="86">
                  <c:v>9.5</c:v>
                </c:pt>
                <c:pt idx="87">
                  <c:v>9.5</c:v>
                </c:pt>
                <c:pt idx="88">
                  <c:v>9.5</c:v>
                </c:pt>
                <c:pt idx="89">
                  <c:v>9.5</c:v>
                </c:pt>
                <c:pt idx="90">
                  <c:v>9.5</c:v>
                </c:pt>
                <c:pt idx="91">
                  <c:v>9.5</c:v>
                </c:pt>
                <c:pt idx="92">
                  <c:v>9.5</c:v>
                </c:pt>
                <c:pt idx="93">
                  <c:v>9.5</c:v>
                </c:pt>
                <c:pt idx="94">
                  <c:v>9.5</c:v>
                </c:pt>
                <c:pt idx="95">
                  <c:v>9.5</c:v>
                </c:pt>
                <c:pt idx="96">
                  <c:v>9.4</c:v>
                </c:pt>
                <c:pt idx="97">
                  <c:v>9.4</c:v>
                </c:pt>
                <c:pt idx="98">
                  <c:v>9.4</c:v>
                </c:pt>
                <c:pt idx="99">
                  <c:v>9.4</c:v>
                </c:pt>
                <c:pt idx="100">
                  <c:v>9.4</c:v>
                </c:pt>
                <c:pt idx="101">
                  <c:v>9.4</c:v>
                </c:pt>
                <c:pt idx="102">
                  <c:v>9.4</c:v>
                </c:pt>
                <c:pt idx="103">
                  <c:v>9.4</c:v>
                </c:pt>
                <c:pt idx="104">
                  <c:v>9.4</c:v>
                </c:pt>
                <c:pt idx="105">
                  <c:v>9.4</c:v>
                </c:pt>
                <c:pt idx="106">
                  <c:v>9.4</c:v>
                </c:pt>
                <c:pt idx="107">
                  <c:v>9.4</c:v>
                </c:pt>
                <c:pt idx="108">
                  <c:v>9.4</c:v>
                </c:pt>
                <c:pt idx="109">
                  <c:v>9.4</c:v>
                </c:pt>
                <c:pt idx="110">
                  <c:v>9.4</c:v>
                </c:pt>
                <c:pt idx="111">
                  <c:v>9.4</c:v>
                </c:pt>
                <c:pt idx="112">
                  <c:v>9.4</c:v>
                </c:pt>
                <c:pt idx="113">
                  <c:v>9.4</c:v>
                </c:pt>
                <c:pt idx="114">
                  <c:v>9.4</c:v>
                </c:pt>
                <c:pt idx="115">
                  <c:v>9.4</c:v>
                </c:pt>
                <c:pt idx="116">
                  <c:v>9.4</c:v>
                </c:pt>
                <c:pt idx="117">
                  <c:v>9.4</c:v>
                </c:pt>
                <c:pt idx="118">
                  <c:v>9.4</c:v>
                </c:pt>
                <c:pt idx="119">
                  <c:v>9.4</c:v>
                </c:pt>
                <c:pt idx="120">
                  <c:v>9.4</c:v>
                </c:pt>
                <c:pt idx="121">
                  <c:v>9.4</c:v>
                </c:pt>
                <c:pt idx="122">
                  <c:v>9.4</c:v>
                </c:pt>
                <c:pt idx="123">
                  <c:v>9.4</c:v>
                </c:pt>
                <c:pt idx="124">
                  <c:v>9.4</c:v>
                </c:pt>
                <c:pt idx="125">
                  <c:v>9.4</c:v>
                </c:pt>
                <c:pt idx="126">
                  <c:v>9.4</c:v>
                </c:pt>
                <c:pt idx="127">
                  <c:v>9.4</c:v>
                </c:pt>
                <c:pt idx="128">
                  <c:v>9.4</c:v>
                </c:pt>
                <c:pt idx="129">
                  <c:v>9.4</c:v>
                </c:pt>
                <c:pt idx="130">
                  <c:v>9.4</c:v>
                </c:pt>
                <c:pt idx="131">
                  <c:v>9.4</c:v>
                </c:pt>
                <c:pt idx="132">
                  <c:v>9.4</c:v>
                </c:pt>
                <c:pt idx="133">
                  <c:v>9.4</c:v>
                </c:pt>
                <c:pt idx="134">
                  <c:v>9.4</c:v>
                </c:pt>
                <c:pt idx="135">
                  <c:v>9.4</c:v>
                </c:pt>
                <c:pt idx="136">
                  <c:v>9.4</c:v>
                </c:pt>
                <c:pt idx="137">
                  <c:v>9.4</c:v>
                </c:pt>
                <c:pt idx="138">
                  <c:v>9.4</c:v>
                </c:pt>
                <c:pt idx="139">
                  <c:v>9.4</c:v>
                </c:pt>
                <c:pt idx="140">
                  <c:v>9.4</c:v>
                </c:pt>
                <c:pt idx="141">
                  <c:v>9.4</c:v>
                </c:pt>
                <c:pt idx="142">
                  <c:v>9.4</c:v>
                </c:pt>
                <c:pt idx="143">
                  <c:v>9.4</c:v>
                </c:pt>
                <c:pt idx="144">
                  <c:v>9.4</c:v>
                </c:pt>
                <c:pt idx="145">
                  <c:v>9.4</c:v>
                </c:pt>
                <c:pt idx="146">
                  <c:v>9.4</c:v>
                </c:pt>
                <c:pt idx="147">
                  <c:v>9.4</c:v>
                </c:pt>
                <c:pt idx="148">
                  <c:v>9.4</c:v>
                </c:pt>
                <c:pt idx="149">
                  <c:v>9.4</c:v>
                </c:pt>
                <c:pt idx="150">
                  <c:v>9.4</c:v>
                </c:pt>
                <c:pt idx="151">
                  <c:v>9.4</c:v>
                </c:pt>
                <c:pt idx="152">
                  <c:v>9.4</c:v>
                </c:pt>
                <c:pt idx="153">
                  <c:v>9.4</c:v>
                </c:pt>
                <c:pt idx="154">
                  <c:v>9.4</c:v>
                </c:pt>
                <c:pt idx="155">
                  <c:v>9.4</c:v>
                </c:pt>
                <c:pt idx="156">
                  <c:v>9.4</c:v>
                </c:pt>
                <c:pt idx="157">
                  <c:v>9.4</c:v>
                </c:pt>
                <c:pt idx="158">
                  <c:v>9.4</c:v>
                </c:pt>
                <c:pt idx="159">
                  <c:v>9.4</c:v>
                </c:pt>
                <c:pt idx="160">
                  <c:v>9.4</c:v>
                </c:pt>
                <c:pt idx="161">
                  <c:v>9.4</c:v>
                </c:pt>
                <c:pt idx="162">
                  <c:v>9.4</c:v>
                </c:pt>
                <c:pt idx="163">
                  <c:v>9.4</c:v>
                </c:pt>
                <c:pt idx="164">
                  <c:v>9.4</c:v>
                </c:pt>
                <c:pt idx="165">
                  <c:v>9.4</c:v>
                </c:pt>
                <c:pt idx="166">
                  <c:v>9.4</c:v>
                </c:pt>
                <c:pt idx="167">
                  <c:v>9.4</c:v>
                </c:pt>
                <c:pt idx="168">
                  <c:v>9.4</c:v>
                </c:pt>
                <c:pt idx="169">
                  <c:v>9.4</c:v>
                </c:pt>
                <c:pt idx="170">
                  <c:v>9.4</c:v>
                </c:pt>
                <c:pt idx="171">
                  <c:v>9.4</c:v>
                </c:pt>
                <c:pt idx="172">
                  <c:v>9.4</c:v>
                </c:pt>
                <c:pt idx="173">
                  <c:v>9.4</c:v>
                </c:pt>
                <c:pt idx="174">
                  <c:v>9.4</c:v>
                </c:pt>
                <c:pt idx="175">
                  <c:v>9.4</c:v>
                </c:pt>
                <c:pt idx="176">
                  <c:v>9.4</c:v>
                </c:pt>
                <c:pt idx="177">
                  <c:v>9.4</c:v>
                </c:pt>
                <c:pt idx="178">
                  <c:v>9.4</c:v>
                </c:pt>
                <c:pt idx="179">
                  <c:v>9.4</c:v>
                </c:pt>
                <c:pt idx="180">
                  <c:v>9.4</c:v>
                </c:pt>
                <c:pt idx="181">
                  <c:v>9.4</c:v>
                </c:pt>
                <c:pt idx="182">
                  <c:v>9.4</c:v>
                </c:pt>
                <c:pt idx="183">
                  <c:v>9.4</c:v>
                </c:pt>
                <c:pt idx="184">
                  <c:v>9.4</c:v>
                </c:pt>
                <c:pt idx="185">
                  <c:v>9.4</c:v>
                </c:pt>
                <c:pt idx="186">
                  <c:v>9.4</c:v>
                </c:pt>
                <c:pt idx="187">
                  <c:v>9.4</c:v>
                </c:pt>
                <c:pt idx="188">
                  <c:v>9.4</c:v>
                </c:pt>
                <c:pt idx="189">
                  <c:v>9.4</c:v>
                </c:pt>
                <c:pt idx="190">
                  <c:v>9.4</c:v>
                </c:pt>
                <c:pt idx="191">
                  <c:v>9.4</c:v>
                </c:pt>
                <c:pt idx="192">
                  <c:v>9.4</c:v>
                </c:pt>
                <c:pt idx="193">
                  <c:v>9.4</c:v>
                </c:pt>
                <c:pt idx="194">
                  <c:v>9.4</c:v>
                </c:pt>
                <c:pt idx="195">
                  <c:v>9.4</c:v>
                </c:pt>
                <c:pt idx="196">
                  <c:v>9.4</c:v>
                </c:pt>
                <c:pt idx="197">
                  <c:v>9.4</c:v>
                </c:pt>
                <c:pt idx="198">
                  <c:v>9.4</c:v>
                </c:pt>
                <c:pt idx="199">
                  <c:v>9.4</c:v>
                </c:pt>
                <c:pt idx="200">
                  <c:v>9.4</c:v>
                </c:pt>
                <c:pt idx="201">
                  <c:v>9.4</c:v>
                </c:pt>
                <c:pt idx="202">
                  <c:v>9.4</c:v>
                </c:pt>
                <c:pt idx="203">
                  <c:v>9.4</c:v>
                </c:pt>
                <c:pt idx="204">
                  <c:v>9.4</c:v>
                </c:pt>
                <c:pt idx="205">
                  <c:v>9.4</c:v>
                </c:pt>
                <c:pt idx="206">
                  <c:v>9.4</c:v>
                </c:pt>
                <c:pt idx="207">
                  <c:v>9.4</c:v>
                </c:pt>
                <c:pt idx="208">
                  <c:v>9.4</c:v>
                </c:pt>
                <c:pt idx="209">
                  <c:v>9.4</c:v>
                </c:pt>
                <c:pt idx="210">
                  <c:v>9.4</c:v>
                </c:pt>
                <c:pt idx="211">
                  <c:v>9.4</c:v>
                </c:pt>
                <c:pt idx="212">
                  <c:v>9.4</c:v>
                </c:pt>
                <c:pt idx="213">
                  <c:v>9.4</c:v>
                </c:pt>
                <c:pt idx="214">
                  <c:v>9.4</c:v>
                </c:pt>
                <c:pt idx="215">
                  <c:v>9.4</c:v>
                </c:pt>
                <c:pt idx="216">
                  <c:v>9.4</c:v>
                </c:pt>
                <c:pt idx="217">
                  <c:v>9.4</c:v>
                </c:pt>
                <c:pt idx="218">
                  <c:v>9.4</c:v>
                </c:pt>
                <c:pt idx="219">
                  <c:v>9.4</c:v>
                </c:pt>
                <c:pt idx="220">
                  <c:v>9.4</c:v>
                </c:pt>
                <c:pt idx="221">
                  <c:v>9.4</c:v>
                </c:pt>
                <c:pt idx="222">
                  <c:v>9.4</c:v>
                </c:pt>
                <c:pt idx="223">
                  <c:v>9.4</c:v>
                </c:pt>
                <c:pt idx="224">
                  <c:v>9.4</c:v>
                </c:pt>
                <c:pt idx="225">
                  <c:v>9.4</c:v>
                </c:pt>
                <c:pt idx="226">
                  <c:v>9.4</c:v>
                </c:pt>
                <c:pt idx="227">
                  <c:v>9.4</c:v>
                </c:pt>
                <c:pt idx="228">
                  <c:v>9.4</c:v>
                </c:pt>
                <c:pt idx="229">
                  <c:v>9.4</c:v>
                </c:pt>
                <c:pt idx="230">
                  <c:v>9.4</c:v>
                </c:pt>
                <c:pt idx="231">
                  <c:v>9.4</c:v>
                </c:pt>
                <c:pt idx="232">
                  <c:v>9.4</c:v>
                </c:pt>
                <c:pt idx="233">
                  <c:v>9.4</c:v>
                </c:pt>
                <c:pt idx="234">
                  <c:v>9.4</c:v>
                </c:pt>
                <c:pt idx="235">
                  <c:v>9.4</c:v>
                </c:pt>
                <c:pt idx="236">
                  <c:v>9.4</c:v>
                </c:pt>
                <c:pt idx="237">
                  <c:v>9.4</c:v>
                </c:pt>
                <c:pt idx="238">
                  <c:v>9.4</c:v>
                </c:pt>
                <c:pt idx="239">
                  <c:v>9.4</c:v>
                </c:pt>
                <c:pt idx="240">
                  <c:v>9.4</c:v>
                </c:pt>
                <c:pt idx="241">
                  <c:v>9.4</c:v>
                </c:pt>
                <c:pt idx="242">
                  <c:v>9.4</c:v>
                </c:pt>
                <c:pt idx="243">
                  <c:v>9.4</c:v>
                </c:pt>
                <c:pt idx="244">
                  <c:v>9.4</c:v>
                </c:pt>
                <c:pt idx="245">
                  <c:v>9.4</c:v>
                </c:pt>
                <c:pt idx="246">
                  <c:v>9.4</c:v>
                </c:pt>
                <c:pt idx="247">
                  <c:v>9.4</c:v>
                </c:pt>
                <c:pt idx="248">
                  <c:v>9.4</c:v>
                </c:pt>
                <c:pt idx="249">
                  <c:v>9.4</c:v>
                </c:pt>
                <c:pt idx="250">
                  <c:v>9.4</c:v>
                </c:pt>
                <c:pt idx="251">
                  <c:v>9.4</c:v>
                </c:pt>
                <c:pt idx="252">
                  <c:v>9.4</c:v>
                </c:pt>
                <c:pt idx="253">
                  <c:v>9.4</c:v>
                </c:pt>
                <c:pt idx="254">
                  <c:v>9.4</c:v>
                </c:pt>
                <c:pt idx="255">
                  <c:v>9.4</c:v>
                </c:pt>
                <c:pt idx="256">
                  <c:v>9.4</c:v>
                </c:pt>
                <c:pt idx="257">
                  <c:v>9.4</c:v>
                </c:pt>
                <c:pt idx="258">
                  <c:v>9.4</c:v>
                </c:pt>
                <c:pt idx="259">
                  <c:v>9.4</c:v>
                </c:pt>
                <c:pt idx="260">
                  <c:v>9.4</c:v>
                </c:pt>
                <c:pt idx="261">
                  <c:v>9.4</c:v>
                </c:pt>
                <c:pt idx="262">
                  <c:v>9.4</c:v>
                </c:pt>
                <c:pt idx="263">
                  <c:v>9.4</c:v>
                </c:pt>
                <c:pt idx="264">
                  <c:v>9.4</c:v>
                </c:pt>
                <c:pt idx="265">
                  <c:v>9.4</c:v>
                </c:pt>
                <c:pt idx="266">
                  <c:v>9.4</c:v>
                </c:pt>
                <c:pt idx="267">
                  <c:v>9.4</c:v>
                </c:pt>
                <c:pt idx="268">
                  <c:v>9.4</c:v>
                </c:pt>
                <c:pt idx="269">
                  <c:v>9.4</c:v>
                </c:pt>
                <c:pt idx="270">
                  <c:v>9.4</c:v>
                </c:pt>
                <c:pt idx="271">
                  <c:v>9.4</c:v>
                </c:pt>
                <c:pt idx="272">
                  <c:v>9.4</c:v>
                </c:pt>
                <c:pt idx="273">
                  <c:v>9.4</c:v>
                </c:pt>
                <c:pt idx="274">
                  <c:v>9.4</c:v>
                </c:pt>
                <c:pt idx="275">
                  <c:v>9.4</c:v>
                </c:pt>
                <c:pt idx="276">
                  <c:v>9.4</c:v>
                </c:pt>
                <c:pt idx="277">
                  <c:v>9.4</c:v>
                </c:pt>
                <c:pt idx="278">
                  <c:v>9.4</c:v>
                </c:pt>
                <c:pt idx="279">
                  <c:v>9.4</c:v>
                </c:pt>
                <c:pt idx="280">
                  <c:v>9.4</c:v>
                </c:pt>
                <c:pt idx="281">
                  <c:v>9.4</c:v>
                </c:pt>
                <c:pt idx="282">
                  <c:v>9.4</c:v>
                </c:pt>
                <c:pt idx="283">
                  <c:v>9.4</c:v>
                </c:pt>
                <c:pt idx="284">
                  <c:v>9.4</c:v>
                </c:pt>
                <c:pt idx="285">
                  <c:v>9.4</c:v>
                </c:pt>
                <c:pt idx="286">
                  <c:v>9.4</c:v>
                </c:pt>
                <c:pt idx="287">
                  <c:v>9.4</c:v>
                </c:pt>
                <c:pt idx="288">
                  <c:v>9.4</c:v>
                </c:pt>
                <c:pt idx="289">
                  <c:v>9.4</c:v>
                </c:pt>
                <c:pt idx="290">
                  <c:v>9.4</c:v>
                </c:pt>
                <c:pt idx="291">
                  <c:v>9.4</c:v>
                </c:pt>
                <c:pt idx="292">
                  <c:v>9.4</c:v>
                </c:pt>
                <c:pt idx="293">
                  <c:v>9.4</c:v>
                </c:pt>
                <c:pt idx="294">
                  <c:v>9.4</c:v>
                </c:pt>
                <c:pt idx="295">
                  <c:v>9.4</c:v>
                </c:pt>
                <c:pt idx="296">
                  <c:v>9.4</c:v>
                </c:pt>
                <c:pt idx="297">
                  <c:v>9.4</c:v>
                </c:pt>
                <c:pt idx="298">
                  <c:v>9.4</c:v>
                </c:pt>
                <c:pt idx="299">
                  <c:v>9.4</c:v>
                </c:pt>
                <c:pt idx="300">
                  <c:v>9.4</c:v>
                </c:pt>
                <c:pt idx="301">
                  <c:v>9.4</c:v>
                </c:pt>
                <c:pt idx="302">
                  <c:v>9.4</c:v>
                </c:pt>
                <c:pt idx="303">
                  <c:v>9.4</c:v>
                </c:pt>
                <c:pt idx="304">
                  <c:v>9.4</c:v>
                </c:pt>
                <c:pt idx="305">
                  <c:v>9.4</c:v>
                </c:pt>
                <c:pt idx="306">
                  <c:v>9.4</c:v>
                </c:pt>
                <c:pt idx="307">
                  <c:v>9.4</c:v>
                </c:pt>
                <c:pt idx="308">
                  <c:v>9.4</c:v>
                </c:pt>
                <c:pt idx="309">
                  <c:v>9.4</c:v>
                </c:pt>
                <c:pt idx="310">
                  <c:v>9.4</c:v>
                </c:pt>
                <c:pt idx="311">
                  <c:v>9.4</c:v>
                </c:pt>
                <c:pt idx="312">
                  <c:v>9.4</c:v>
                </c:pt>
                <c:pt idx="313">
                  <c:v>9.4</c:v>
                </c:pt>
                <c:pt idx="314">
                  <c:v>9.4</c:v>
                </c:pt>
                <c:pt idx="315">
                  <c:v>9.4</c:v>
                </c:pt>
                <c:pt idx="316">
                  <c:v>9.4</c:v>
                </c:pt>
                <c:pt idx="317">
                  <c:v>9.4</c:v>
                </c:pt>
                <c:pt idx="318">
                  <c:v>9.4</c:v>
                </c:pt>
                <c:pt idx="319">
                  <c:v>9.4</c:v>
                </c:pt>
                <c:pt idx="320">
                  <c:v>9.4</c:v>
                </c:pt>
                <c:pt idx="321">
                  <c:v>9.4</c:v>
                </c:pt>
                <c:pt idx="322">
                  <c:v>9.4</c:v>
                </c:pt>
                <c:pt idx="323">
                  <c:v>9.4</c:v>
                </c:pt>
              </c:numCache>
            </c:numRef>
          </c:val>
          <c:smooth val="0"/>
        </c:ser>
        <c:dLbls>
          <c:showLegendKey val="0"/>
          <c:showVal val="0"/>
          <c:showCatName val="0"/>
          <c:showSerName val="0"/>
          <c:showPercent val="0"/>
          <c:showBubbleSize val="0"/>
        </c:dLbls>
        <c:marker val="1"/>
        <c:smooth val="0"/>
        <c:axId val="258076032"/>
        <c:axId val="258180224"/>
      </c:lineChart>
      <c:lineChart>
        <c:grouping val="standard"/>
        <c:varyColors val="0"/>
        <c:ser>
          <c:idx val="1"/>
          <c:order val="1"/>
          <c:tx>
            <c:strRef>
              <c:f>錫、鎂、鈦、鈷、釹!$R$1</c:f>
              <c:strCache>
                <c:ptCount val="1"/>
                <c:pt idx="0">
                  <c:v>鈦鐵 FeTi30-A 中國 市場流通價(人民幣/公噸)</c:v>
                </c:pt>
              </c:strCache>
            </c:strRef>
          </c:tx>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錫、鎂、鈦、鈷、釹!$R$216:$R$539</c:f>
              <c:numCache>
                <c:formatCode>General</c:formatCode>
                <c:ptCount val="324"/>
                <c:pt idx="0">
                  <c:v>9900</c:v>
                </c:pt>
                <c:pt idx="1">
                  <c:v>9900</c:v>
                </c:pt>
                <c:pt idx="2">
                  <c:v>9900</c:v>
                </c:pt>
                <c:pt idx="3">
                  <c:v>9900</c:v>
                </c:pt>
                <c:pt idx="4">
                  <c:v>9900</c:v>
                </c:pt>
                <c:pt idx="5">
                  <c:v>9900</c:v>
                </c:pt>
                <c:pt idx="6">
                  <c:v>9900</c:v>
                </c:pt>
                <c:pt idx="7">
                  <c:v>9900</c:v>
                </c:pt>
                <c:pt idx="8">
                  <c:v>9900</c:v>
                </c:pt>
                <c:pt idx="9">
                  <c:v>9900</c:v>
                </c:pt>
                <c:pt idx="10">
                  <c:v>9900</c:v>
                </c:pt>
                <c:pt idx="11">
                  <c:v>9900</c:v>
                </c:pt>
                <c:pt idx="12">
                  <c:v>9900</c:v>
                </c:pt>
                <c:pt idx="13">
                  <c:v>9900</c:v>
                </c:pt>
                <c:pt idx="14">
                  <c:v>9900</c:v>
                </c:pt>
                <c:pt idx="15">
                  <c:v>9900</c:v>
                </c:pt>
                <c:pt idx="16">
                  <c:v>9900</c:v>
                </c:pt>
                <c:pt idx="17">
                  <c:v>9900</c:v>
                </c:pt>
                <c:pt idx="18">
                  <c:v>9700</c:v>
                </c:pt>
                <c:pt idx="19">
                  <c:v>9700</c:v>
                </c:pt>
                <c:pt idx="20">
                  <c:v>9700</c:v>
                </c:pt>
                <c:pt idx="21">
                  <c:v>9700</c:v>
                </c:pt>
                <c:pt idx="22">
                  <c:v>9700</c:v>
                </c:pt>
                <c:pt idx="23">
                  <c:v>9700</c:v>
                </c:pt>
                <c:pt idx="24">
                  <c:v>9700</c:v>
                </c:pt>
                <c:pt idx="25">
                  <c:v>9700</c:v>
                </c:pt>
                <c:pt idx="26">
                  <c:v>9700</c:v>
                </c:pt>
                <c:pt idx="27">
                  <c:v>9700</c:v>
                </c:pt>
                <c:pt idx="28">
                  <c:v>9700</c:v>
                </c:pt>
                <c:pt idx="29">
                  <c:v>9700</c:v>
                </c:pt>
                <c:pt idx="30">
                  <c:v>9700</c:v>
                </c:pt>
                <c:pt idx="31">
                  <c:v>9700</c:v>
                </c:pt>
                <c:pt idx="32">
                  <c:v>9700</c:v>
                </c:pt>
                <c:pt idx="33">
                  <c:v>9700</c:v>
                </c:pt>
                <c:pt idx="34">
                  <c:v>9700</c:v>
                </c:pt>
                <c:pt idx="35">
                  <c:v>9700</c:v>
                </c:pt>
                <c:pt idx="36">
                  <c:v>9700</c:v>
                </c:pt>
                <c:pt idx="37">
                  <c:v>9700</c:v>
                </c:pt>
                <c:pt idx="38">
                  <c:v>9700</c:v>
                </c:pt>
                <c:pt idx="39">
                  <c:v>9700</c:v>
                </c:pt>
                <c:pt idx="40">
                  <c:v>9700</c:v>
                </c:pt>
                <c:pt idx="41">
                  <c:v>9700</c:v>
                </c:pt>
                <c:pt idx="42">
                  <c:v>9700</c:v>
                </c:pt>
                <c:pt idx="43">
                  <c:v>9700</c:v>
                </c:pt>
                <c:pt idx="44">
                  <c:v>9700</c:v>
                </c:pt>
                <c:pt idx="45">
                  <c:v>9700</c:v>
                </c:pt>
                <c:pt idx="46">
                  <c:v>9700</c:v>
                </c:pt>
                <c:pt idx="47">
                  <c:v>9700</c:v>
                </c:pt>
                <c:pt idx="48">
                  <c:v>9700</c:v>
                </c:pt>
                <c:pt idx="49">
                  <c:v>9700</c:v>
                </c:pt>
                <c:pt idx="50">
                  <c:v>9700</c:v>
                </c:pt>
                <c:pt idx="51">
                  <c:v>9700</c:v>
                </c:pt>
                <c:pt idx="52">
                  <c:v>9700</c:v>
                </c:pt>
                <c:pt idx="53">
                  <c:v>9700</c:v>
                </c:pt>
                <c:pt idx="54">
                  <c:v>9700</c:v>
                </c:pt>
                <c:pt idx="55">
                  <c:v>9700</c:v>
                </c:pt>
                <c:pt idx="56">
                  <c:v>9700</c:v>
                </c:pt>
                <c:pt idx="57">
                  <c:v>9700</c:v>
                </c:pt>
                <c:pt idx="58">
                  <c:v>9700</c:v>
                </c:pt>
                <c:pt idx="59">
                  <c:v>9700</c:v>
                </c:pt>
                <c:pt idx="60">
                  <c:v>9700</c:v>
                </c:pt>
                <c:pt idx="61">
                  <c:v>9700</c:v>
                </c:pt>
                <c:pt idx="62">
                  <c:v>9700</c:v>
                </c:pt>
                <c:pt idx="63">
                  <c:v>9700</c:v>
                </c:pt>
                <c:pt idx="64">
                  <c:v>9700</c:v>
                </c:pt>
                <c:pt idx="65">
                  <c:v>9700</c:v>
                </c:pt>
                <c:pt idx="66">
                  <c:v>9700</c:v>
                </c:pt>
                <c:pt idx="67">
                  <c:v>9700</c:v>
                </c:pt>
                <c:pt idx="68">
                  <c:v>9700</c:v>
                </c:pt>
                <c:pt idx="69">
                  <c:v>9700</c:v>
                </c:pt>
                <c:pt idx="70">
                  <c:v>9700</c:v>
                </c:pt>
                <c:pt idx="71">
                  <c:v>9700</c:v>
                </c:pt>
                <c:pt idx="72">
                  <c:v>9700</c:v>
                </c:pt>
                <c:pt idx="73">
                  <c:v>9700</c:v>
                </c:pt>
                <c:pt idx="74">
                  <c:v>9700</c:v>
                </c:pt>
                <c:pt idx="75">
                  <c:v>9700</c:v>
                </c:pt>
                <c:pt idx="76">
                  <c:v>9700</c:v>
                </c:pt>
                <c:pt idx="77">
                  <c:v>9700</c:v>
                </c:pt>
                <c:pt idx="78">
                  <c:v>9700</c:v>
                </c:pt>
                <c:pt idx="79">
                  <c:v>9700</c:v>
                </c:pt>
                <c:pt idx="80">
                  <c:v>9700</c:v>
                </c:pt>
                <c:pt idx="81">
                  <c:v>9700</c:v>
                </c:pt>
                <c:pt idx="82">
                  <c:v>9700</c:v>
                </c:pt>
                <c:pt idx="83">
                  <c:v>9700</c:v>
                </c:pt>
                <c:pt idx="84">
                  <c:v>9700</c:v>
                </c:pt>
                <c:pt idx="85">
                  <c:v>9700</c:v>
                </c:pt>
                <c:pt idx="86">
                  <c:v>9700</c:v>
                </c:pt>
                <c:pt idx="87">
                  <c:v>9700</c:v>
                </c:pt>
                <c:pt idx="88">
                  <c:v>9700</c:v>
                </c:pt>
                <c:pt idx="89">
                  <c:v>9700</c:v>
                </c:pt>
                <c:pt idx="90">
                  <c:v>9700</c:v>
                </c:pt>
                <c:pt idx="91">
                  <c:v>9700</c:v>
                </c:pt>
                <c:pt idx="92">
                  <c:v>9700</c:v>
                </c:pt>
                <c:pt idx="93">
                  <c:v>9700</c:v>
                </c:pt>
                <c:pt idx="94">
                  <c:v>9700</c:v>
                </c:pt>
                <c:pt idx="95">
                  <c:v>9700</c:v>
                </c:pt>
                <c:pt idx="96">
                  <c:v>9700</c:v>
                </c:pt>
                <c:pt idx="97">
                  <c:v>9700</c:v>
                </c:pt>
                <c:pt idx="98">
                  <c:v>9700</c:v>
                </c:pt>
                <c:pt idx="99">
                  <c:v>9700</c:v>
                </c:pt>
                <c:pt idx="100">
                  <c:v>9700</c:v>
                </c:pt>
                <c:pt idx="101">
                  <c:v>9700</c:v>
                </c:pt>
                <c:pt idx="102">
                  <c:v>9700</c:v>
                </c:pt>
                <c:pt idx="103">
                  <c:v>9700</c:v>
                </c:pt>
                <c:pt idx="104">
                  <c:v>9700</c:v>
                </c:pt>
                <c:pt idx="105">
                  <c:v>9700</c:v>
                </c:pt>
                <c:pt idx="106">
                  <c:v>9700</c:v>
                </c:pt>
                <c:pt idx="107">
                  <c:v>9700</c:v>
                </c:pt>
                <c:pt idx="108">
                  <c:v>9700</c:v>
                </c:pt>
                <c:pt idx="109">
                  <c:v>9250</c:v>
                </c:pt>
                <c:pt idx="110">
                  <c:v>9250</c:v>
                </c:pt>
                <c:pt idx="111">
                  <c:v>9250</c:v>
                </c:pt>
                <c:pt idx="112">
                  <c:v>9250</c:v>
                </c:pt>
                <c:pt idx="113">
                  <c:v>9250</c:v>
                </c:pt>
                <c:pt idx="114">
                  <c:v>9250</c:v>
                </c:pt>
                <c:pt idx="115">
                  <c:v>9250</c:v>
                </c:pt>
                <c:pt idx="116">
                  <c:v>9250</c:v>
                </c:pt>
                <c:pt idx="117">
                  <c:v>9250</c:v>
                </c:pt>
                <c:pt idx="118">
                  <c:v>9250</c:v>
                </c:pt>
                <c:pt idx="119">
                  <c:v>9250</c:v>
                </c:pt>
                <c:pt idx="120">
                  <c:v>9250</c:v>
                </c:pt>
                <c:pt idx="121">
                  <c:v>9250</c:v>
                </c:pt>
                <c:pt idx="122">
                  <c:v>9250</c:v>
                </c:pt>
                <c:pt idx="123">
                  <c:v>9250</c:v>
                </c:pt>
                <c:pt idx="124">
                  <c:v>9250</c:v>
                </c:pt>
                <c:pt idx="125">
                  <c:v>9250</c:v>
                </c:pt>
                <c:pt idx="126">
                  <c:v>9250</c:v>
                </c:pt>
                <c:pt idx="127">
                  <c:v>9250</c:v>
                </c:pt>
                <c:pt idx="128">
                  <c:v>9250</c:v>
                </c:pt>
                <c:pt idx="129">
                  <c:v>9250</c:v>
                </c:pt>
                <c:pt idx="130">
                  <c:v>9250</c:v>
                </c:pt>
                <c:pt idx="131">
                  <c:v>9250</c:v>
                </c:pt>
                <c:pt idx="132">
                  <c:v>9250</c:v>
                </c:pt>
                <c:pt idx="133">
                  <c:v>9250</c:v>
                </c:pt>
                <c:pt idx="134">
                  <c:v>9250</c:v>
                </c:pt>
                <c:pt idx="135">
                  <c:v>9250</c:v>
                </c:pt>
                <c:pt idx="136">
                  <c:v>9250</c:v>
                </c:pt>
                <c:pt idx="137">
                  <c:v>9250</c:v>
                </c:pt>
                <c:pt idx="138">
                  <c:v>9250</c:v>
                </c:pt>
                <c:pt idx="139">
                  <c:v>9250</c:v>
                </c:pt>
                <c:pt idx="140">
                  <c:v>9250</c:v>
                </c:pt>
                <c:pt idx="141">
                  <c:v>9250</c:v>
                </c:pt>
                <c:pt idx="142">
                  <c:v>9250</c:v>
                </c:pt>
                <c:pt idx="143">
                  <c:v>9250</c:v>
                </c:pt>
                <c:pt idx="144">
                  <c:v>9250</c:v>
                </c:pt>
                <c:pt idx="145">
                  <c:v>9250</c:v>
                </c:pt>
                <c:pt idx="146">
                  <c:v>9250</c:v>
                </c:pt>
                <c:pt idx="147">
                  <c:v>9250</c:v>
                </c:pt>
                <c:pt idx="148">
                  <c:v>9250</c:v>
                </c:pt>
                <c:pt idx="149">
                  <c:v>9250</c:v>
                </c:pt>
                <c:pt idx="150">
                  <c:v>9250</c:v>
                </c:pt>
                <c:pt idx="151">
                  <c:v>9250</c:v>
                </c:pt>
                <c:pt idx="152">
                  <c:v>9250</c:v>
                </c:pt>
                <c:pt idx="153">
                  <c:v>9250</c:v>
                </c:pt>
                <c:pt idx="154">
                  <c:v>9250</c:v>
                </c:pt>
                <c:pt idx="155">
                  <c:v>9250</c:v>
                </c:pt>
                <c:pt idx="156">
                  <c:v>9250</c:v>
                </c:pt>
                <c:pt idx="157">
                  <c:v>9250</c:v>
                </c:pt>
                <c:pt idx="158">
                  <c:v>9250</c:v>
                </c:pt>
                <c:pt idx="159">
                  <c:v>9250</c:v>
                </c:pt>
                <c:pt idx="160">
                  <c:v>9250</c:v>
                </c:pt>
                <c:pt idx="161">
                  <c:v>9250</c:v>
                </c:pt>
                <c:pt idx="162">
                  <c:v>9250</c:v>
                </c:pt>
                <c:pt idx="163">
                  <c:v>9250</c:v>
                </c:pt>
                <c:pt idx="164">
                  <c:v>9250</c:v>
                </c:pt>
                <c:pt idx="165">
                  <c:v>9250</c:v>
                </c:pt>
                <c:pt idx="166">
                  <c:v>9250</c:v>
                </c:pt>
                <c:pt idx="167">
                  <c:v>9250</c:v>
                </c:pt>
                <c:pt idx="168">
                  <c:v>9250</c:v>
                </c:pt>
                <c:pt idx="169">
                  <c:v>9250</c:v>
                </c:pt>
                <c:pt idx="170">
                  <c:v>9250</c:v>
                </c:pt>
                <c:pt idx="171">
                  <c:v>9250</c:v>
                </c:pt>
                <c:pt idx="172">
                  <c:v>9250</c:v>
                </c:pt>
                <c:pt idx="173">
                  <c:v>9250</c:v>
                </c:pt>
                <c:pt idx="174">
                  <c:v>9250</c:v>
                </c:pt>
                <c:pt idx="175">
                  <c:v>9250</c:v>
                </c:pt>
                <c:pt idx="176">
                  <c:v>9250</c:v>
                </c:pt>
                <c:pt idx="177">
                  <c:v>9250</c:v>
                </c:pt>
                <c:pt idx="178">
                  <c:v>9250</c:v>
                </c:pt>
                <c:pt idx="179">
                  <c:v>9250</c:v>
                </c:pt>
                <c:pt idx="180">
                  <c:v>9250</c:v>
                </c:pt>
                <c:pt idx="181">
                  <c:v>9250</c:v>
                </c:pt>
                <c:pt idx="182">
                  <c:v>9250</c:v>
                </c:pt>
                <c:pt idx="183">
                  <c:v>9250</c:v>
                </c:pt>
                <c:pt idx="184">
                  <c:v>9250</c:v>
                </c:pt>
                <c:pt idx="185">
                  <c:v>9250</c:v>
                </c:pt>
                <c:pt idx="186">
                  <c:v>9250</c:v>
                </c:pt>
                <c:pt idx="187">
                  <c:v>9250</c:v>
                </c:pt>
                <c:pt idx="188">
                  <c:v>9250</c:v>
                </c:pt>
                <c:pt idx="189">
                  <c:v>9250</c:v>
                </c:pt>
                <c:pt idx="190">
                  <c:v>9250</c:v>
                </c:pt>
                <c:pt idx="191">
                  <c:v>9250</c:v>
                </c:pt>
                <c:pt idx="192">
                  <c:v>9250</c:v>
                </c:pt>
                <c:pt idx="193">
                  <c:v>9250</c:v>
                </c:pt>
                <c:pt idx="194">
                  <c:v>9250</c:v>
                </c:pt>
                <c:pt idx="195">
                  <c:v>9250</c:v>
                </c:pt>
                <c:pt idx="196">
                  <c:v>9250</c:v>
                </c:pt>
                <c:pt idx="197">
                  <c:v>9250</c:v>
                </c:pt>
                <c:pt idx="198">
                  <c:v>9250</c:v>
                </c:pt>
                <c:pt idx="199">
                  <c:v>9250</c:v>
                </c:pt>
                <c:pt idx="200">
                  <c:v>9250</c:v>
                </c:pt>
                <c:pt idx="201">
                  <c:v>9250</c:v>
                </c:pt>
                <c:pt idx="202">
                  <c:v>9250</c:v>
                </c:pt>
                <c:pt idx="203">
                  <c:v>9250</c:v>
                </c:pt>
                <c:pt idx="204">
                  <c:v>9250</c:v>
                </c:pt>
                <c:pt idx="205">
                  <c:v>9250</c:v>
                </c:pt>
                <c:pt idx="206">
                  <c:v>9250</c:v>
                </c:pt>
                <c:pt idx="207">
                  <c:v>9250</c:v>
                </c:pt>
                <c:pt idx="208">
                  <c:v>9250</c:v>
                </c:pt>
                <c:pt idx="209">
                  <c:v>9250</c:v>
                </c:pt>
                <c:pt idx="210">
                  <c:v>9250</c:v>
                </c:pt>
                <c:pt idx="211">
                  <c:v>9250</c:v>
                </c:pt>
                <c:pt idx="212">
                  <c:v>9250</c:v>
                </c:pt>
                <c:pt idx="213">
                  <c:v>9250</c:v>
                </c:pt>
                <c:pt idx="214">
                  <c:v>9250</c:v>
                </c:pt>
                <c:pt idx="215">
                  <c:v>9250</c:v>
                </c:pt>
                <c:pt idx="216">
                  <c:v>9250</c:v>
                </c:pt>
                <c:pt idx="217">
                  <c:v>9250</c:v>
                </c:pt>
                <c:pt idx="218">
                  <c:v>9250</c:v>
                </c:pt>
                <c:pt idx="219">
                  <c:v>9250</c:v>
                </c:pt>
                <c:pt idx="220">
                  <c:v>9250</c:v>
                </c:pt>
                <c:pt idx="221">
                  <c:v>9250</c:v>
                </c:pt>
                <c:pt idx="222">
                  <c:v>9250</c:v>
                </c:pt>
                <c:pt idx="223">
                  <c:v>9250</c:v>
                </c:pt>
                <c:pt idx="224">
                  <c:v>9250</c:v>
                </c:pt>
                <c:pt idx="225">
                  <c:v>9250</c:v>
                </c:pt>
                <c:pt idx="226">
                  <c:v>9250</c:v>
                </c:pt>
                <c:pt idx="227">
                  <c:v>9250</c:v>
                </c:pt>
                <c:pt idx="228">
                  <c:v>9250</c:v>
                </c:pt>
                <c:pt idx="229">
                  <c:v>9250</c:v>
                </c:pt>
                <c:pt idx="230">
                  <c:v>9250</c:v>
                </c:pt>
                <c:pt idx="231">
                  <c:v>9250</c:v>
                </c:pt>
                <c:pt idx="232">
                  <c:v>9250</c:v>
                </c:pt>
                <c:pt idx="233">
                  <c:v>9250</c:v>
                </c:pt>
                <c:pt idx="234">
                  <c:v>9250</c:v>
                </c:pt>
                <c:pt idx="235">
                  <c:v>9250</c:v>
                </c:pt>
                <c:pt idx="236">
                  <c:v>9250</c:v>
                </c:pt>
                <c:pt idx="237">
                  <c:v>9250</c:v>
                </c:pt>
                <c:pt idx="238">
                  <c:v>9250</c:v>
                </c:pt>
                <c:pt idx="239">
                  <c:v>9250</c:v>
                </c:pt>
                <c:pt idx="240">
                  <c:v>9250</c:v>
                </c:pt>
                <c:pt idx="241">
                  <c:v>9250</c:v>
                </c:pt>
                <c:pt idx="242">
                  <c:v>9250</c:v>
                </c:pt>
                <c:pt idx="243">
                  <c:v>9250</c:v>
                </c:pt>
                <c:pt idx="244">
                  <c:v>9250</c:v>
                </c:pt>
                <c:pt idx="245">
                  <c:v>9250</c:v>
                </c:pt>
                <c:pt idx="246">
                  <c:v>9250</c:v>
                </c:pt>
                <c:pt idx="247">
                  <c:v>9250</c:v>
                </c:pt>
                <c:pt idx="248">
                  <c:v>9250</c:v>
                </c:pt>
                <c:pt idx="249">
                  <c:v>9250</c:v>
                </c:pt>
                <c:pt idx="250">
                  <c:v>9250</c:v>
                </c:pt>
                <c:pt idx="251">
                  <c:v>9250</c:v>
                </c:pt>
                <c:pt idx="252">
                  <c:v>9250</c:v>
                </c:pt>
                <c:pt idx="253">
                  <c:v>9250</c:v>
                </c:pt>
                <c:pt idx="254">
                  <c:v>9250</c:v>
                </c:pt>
                <c:pt idx="255">
                  <c:v>9250</c:v>
                </c:pt>
                <c:pt idx="256">
                  <c:v>9250</c:v>
                </c:pt>
                <c:pt idx="257">
                  <c:v>9250</c:v>
                </c:pt>
                <c:pt idx="258">
                  <c:v>9250</c:v>
                </c:pt>
                <c:pt idx="259">
                  <c:v>9250</c:v>
                </c:pt>
                <c:pt idx="260">
                  <c:v>9250</c:v>
                </c:pt>
                <c:pt idx="261">
                  <c:v>9250</c:v>
                </c:pt>
                <c:pt idx="262">
                  <c:v>9250</c:v>
                </c:pt>
                <c:pt idx="263">
                  <c:v>9250</c:v>
                </c:pt>
                <c:pt idx="264">
                  <c:v>9250</c:v>
                </c:pt>
                <c:pt idx="265">
                  <c:v>9250</c:v>
                </c:pt>
                <c:pt idx="266">
                  <c:v>9250</c:v>
                </c:pt>
                <c:pt idx="267">
                  <c:v>9250</c:v>
                </c:pt>
                <c:pt idx="268">
                  <c:v>9250</c:v>
                </c:pt>
                <c:pt idx="269">
                  <c:v>9250</c:v>
                </c:pt>
                <c:pt idx="270">
                  <c:v>9250</c:v>
                </c:pt>
                <c:pt idx="271">
                  <c:v>9250</c:v>
                </c:pt>
                <c:pt idx="272">
                  <c:v>9250</c:v>
                </c:pt>
                <c:pt idx="273">
                  <c:v>9250</c:v>
                </c:pt>
                <c:pt idx="274">
                  <c:v>9250</c:v>
                </c:pt>
                <c:pt idx="275">
                  <c:v>9250</c:v>
                </c:pt>
                <c:pt idx="276">
                  <c:v>9250</c:v>
                </c:pt>
                <c:pt idx="277">
                  <c:v>9250</c:v>
                </c:pt>
                <c:pt idx="278">
                  <c:v>9250</c:v>
                </c:pt>
                <c:pt idx="279">
                  <c:v>9250</c:v>
                </c:pt>
                <c:pt idx="280">
                  <c:v>9250</c:v>
                </c:pt>
                <c:pt idx="281">
                  <c:v>9250</c:v>
                </c:pt>
                <c:pt idx="282">
                  <c:v>9250</c:v>
                </c:pt>
                <c:pt idx="283">
                  <c:v>9250</c:v>
                </c:pt>
                <c:pt idx="284">
                  <c:v>9250</c:v>
                </c:pt>
                <c:pt idx="285">
                  <c:v>9250</c:v>
                </c:pt>
                <c:pt idx="286">
                  <c:v>9250</c:v>
                </c:pt>
                <c:pt idx="287">
                  <c:v>9250</c:v>
                </c:pt>
                <c:pt idx="288">
                  <c:v>9250</c:v>
                </c:pt>
                <c:pt idx="289">
                  <c:v>9250</c:v>
                </c:pt>
                <c:pt idx="290">
                  <c:v>9250</c:v>
                </c:pt>
                <c:pt idx="291">
                  <c:v>8750</c:v>
                </c:pt>
                <c:pt idx="292">
                  <c:v>8750</c:v>
                </c:pt>
                <c:pt idx="293">
                  <c:v>8750</c:v>
                </c:pt>
                <c:pt idx="294">
                  <c:v>8750</c:v>
                </c:pt>
                <c:pt idx="295">
                  <c:v>8750</c:v>
                </c:pt>
                <c:pt idx="296">
                  <c:v>8750</c:v>
                </c:pt>
                <c:pt idx="297">
                  <c:v>8750</c:v>
                </c:pt>
                <c:pt idx="298">
                  <c:v>8750</c:v>
                </c:pt>
                <c:pt idx="299">
                  <c:v>8750</c:v>
                </c:pt>
                <c:pt idx="300">
                  <c:v>8750</c:v>
                </c:pt>
                <c:pt idx="301">
                  <c:v>8750</c:v>
                </c:pt>
                <c:pt idx="302">
                  <c:v>8750</c:v>
                </c:pt>
                <c:pt idx="303">
                  <c:v>8750</c:v>
                </c:pt>
                <c:pt idx="304">
                  <c:v>8750</c:v>
                </c:pt>
                <c:pt idx="305">
                  <c:v>8750</c:v>
                </c:pt>
                <c:pt idx="306">
                  <c:v>8750</c:v>
                </c:pt>
                <c:pt idx="307">
                  <c:v>8750</c:v>
                </c:pt>
                <c:pt idx="308">
                  <c:v>8750</c:v>
                </c:pt>
                <c:pt idx="309">
                  <c:v>8750</c:v>
                </c:pt>
                <c:pt idx="310">
                  <c:v>8750</c:v>
                </c:pt>
                <c:pt idx="311">
                  <c:v>8750</c:v>
                </c:pt>
                <c:pt idx="312">
                  <c:v>8750</c:v>
                </c:pt>
                <c:pt idx="313">
                  <c:v>8750</c:v>
                </c:pt>
                <c:pt idx="314">
                  <c:v>8750</c:v>
                </c:pt>
                <c:pt idx="315">
                  <c:v>8750</c:v>
                </c:pt>
                <c:pt idx="316">
                  <c:v>8750</c:v>
                </c:pt>
                <c:pt idx="317">
                  <c:v>8750</c:v>
                </c:pt>
                <c:pt idx="318">
                  <c:v>8750</c:v>
                </c:pt>
                <c:pt idx="319">
                  <c:v>8750</c:v>
                </c:pt>
                <c:pt idx="320">
                  <c:v>8750</c:v>
                </c:pt>
                <c:pt idx="321">
                  <c:v>8750</c:v>
                </c:pt>
                <c:pt idx="322">
                  <c:v>8750</c:v>
                </c:pt>
                <c:pt idx="323">
                  <c:v>8750</c:v>
                </c:pt>
              </c:numCache>
            </c:numRef>
          </c:val>
          <c:smooth val="0"/>
        </c:ser>
        <c:dLbls>
          <c:showLegendKey val="0"/>
          <c:showVal val="0"/>
          <c:showCatName val="0"/>
          <c:showSerName val="0"/>
          <c:showPercent val="0"/>
          <c:showBubbleSize val="0"/>
        </c:dLbls>
        <c:marker val="1"/>
        <c:smooth val="0"/>
        <c:axId val="258184320"/>
        <c:axId val="258182144"/>
      </c:lineChart>
      <c:dateAx>
        <c:axId val="258076032"/>
        <c:scaling>
          <c:orientation val="minMax"/>
        </c:scaling>
        <c:delete val="0"/>
        <c:axPos val="b"/>
        <c:numFmt formatCode="m/d/yyyy" sourceLinked="1"/>
        <c:majorTickMark val="out"/>
        <c:minorTickMark val="none"/>
        <c:tickLblPos val="nextTo"/>
        <c:txPr>
          <a:bodyPr/>
          <a:lstStyle/>
          <a:p>
            <a:pPr>
              <a:defRPr sz="1000"/>
            </a:pPr>
            <a:endParaRPr lang="zh-TW"/>
          </a:p>
        </c:txPr>
        <c:crossAx val="258180224"/>
        <c:crosses val="autoZero"/>
        <c:auto val="1"/>
        <c:lblOffset val="100"/>
        <c:baseTimeUnit val="days"/>
        <c:majorUnit val="1"/>
        <c:majorTimeUnit val="months"/>
        <c:minorUnit val="1"/>
        <c:minorTimeUnit val="months"/>
      </c:dateAx>
      <c:valAx>
        <c:axId val="258180224"/>
        <c:scaling>
          <c:orientation val="minMax"/>
          <c:min val="9"/>
        </c:scaling>
        <c:delete val="0"/>
        <c:axPos val="l"/>
        <c:majorGridlines/>
        <c:title>
          <c:tx>
            <c:rich>
              <a:bodyPr rot="0" vert="horz"/>
              <a:lstStyle/>
              <a:p>
                <a:pPr>
                  <a:defRPr/>
                </a:pPr>
                <a:r>
                  <a:rPr lang="zh-TW" altLang="en-US"/>
                  <a:t>海綿鈦</a:t>
                </a:r>
                <a:r>
                  <a:rPr lang="en-US" altLang="zh-TW"/>
                  <a:t/>
                </a:r>
                <a:br>
                  <a:rPr lang="en-US" altLang="zh-TW"/>
                </a:br>
                <a:r>
                  <a:rPr lang="zh-TW" altLang="en-US"/>
                  <a:t>美元</a:t>
                </a:r>
                <a:r>
                  <a:rPr lang="en-US" altLang="zh-TW"/>
                  <a:t>/</a:t>
                </a:r>
                <a:r>
                  <a:rPr lang="zh-TW" altLang="en-US"/>
                  <a:t>公斤</a:t>
                </a:r>
                <a:endParaRPr lang="en-US" altLang="zh-TW"/>
              </a:p>
            </c:rich>
          </c:tx>
          <c:layout>
            <c:manualLayout>
              <c:xMode val="edge"/>
              <c:yMode val="edge"/>
              <c:x val="6.8965517241379335E-3"/>
              <c:y val="1.6239202118135412E-2"/>
            </c:manualLayout>
          </c:layout>
          <c:overlay val="0"/>
        </c:title>
        <c:numFmt formatCode="General" sourceLinked="0"/>
        <c:majorTickMark val="out"/>
        <c:minorTickMark val="out"/>
        <c:tickLblPos val="nextTo"/>
        <c:txPr>
          <a:bodyPr/>
          <a:lstStyle/>
          <a:p>
            <a:pPr>
              <a:defRPr sz="1000"/>
            </a:pPr>
            <a:endParaRPr lang="zh-TW"/>
          </a:p>
        </c:txPr>
        <c:crossAx val="258076032"/>
        <c:crosses val="autoZero"/>
        <c:crossBetween val="between"/>
      </c:valAx>
      <c:valAx>
        <c:axId val="258182144"/>
        <c:scaling>
          <c:orientation val="minMax"/>
          <c:min val="8500"/>
        </c:scaling>
        <c:delete val="0"/>
        <c:axPos val="r"/>
        <c:title>
          <c:tx>
            <c:rich>
              <a:bodyPr rot="0" vert="horz"/>
              <a:lstStyle/>
              <a:p>
                <a:pPr>
                  <a:defRPr/>
                </a:pPr>
                <a:r>
                  <a:rPr lang="zh-TW" altLang="en-US"/>
                  <a:t>鈦鐵</a:t>
                </a:r>
                <a:endParaRPr lang="en-US" altLang="zh-TW"/>
              </a:p>
              <a:p>
                <a:pPr>
                  <a:defRPr/>
                </a:pPr>
                <a:r>
                  <a:rPr lang="zh-TW" altLang="en-US"/>
                  <a:t>人民幣</a:t>
                </a:r>
                <a:r>
                  <a:rPr lang="en-US" altLang="zh-TW"/>
                  <a:t>/</a:t>
                </a:r>
                <a:r>
                  <a:rPr lang="zh-TW" altLang="en-US"/>
                  <a:t>公噸</a:t>
                </a:r>
                <a:endParaRPr lang="en-US" altLang="zh-TW"/>
              </a:p>
            </c:rich>
          </c:tx>
          <c:layout>
            <c:manualLayout>
              <c:xMode val="edge"/>
              <c:yMode val="edge"/>
              <c:x val="0.85045977011494267"/>
              <c:y val="1.8192804221995661E-2"/>
            </c:manualLayout>
          </c:layout>
          <c:overlay val="0"/>
        </c:title>
        <c:numFmt formatCode="General" sourceLinked="1"/>
        <c:majorTickMark val="out"/>
        <c:minorTickMark val="none"/>
        <c:tickLblPos val="nextTo"/>
        <c:txPr>
          <a:bodyPr/>
          <a:lstStyle/>
          <a:p>
            <a:pPr>
              <a:defRPr sz="1000"/>
            </a:pPr>
            <a:endParaRPr lang="zh-TW"/>
          </a:p>
        </c:txPr>
        <c:crossAx val="258184320"/>
        <c:crosses val="max"/>
        <c:crossBetween val="between"/>
      </c:valAx>
      <c:dateAx>
        <c:axId val="258184320"/>
        <c:scaling>
          <c:orientation val="minMax"/>
        </c:scaling>
        <c:delete val="1"/>
        <c:axPos val="b"/>
        <c:numFmt formatCode="m/d/yyyy" sourceLinked="1"/>
        <c:majorTickMark val="out"/>
        <c:minorTickMark val="none"/>
        <c:tickLblPos val="none"/>
        <c:crossAx val="258182144"/>
        <c:crosses val="autoZero"/>
        <c:auto val="1"/>
        <c:lblOffset val="100"/>
        <c:baseTimeUnit val="days"/>
        <c:majorUnit val="1"/>
        <c:minorUnit val="1"/>
      </c:dateAx>
    </c:plotArea>
    <c:legend>
      <c:legendPos val="b"/>
      <c:layout>
        <c:manualLayout>
          <c:xMode val="edge"/>
          <c:yMode val="edge"/>
          <c:x val="0.13303996162531212"/>
          <c:y val="0.88656138482592795"/>
          <c:w val="0.76774806196996515"/>
          <c:h val="0.11082426975661196"/>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88705669146676"/>
          <c:y val="0.17771459850941093"/>
          <c:w val="0.80552578150224086"/>
          <c:h val="0.49942178618047067"/>
        </c:manualLayout>
      </c:layout>
      <c:lineChart>
        <c:grouping val="standard"/>
        <c:varyColors val="0"/>
        <c:ser>
          <c:idx val="0"/>
          <c:order val="0"/>
          <c:tx>
            <c:strRef>
              <c:f>錫、鎂、鈦、鈷、釹!$U$1</c:f>
              <c:strCache>
                <c:ptCount val="1"/>
                <c:pt idx="0">
                  <c:v>鐠釹金屬 總量&gt;99% 內蒙古 出廠價(人民幣/公噸)</c:v>
                </c:pt>
              </c:strCache>
            </c:strRef>
          </c:tx>
          <c:spPr>
            <a:ln>
              <a:prstDash val="sysDash"/>
            </a:ln>
          </c:spPr>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錫、鎂、鈦、鈷、釹!$U$216:$U$539</c:f>
              <c:numCache>
                <c:formatCode>General</c:formatCode>
                <c:ptCount val="324"/>
                <c:pt idx="0">
                  <c:v>365000</c:v>
                </c:pt>
                <c:pt idx="1">
                  <c:v>365000</c:v>
                </c:pt>
                <c:pt idx="2">
                  <c:v>365000</c:v>
                </c:pt>
                <c:pt idx="3">
                  <c:v>365000</c:v>
                </c:pt>
                <c:pt idx="4">
                  <c:v>365000</c:v>
                </c:pt>
                <c:pt idx="5">
                  <c:v>365000</c:v>
                </c:pt>
                <c:pt idx="6">
                  <c:v>365000</c:v>
                </c:pt>
                <c:pt idx="7">
                  <c:v>365000</c:v>
                </c:pt>
                <c:pt idx="8">
                  <c:v>365000</c:v>
                </c:pt>
                <c:pt idx="9">
                  <c:v>365000</c:v>
                </c:pt>
                <c:pt idx="10">
                  <c:v>365000</c:v>
                </c:pt>
                <c:pt idx="11">
                  <c:v>365000</c:v>
                </c:pt>
                <c:pt idx="12">
                  <c:v>365000</c:v>
                </c:pt>
                <c:pt idx="13">
                  <c:v>365000</c:v>
                </c:pt>
                <c:pt idx="14">
                  <c:v>365000</c:v>
                </c:pt>
                <c:pt idx="15">
                  <c:v>365000</c:v>
                </c:pt>
                <c:pt idx="16">
                  <c:v>365000</c:v>
                </c:pt>
                <c:pt idx="17">
                  <c:v>365000</c:v>
                </c:pt>
                <c:pt idx="18">
                  <c:v>365000</c:v>
                </c:pt>
                <c:pt idx="19">
                  <c:v>365000</c:v>
                </c:pt>
                <c:pt idx="20">
                  <c:v>365000</c:v>
                </c:pt>
                <c:pt idx="21">
                  <c:v>375000</c:v>
                </c:pt>
                <c:pt idx="22">
                  <c:v>375000</c:v>
                </c:pt>
                <c:pt idx="23">
                  <c:v>375000</c:v>
                </c:pt>
                <c:pt idx="24">
                  <c:v>375000</c:v>
                </c:pt>
                <c:pt idx="25">
                  <c:v>375000</c:v>
                </c:pt>
                <c:pt idx="26">
                  <c:v>375000</c:v>
                </c:pt>
                <c:pt idx="27">
                  <c:v>375000</c:v>
                </c:pt>
                <c:pt idx="28">
                  <c:v>378000</c:v>
                </c:pt>
                <c:pt idx="29">
                  <c:v>378000</c:v>
                </c:pt>
                <c:pt idx="30">
                  <c:v>378000</c:v>
                </c:pt>
                <c:pt idx="31">
                  <c:v>378000</c:v>
                </c:pt>
                <c:pt idx="32">
                  <c:v>378000</c:v>
                </c:pt>
                <c:pt idx="33">
                  <c:v>378000</c:v>
                </c:pt>
                <c:pt idx="34">
                  <c:v>378000</c:v>
                </c:pt>
                <c:pt idx="35">
                  <c:v>390000</c:v>
                </c:pt>
                <c:pt idx="36">
                  <c:v>390000</c:v>
                </c:pt>
                <c:pt idx="37">
                  <c:v>390000</c:v>
                </c:pt>
                <c:pt idx="38">
                  <c:v>390000</c:v>
                </c:pt>
                <c:pt idx="39">
                  <c:v>390000</c:v>
                </c:pt>
                <c:pt idx="40">
                  <c:v>390000</c:v>
                </c:pt>
                <c:pt idx="41">
                  <c:v>390000</c:v>
                </c:pt>
                <c:pt idx="42">
                  <c:v>400000</c:v>
                </c:pt>
                <c:pt idx="43">
                  <c:v>400000</c:v>
                </c:pt>
                <c:pt idx="44">
                  <c:v>400000</c:v>
                </c:pt>
                <c:pt idx="45">
                  <c:v>400000</c:v>
                </c:pt>
                <c:pt idx="46">
                  <c:v>400000</c:v>
                </c:pt>
                <c:pt idx="47">
                  <c:v>400000</c:v>
                </c:pt>
                <c:pt idx="48">
                  <c:v>400000</c:v>
                </c:pt>
                <c:pt idx="49">
                  <c:v>400000</c:v>
                </c:pt>
                <c:pt idx="50">
                  <c:v>400000</c:v>
                </c:pt>
                <c:pt idx="51">
                  <c:v>400000</c:v>
                </c:pt>
                <c:pt idx="52">
                  <c:v>400000</c:v>
                </c:pt>
                <c:pt idx="53">
                  <c:v>400000</c:v>
                </c:pt>
                <c:pt idx="54">
                  <c:v>400000</c:v>
                </c:pt>
                <c:pt idx="55">
                  <c:v>400000</c:v>
                </c:pt>
                <c:pt idx="56">
                  <c:v>400000</c:v>
                </c:pt>
                <c:pt idx="57">
                  <c:v>400000</c:v>
                </c:pt>
                <c:pt idx="58">
                  <c:v>400000</c:v>
                </c:pt>
                <c:pt idx="59">
                  <c:v>400000</c:v>
                </c:pt>
                <c:pt idx="60">
                  <c:v>400000</c:v>
                </c:pt>
                <c:pt idx="61">
                  <c:v>400000</c:v>
                </c:pt>
                <c:pt idx="62">
                  <c:v>400000</c:v>
                </c:pt>
                <c:pt idx="63">
                  <c:v>410000</c:v>
                </c:pt>
                <c:pt idx="64">
                  <c:v>410000</c:v>
                </c:pt>
                <c:pt idx="65">
                  <c:v>410000</c:v>
                </c:pt>
                <c:pt idx="66">
                  <c:v>410000</c:v>
                </c:pt>
                <c:pt idx="67">
                  <c:v>410000</c:v>
                </c:pt>
                <c:pt idx="68">
                  <c:v>410000</c:v>
                </c:pt>
                <c:pt idx="69">
                  <c:v>410000</c:v>
                </c:pt>
                <c:pt idx="70">
                  <c:v>415000</c:v>
                </c:pt>
                <c:pt idx="71">
                  <c:v>415000</c:v>
                </c:pt>
                <c:pt idx="72">
                  <c:v>415000</c:v>
                </c:pt>
                <c:pt idx="73">
                  <c:v>415000</c:v>
                </c:pt>
                <c:pt idx="74">
                  <c:v>415000</c:v>
                </c:pt>
                <c:pt idx="75">
                  <c:v>415000</c:v>
                </c:pt>
                <c:pt idx="76">
                  <c:v>415000</c:v>
                </c:pt>
                <c:pt idx="77">
                  <c:v>410000</c:v>
                </c:pt>
                <c:pt idx="78">
                  <c:v>410000</c:v>
                </c:pt>
                <c:pt idx="79">
                  <c:v>410000</c:v>
                </c:pt>
                <c:pt idx="80">
                  <c:v>410000</c:v>
                </c:pt>
                <c:pt idx="81">
                  <c:v>410000</c:v>
                </c:pt>
                <c:pt idx="82">
                  <c:v>410000</c:v>
                </c:pt>
                <c:pt idx="83">
                  <c:v>410000</c:v>
                </c:pt>
                <c:pt idx="84">
                  <c:v>410000</c:v>
                </c:pt>
                <c:pt idx="85">
                  <c:v>410000</c:v>
                </c:pt>
                <c:pt idx="86">
                  <c:v>410000</c:v>
                </c:pt>
                <c:pt idx="87">
                  <c:v>410000</c:v>
                </c:pt>
                <c:pt idx="88">
                  <c:v>410000</c:v>
                </c:pt>
                <c:pt idx="89">
                  <c:v>410000</c:v>
                </c:pt>
                <c:pt idx="90">
                  <c:v>410000</c:v>
                </c:pt>
                <c:pt idx="91">
                  <c:v>395000</c:v>
                </c:pt>
                <c:pt idx="92">
                  <c:v>395000</c:v>
                </c:pt>
                <c:pt idx="93">
                  <c:v>395000</c:v>
                </c:pt>
                <c:pt idx="94">
                  <c:v>395000</c:v>
                </c:pt>
                <c:pt idx="95">
                  <c:v>395000</c:v>
                </c:pt>
                <c:pt idx="96">
                  <c:v>395000</c:v>
                </c:pt>
                <c:pt idx="97">
                  <c:v>395000</c:v>
                </c:pt>
                <c:pt idx="98">
                  <c:v>390000</c:v>
                </c:pt>
                <c:pt idx="99">
                  <c:v>390000</c:v>
                </c:pt>
                <c:pt idx="100">
                  <c:v>390000</c:v>
                </c:pt>
                <c:pt idx="101">
                  <c:v>390000</c:v>
                </c:pt>
                <c:pt idx="102">
                  <c:v>390000</c:v>
                </c:pt>
                <c:pt idx="103">
                  <c:v>390000</c:v>
                </c:pt>
                <c:pt idx="104">
                  <c:v>390000</c:v>
                </c:pt>
                <c:pt idx="105">
                  <c:v>390000</c:v>
                </c:pt>
                <c:pt idx="106">
                  <c:v>390000</c:v>
                </c:pt>
                <c:pt idx="107">
                  <c:v>390000</c:v>
                </c:pt>
                <c:pt idx="108">
                  <c:v>390000</c:v>
                </c:pt>
                <c:pt idx="109">
                  <c:v>390000</c:v>
                </c:pt>
                <c:pt idx="110">
                  <c:v>390000</c:v>
                </c:pt>
                <c:pt idx="111">
                  <c:v>390000</c:v>
                </c:pt>
                <c:pt idx="112">
                  <c:v>390000</c:v>
                </c:pt>
                <c:pt idx="113">
                  <c:v>390000</c:v>
                </c:pt>
                <c:pt idx="114">
                  <c:v>390000</c:v>
                </c:pt>
                <c:pt idx="115">
                  <c:v>390000</c:v>
                </c:pt>
                <c:pt idx="116">
                  <c:v>390000</c:v>
                </c:pt>
                <c:pt idx="117">
                  <c:v>390000</c:v>
                </c:pt>
                <c:pt idx="118">
                  <c:v>390000</c:v>
                </c:pt>
                <c:pt idx="119">
                  <c:v>386000</c:v>
                </c:pt>
                <c:pt idx="120">
                  <c:v>386000</c:v>
                </c:pt>
                <c:pt idx="121">
                  <c:v>386000</c:v>
                </c:pt>
                <c:pt idx="122">
                  <c:v>386000</c:v>
                </c:pt>
                <c:pt idx="123">
                  <c:v>386000</c:v>
                </c:pt>
                <c:pt idx="124">
                  <c:v>386000</c:v>
                </c:pt>
                <c:pt idx="125">
                  <c:v>386000</c:v>
                </c:pt>
                <c:pt idx="126">
                  <c:v>383000</c:v>
                </c:pt>
                <c:pt idx="127">
                  <c:v>383000</c:v>
                </c:pt>
                <c:pt idx="128">
                  <c:v>383000</c:v>
                </c:pt>
                <c:pt idx="129">
                  <c:v>383000</c:v>
                </c:pt>
                <c:pt idx="130">
                  <c:v>383000</c:v>
                </c:pt>
                <c:pt idx="131">
                  <c:v>383000</c:v>
                </c:pt>
                <c:pt idx="132">
                  <c:v>383000</c:v>
                </c:pt>
                <c:pt idx="133">
                  <c:v>380000</c:v>
                </c:pt>
                <c:pt idx="134">
                  <c:v>380000</c:v>
                </c:pt>
                <c:pt idx="135">
                  <c:v>380000</c:v>
                </c:pt>
                <c:pt idx="136">
                  <c:v>380000</c:v>
                </c:pt>
                <c:pt idx="137">
                  <c:v>380000</c:v>
                </c:pt>
                <c:pt idx="138">
                  <c:v>380000</c:v>
                </c:pt>
                <c:pt idx="139">
                  <c:v>380000</c:v>
                </c:pt>
                <c:pt idx="140">
                  <c:v>367000</c:v>
                </c:pt>
                <c:pt idx="141">
                  <c:v>367000</c:v>
                </c:pt>
                <c:pt idx="142">
                  <c:v>367000</c:v>
                </c:pt>
                <c:pt idx="143">
                  <c:v>367000</c:v>
                </c:pt>
                <c:pt idx="144">
                  <c:v>367000</c:v>
                </c:pt>
                <c:pt idx="145">
                  <c:v>367000</c:v>
                </c:pt>
                <c:pt idx="146">
                  <c:v>367000</c:v>
                </c:pt>
                <c:pt idx="147">
                  <c:v>367000</c:v>
                </c:pt>
                <c:pt idx="148">
                  <c:v>367000</c:v>
                </c:pt>
                <c:pt idx="149">
                  <c:v>367000</c:v>
                </c:pt>
                <c:pt idx="150">
                  <c:v>367000</c:v>
                </c:pt>
                <c:pt idx="151">
                  <c:v>367000</c:v>
                </c:pt>
                <c:pt idx="152">
                  <c:v>367000</c:v>
                </c:pt>
                <c:pt idx="153">
                  <c:v>367000</c:v>
                </c:pt>
                <c:pt idx="154">
                  <c:v>363000</c:v>
                </c:pt>
                <c:pt idx="155">
                  <c:v>363000</c:v>
                </c:pt>
                <c:pt idx="156">
                  <c:v>363000</c:v>
                </c:pt>
                <c:pt idx="157">
                  <c:v>363000</c:v>
                </c:pt>
                <c:pt idx="158">
                  <c:v>363000</c:v>
                </c:pt>
                <c:pt idx="159">
                  <c:v>363000</c:v>
                </c:pt>
                <c:pt idx="160">
                  <c:v>363000</c:v>
                </c:pt>
                <c:pt idx="161">
                  <c:v>353000</c:v>
                </c:pt>
                <c:pt idx="162">
                  <c:v>353000</c:v>
                </c:pt>
                <c:pt idx="163">
                  <c:v>353000</c:v>
                </c:pt>
                <c:pt idx="164">
                  <c:v>353000</c:v>
                </c:pt>
                <c:pt idx="165">
                  <c:v>353000</c:v>
                </c:pt>
                <c:pt idx="166">
                  <c:v>353000</c:v>
                </c:pt>
                <c:pt idx="167">
                  <c:v>353000</c:v>
                </c:pt>
                <c:pt idx="168">
                  <c:v>368000</c:v>
                </c:pt>
                <c:pt idx="169">
                  <c:v>368000</c:v>
                </c:pt>
                <c:pt idx="170">
                  <c:v>368000</c:v>
                </c:pt>
                <c:pt idx="171">
                  <c:v>368000</c:v>
                </c:pt>
                <c:pt idx="172">
                  <c:v>368000</c:v>
                </c:pt>
                <c:pt idx="173">
                  <c:v>368000</c:v>
                </c:pt>
                <c:pt idx="174">
                  <c:v>368000</c:v>
                </c:pt>
                <c:pt idx="175">
                  <c:v>345000</c:v>
                </c:pt>
                <c:pt idx="176">
                  <c:v>345000</c:v>
                </c:pt>
                <c:pt idx="177">
                  <c:v>345000</c:v>
                </c:pt>
                <c:pt idx="178">
                  <c:v>345000</c:v>
                </c:pt>
                <c:pt idx="179">
                  <c:v>345000</c:v>
                </c:pt>
                <c:pt idx="180">
                  <c:v>345000</c:v>
                </c:pt>
                <c:pt idx="181">
                  <c:v>345000</c:v>
                </c:pt>
                <c:pt idx="182">
                  <c:v>343000</c:v>
                </c:pt>
                <c:pt idx="183">
                  <c:v>343000</c:v>
                </c:pt>
                <c:pt idx="184">
                  <c:v>343000</c:v>
                </c:pt>
                <c:pt idx="185">
                  <c:v>343000</c:v>
                </c:pt>
                <c:pt idx="186">
                  <c:v>343000</c:v>
                </c:pt>
                <c:pt idx="187">
                  <c:v>343000</c:v>
                </c:pt>
                <c:pt idx="188">
                  <c:v>343000</c:v>
                </c:pt>
                <c:pt idx="189">
                  <c:v>332000</c:v>
                </c:pt>
                <c:pt idx="190">
                  <c:v>332000</c:v>
                </c:pt>
                <c:pt idx="191">
                  <c:v>332000</c:v>
                </c:pt>
                <c:pt idx="192">
                  <c:v>332000</c:v>
                </c:pt>
                <c:pt idx="193">
                  <c:v>332000</c:v>
                </c:pt>
                <c:pt idx="194">
                  <c:v>332000</c:v>
                </c:pt>
                <c:pt idx="195">
                  <c:v>332000</c:v>
                </c:pt>
                <c:pt idx="196">
                  <c:v>320000</c:v>
                </c:pt>
                <c:pt idx="197">
                  <c:v>320000</c:v>
                </c:pt>
                <c:pt idx="198">
                  <c:v>320000</c:v>
                </c:pt>
                <c:pt idx="199">
                  <c:v>320000</c:v>
                </c:pt>
                <c:pt idx="200">
                  <c:v>320000</c:v>
                </c:pt>
                <c:pt idx="201">
                  <c:v>320000</c:v>
                </c:pt>
                <c:pt idx="202">
                  <c:v>320000</c:v>
                </c:pt>
                <c:pt idx="203">
                  <c:v>312000</c:v>
                </c:pt>
                <c:pt idx="204">
                  <c:v>312000</c:v>
                </c:pt>
                <c:pt idx="205">
                  <c:v>312000</c:v>
                </c:pt>
                <c:pt idx="206">
                  <c:v>312000</c:v>
                </c:pt>
                <c:pt idx="207">
                  <c:v>312000</c:v>
                </c:pt>
                <c:pt idx="208">
                  <c:v>312000</c:v>
                </c:pt>
                <c:pt idx="209">
                  <c:v>312000</c:v>
                </c:pt>
                <c:pt idx="210">
                  <c:v>298000</c:v>
                </c:pt>
                <c:pt idx="211">
                  <c:v>298000</c:v>
                </c:pt>
                <c:pt idx="212">
                  <c:v>298000</c:v>
                </c:pt>
                <c:pt idx="213">
                  <c:v>298000</c:v>
                </c:pt>
                <c:pt idx="214">
                  <c:v>298000</c:v>
                </c:pt>
                <c:pt idx="215">
                  <c:v>298000</c:v>
                </c:pt>
                <c:pt idx="216">
                  <c:v>298000</c:v>
                </c:pt>
                <c:pt idx="217">
                  <c:v>298000</c:v>
                </c:pt>
                <c:pt idx="218">
                  <c:v>298000</c:v>
                </c:pt>
                <c:pt idx="219">
                  <c:v>298000</c:v>
                </c:pt>
                <c:pt idx="220">
                  <c:v>298000</c:v>
                </c:pt>
                <c:pt idx="221">
                  <c:v>298000</c:v>
                </c:pt>
                <c:pt idx="222">
                  <c:v>298000</c:v>
                </c:pt>
                <c:pt idx="223">
                  <c:v>298000</c:v>
                </c:pt>
                <c:pt idx="224">
                  <c:v>295000</c:v>
                </c:pt>
                <c:pt idx="225">
                  <c:v>295000</c:v>
                </c:pt>
                <c:pt idx="226">
                  <c:v>295000</c:v>
                </c:pt>
                <c:pt idx="227">
                  <c:v>295000</c:v>
                </c:pt>
                <c:pt idx="228">
                  <c:v>295000</c:v>
                </c:pt>
                <c:pt idx="229">
                  <c:v>295000</c:v>
                </c:pt>
                <c:pt idx="230">
                  <c:v>295000</c:v>
                </c:pt>
                <c:pt idx="231">
                  <c:v>295000</c:v>
                </c:pt>
                <c:pt idx="232">
                  <c:v>295000</c:v>
                </c:pt>
                <c:pt idx="233">
                  <c:v>295000</c:v>
                </c:pt>
                <c:pt idx="234">
                  <c:v>295000</c:v>
                </c:pt>
                <c:pt idx="235">
                  <c:v>295000</c:v>
                </c:pt>
                <c:pt idx="236">
                  <c:v>295000</c:v>
                </c:pt>
                <c:pt idx="237">
                  <c:v>295000</c:v>
                </c:pt>
                <c:pt idx="238">
                  <c:v>298000</c:v>
                </c:pt>
                <c:pt idx="239">
                  <c:v>298000</c:v>
                </c:pt>
                <c:pt idx="240">
                  <c:v>298000</c:v>
                </c:pt>
                <c:pt idx="241">
                  <c:v>298000</c:v>
                </c:pt>
                <c:pt idx="242">
                  <c:v>298000</c:v>
                </c:pt>
                <c:pt idx="243">
                  <c:v>298000</c:v>
                </c:pt>
                <c:pt idx="244">
                  <c:v>298000</c:v>
                </c:pt>
                <c:pt idx="245">
                  <c:v>298000</c:v>
                </c:pt>
                <c:pt idx="246">
                  <c:v>298000</c:v>
                </c:pt>
                <c:pt idx="247">
                  <c:v>298000</c:v>
                </c:pt>
                <c:pt idx="248">
                  <c:v>298000</c:v>
                </c:pt>
                <c:pt idx="249">
                  <c:v>298000</c:v>
                </c:pt>
                <c:pt idx="250">
                  <c:v>298000</c:v>
                </c:pt>
                <c:pt idx="251">
                  <c:v>298000</c:v>
                </c:pt>
                <c:pt idx="252">
                  <c:v>298000</c:v>
                </c:pt>
                <c:pt idx="253">
                  <c:v>298000</c:v>
                </c:pt>
                <c:pt idx="254">
                  <c:v>298000</c:v>
                </c:pt>
                <c:pt idx="255">
                  <c:v>298000</c:v>
                </c:pt>
                <c:pt idx="256">
                  <c:v>298000</c:v>
                </c:pt>
                <c:pt idx="257">
                  <c:v>298000</c:v>
                </c:pt>
                <c:pt idx="258">
                  <c:v>298000</c:v>
                </c:pt>
                <c:pt idx="259">
                  <c:v>300000</c:v>
                </c:pt>
                <c:pt idx="260">
                  <c:v>300000</c:v>
                </c:pt>
                <c:pt idx="261">
                  <c:v>300000</c:v>
                </c:pt>
                <c:pt idx="262">
                  <c:v>300000</c:v>
                </c:pt>
                <c:pt idx="263">
                  <c:v>300000</c:v>
                </c:pt>
                <c:pt idx="264">
                  <c:v>300000</c:v>
                </c:pt>
                <c:pt idx="265">
                  <c:v>300000</c:v>
                </c:pt>
                <c:pt idx="266">
                  <c:v>305000</c:v>
                </c:pt>
                <c:pt idx="267">
                  <c:v>305000</c:v>
                </c:pt>
                <c:pt idx="268">
                  <c:v>305000</c:v>
                </c:pt>
                <c:pt idx="269">
                  <c:v>305000</c:v>
                </c:pt>
                <c:pt idx="270">
                  <c:v>305000</c:v>
                </c:pt>
                <c:pt idx="271">
                  <c:v>305000</c:v>
                </c:pt>
                <c:pt idx="272">
                  <c:v>305000</c:v>
                </c:pt>
                <c:pt idx="273">
                  <c:v>305000</c:v>
                </c:pt>
                <c:pt idx="274">
                  <c:v>305000</c:v>
                </c:pt>
                <c:pt idx="275">
                  <c:v>305000</c:v>
                </c:pt>
                <c:pt idx="276">
                  <c:v>305000</c:v>
                </c:pt>
                <c:pt idx="277">
                  <c:v>305000</c:v>
                </c:pt>
                <c:pt idx="278">
                  <c:v>305000</c:v>
                </c:pt>
                <c:pt idx="279">
                  <c:v>305000</c:v>
                </c:pt>
                <c:pt idx="280">
                  <c:v>312000</c:v>
                </c:pt>
                <c:pt idx="281">
                  <c:v>312000</c:v>
                </c:pt>
                <c:pt idx="282">
                  <c:v>312000</c:v>
                </c:pt>
                <c:pt idx="283">
                  <c:v>312000</c:v>
                </c:pt>
                <c:pt idx="284">
                  <c:v>312000</c:v>
                </c:pt>
                <c:pt idx="285">
                  <c:v>312000</c:v>
                </c:pt>
                <c:pt idx="286">
                  <c:v>312000</c:v>
                </c:pt>
                <c:pt idx="287">
                  <c:v>325000</c:v>
                </c:pt>
                <c:pt idx="288">
                  <c:v>325000</c:v>
                </c:pt>
                <c:pt idx="289">
                  <c:v>325000</c:v>
                </c:pt>
                <c:pt idx="290">
                  <c:v>325000</c:v>
                </c:pt>
                <c:pt idx="291">
                  <c:v>325000</c:v>
                </c:pt>
                <c:pt idx="292">
                  <c:v>325000</c:v>
                </c:pt>
                <c:pt idx="293">
                  <c:v>325000</c:v>
                </c:pt>
                <c:pt idx="294">
                  <c:v>350000</c:v>
                </c:pt>
                <c:pt idx="295">
                  <c:v>350000</c:v>
                </c:pt>
                <c:pt idx="296">
                  <c:v>350000</c:v>
                </c:pt>
                <c:pt idx="297">
                  <c:v>350000</c:v>
                </c:pt>
                <c:pt idx="298">
                  <c:v>350000</c:v>
                </c:pt>
                <c:pt idx="299">
                  <c:v>350000</c:v>
                </c:pt>
                <c:pt idx="300">
                  <c:v>350000</c:v>
                </c:pt>
                <c:pt idx="301">
                  <c:v>335000</c:v>
                </c:pt>
                <c:pt idx="302">
                  <c:v>335000</c:v>
                </c:pt>
                <c:pt idx="303">
                  <c:v>335000</c:v>
                </c:pt>
                <c:pt idx="304">
                  <c:v>335000</c:v>
                </c:pt>
                <c:pt idx="305">
                  <c:v>335000</c:v>
                </c:pt>
                <c:pt idx="306">
                  <c:v>335000</c:v>
                </c:pt>
                <c:pt idx="307">
                  <c:v>335000</c:v>
                </c:pt>
                <c:pt idx="308">
                  <c:v>330000</c:v>
                </c:pt>
                <c:pt idx="309">
                  <c:v>330000</c:v>
                </c:pt>
                <c:pt idx="310">
                  <c:v>330000</c:v>
                </c:pt>
                <c:pt idx="311">
                  <c:v>330000</c:v>
                </c:pt>
                <c:pt idx="312">
                  <c:v>330000</c:v>
                </c:pt>
                <c:pt idx="313">
                  <c:v>330000</c:v>
                </c:pt>
                <c:pt idx="314">
                  <c:v>330000</c:v>
                </c:pt>
                <c:pt idx="315">
                  <c:v>335000</c:v>
                </c:pt>
                <c:pt idx="316">
                  <c:v>335000</c:v>
                </c:pt>
                <c:pt idx="317">
                  <c:v>335000</c:v>
                </c:pt>
                <c:pt idx="318">
                  <c:v>335000</c:v>
                </c:pt>
                <c:pt idx="319">
                  <c:v>335000</c:v>
                </c:pt>
                <c:pt idx="320">
                  <c:v>335000</c:v>
                </c:pt>
                <c:pt idx="321">
                  <c:v>335000</c:v>
                </c:pt>
                <c:pt idx="322">
                  <c:v>340000</c:v>
                </c:pt>
                <c:pt idx="323">
                  <c:v>340000</c:v>
                </c:pt>
              </c:numCache>
            </c:numRef>
          </c:val>
          <c:smooth val="0"/>
        </c:ser>
        <c:dLbls>
          <c:showLegendKey val="0"/>
          <c:showVal val="0"/>
          <c:showCatName val="0"/>
          <c:showSerName val="0"/>
          <c:showPercent val="0"/>
          <c:showBubbleSize val="0"/>
        </c:dLbls>
        <c:marker val="1"/>
        <c:smooth val="0"/>
        <c:axId val="259861120"/>
        <c:axId val="259862912"/>
      </c:lineChart>
      <c:lineChart>
        <c:grouping val="standard"/>
        <c:varyColors val="0"/>
        <c:ser>
          <c:idx val="1"/>
          <c:order val="1"/>
          <c:tx>
            <c:strRef>
              <c:f>錫、鎂、鈦、鈷、釹!$V$1</c:f>
              <c:strCache>
                <c:ptCount val="1"/>
                <c:pt idx="0">
                  <c:v>燒結釹鐵硼 市場價(人民幣/公斤)</c:v>
                </c:pt>
              </c:strCache>
            </c:strRef>
          </c:tx>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錫、鎂、鈦、鈷、釹!$V$216:$V$539</c:f>
              <c:numCache>
                <c:formatCode>General</c:formatCode>
                <c:ptCount val="324"/>
                <c:pt idx="0">
                  <c:v>134</c:v>
                </c:pt>
                <c:pt idx="1">
                  <c:v>134</c:v>
                </c:pt>
                <c:pt idx="2">
                  <c:v>134</c:v>
                </c:pt>
                <c:pt idx="3">
                  <c:v>134</c:v>
                </c:pt>
                <c:pt idx="4">
                  <c:v>134</c:v>
                </c:pt>
                <c:pt idx="5">
                  <c:v>134</c:v>
                </c:pt>
                <c:pt idx="6">
                  <c:v>134</c:v>
                </c:pt>
                <c:pt idx="7">
                  <c:v>134</c:v>
                </c:pt>
                <c:pt idx="8">
                  <c:v>134</c:v>
                </c:pt>
                <c:pt idx="9">
                  <c:v>134</c:v>
                </c:pt>
                <c:pt idx="10">
                  <c:v>134</c:v>
                </c:pt>
                <c:pt idx="11">
                  <c:v>134</c:v>
                </c:pt>
                <c:pt idx="12">
                  <c:v>134</c:v>
                </c:pt>
                <c:pt idx="13">
                  <c:v>134</c:v>
                </c:pt>
                <c:pt idx="14">
                  <c:v>134</c:v>
                </c:pt>
                <c:pt idx="15">
                  <c:v>134</c:v>
                </c:pt>
                <c:pt idx="16">
                  <c:v>134</c:v>
                </c:pt>
                <c:pt idx="17">
                  <c:v>134</c:v>
                </c:pt>
                <c:pt idx="18">
                  <c:v>134</c:v>
                </c:pt>
                <c:pt idx="19">
                  <c:v>134</c:v>
                </c:pt>
                <c:pt idx="20">
                  <c:v>134</c:v>
                </c:pt>
                <c:pt idx="21">
                  <c:v>134</c:v>
                </c:pt>
                <c:pt idx="22">
                  <c:v>134</c:v>
                </c:pt>
                <c:pt idx="23">
                  <c:v>134</c:v>
                </c:pt>
                <c:pt idx="24">
                  <c:v>134</c:v>
                </c:pt>
                <c:pt idx="25">
                  <c:v>134</c:v>
                </c:pt>
                <c:pt idx="26">
                  <c:v>134</c:v>
                </c:pt>
                <c:pt idx="27">
                  <c:v>134</c:v>
                </c:pt>
                <c:pt idx="28">
                  <c:v>134</c:v>
                </c:pt>
                <c:pt idx="29">
                  <c:v>134</c:v>
                </c:pt>
                <c:pt idx="30">
                  <c:v>134</c:v>
                </c:pt>
                <c:pt idx="31">
                  <c:v>134</c:v>
                </c:pt>
                <c:pt idx="32">
                  <c:v>134</c:v>
                </c:pt>
                <c:pt idx="33">
                  <c:v>134</c:v>
                </c:pt>
                <c:pt idx="34">
                  <c:v>134</c:v>
                </c:pt>
                <c:pt idx="35">
                  <c:v>134</c:v>
                </c:pt>
                <c:pt idx="36">
                  <c:v>134</c:v>
                </c:pt>
                <c:pt idx="37">
                  <c:v>134</c:v>
                </c:pt>
                <c:pt idx="38">
                  <c:v>134</c:v>
                </c:pt>
                <c:pt idx="39">
                  <c:v>134</c:v>
                </c:pt>
                <c:pt idx="40">
                  <c:v>134</c:v>
                </c:pt>
                <c:pt idx="41">
                  <c:v>134</c:v>
                </c:pt>
                <c:pt idx="42">
                  <c:v>134</c:v>
                </c:pt>
                <c:pt idx="43">
                  <c:v>134</c:v>
                </c:pt>
                <c:pt idx="44">
                  <c:v>134</c:v>
                </c:pt>
                <c:pt idx="45">
                  <c:v>134</c:v>
                </c:pt>
                <c:pt idx="46">
                  <c:v>134</c:v>
                </c:pt>
                <c:pt idx="47">
                  <c:v>134</c:v>
                </c:pt>
                <c:pt idx="48">
                  <c:v>134</c:v>
                </c:pt>
                <c:pt idx="49">
                  <c:v>134</c:v>
                </c:pt>
                <c:pt idx="50">
                  <c:v>134</c:v>
                </c:pt>
                <c:pt idx="51">
                  <c:v>134</c:v>
                </c:pt>
                <c:pt idx="52">
                  <c:v>134</c:v>
                </c:pt>
                <c:pt idx="53">
                  <c:v>134</c:v>
                </c:pt>
                <c:pt idx="54">
                  <c:v>134</c:v>
                </c:pt>
                <c:pt idx="55">
                  <c:v>134</c:v>
                </c:pt>
                <c:pt idx="56">
                  <c:v>134</c:v>
                </c:pt>
                <c:pt idx="57">
                  <c:v>134</c:v>
                </c:pt>
                <c:pt idx="58">
                  <c:v>134</c:v>
                </c:pt>
                <c:pt idx="59">
                  <c:v>134</c:v>
                </c:pt>
                <c:pt idx="60">
                  <c:v>134</c:v>
                </c:pt>
                <c:pt idx="61">
                  <c:v>134</c:v>
                </c:pt>
                <c:pt idx="62">
                  <c:v>134</c:v>
                </c:pt>
                <c:pt idx="63">
                  <c:v>134</c:v>
                </c:pt>
                <c:pt idx="64">
                  <c:v>134</c:v>
                </c:pt>
                <c:pt idx="65">
                  <c:v>134</c:v>
                </c:pt>
                <c:pt idx="66">
                  <c:v>134</c:v>
                </c:pt>
                <c:pt idx="67">
                  <c:v>134</c:v>
                </c:pt>
                <c:pt idx="68">
                  <c:v>134</c:v>
                </c:pt>
                <c:pt idx="69">
                  <c:v>134</c:v>
                </c:pt>
                <c:pt idx="70">
                  <c:v>134</c:v>
                </c:pt>
                <c:pt idx="71">
                  <c:v>134</c:v>
                </c:pt>
                <c:pt idx="72">
                  <c:v>134</c:v>
                </c:pt>
                <c:pt idx="73">
                  <c:v>134</c:v>
                </c:pt>
                <c:pt idx="74">
                  <c:v>134</c:v>
                </c:pt>
                <c:pt idx="75">
                  <c:v>134</c:v>
                </c:pt>
                <c:pt idx="76">
                  <c:v>134</c:v>
                </c:pt>
                <c:pt idx="77">
                  <c:v>134</c:v>
                </c:pt>
                <c:pt idx="78">
                  <c:v>134</c:v>
                </c:pt>
                <c:pt idx="79">
                  <c:v>134</c:v>
                </c:pt>
                <c:pt idx="80">
                  <c:v>134</c:v>
                </c:pt>
                <c:pt idx="81">
                  <c:v>134</c:v>
                </c:pt>
                <c:pt idx="82">
                  <c:v>134</c:v>
                </c:pt>
                <c:pt idx="83">
                  <c:v>134</c:v>
                </c:pt>
                <c:pt idx="84">
                  <c:v>134</c:v>
                </c:pt>
                <c:pt idx="85">
                  <c:v>134</c:v>
                </c:pt>
                <c:pt idx="86">
                  <c:v>134</c:v>
                </c:pt>
                <c:pt idx="87">
                  <c:v>134</c:v>
                </c:pt>
                <c:pt idx="88">
                  <c:v>134</c:v>
                </c:pt>
                <c:pt idx="89">
                  <c:v>134</c:v>
                </c:pt>
                <c:pt idx="90">
                  <c:v>134</c:v>
                </c:pt>
                <c:pt idx="91">
                  <c:v>134</c:v>
                </c:pt>
                <c:pt idx="92">
                  <c:v>134</c:v>
                </c:pt>
                <c:pt idx="93">
                  <c:v>134</c:v>
                </c:pt>
                <c:pt idx="94">
                  <c:v>134</c:v>
                </c:pt>
                <c:pt idx="95">
                  <c:v>134</c:v>
                </c:pt>
                <c:pt idx="96">
                  <c:v>134</c:v>
                </c:pt>
                <c:pt idx="97">
                  <c:v>134</c:v>
                </c:pt>
                <c:pt idx="98">
                  <c:v>134</c:v>
                </c:pt>
                <c:pt idx="99">
                  <c:v>134</c:v>
                </c:pt>
                <c:pt idx="100">
                  <c:v>134</c:v>
                </c:pt>
                <c:pt idx="101">
                  <c:v>134</c:v>
                </c:pt>
                <c:pt idx="102">
                  <c:v>134</c:v>
                </c:pt>
                <c:pt idx="103">
                  <c:v>134</c:v>
                </c:pt>
                <c:pt idx="104">
                  <c:v>134</c:v>
                </c:pt>
                <c:pt idx="105">
                  <c:v>131</c:v>
                </c:pt>
                <c:pt idx="106">
                  <c:v>131</c:v>
                </c:pt>
                <c:pt idx="107">
                  <c:v>131</c:v>
                </c:pt>
                <c:pt idx="108">
                  <c:v>131</c:v>
                </c:pt>
                <c:pt idx="109">
                  <c:v>131</c:v>
                </c:pt>
                <c:pt idx="110">
                  <c:v>131</c:v>
                </c:pt>
                <c:pt idx="111">
                  <c:v>131</c:v>
                </c:pt>
                <c:pt idx="112">
                  <c:v>131</c:v>
                </c:pt>
                <c:pt idx="113">
                  <c:v>131</c:v>
                </c:pt>
                <c:pt idx="114">
                  <c:v>131</c:v>
                </c:pt>
                <c:pt idx="115">
                  <c:v>131</c:v>
                </c:pt>
                <c:pt idx="116">
                  <c:v>131</c:v>
                </c:pt>
                <c:pt idx="117">
                  <c:v>131</c:v>
                </c:pt>
                <c:pt idx="118">
                  <c:v>131</c:v>
                </c:pt>
                <c:pt idx="119">
                  <c:v>131</c:v>
                </c:pt>
                <c:pt idx="120">
                  <c:v>131</c:v>
                </c:pt>
                <c:pt idx="121">
                  <c:v>131</c:v>
                </c:pt>
                <c:pt idx="122">
                  <c:v>131</c:v>
                </c:pt>
                <c:pt idx="123">
                  <c:v>131</c:v>
                </c:pt>
                <c:pt idx="124">
                  <c:v>131</c:v>
                </c:pt>
                <c:pt idx="125">
                  <c:v>131</c:v>
                </c:pt>
                <c:pt idx="126">
                  <c:v>131</c:v>
                </c:pt>
                <c:pt idx="127">
                  <c:v>131</c:v>
                </c:pt>
                <c:pt idx="128">
                  <c:v>131</c:v>
                </c:pt>
                <c:pt idx="129">
                  <c:v>131</c:v>
                </c:pt>
                <c:pt idx="130">
                  <c:v>131</c:v>
                </c:pt>
                <c:pt idx="131">
                  <c:v>131</c:v>
                </c:pt>
                <c:pt idx="132">
                  <c:v>131</c:v>
                </c:pt>
                <c:pt idx="133">
                  <c:v>131</c:v>
                </c:pt>
                <c:pt idx="134">
                  <c:v>131</c:v>
                </c:pt>
                <c:pt idx="135">
                  <c:v>131</c:v>
                </c:pt>
                <c:pt idx="136">
                  <c:v>131</c:v>
                </c:pt>
                <c:pt idx="137">
                  <c:v>131</c:v>
                </c:pt>
                <c:pt idx="138">
                  <c:v>131</c:v>
                </c:pt>
                <c:pt idx="139">
                  <c:v>131</c:v>
                </c:pt>
                <c:pt idx="140">
                  <c:v>131</c:v>
                </c:pt>
                <c:pt idx="141">
                  <c:v>131</c:v>
                </c:pt>
                <c:pt idx="142">
                  <c:v>131</c:v>
                </c:pt>
                <c:pt idx="143">
                  <c:v>131</c:v>
                </c:pt>
                <c:pt idx="144">
                  <c:v>131</c:v>
                </c:pt>
                <c:pt idx="145">
                  <c:v>131</c:v>
                </c:pt>
                <c:pt idx="146">
                  <c:v>131</c:v>
                </c:pt>
                <c:pt idx="147">
                  <c:v>131</c:v>
                </c:pt>
                <c:pt idx="148">
                  <c:v>131</c:v>
                </c:pt>
                <c:pt idx="149">
                  <c:v>131</c:v>
                </c:pt>
                <c:pt idx="150">
                  <c:v>131</c:v>
                </c:pt>
                <c:pt idx="151">
                  <c:v>131</c:v>
                </c:pt>
                <c:pt idx="152">
                  <c:v>131</c:v>
                </c:pt>
                <c:pt idx="153">
                  <c:v>131</c:v>
                </c:pt>
                <c:pt idx="154">
                  <c:v>131</c:v>
                </c:pt>
                <c:pt idx="155">
                  <c:v>131</c:v>
                </c:pt>
                <c:pt idx="156">
                  <c:v>131</c:v>
                </c:pt>
                <c:pt idx="157">
                  <c:v>131</c:v>
                </c:pt>
                <c:pt idx="158">
                  <c:v>131</c:v>
                </c:pt>
                <c:pt idx="159">
                  <c:v>131</c:v>
                </c:pt>
                <c:pt idx="160">
                  <c:v>131</c:v>
                </c:pt>
                <c:pt idx="161">
                  <c:v>131</c:v>
                </c:pt>
                <c:pt idx="162">
                  <c:v>131</c:v>
                </c:pt>
                <c:pt idx="163">
                  <c:v>131</c:v>
                </c:pt>
                <c:pt idx="164">
                  <c:v>131</c:v>
                </c:pt>
                <c:pt idx="165">
                  <c:v>131</c:v>
                </c:pt>
                <c:pt idx="166">
                  <c:v>131</c:v>
                </c:pt>
                <c:pt idx="167">
                  <c:v>131</c:v>
                </c:pt>
                <c:pt idx="168">
                  <c:v>129</c:v>
                </c:pt>
                <c:pt idx="169">
                  <c:v>129</c:v>
                </c:pt>
                <c:pt idx="170">
                  <c:v>129</c:v>
                </c:pt>
                <c:pt idx="171">
                  <c:v>129</c:v>
                </c:pt>
                <c:pt idx="172">
                  <c:v>129</c:v>
                </c:pt>
                <c:pt idx="173">
                  <c:v>129</c:v>
                </c:pt>
                <c:pt idx="174">
                  <c:v>129</c:v>
                </c:pt>
                <c:pt idx="175">
                  <c:v>129</c:v>
                </c:pt>
                <c:pt idx="176">
                  <c:v>129</c:v>
                </c:pt>
                <c:pt idx="177">
                  <c:v>129</c:v>
                </c:pt>
                <c:pt idx="178">
                  <c:v>129</c:v>
                </c:pt>
                <c:pt idx="179">
                  <c:v>129</c:v>
                </c:pt>
                <c:pt idx="180">
                  <c:v>129</c:v>
                </c:pt>
                <c:pt idx="181">
                  <c:v>129</c:v>
                </c:pt>
                <c:pt idx="182">
                  <c:v>129</c:v>
                </c:pt>
                <c:pt idx="183">
                  <c:v>129</c:v>
                </c:pt>
                <c:pt idx="184">
                  <c:v>129</c:v>
                </c:pt>
                <c:pt idx="185">
                  <c:v>129</c:v>
                </c:pt>
                <c:pt idx="186">
                  <c:v>129</c:v>
                </c:pt>
                <c:pt idx="187">
                  <c:v>129</c:v>
                </c:pt>
                <c:pt idx="188">
                  <c:v>129</c:v>
                </c:pt>
                <c:pt idx="189">
                  <c:v>124</c:v>
                </c:pt>
                <c:pt idx="190">
                  <c:v>124</c:v>
                </c:pt>
                <c:pt idx="191">
                  <c:v>124</c:v>
                </c:pt>
                <c:pt idx="192">
                  <c:v>124</c:v>
                </c:pt>
                <c:pt idx="193">
                  <c:v>124</c:v>
                </c:pt>
                <c:pt idx="194">
                  <c:v>124</c:v>
                </c:pt>
                <c:pt idx="195">
                  <c:v>124</c:v>
                </c:pt>
                <c:pt idx="196">
                  <c:v>124</c:v>
                </c:pt>
                <c:pt idx="197">
                  <c:v>124</c:v>
                </c:pt>
                <c:pt idx="198">
                  <c:v>124</c:v>
                </c:pt>
                <c:pt idx="199">
                  <c:v>124</c:v>
                </c:pt>
                <c:pt idx="200">
                  <c:v>124</c:v>
                </c:pt>
                <c:pt idx="201">
                  <c:v>124</c:v>
                </c:pt>
                <c:pt idx="202">
                  <c:v>124</c:v>
                </c:pt>
                <c:pt idx="203">
                  <c:v>124</c:v>
                </c:pt>
                <c:pt idx="204">
                  <c:v>124</c:v>
                </c:pt>
                <c:pt idx="205">
                  <c:v>124</c:v>
                </c:pt>
                <c:pt idx="206">
                  <c:v>124</c:v>
                </c:pt>
                <c:pt idx="207">
                  <c:v>124</c:v>
                </c:pt>
                <c:pt idx="208">
                  <c:v>124</c:v>
                </c:pt>
                <c:pt idx="209">
                  <c:v>124</c:v>
                </c:pt>
                <c:pt idx="210">
                  <c:v>124</c:v>
                </c:pt>
                <c:pt idx="211">
                  <c:v>124</c:v>
                </c:pt>
                <c:pt idx="212">
                  <c:v>124</c:v>
                </c:pt>
                <c:pt idx="213">
                  <c:v>124</c:v>
                </c:pt>
                <c:pt idx="214">
                  <c:v>124</c:v>
                </c:pt>
                <c:pt idx="215">
                  <c:v>124</c:v>
                </c:pt>
                <c:pt idx="216">
                  <c:v>124</c:v>
                </c:pt>
                <c:pt idx="217">
                  <c:v>120</c:v>
                </c:pt>
                <c:pt idx="218">
                  <c:v>120</c:v>
                </c:pt>
                <c:pt idx="219">
                  <c:v>120</c:v>
                </c:pt>
                <c:pt idx="220">
                  <c:v>120</c:v>
                </c:pt>
                <c:pt idx="221">
                  <c:v>120</c:v>
                </c:pt>
                <c:pt idx="222">
                  <c:v>120</c:v>
                </c:pt>
                <c:pt idx="223">
                  <c:v>120</c:v>
                </c:pt>
                <c:pt idx="224">
                  <c:v>120</c:v>
                </c:pt>
                <c:pt idx="225">
                  <c:v>120</c:v>
                </c:pt>
                <c:pt idx="226">
                  <c:v>120</c:v>
                </c:pt>
                <c:pt idx="227">
                  <c:v>120</c:v>
                </c:pt>
                <c:pt idx="228">
                  <c:v>120</c:v>
                </c:pt>
                <c:pt idx="229">
                  <c:v>120</c:v>
                </c:pt>
                <c:pt idx="230">
                  <c:v>120</c:v>
                </c:pt>
                <c:pt idx="231">
                  <c:v>120</c:v>
                </c:pt>
                <c:pt idx="232">
                  <c:v>120</c:v>
                </c:pt>
                <c:pt idx="233">
                  <c:v>120</c:v>
                </c:pt>
                <c:pt idx="234">
                  <c:v>120</c:v>
                </c:pt>
                <c:pt idx="235">
                  <c:v>120</c:v>
                </c:pt>
                <c:pt idx="236">
                  <c:v>120</c:v>
                </c:pt>
                <c:pt idx="237">
                  <c:v>120</c:v>
                </c:pt>
                <c:pt idx="238">
                  <c:v>120</c:v>
                </c:pt>
                <c:pt idx="239">
                  <c:v>120</c:v>
                </c:pt>
                <c:pt idx="240">
                  <c:v>120</c:v>
                </c:pt>
                <c:pt idx="241">
                  <c:v>120</c:v>
                </c:pt>
                <c:pt idx="242">
                  <c:v>120</c:v>
                </c:pt>
                <c:pt idx="243">
                  <c:v>120</c:v>
                </c:pt>
                <c:pt idx="244">
                  <c:v>120</c:v>
                </c:pt>
                <c:pt idx="245">
                  <c:v>120</c:v>
                </c:pt>
                <c:pt idx="246">
                  <c:v>120</c:v>
                </c:pt>
                <c:pt idx="247">
                  <c:v>120</c:v>
                </c:pt>
                <c:pt idx="248">
                  <c:v>120</c:v>
                </c:pt>
                <c:pt idx="249">
                  <c:v>120</c:v>
                </c:pt>
                <c:pt idx="250">
                  <c:v>120</c:v>
                </c:pt>
                <c:pt idx="251">
                  <c:v>120</c:v>
                </c:pt>
                <c:pt idx="252">
                  <c:v>120</c:v>
                </c:pt>
                <c:pt idx="253">
                  <c:v>120</c:v>
                </c:pt>
                <c:pt idx="254">
                  <c:v>120</c:v>
                </c:pt>
                <c:pt idx="255">
                  <c:v>120</c:v>
                </c:pt>
                <c:pt idx="256">
                  <c:v>120</c:v>
                </c:pt>
                <c:pt idx="257">
                  <c:v>120</c:v>
                </c:pt>
                <c:pt idx="258">
                  <c:v>120</c:v>
                </c:pt>
                <c:pt idx="259">
                  <c:v>120</c:v>
                </c:pt>
                <c:pt idx="260">
                  <c:v>120</c:v>
                </c:pt>
                <c:pt idx="261">
                  <c:v>120</c:v>
                </c:pt>
                <c:pt idx="262">
                  <c:v>120</c:v>
                </c:pt>
                <c:pt idx="263">
                  <c:v>120</c:v>
                </c:pt>
                <c:pt idx="264">
                  <c:v>120</c:v>
                </c:pt>
                <c:pt idx="265">
                  <c:v>120</c:v>
                </c:pt>
                <c:pt idx="266">
                  <c:v>116</c:v>
                </c:pt>
                <c:pt idx="267">
                  <c:v>116</c:v>
                </c:pt>
                <c:pt idx="268">
                  <c:v>116</c:v>
                </c:pt>
                <c:pt idx="269">
                  <c:v>116</c:v>
                </c:pt>
                <c:pt idx="270">
                  <c:v>116</c:v>
                </c:pt>
                <c:pt idx="271">
                  <c:v>116</c:v>
                </c:pt>
                <c:pt idx="272">
                  <c:v>116</c:v>
                </c:pt>
                <c:pt idx="273">
                  <c:v>116</c:v>
                </c:pt>
                <c:pt idx="274">
                  <c:v>116</c:v>
                </c:pt>
                <c:pt idx="275">
                  <c:v>116</c:v>
                </c:pt>
                <c:pt idx="276">
                  <c:v>116</c:v>
                </c:pt>
                <c:pt idx="277">
                  <c:v>116</c:v>
                </c:pt>
                <c:pt idx="278">
                  <c:v>116</c:v>
                </c:pt>
                <c:pt idx="279">
                  <c:v>116</c:v>
                </c:pt>
                <c:pt idx="280">
                  <c:v>116</c:v>
                </c:pt>
                <c:pt idx="281">
                  <c:v>116</c:v>
                </c:pt>
                <c:pt idx="282">
                  <c:v>116</c:v>
                </c:pt>
                <c:pt idx="283">
                  <c:v>116</c:v>
                </c:pt>
                <c:pt idx="284">
                  <c:v>116</c:v>
                </c:pt>
                <c:pt idx="285">
                  <c:v>116</c:v>
                </c:pt>
                <c:pt idx="286">
                  <c:v>116</c:v>
                </c:pt>
                <c:pt idx="287">
                  <c:v>118</c:v>
                </c:pt>
                <c:pt idx="288">
                  <c:v>118</c:v>
                </c:pt>
                <c:pt idx="289">
                  <c:v>118</c:v>
                </c:pt>
                <c:pt idx="290">
                  <c:v>118</c:v>
                </c:pt>
                <c:pt idx="291">
                  <c:v>118</c:v>
                </c:pt>
                <c:pt idx="292">
                  <c:v>118</c:v>
                </c:pt>
                <c:pt idx="293">
                  <c:v>118</c:v>
                </c:pt>
                <c:pt idx="294">
                  <c:v>118</c:v>
                </c:pt>
                <c:pt idx="295">
                  <c:v>118</c:v>
                </c:pt>
                <c:pt idx="296">
                  <c:v>118</c:v>
                </c:pt>
                <c:pt idx="297">
                  <c:v>118</c:v>
                </c:pt>
                <c:pt idx="298">
                  <c:v>118</c:v>
                </c:pt>
                <c:pt idx="299">
                  <c:v>118</c:v>
                </c:pt>
                <c:pt idx="300">
                  <c:v>118</c:v>
                </c:pt>
                <c:pt idx="301">
                  <c:v>118</c:v>
                </c:pt>
                <c:pt idx="302">
                  <c:v>118</c:v>
                </c:pt>
                <c:pt idx="303">
                  <c:v>118</c:v>
                </c:pt>
                <c:pt idx="304">
                  <c:v>118</c:v>
                </c:pt>
                <c:pt idx="305">
                  <c:v>118</c:v>
                </c:pt>
                <c:pt idx="306">
                  <c:v>118</c:v>
                </c:pt>
                <c:pt idx="307">
                  <c:v>118</c:v>
                </c:pt>
                <c:pt idx="308">
                  <c:v>118</c:v>
                </c:pt>
                <c:pt idx="309">
                  <c:v>118</c:v>
                </c:pt>
                <c:pt idx="310">
                  <c:v>118</c:v>
                </c:pt>
                <c:pt idx="311">
                  <c:v>118</c:v>
                </c:pt>
                <c:pt idx="312">
                  <c:v>118</c:v>
                </c:pt>
                <c:pt idx="313">
                  <c:v>118</c:v>
                </c:pt>
                <c:pt idx="314">
                  <c:v>118</c:v>
                </c:pt>
                <c:pt idx="315">
                  <c:v>118</c:v>
                </c:pt>
                <c:pt idx="316">
                  <c:v>118</c:v>
                </c:pt>
                <c:pt idx="317">
                  <c:v>118</c:v>
                </c:pt>
                <c:pt idx="318">
                  <c:v>118</c:v>
                </c:pt>
                <c:pt idx="319">
                  <c:v>118</c:v>
                </c:pt>
                <c:pt idx="320">
                  <c:v>118</c:v>
                </c:pt>
                <c:pt idx="321">
                  <c:v>118</c:v>
                </c:pt>
                <c:pt idx="322">
                  <c:v>118</c:v>
                </c:pt>
                <c:pt idx="323">
                  <c:v>118</c:v>
                </c:pt>
              </c:numCache>
            </c:numRef>
          </c:val>
          <c:smooth val="0"/>
        </c:ser>
        <c:dLbls>
          <c:showLegendKey val="0"/>
          <c:showVal val="0"/>
          <c:showCatName val="0"/>
          <c:showSerName val="0"/>
          <c:showPercent val="0"/>
          <c:showBubbleSize val="0"/>
        </c:dLbls>
        <c:marker val="1"/>
        <c:smooth val="0"/>
        <c:axId val="259867008"/>
        <c:axId val="259864832"/>
      </c:lineChart>
      <c:dateAx>
        <c:axId val="259861120"/>
        <c:scaling>
          <c:orientation val="minMax"/>
        </c:scaling>
        <c:delete val="0"/>
        <c:axPos val="b"/>
        <c:numFmt formatCode="m/d/yyyy" sourceLinked="1"/>
        <c:majorTickMark val="out"/>
        <c:minorTickMark val="none"/>
        <c:tickLblPos val="nextTo"/>
        <c:txPr>
          <a:bodyPr/>
          <a:lstStyle/>
          <a:p>
            <a:pPr>
              <a:defRPr sz="1000"/>
            </a:pPr>
            <a:endParaRPr lang="zh-TW"/>
          </a:p>
        </c:txPr>
        <c:crossAx val="259862912"/>
        <c:crosses val="autoZero"/>
        <c:auto val="1"/>
        <c:lblOffset val="100"/>
        <c:baseTimeUnit val="days"/>
        <c:majorUnit val="1"/>
        <c:majorTimeUnit val="months"/>
        <c:minorUnit val="1"/>
        <c:minorTimeUnit val="months"/>
      </c:dateAx>
      <c:valAx>
        <c:axId val="259862912"/>
        <c:scaling>
          <c:orientation val="minMax"/>
          <c:min val="290000"/>
        </c:scaling>
        <c:delete val="0"/>
        <c:axPos val="l"/>
        <c:majorGridlines/>
        <c:title>
          <c:tx>
            <c:rich>
              <a:bodyPr rot="0" vert="horz"/>
              <a:lstStyle/>
              <a:p>
                <a:pPr>
                  <a:defRPr/>
                </a:pPr>
                <a:r>
                  <a:rPr lang="zh-TW" altLang="en-US"/>
                  <a:t>鐠釹金屬</a:t>
                </a:r>
                <a:endParaRPr lang="en-US" altLang="zh-TW"/>
              </a:p>
              <a:p>
                <a:pPr>
                  <a:defRPr/>
                </a:pPr>
                <a:r>
                  <a:rPr lang="zh-TW" altLang="en-US"/>
                  <a:t>人民幣</a:t>
                </a:r>
                <a:r>
                  <a:rPr lang="en-US" altLang="zh-TW"/>
                  <a:t>/</a:t>
                </a:r>
                <a:r>
                  <a:rPr lang="zh-TW" altLang="en-US"/>
                  <a:t>公噸</a:t>
                </a:r>
              </a:p>
            </c:rich>
          </c:tx>
          <c:layout>
            <c:manualLayout>
              <c:xMode val="edge"/>
              <c:yMode val="edge"/>
              <c:x val="3.4631986845805852E-2"/>
              <c:y val="2.1514109771725375E-2"/>
            </c:manualLayout>
          </c:layout>
          <c:overlay val="0"/>
        </c:title>
        <c:numFmt formatCode="General" sourceLinked="1"/>
        <c:majorTickMark val="out"/>
        <c:minorTickMark val="none"/>
        <c:tickLblPos val="nextTo"/>
        <c:txPr>
          <a:bodyPr/>
          <a:lstStyle/>
          <a:p>
            <a:pPr>
              <a:defRPr sz="1000"/>
            </a:pPr>
            <a:endParaRPr lang="zh-TW"/>
          </a:p>
        </c:txPr>
        <c:crossAx val="259861120"/>
        <c:crosses val="autoZero"/>
        <c:crossBetween val="between"/>
      </c:valAx>
      <c:valAx>
        <c:axId val="259864832"/>
        <c:scaling>
          <c:orientation val="minMax"/>
          <c:min val="100"/>
        </c:scaling>
        <c:delete val="0"/>
        <c:axPos val="r"/>
        <c:title>
          <c:tx>
            <c:rich>
              <a:bodyPr rot="0" vert="horz"/>
              <a:lstStyle/>
              <a:p>
                <a:pPr>
                  <a:defRPr/>
                </a:pPr>
                <a:r>
                  <a:rPr lang="zh-TW" altLang="en-US"/>
                  <a:t>燒結釹鐵硼</a:t>
                </a:r>
                <a:endParaRPr lang="en-US" altLang="zh-TW"/>
              </a:p>
              <a:p>
                <a:pPr>
                  <a:defRPr/>
                </a:pPr>
                <a:r>
                  <a:rPr lang="zh-TW" altLang="en-US"/>
                  <a:t>人民幣</a:t>
                </a:r>
                <a:r>
                  <a:rPr lang="en-US" altLang="zh-TW"/>
                  <a:t>/</a:t>
                </a:r>
                <a:r>
                  <a:rPr lang="zh-TW" altLang="en-US"/>
                  <a:t>公斤</a:t>
                </a:r>
              </a:p>
            </c:rich>
          </c:tx>
          <c:layout>
            <c:manualLayout>
              <c:xMode val="edge"/>
              <c:yMode val="edge"/>
              <c:x val="0.84288605809641093"/>
              <c:y val="2.8256303400807238E-2"/>
            </c:manualLayout>
          </c:layout>
          <c:overlay val="0"/>
        </c:title>
        <c:numFmt formatCode="General" sourceLinked="1"/>
        <c:majorTickMark val="out"/>
        <c:minorTickMark val="none"/>
        <c:tickLblPos val="nextTo"/>
        <c:txPr>
          <a:bodyPr/>
          <a:lstStyle/>
          <a:p>
            <a:pPr>
              <a:defRPr sz="1000"/>
            </a:pPr>
            <a:endParaRPr lang="zh-TW"/>
          </a:p>
        </c:txPr>
        <c:crossAx val="259867008"/>
        <c:crosses val="max"/>
        <c:crossBetween val="between"/>
      </c:valAx>
      <c:dateAx>
        <c:axId val="259867008"/>
        <c:scaling>
          <c:orientation val="minMax"/>
        </c:scaling>
        <c:delete val="1"/>
        <c:axPos val="b"/>
        <c:numFmt formatCode="m/d/yyyy" sourceLinked="1"/>
        <c:majorTickMark val="out"/>
        <c:minorTickMark val="none"/>
        <c:tickLblPos val="none"/>
        <c:crossAx val="259864832"/>
        <c:crosses val="autoZero"/>
        <c:auto val="1"/>
        <c:lblOffset val="100"/>
        <c:baseTimeUnit val="days"/>
      </c:dateAx>
    </c:plotArea>
    <c:legend>
      <c:legendPos val="b"/>
      <c:layout>
        <c:manualLayout>
          <c:xMode val="edge"/>
          <c:yMode val="edge"/>
          <c:x val="0.14346028200845226"/>
          <c:y val="0.89389262705798134"/>
          <c:w val="0.70698402215914791"/>
          <c:h val="0.10366143062280661"/>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965019981163276"/>
          <c:y val="0.1653341811829328"/>
          <c:w val="0.78949656005865809"/>
          <c:h val="0.5491191523067076"/>
        </c:manualLayout>
      </c:layout>
      <c:lineChart>
        <c:grouping val="standard"/>
        <c:varyColors val="0"/>
        <c:ser>
          <c:idx val="0"/>
          <c:order val="0"/>
          <c:tx>
            <c:strRef>
              <c:f>錫、鎂、鈦、鈷、釹!$S$1</c:f>
              <c:strCache>
                <c:ptCount val="1"/>
                <c:pt idx="0">
                  <c:v>鈷 長江 1#現貨 未稅出廠價(人民幣/公噸)</c:v>
                </c:pt>
              </c:strCache>
            </c:strRef>
          </c:tx>
          <c:spPr>
            <a:ln>
              <a:prstDash val="sysDash"/>
            </a:ln>
          </c:spPr>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錫、鎂、鈦、鈷、釹!$S$216:$S$539</c:f>
              <c:numCache>
                <c:formatCode>General</c:formatCode>
                <c:ptCount val="324"/>
                <c:pt idx="0">
                  <c:v>220000</c:v>
                </c:pt>
                <c:pt idx="1">
                  <c:v>220000</c:v>
                </c:pt>
                <c:pt idx="2">
                  <c:v>220000</c:v>
                </c:pt>
                <c:pt idx="3">
                  <c:v>220000</c:v>
                </c:pt>
                <c:pt idx="4">
                  <c:v>220000</c:v>
                </c:pt>
                <c:pt idx="5">
                  <c:v>220000</c:v>
                </c:pt>
                <c:pt idx="6">
                  <c:v>220000</c:v>
                </c:pt>
                <c:pt idx="7">
                  <c:v>220000</c:v>
                </c:pt>
                <c:pt idx="8">
                  <c:v>220000</c:v>
                </c:pt>
                <c:pt idx="9">
                  <c:v>220000</c:v>
                </c:pt>
                <c:pt idx="10">
                  <c:v>220000</c:v>
                </c:pt>
                <c:pt idx="11">
                  <c:v>222000</c:v>
                </c:pt>
                <c:pt idx="12">
                  <c:v>222000</c:v>
                </c:pt>
                <c:pt idx="13">
                  <c:v>222000</c:v>
                </c:pt>
                <c:pt idx="14">
                  <c:v>222000</c:v>
                </c:pt>
                <c:pt idx="15">
                  <c:v>222000</c:v>
                </c:pt>
                <c:pt idx="16">
                  <c:v>222000</c:v>
                </c:pt>
                <c:pt idx="17">
                  <c:v>222000</c:v>
                </c:pt>
                <c:pt idx="18">
                  <c:v>222000</c:v>
                </c:pt>
                <c:pt idx="19">
                  <c:v>223000</c:v>
                </c:pt>
                <c:pt idx="20">
                  <c:v>223000</c:v>
                </c:pt>
                <c:pt idx="21">
                  <c:v>224000</c:v>
                </c:pt>
                <c:pt idx="22">
                  <c:v>224000</c:v>
                </c:pt>
                <c:pt idx="23">
                  <c:v>224000</c:v>
                </c:pt>
                <c:pt idx="24">
                  <c:v>224000</c:v>
                </c:pt>
                <c:pt idx="25">
                  <c:v>224000</c:v>
                </c:pt>
                <c:pt idx="26">
                  <c:v>224000</c:v>
                </c:pt>
                <c:pt idx="27">
                  <c:v>224000</c:v>
                </c:pt>
                <c:pt idx="28">
                  <c:v>224000</c:v>
                </c:pt>
                <c:pt idx="29">
                  <c:v>224000</c:v>
                </c:pt>
                <c:pt idx="30">
                  <c:v>224000</c:v>
                </c:pt>
                <c:pt idx="31">
                  <c:v>224000</c:v>
                </c:pt>
                <c:pt idx="32">
                  <c:v>224000</c:v>
                </c:pt>
                <c:pt idx="33">
                  <c:v>224000</c:v>
                </c:pt>
                <c:pt idx="34">
                  <c:v>224000</c:v>
                </c:pt>
                <c:pt idx="35">
                  <c:v>224000</c:v>
                </c:pt>
                <c:pt idx="36">
                  <c:v>224000</c:v>
                </c:pt>
                <c:pt idx="37">
                  <c:v>224000</c:v>
                </c:pt>
                <c:pt idx="38">
                  <c:v>224000</c:v>
                </c:pt>
                <c:pt idx="39">
                  <c:v>224000</c:v>
                </c:pt>
                <c:pt idx="40">
                  <c:v>224000</c:v>
                </c:pt>
                <c:pt idx="41">
                  <c:v>224000</c:v>
                </c:pt>
                <c:pt idx="42">
                  <c:v>224000</c:v>
                </c:pt>
                <c:pt idx="43">
                  <c:v>224000</c:v>
                </c:pt>
                <c:pt idx="44">
                  <c:v>224000</c:v>
                </c:pt>
                <c:pt idx="45">
                  <c:v>224000</c:v>
                </c:pt>
                <c:pt idx="46">
                  <c:v>224000</c:v>
                </c:pt>
                <c:pt idx="47">
                  <c:v>224000</c:v>
                </c:pt>
                <c:pt idx="48">
                  <c:v>224000</c:v>
                </c:pt>
                <c:pt idx="49">
                  <c:v>224000</c:v>
                </c:pt>
                <c:pt idx="50">
                  <c:v>224000</c:v>
                </c:pt>
                <c:pt idx="51">
                  <c:v>224000</c:v>
                </c:pt>
                <c:pt idx="52">
                  <c:v>224000</c:v>
                </c:pt>
                <c:pt idx="53">
                  <c:v>224000</c:v>
                </c:pt>
                <c:pt idx="54">
                  <c:v>224000</c:v>
                </c:pt>
                <c:pt idx="55">
                  <c:v>224000</c:v>
                </c:pt>
                <c:pt idx="56">
                  <c:v>224000</c:v>
                </c:pt>
                <c:pt idx="57">
                  <c:v>224000</c:v>
                </c:pt>
                <c:pt idx="58">
                  <c:v>224000</c:v>
                </c:pt>
                <c:pt idx="59">
                  <c:v>224000</c:v>
                </c:pt>
                <c:pt idx="60">
                  <c:v>224000</c:v>
                </c:pt>
                <c:pt idx="61">
                  <c:v>224000</c:v>
                </c:pt>
                <c:pt idx="62">
                  <c:v>224000</c:v>
                </c:pt>
                <c:pt idx="63">
                  <c:v>224000</c:v>
                </c:pt>
                <c:pt idx="64">
                  <c:v>224000</c:v>
                </c:pt>
                <c:pt idx="65">
                  <c:v>224000</c:v>
                </c:pt>
                <c:pt idx="66">
                  <c:v>224000</c:v>
                </c:pt>
                <c:pt idx="67">
                  <c:v>224000</c:v>
                </c:pt>
                <c:pt idx="68">
                  <c:v>220000</c:v>
                </c:pt>
                <c:pt idx="69">
                  <c:v>220000</c:v>
                </c:pt>
                <c:pt idx="70">
                  <c:v>220000</c:v>
                </c:pt>
                <c:pt idx="71">
                  <c:v>220000</c:v>
                </c:pt>
                <c:pt idx="72">
                  <c:v>220000</c:v>
                </c:pt>
                <c:pt idx="73">
                  <c:v>220000</c:v>
                </c:pt>
                <c:pt idx="74">
                  <c:v>220000</c:v>
                </c:pt>
                <c:pt idx="75">
                  <c:v>220000</c:v>
                </c:pt>
                <c:pt idx="76">
                  <c:v>218000</c:v>
                </c:pt>
                <c:pt idx="77">
                  <c:v>218000</c:v>
                </c:pt>
                <c:pt idx="78">
                  <c:v>218000</c:v>
                </c:pt>
                <c:pt idx="79">
                  <c:v>218000</c:v>
                </c:pt>
                <c:pt idx="80">
                  <c:v>218000</c:v>
                </c:pt>
                <c:pt idx="81">
                  <c:v>216000</c:v>
                </c:pt>
                <c:pt idx="82">
                  <c:v>216000</c:v>
                </c:pt>
                <c:pt idx="83">
                  <c:v>216000</c:v>
                </c:pt>
                <c:pt idx="84">
                  <c:v>216000</c:v>
                </c:pt>
                <c:pt idx="85">
                  <c:v>216000</c:v>
                </c:pt>
                <c:pt idx="86">
                  <c:v>216000</c:v>
                </c:pt>
                <c:pt idx="87">
                  <c:v>216000</c:v>
                </c:pt>
                <c:pt idx="88">
                  <c:v>216000</c:v>
                </c:pt>
                <c:pt idx="89">
                  <c:v>216000</c:v>
                </c:pt>
                <c:pt idx="90">
                  <c:v>216000</c:v>
                </c:pt>
                <c:pt idx="91">
                  <c:v>216000</c:v>
                </c:pt>
                <c:pt idx="92">
                  <c:v>216000</c:v>
                </c:pt>
                <c:pt idx="93">
                  <c:v>216000</c:v>
                </c:pt>
                <c:pt idx="94">
                  <c:v>216000</c:v>
                </c:pt>
                <c:pt idx="95">
                  <c:v>216000</c:v>
                </c:pt>
                <c:pt idx="96">
                  <c:v>216000</c:v>
                </c:pt>
                <c:pt idx="97">
                  <c:v>216000</c:v>
                </c:pt>
                <c:pt idx="98">
                  <c:v>216000</c:v>
                </c:pt>
                <c:pt idx="99">
                  <c:v>216000</c:v>
                </c:pt>
                <c:pt idx="100">
                  <c:v>216000</c:v>
                </c:pt>
                <c:pt idx="101">
                  <c:v>216000</c:v>
                </c:pt>
                <c:pt idx="102">
                  <c:v>218000</c:v>
                </c:pt>
                <c:pt idx="103">
                  <c:v>220000</c:v>
                </c:pt>
                <c:pt idx="104">
                  <c:v>220000</c:v>
                </c:pt>
                <c:pt idx="105">
                  <c:v>220000</c:v>
                </c:pt>
                <c:pt idx="106">
                  <c:v>220000</c:v>
                </c:pt>
                <c:pt idx="107">
                  <c:v>220000</c:v>
                </c:pt>
                <c:pt idx="108">
                  <c:v>220000</c:v>
                </c:pt>
                <c:pt idx="109">
                  <c:v>220000</c:v>
                </c:pt>
                <c:pt idx="110">
                  <c:v>220000</c:v>
                </c:pt>
                <c:pt idx="111">
                  <c:v>220000</c:v>
                </c:pt>
                <c:pt idx="112">
                  <c:v>220000</c:v>
                </c:pt>
                <c:pt idx="113">
                  <c:v>220000</c:v>
                </c:pt>
                <c:pt idx="114">
                  <c:v>220000</c:v>
                </c:pt>
                <c:pt idx="115">
                  <c:v>220000</c:v>
                </c:pt>
                <c:pt idx="116">
                  <c:v>220000</c:v>
                </c:pt>
                <c:pt idx="117">
                  <c:v>220000</c:v>
                </c:pt>
                <c:pt idx="118">
                  <c:v>222000</c:v>
                </c:pt>
                <c:pt idx="119">
                  <c:v>222000</c:v>
                </c:pt>
                <c:pt idx="120">
                  <c:v>222000</c:v>
                </c:pt>
                <c:pt idx="121">
                  <c:v>222000</c:v>
                </c:pt>
                <c:pt idx="122">
                  <c:v>222000</c:v>
                </c:pt>
                <c:pt idx="123">
                  <c:v>222000</c:v>
                </c:pt>
                <c:pt idx="124">
                  <c:v>223000</c:v>
                </c:pt>
                <c:pt idx="125">
                  <c:v>223000</c:v>
                </c:pt>
                <c:pt idx="126">
                  <c:v>223000</c:v>
                </c:pt>
                <c:pt idx="127">
                  <c:v>225000</c:v>
                </c:pt>
                <c:pt idx="128">
                  <c:v>225000</c:v>
                </c:pt>
                <c:pt idx="129">
                  <c:v>225000</c:v>
                </c:pt>
                <c:pt idx="130">
                  <c:v>225000</c:v>
                </c:pt>
                <c:pt idx="131">
                  <c:v>225000</c:v>
                </c:pt>
                <c:pt idx="132">
                  <c:v>225000</c:v>
                </c:pt>
                <c:pt idx="133">
                  <c:v>225000</c:v>
                </c:pt>
                <c:pt idx="134">
                  <c:v>225000</c:v>
                </c:pt>
                <c:pt idx="135">
                  <c:v>225000</c:v>
                </c:pt>
                <c:pt idx="136">
                  <c:v>225000</c:v>
                </c:pt>
                <c:pt idx="137">
                  <c:v>226000</c:v>
                </c:pt>
                <c:pt idx="138">
                  <c:v>226000</c:v>
                </c:pt>
                <c:pt idx="139">
                  <c:v>226000</c:v>
                </c:pt>
                <c:pt idx="140">
                  <c:v>226000</c:v>
                </c:pt>
                <c:pt idx="141">
                  <c:v>226000</c:v>
                </c:pt>
                <c:pt idx="142">
                  <c:v>226000</c:v>
                </c:pt>
                <c:pt idx="143">
                  <c:v>226000</c:v>
                </c:pt>
                <c:pt idx="144">
                  <c:v>226000</c:v>
                </c:pt>
                <c:pt idx="145">
                  <c:v>226000</c:v>
                </c:pt>
                <c:pt idx="146">
                  <c:v>226000</c:v>
                </c:pt>
                <c:pt idx="147">
                  <c:v>226000</c:v>
                </c:pt>
                <c:pt idx="148">
                  <c:v>226000</c:v>
                </c:pt>
                <c:pt idx="149">
                  <c:v>226000</c:v>
                </c:pt>
                <c:pt idx="150">
                  <c:v>226000</c:v>
                </c:pt>
                <c:pt idx="151">
                  <c:v>226000</c:v>
                </c:pt>
                <c:pt idx="152">
                  <c:v>226000</c:v>
                </c:pt>
                <c:pt idx="153">
                  <c:v>226000</c:v>
                </c:pt>
                <c:pt idx="154">
                  <c:v>226000</c:v>
                </c:pt>
                <c:pt idx="155">
                  <c:v>226000</c:v>
                </c:pt>
                <c:pt idx="156">
                  <c:v>226000</c:v>
                </c:pt>
                <c:pt idx="157">
                  <c:v>226000</c:v>
                </c:pt>
                <c:pt idx="158">
                  <c:v>226000</c:v>
                </c:pt>
                <c:pt idx="159">
                  <c:v>226000</c:v>
                </c:pt>
                <c:pt idx="160">
                  <c:v>226000</c:v>
                </c:pt>
                <c:pt idx="161">
                  <c:v>226000</c:v>
                </c:pt>
                <c:pt idx="162">
                  <c:v>226000</c:v>
                </c:pt>
                <c:pt idx="163">
                  <c:v>226000</c:v>
                </c:pt>
                <c:pt idx="164">
                  <c:v>226000</c:v>
                </c:pt>
                <c:pt idx="165">
                  <c:v>226000</c:v>
                </c:pt>
                <c:pt idx="166">
                  <c:v>226000</c:v>
                </c:pt>
                <c:pt idx="167">
                  <c:v>226000</c:v>
                </c:pt>
                <c:pt idx="168">
                  <c:v>226000</c:v>
                </c:pt>
                <c:pt idx="169">
                  <c:v>226000</c:v>
                </c:pt>
                <c:pt idx="170">
                  <c:v>226000</c:v>
                </c:pt>
                <c:pt idx="171">
                  <c:v>226000</c:v>
                </c:pt>
                <c:pt idx="172">
                  <c:v>226000</c:v>
                </c:pt>
                <c:pt idx="173">
                  <c:v>226000</c:v>
                </c:pt>
                <c:pt idx="174">
                  <c:v>226000</c:v>
                </c:pt>
                <c:pt idx="175">
                  <c:v>226000</c:v>
                </c:pt>
                <c:pt idx="176">
                  <c:v>226000</c:v>
                </c:pt>
                <c:pt idx="177">
                  <c:v>226000</c:v>
                </c:pt>
                <c:pt idx="178">
                  <c:v>226000</c:v>
                </c:pt>
                <c:pt idx="179">
                  <c:v>226000</c:v>
                </c:pt>
                <c:pt idx="180">
                  <c:v>226000</c:v>
                </c:pt>
                <c:pt idx="181">
                  <c:v>226000</c:v>
                </c:pt>
                <c:pt idx="182">
                  <c:v>226000</c:v>
                </c:pt>
                <c:pt idx="183">
                  <c:v>226000</c:v>
                </c:pt>
                <c:pt idx="184">
                  <c:v>226000</c:v>
                </c:pt>
                <c:pt idx="185">
                  <c:v>226000</c:v>
                </c:pt>
                <c:pt idx="186">
                  <c:v>226000</c:v>
                </c:pt>
                <c:pt idx="187">
                  <c:v>226000</c:v>
                </c:pt>
                <c:pt idx="188">
                  <c:v>225000</c:v>
                </c:pt>
                <c:pt idx="189">
                  <c:v>224000</c:v>
                </c:pt>
                <c:pt idx="190">
                  <c:v>223000</c:v>
                </c:pt>
                <c:pt idx="191">
                  <c:v>223000</c:v>
                </c:pt>
                <c:pt idx="192">
                  <c:v>223000</c:v>
                </c:pt>
                <c:pt idx="193">
                  <c:v>223000</c:v>
                </c:pt>
                <c:pt idx="194">
                  <c:v>223000</c:v>
                </c:pt>
                <c:pt idx="195">
                  <c:v>223000</c:v>
                </c:pt>
                <c:pt idx="196">
                  <c:v>223000</c:v>
                </c:pt>
                <c:pt idx="197">
                  <c:v>223000</c:v>
                </c:pt>
                <c:pt idx="198">
                  <c:v>223000</c:v>
                </c:pt>
                <c:pt idx="199">
                  <c:v>223000</c:v>
                </c:pt>
                <c:pt idx="200">
                  <c:v>223000</c:v>
                </c:pt>
                <c:pt idx="201">
                  <c:v>223000</c:v>
                </c:pt>
                <c:pt idx="202">
                  <c:v>223000</c:v>
                </c:pt>
                <c:pt idx="203">
                  <c:v>223000</c:v>
                </c:pt>
                <c:pt idx="204">
                  <c:v>223000</c:v>
                </c:pt>
                <c:pt idx="205">
                  <c:v>223000</c:v>
                </c:pt>
                <c:pt idx="206">
                  <c:v>223000</c:v>
                </c:pt>
                <c:pt idx="207">
                  <c:v>223000</c:v>
                </c:pt>
                <c:pt idx="208">
                  <c:v>223000</c:v>
                </c:pt>
                <c:pt idx="209">
                  <c:v>223000</c:v>
                </c:pt>
                <c:pt idx="210">
                  <c:v>222000</c:v>
                </c:pt>
                <c:pt idx="211">
                  <c:v>222000</c:v>
                </c:pt>
                <c:pt idx="212">
                  <c:v>222000</c:v>
                </c:pt>
                <c:pt idx="213">
                  <c:v>222000</c:v>
                </c:pt>
                <c:pt idx="214">
                  <c:v>222000</c:v>
                </c:pt>
                <c:pt idx="215">
                  <c:v>222000</c:v>
                </c:pt>
                <c:pt idx="216">
                  <c:v>221000</c:v>
                </c:pt>
                <c:pt idx="217">
                  <c:v>221000</c:v>
                </c:pt>
                <c:pt idx="218">
                  <c:v>221000</c:v>
                </c:pt>
                <c:pt idx="219">
                  <c:v>221000</c:v>
                </c:pt>
                <c:pt idx="220">
                  <c:v>221000</c:v>
                </c:pt>
                <c:pt idx="221">
                  <c:v>221000</c:v>
                </c:pt>
                <c:pt idx="222">
                  <c:v>221000</c:v>
                </c:pt>
                <c:pt idx="223">
                  <c:v>221000</c:v>
                </c:pt>
                <c:pt idx="224">
                  <c:v>221000</c:v>
                </c:pt>
                <c:pt idx="225">
                  <c:v>220000</c:v>
                </c:pt>
                <c:pt idx="226">
                  <c:v>220000</c:v>
                </c:pt>
                <c:pt idx="227">
                  <c:v>220000</c:v>
                </c:pt>
                <c:pt idx="228">
                  <c:v>218000</c:v>
                </c:pt>
                <c:pt idx="229">
                  <c:v>218000</c:v>
                </c:pt>
                <c:pt idx="230">
                  <c:v>218000</c:v>
                </c:pt>
                <c:pt idx="231">
                  <c:v>218000</c:v>
                </c:pt>
                <c:pt idx="232">
                  <c:v>218000</c:v>
                </c:pt>
                <c:pt idx="233">
                  <c:v>218000</c:v>
                </c:pt>
                <c:pt idx="234">
                  <c:v>218000</c:v>
                </c:pt>
                <c:pt idx="235">
                  <c:v>218000</c:v>
                </c:pt>
                <c:pt idx="236">
                  <c:v>218000</c:v>
                </c:pt>
                <c:pt idx="237">
                  <c:v>218000</c:v>
                </c:pt>
                <c:pt idx="238">
                  <c:v>218000</c:v>
                </c:pt>
                <c:pt idx="239">
                  <c:v>218000</c:v>
                </c:pt>
                <c:pt idx="240">
                  <c:v>218000</c:v>
                </c:pt>
                <c:pt idx="241">
                  <c:v>218000</c:v>
                </c:pt>
                <c:pt idx="242">
                  <c:v>218000</c:v>
                </c:pt>
                <c:pt idx="243">
                  <c:v>216000</c:v>
                </c:pt>
                <c:pt idx="244">
                  <c:v>216000</c:v>
                </c:pt>
                <c:pt idx="245">
                  <c:v>216000</c:v>
                </c:pt>
                <c:pt idx="246">
                  <c:v>216000</c:v>
                </c:pt>
                <c:pt idx="247">
                  <c:v>216000</c:v>
                </c:pt>
                <c:pt idx="248">
                  <c:v>216000</c:v>
                </c:pt>
                <c:pt idx="249">
                  <c:v>216000</c:v>
                </c:pt>
                <c:pt idx="250">
                  <c:v>216000</c:v>
                </c:pt>
                <c:pt idx="251">
                  <c:v>216000</c:v>
                </c:pt>
                <c:pt idx="252">
                  <c:v>216000</c:v>
                </c:pt>
                <c:pt idx="253">
                  <c:v>216000</c:v>
                </c:pt>
                <c:pt idx="254">
                  <c:v>216000</c:v>
                </c:pt>
                <c:pt idx="255">
                  <c:v>216000</c:v>
                </c:pt>
                <c:pt idx="256">
                  <c:v>216000</c:v>
                </c:pt>
                <c:pt idx="257">
                  <c:v>215000</c:v>
                </c:pt>
                <c:pt idx="258">
                  <c:v>215000</c:v>
                </c:pt>
                <c:pt idx="259">
                  <c:v>215000</c:v>
                </c:pt>
                <c:pt idx="260">
                  <c:v>215000</c:v>
                </c:pt>
                <c:pt idx="261">
                  <c:v>215000</c:v>
                </c:pt>
                <c:pt idx="262">
                  <c:v>215000</c:v>
                </c:pt>
                <c:pt idx="263">
                  <c:v>215000</c:v>
                </c:pt>
                <c:pt idx="264">
                  <c:v>215000</c:v>
                </c:pt>
                <c:pt idx="265">
                  <c:v>215000</c:v>
                </c:pt>
                <c:pt idx="266">
                  <c:v>215000</c:v>
                </c:pt>
                <c:pt idx="267">
                  <c:v>215000</c:v>
                </c:pt>
                <c:pt idx="268">
                  <c:v>215000</c:v>
                </c:pt>
                <c:pt idx="269">
                  <c:v>215000</c:v>
                </c:pt>
                <c:pt idx="270">
                  <c:v>215000</c:v>
                </c:pt>
                <c:pt idx="271">
                  <c:v>222000</c:v>
                </c:pt>
                <c:pt idx="272">
                  <c:v>222000</c:v>
                </c:pt>
                <c:pt idx="273">
                  <c:v>222000</c:v>
                </c:pt>
                <c:pt idx="274">
                  <c:v>222000</c:v>
                </c:pt>
                <c:pt idx="275">
                  <c:v>222000</c:v>
                </c:pt>
                <c:pt idx="276">
                  <c:v>222000</c:v>
                </c:pt>
                <c:pt idx="277">
                  <c:v>222000</c:v>
                </c:pt>
                <c:pt idx="278">
                  <c:v>222000</c:v>
                </c:pt>
                <c:pt idx="279">
                  <c:v>222000</c:v>
                </c:pt>
                <c:pt idx="280">
                  <c:v>222000</c:v>
                </c:pt>
                <c:pt idx="281">
                  <c:v>222000</c:v>
                </c:pt>
                <c:pt idx="282">
                  <c:v>222000</c:v>
                </c:pt>
                <c:pt idx="283">
                  <c:v>222000</c:v>
                </c:pt>
                <c:pt idx="284">
                  <c:v>222000</c:v>
                </c:pt>
                <c:pt idx="285">
                  <c:v>222000</c:v>
                </c:pt>
                <c:pt idx="286">
                  <c:v>222000</c:v>
                </c:pt>
                <c:pt idx="287">
                  <c:v>222000</c:v>
                </c:pt>
                <c:pt idx="288">
                  <c:v>222000</c:v>
                </c:pt>
                <c:pt idx="289">
                  <c:v>222000</c:v>
                </c:pt>
                <c:pt idx="290">
                  <c:v>222000</c:v>
                </c:pt>
                <c:pt idx="291">
                  <c:v>221000</c:v>
                </c:pt>
                <c:pt idx="292">
                  <c:v>221000</c:v>
                </c:pt>
                <c:pt idx="293">
                  <c:v>221000</c:v>
                </c:pt>
                <c:pt idx="294">
                  <c:v>220000</c:v>
                </c:pt>
                <c:pt idx="295">
                  <c:v>220000</c:v>
                </c:pt>
                <c:pt idx="296">
                  <c:v>220000</c:v>
                </c:pt>
                <c:pt idx="297">
                  <c:v>220000</c:v>
                </c:pt>
                <c:pt idx="298">
                  <c:v>220000</c:v>
                </c:pt>
                <c:pt idx="299">
                  <c:v>215000</c:v>
                </c:pt>
                <c:pt idx="300">
                  <c:v>219000</c:v>
                </c:pt>
                <c:pt idx="301">
                  <c:v>218000</c:v>
                </c:pt>
                <c:pt idx="302">
                  <c:v>218000</c:v>
                </c:pt>
                <c:pt idx="303">
                  <c:v>218000</c:v>
                </c:pt>
                <c:pt idx="304">
                  <c:v>218000</c:v>
                </c:pt>
                <c:pt idx="305">
                  <c:v>218000</c:v>
                </c:pt>
                <c:pt idx="306">
                  <c:v>218000</c:v>
                </c:pt>
                <c:pt idx="307">
                  <c:v>218000</c:v>
                </c:pt>
                <c:pt idx="308">
                  <c:v>216000</c:v>
                </c:pt>
                <c:pt idx="309">
                  <c:v>216000</c:v>
                </c:pt>
                <c:pt idx="310">
                  <c:v>216000</c:v>
                </c:pt>
                <c:pt idx="311">
                  <c:v>216000</c:v>
                </c:pt>
                <c:pt idx="312">
                  <c:v>216000</c:v>
                </c:pt>
                <c:pt idx="313">
                  <c:v>216000</c:v>
                </c:pt>
                <c:pt idx="314">
                  <c:v>216000</c:v>
                </c:pt>
                <c:pt idx="315">
                  <c:v>212000</c:v>
                </c:pt>
                <c:pt idx="316">
                  <c:v>212000</c:v>
                </c:pt>
                <c:pt idx="317">
                  <c:v>212000</c:v>
                </c:pt>
                <c:pt idx="318">
                  <c:v>212000</c:v>
                </c:pt>
                <c:pt idx="319">
                  <c:v>210000</c:v>
                </c:pt>
                <c:pt idx="320">
                  <c:v>210000</c:v>
                </c:pt>
                <c:pt idx="321">
                  <c:v>210000</c:v>
                </c:pt>
                <c:pt idx="322">
                  <c:v>210000</c:v>
                </c:pt>
                <c:pt idx="323">
                  <c:v>210000</c:v>
                </c:pt>
              </c:numCache>
            </c:numRef>
          </c:val>
          <c:smooth val="0"/>
        </c:ser>
        <c:dLbls>
          <c:showLegendKey val="0"/>
          <c:showVal val="0"/>
          <c:showCatName val="0"/>
          <c:showSerName val="0"/>
          <c:showPercent val="0"/>
          <c:showBubbleSize val="0"/>
        </c:dLbls>
        <c:marker val="1"/>
        <c:smooth val="0"/>
        <c:axId val="259725184"/>
        <c:axId val="259726720"/>
      </c:lineChart>
      <c:lineChart>
        <c:grouping val="standard"/>
        <c:varyColors val="0"/>
        <c:ser>
          <c:idx val="1"/>
          <c:order val="1"/>
          <c:tx>
            <c:strRef>
              <c:f>錫、鎂、鈦、鈷、釹!$T$1</c:f>
              <c:strCache>
                <c:ptCount val="1"/>
                <c:pt idx="0">
                  <c:v>鈷 倫敦LME 三個月期貨 收盤價(美元/公噸)</c:v>
                </c:pt>
              </c:strCache>
            </c:strRef>
          </c:tx>
          <c:marker>
            <c:symbol val="none"/>
          </c:marker>
          <c:cat>
            <c:numRef>
              <c:f>錫、鎂、鈦、鈷、釹!$L$216:$L$539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錫、鎂、鈦、鈷、釹!$T$216:$T$539</c:f>
              <c:numCache>
                <c:formatCode>General</c:formatCode>
                <c:ptCount val="324"/>
                <c:pt idx="0">
                  <c:v>31500</c:v>
                </c:pt>
                <c:pt idx="1">
                  <c:v>31750</c:v>
                </c:pt>
                <c:pt idx="2">
                  <c:v>31750</c:v>
                </c:pt>
                <c:pt idx="3">
                  <c:v>31750</c:v>
                </c:pt>
                <c:pt idx="4">
                  <c:v>31500</c:v>
                </c:pt>
                <c:pt idx="5">
                  <c:v>31500</c:v>
                </c:pt>
                <c:pt idx="6">
                  <c:v>31500</c:v>
                </c:pt>
                <c:pt idx="7">
                  <c:v>31500</c:v>
                </c:pt>
                <c:pt idx="8">
                  <c:v>31500</c:v>
                </c:pt>
                <c:pt idx="9">
                  <c:v>31500</c:v>
                </c:pt>
                <c:pt idx="10">
                  <c:v>31500</c:v>
                </c:pt>
                <c:pt idx="11">
                  <c:v>31500</c:v>
                </c:pt>
                <c:pt idx="12">
                  <c:v>30900</c:v>
                </c:pt>
                <c:pt idx="13">
                  <c:v>30900</c:v>
                </c:pt>
                <c:pt idx="14">
                  <c:v>30900</c:v>
                </c:pt>
                <c:pt idx="15">
                  <c:v>30900</c:v>
                </c:pt>
                <c:pt idx="16">
                  <c:v>30900</c:v>
                </c:pt>
                <c:pt idx="17">
                  <c:v>30900</c:v>
                </c:pt>
                <c:pt idx="18">
                  <c:v>31150</c:v>
                </c:pt>
                <c:pt idx="19">
                  <c:v>30750</c:v>
                </c:pt>
                <c:pt idx="20">
                  <c:v>30950</c:v>
                </c:pt>
                <c:pt idx="21">
                  <c:v>30750</c:v>
                </c:pt>
                <c:pt idx="22">
                  <c:v>30500</c:v>
                </c:pt>
                <c:pt idx="23">
                  <c:v>30500</c:v>
                </c:pt>
                <c:pt idx="24">
                  <c:v>30500</c:v>
                </c:pt>
                <c:pt idx="25">
                  <c:v>30500</c:v>
                </c:pt>
                <c:pt idx="26">
                  <c:v>30500</c:v>
                </c:pt>
                <c:pt idx="27">
                  <c:v>29750</c:v>
                </c:pt>
                <c:pt idx="28">
                  <c:v>29750</c:v>
                </c:pt>
                <c:pt idx="29">
                  <c:v>29550</c:v>
                </c:pt>
                <c:pt idx="30">
                  <c:v>29550</c:v>
                </c:pt>
                <c:pt idx="31">
                  <c:v>29550</c:v>
                </c:pt>
                <c:pt idx="32">
                  <c:v>29550</c:v>
                </c:pt>
                <c:pt idx="33">
                  <c:v>29750</c:v>
                </c:pt>
                <c:pt idx="34">
                  <c:v>29750</c:v>
                </c:pt>
                <c:pt idx="35">
                  <c:v>29750</c:v>
                </c:pt>
                <c:pt idx="36">
                  <c:v>29300</c:v>
                </c:pt>
                <c:pt idx="37">
                  <c:v>29300</c:v>
                </c:pt>
                <c:pt idx="38">
                  <c:v>29300</c:v>
                </c:pt>
                <c:pt idx="39">
                  <c:v>29300</c:v>
                </c:pt>
                <c:pt idx="40">
                  <c:v>29150</c:v>
                </c:pt>
                <c:pt idx="41">
                  <c:v>29150</c:v>
                </c:pt>
                <c:pt idx="42">
                  <c:v>29300</c:v>
                </c:pt>
                <c:pt idx="43">
                  <c:v>29150</c:v>
                </c:pt>
                <c:pt idx="44">
                  <c:v>29150</c:v>
                </c:pt>
                <c:pt idx="45">
                  <c:v>29150</c:v>
                </c:pt>
                <c:pt idx="46">
                  <c:v>29300</c:v>
                </c:pt>
                <c:pt idx="47">
                  <c:v>29250</c:v>
                </c:pt>
                <c:pt idx="48">
                  <c:v>29250</c:v>
                </c:pt>
                <c:pt idx="49">
                  <c:v>29250</c:v>
                </c:pt>
                <c:pt idx="50">
                  <c:v>29250</c:v>
                </c:pt>
                <c:pt idx="51">
                  <c:v>29250</c:v>
                </c:pt>
                <c:pt idx="52">
                  <c:v>29250</c:v>
                </c:pt>
                <c:pt idx="53">
                  <c:v>29100</c:v>
                </c:pt>
                <c:pt idx="54">
                  <c:v>28950</c:v>
                </c:pt>
                <c:pt idx="55">
                  <c:v>28850</c:v>
                </c:pt>
                <c:pt idx="56">
                  <c:v>28850</c:v>
                </c:pt>
                <c:pt idx="57">
                  <c:v>28850</c:v>
                </c:pt>
                <c:pt idx="58">
                  <c:v>28850</c:v>
                </c:pt>
                <c:pt idx="59">
                  <c:v>28850</c:v>
                </c:pt>
                <c:pt idx="60">
                  <c:v>28850</c:v>
                </c:pt>
                <c:pt idx="61">
                  <c:v>27825</c:v>
                </c:pt>
                <c:pt idx="62">
                  <c:v>27550</c:v>
                </c:pt>
                <c:pt idx="63">
                  <c:v>27750</c:v>
                </c:pt>
                <c:pt idx="64">
                  <c:v>27750</c:v>
                </c:pt>
                <c:pt idx="65">
                  <c:v>27750</c:v>
                </c:pt>
                <c:pt idx="66">
                  <c:v>27750</c:v>
                </c:pt>
                <c:pt idx="67">
                  <c:v>27750</c:v>
                </c:pt>
                <c:pt idx="68">
                  <c:v>27950</c:v>
                </c:pt>
                <c:pt idx="69">
                  <c:v>27950</c:v>
                </c:pt>
                <c:pt idx="70">
                  <c:v>28000</c:v>
                </c:pt>
                <c:pt idx="71">
                  <c:v>27800</c:v>
                </c:pt>
                <c:pt idx="72">
                  <c:v>27800</c:v>
                </c:pt>
                <c:pt idx="73">
                  <c:v>27800</c:v>
                </c:pt>
                <c:pt idx="74">
                  <c:v>27800</c:v>
                </c:pt>
                <c:pt idx="75">
                  <c:v>27800</c:v>
                </c:pt>
                <c:pt idx="76">
                  <c:v>27800</c:v>
                </c:pt>
                <c:pt idx="77">
                  <c:v>27800</c:v>
                </c:pt>
                <c:pt idx="78">
                  <c:v>27700</c:v>
                </c:pt>
                <c:pt idx="79">
                  <c:v>27700</c:v>
                </c:pt>
                <c:pt idx="80">
                  <c:v>27700</c:v>
                </c:pt>
                <c:pt idx="81">
                  <c:v>27700</c:v>
                </c:pt>
                <c:pt idx="82">
                  <c:v>27550</c:v>
                </c:pt>
                <c:pt idx="83">
                  <c:v>27550</c:v>
                </c:pt>
                <c:pt idx="84">
                  <c:v>27550</c:v>
                </c:pt>
                <c:pt idx="85">
                  <c:v>27350</c:v>
                </c:pt>
                <c:pt idx="86">
                  <c:v>27350</c:v>
                </c:pt>
                <c:pt idx="87">
                  <c:v>27350</c:v>
                </c:pt>
                <c:pt idx="88">
                  <c:v>27300</c:v>
                </c:pt>
                <c:pt idx="89">
                  <c:v>26900</c:v>
                </c:pt>
                <c:pt idx="90">
                  <c:v>26600</c:v>
                </c:pt>
                <c:pt idx="91">
                  <c:v>27050</c:v>
                </c:pt>
                <c:pt idx="92">
                  <c:v>27050</c:v>
                </c:pt>
                <c:pt idx="93">
                  <c:v>27050</c:v>
                </c:pt>
                <c:pt idx="94">
                  <c:v>27050</c:v>
                </c:pt>
                <c:pt idx="95">
                  <c:v>27050</c:v>
                </c:pt>
                <c:pt idx="96">
                  <c:v>27250</c:v>
                </c:pt>
                <c:pt idx="97">
                  <c:v>27750</c:v>
                </c:pt>
                <c:pt idx="98">
                  <c:v>28750</c:v>
                </c:pt>
                <c:pt idx="99">
                  <c:v>28910</c:v>
                </c:pt>
                <c:pt idx="100">
                  <c:v>28910</c:v>
                </c:pt>
                <c:pt idx="101">
                  <c:v>28910</c:v>
                </c:pt>
                <c:pt idx="102">
                  <c:v>28950</c:v>
                </c:pt>
                <c:pt idx="103">
                  <c:v>28660</c:v>
                </c:pt>
                <c:pt idx="104">
                  <c:v>28250</c:v>
                </c:pt>
                <c:pt idx="105">
                  <c:v>28250</c:v>
                </c:pt>
                <c:pt idx="106">
                  <c:v>28800</c:v>
                </c:pt>
                <c:pt idx="107">
                  <c:v>28800</c:v>
                </c:pt>
                <c:pt idx="108">
                  <c:v>28800</c:v>
                </c:pt>
                <c:pt idx="109">
                  <c:v>29600</c:v>
                </c:pt>
                <c:pt idx="110">
                  <c:v>29500</c:v>
                </c:pt>
                <c:pt idx="111">
                  <c:v>29650</c:v>
                </c:pt>
                <c:pt idx="112">
                  <c:v>29950</c:v>
                </c:pt>
                <c:pt idx="113">
                  <c:v>29900</c:v>
                </c:pt>
                <c:pt idx="114">
                  <c:v>29900</c:v>
                </c:pt>
                <c:pt idx="115">
                  <c:v>29900</c:v>
                </c:pt>
                <c:pt idx="116">
                  <c:v>29850</c:v>
                </c:pt>
                <c:pt idx="117">
                  <c:v>30000</c:v>
                </c:pt>
                <c:pt idx="118">
                  <c:v>30300</c:v>
                </c:pt>
                <c:pt idx="119">
                  <c:v>30000</c:v>
                </c:pt>
                <c:pt idx="120">
                  <c:v>30200</c:v>
                </c:pt>
                <c:pt idx="121">
                  <c:v>30200</c:v>
                </c:pt>
                <c:pt idx="122">
                  <c:v>30200</c:v>
                </c:pt>
                <c:pt idx="123">
                  <c:v>30200</c:v>
                </c:pt>
                <c:pt idx="124">
                  <c:v>29950</c:v>
                </c:pt>
                <c:pt idx="125">
                  <c:v>29950</c:v>
                </c:pt>
                <c:pt idx="126">
                  <c:v>30000</c:v>
                </c:pt>
                <c:pt idx="127">
                  <c:v>29850</c:v>
                </c:pt>
                <c:pt idx="128">
                  <c:v>29850</c:v>
                </c:pt>
                <c:pt idx="129">
                  <c:v>29850</c:v>
                </c:pt>
                <c:pt idx="130">
                  <c:v>30050</c:v>
                </c:pt>
                <c:pt idx="131">
                  <c:v>30150</c:v>
                </c:pt>
                <c:pt idx="132">
                  <c:v>30100</c:v>
                </c:pt>
                <c:pt idx="133">
                  <c:v>30100</c:v>
                </c:pt>
                <c:pt idx="134">
                  <c:v>30100</c:v>
                </c:pt>
                <c:pt idx="135">
                  <c:v>30100</c:v>
                </c:pt>
                <c:pt idx="136">
                  <c:v>30100</c:v>
                </c:pt>
                <c:pt idx="137">
                  <c:v>30100</c:v>
                </c:pt>
                <c:pt idx="138">
                  <c:v>30050</c:v>
                </c:pt>
                <c:pt idx="139">
                  <c:v>29950</c:v>
                </c:pt>
                <c:pt idx="140">
                  <c:v>30100</c:v>
                </c:pt>
                <c:pt idx="141">
                  <c:v>30500</c:v>
                </c:pt>
                <c:pt idx="142">
                  <c:v>30500</c:v>
                </c:pt>
                <c:pt idx="143">
                  <c:v>30500</c:v>
                </c:pt>
                <c:pt idx="144">
                  <c:v>30500</c:v>
                </c:pt>
                <c:pt idx="145">
                  <c:v>30500</c:v>
                </c:pt>
                <c:pt idx="146">
                  <c:v>30500</c:v>
                </c:pt>
                <c:pt idx="147">
                  <c:v>30625</c:v>
                </c:pt>
                <c:pt idx="148">
                  <c:v>30400</c:v>
                </c:pt>
                <c:pt idx="149">
                  <c:v>30400</c:v>
                </c:pt>
                <c:pt idx="150">
                  <c:v>30400</c:v>
                </c:pt>
                <c:pt idx="151">
                  <c:v>30250</c:v>
                </c:pt>
                <c:pt idx="152">
                  <c:v>30550</c:v>
                </c:pt>
                <c:pt idx="153">
                  <c:v>30650</c:v>
                </c:pt>
                <c:pt idx="154">
                  <c:v>30550</c:v>
                </c:pt>
                <c:pt idx="155">
                  <c:v>30500</c:v>
                </c:pt>
                <c:pt idx="156">
                  <c:v>30500</c:v>
                </c:pt>
                <c:pt idx="157">
                  <c:v>30500</c:v>
                </c:pt>
                <c:pt idx="158">
                  <c:v>30250</c:v>
                </c:pt>
                <c:pt idx="159">
                  <c:v>30400</c:v>
                </c:pt>
                <c:pt idx="160">
                  <c:v>30250</c:v>
                </c:pt>
                <c:pt idx="161">
                  <c:v>30250</c:v>
                </c:pt>
                <c:pt idx="162">
                  <c:v>30250</c:v>
                </c:pt>
                <c:pt idx="163">
                  <c:v>30250</c:v>
                </c:pt>
                <c:pt idx="164">
                  <c:v>30250</c:v>
                </c:pt>
                <c:pt idx="165">
                  <c:v>30700</c:v>
                </c:pt>
                <c:pt idx="166">
                  <c:v>30700</c:v>
                </c:pt>
                <c:pt idx="167">
                  <c:v>30600</c:v>
                </c:pt>
                <c:pt idx="168">
                  <c:v>30250</c:v>
                </c:pt>
                <c:pt idx="169">
                  <c:v>30375</c:v>
                </c:pt>
                <c:pt idx="170">
                  <c:v>30375</c:v>
                </c:pt>
                <c:pt idx="171">
                  <c:v>30375</c:v>
                </c:pt>
                <c:pt idx="172">
                  <c:v>30550</c:v>
                </c:pt>
                <c:pt idx="173">
                  <c:v>30650</c:v>
                </c:pt>
                <c:pt idx="174">
                  <c:v>30750</c:v>
                </c:pt>
                <c:pt idx="175">
                  <c:v>30750</c:v>
                </c:pt>
                <c:pt idx="176">
                  <c:v>30850</c:v>
                </c:pt>
                <c:pt idx="177">
                  <c:v>30850</c:v>
                </c:pt>
                <c:pt idx="178">
                  <c:v>30850</c:v>
                </c:pt>
                <c:pt idx="179">
                  <c:v>30900</c:v>
                </c:pt>
                <c:pt idx="180">
                  <c:v>32500</c:v>
                </c:pt>
                <c:pt idx="181">
                  <c:v>32250</c:v>
                </c:pt>
                <c:pt idx="182">
                  <c:v>31750</c:v>
                </c:pt>
                <c:pt idx="183">
                  <c:v>31750</c:v>
                </c:pt>
                <c:pt idx="184">
                  <c:v>31750</c:v>
                </c:pt>
                <c:pt idx="185">
                  <c:v>31750</c:v>
                </c:pt>
                <c:pt idx="186">
                  <c:v>31750</c:v>
                </c:pt>
                <c:pt idx="187">
                  <c:v>31750</c:v>
                </c:pt>
                <c:pt idx="188">
                  <c:v>31750</c:v>
                </c:pt>
                <c:pt idx="189">
                  <c:v>31750</c:v>
                </c:pt>
                <c:pt idx="190">
                  <c:v>31750</c:v>
                </c:pt>
                <c:pt idx="191">
                  <c:v>31750</c:v>
                </c:pt>
                <c:pt idx="192">
                  <c:v>31750</c:v>
                </c:pt>
                <c:pt idx="193">
                  <c:v>31250</c:v>
                </c:pt>
                <c:pt idx="194">
                  <c:v>31250</c:v>
                </c:pt>
                <c:pt idx="195">
                  <c:v>31050</c:v>
                </c:pt>
                <c:pt idx="196">
                  <c:v>31050</c:v>
                </c:pt>
                <c:pt idx="197">
                  <c:v>30750</c:v>
                </c:pt>
                <c:pt idx="198">
                  <c:v>30750</c:v>
                </c:pt>
                <c:pt idx="199">
                  <c:v>30750</c:v>
                </c:pt>
                <c:pt idx="200">
                  <c:v>31000</c:v>
                </c:pt>
                <c:pt idx="201">
                  <c:v>30750</c:v>
                </c:pt>
                <c:pt idx="202">
                  <c:v>30750</c:v>
                </c:pt>
                <c:pt idx="203">
                  <c:v>30750</c:v>
                </c:pt>
                <c:pt idx="204">
                  <c:v>30750</c:v>
                </c:pt>
                <c:pt idx="205">
                  <c:v>30750</c:v>
                </c:pt>
                <c:pt idx="206">
                  <c:v>30750</c:v>
                </c:pt>
                <c:pt idx="207">
                  <c:v>30250</c:v>
                </c:pt>
                <c:pt idx="208">
                  <c:v>30500</c:v>
                </c:pt>
                <c:pt idx="209">
                  <c:v>30500</c:v>
                </c:pt>
                <c:pt idx="210">
                  <c:v>30500</c:v>
                </c:pt>
                <c:pt idx="211">
                  <c:v>30500</c:v>
                </c:pt>
                <c:pt idx="212">
                  <c:v>30500</c:v>
                </c:pt>
                <c:pt idx="213">
                  <c:v>30500</c:v>
                </c:pt>
                <c:pt idx="214">
                  <c:v>30500</c:v>
                </c:pt>
                <c:pt idx="215">
                  <c:v>30500</c:v>
                </c:pt>
                <c:pt idx="216">
                  <c:v>30525</c:v>
                </c:pt>
                <c:pt idx="217">
                  <c:v>30250</c:v>
                </c:pt>
                <c:pt idx="218">
                  <c:v>28500</c:v>
                </c:pt>
                <c:pt idx="219">
                  <c:v>28500</c:v>
                </c:pt>
                <c:pt idx="220">
                  <c:v>28500</c:v>
                </c:pt>
                <c:pt idx="221">
                  <c:v>29800</c:v>
                </c:pt>
                <c:pt idx="222">
                  <c:v>29800</c:v>
                </c:pt>
                <c:pt idx="223">
                  <c:v>30250</c:v>
                </c:pt>
                <c:pt idx="224">
                  <c:v>29900</c:v>
                </c:pt>
                <c:pt idx="225">
                  <c:v>29900</c:v>
                </c:pt>
                <c:pt idx="226">
                  <c:v>29900</c:v>
                </c:pt>
                <c:pt idx="227">
                  <c:v>29900</c:v>
                </c:pt>
                <c:pt idx="228">
                  <c:v>28100</c:v>
                </c:pt>
                <c:pt idx="229">
                  <c:v>28250</c:v>
                </c:pt>
                <c:pt idx="230">
                  <c:v>28500</c:v>
                </c:pt>
                <c:pt idx="231">
                  <c:v>28500</c:v>
                </c:pt>
                <c:pt idx="232">
                  <c:v>28500</c:v>
                </c:pt>
                <c:pt idx="233">
                  <c:v>28500</c:v>
                </c:pt>
                <c:pt idx="234">
                  <c:v>28500</c:v>
                </c:pt>
                <c:pt idx="235">
                  <c:v>28500</c:v>
                </c:pt>
                <c:pt idx="236">
                  <c:v>28500</c:v>
                </c:pt>
                <c:pt idx="237">
                  <c:v>28550</c:v>
                </c:pt>
                <c:pt idx="238">
                  <c:v>27750</c:v>
                </c:pt>
                <c:pt idx="239">
                  <c:v>28200</c:v>
                </c:pt>
                <c:pt idx="240">
                  <c:v>28200</c:v>
                </c:pt>
                <c:pt idx="241">
                  <c:v>28200</c:v>
                </c:pt>
                <c:pt idx="242">
                  <c:v>28200</c:v>
                </c:pt>
                <c:pt idx="243">
                  <c:v>27750</c:v>
                </c:pt>
                <c:pt idx="244">
                  <c:v>27750</c:v>
                </c:pt>
                <c:pt idx="245">
                  <c:v>27250</c:v>
                </c:pt>
                <c:pt idx="246">
                  <c:v>27750</c:v>
                </c:pt>
                <c:pt idx="247">
                  <c:v>27750</c:v>
                </c:pt>
                <c:pt idx="248">
                  <c:v>27750</c:v>
                </c:pt>
                <c:pt idx="249">
                  <c:v>27250</c:v>
                </c:pt>
                <c:pt idx="250">
                  <c:v>28250</c:v>
                </c:pt>
                <c:pt idx="251">
                  <c:v>27750</c:v>
                </c:pt>
                <c:pt idx="252">
                  <c:v>28250</c:v>
                </c:pt>
                <c:pt idx="253">
                  <c:v>28250</c:v>
                </c:pt>
                <c:pt idx="254">
                  <c:v>28250</c:v>
                </c:pt>
                <c:pt idx="255">
                  <c:v>28250</c:v>
                </c:pt>
                <c:pt idx="256">
                  <c:v>27750</c:v>
                </c:pt>
                <c:pt idx="257">
                  <c:v>27750</c:v>
                </c:pt>
                <c:pt idx="258">
                  <c:v>27750</c:v>
                </c:pt>
                <c:pt idx="259">
                  <c:v>27750</c:v>
                </c:pt>
                <c:pt idx="260">
                  <c:v>27750</c:v>
                </c:pt>
                <c:pt idx="261">
                  <c:v>27750</c:v>
                </c:pt>
                <c:pt idx="262">
                  <c:v>27750</c:v>
                </c:pt>
                <c:pt idx="263">
                  <c:v>27750</c:v>
                </c:pt>
                <c:pt idx="264">
                  <c:v>27750</c:v>
                </c:pt>
                <c:pt idx="265">
                  <c:v>27750</c:v>
                </c:pt>
                <c:pt idx="266">
                  <c:v>27750</c:v>
                </c:pt>
                <c:pt idx="267">
                  <c:v>27750</c:v>
                </c:pt>
                <c:pt idx="268">
                  <c:v>27750</c:v>
                </c:pt>
                <c:pt idx="269">
                  <c:v>27750</c:v>
                </c:pt>
                <c:pt idx="270">
                  <c:v>27750</c:v>
                </c:pt>
                <c:pt idx="271">
                  <c:v>27750</c:v>
                </c:pt>
                <c:pt idx="272">
                  <c:v>27750</c:v>
                </c:pt>
                <c:pt idx="273">
                  <c:v>27500</c:v>
                </c:pt>
                <c:pt idx="274">
                  <c:v>27500</c:v>
                </c:pt>
                <c:pt idx="275">
                  <c:v>27500</c:v>
                </c:pt>
                <c:pt idx="276">
                  <c:v>27500</c:v>
                </c:pt>
                <c:pt idx="277">
                  <c:v>27750</c:v>
                </c:pt>
                <c:pt idx="278">
                  <c:v>27750</c:v>
                </c:pt>
                <c:pt idx="279">
                  <c:v>27750</c:v>
                </c:pt>
                <c:pt idx="280">
                  <c:v>27750</c:v>
                </c:pt>
                <c:pt idx="281">
                  <c:v>27500</c:v>
                </c:pt>
                <c:pt idx="282">
                  <c:v>27500</c:v>
                </c:pt>
                <c:pt idx="283">
                  <c:v>27500</c:v>
                </c:pt>
                <c:pt idx="284">
                  <c:v>27500</c:v>
                </c:pt>
                <c:pt idx="285">
                  <c:v>27500</c:v>
                </c:pt>
                <c:pt idx="286">
                  <c:v>27500</c:v>
                </c:pt>
                <c:pt idx="287">
                  <c:v>27250</c:v>
                </c:pt>
                <c:pt idx="288">
                  <c:v>27750</c:v>
                </c:pt>
                <c:pt idx="289">
                  <c:v>27750</c:v>
                </c:pt>
                <c:pt idx="290">
                  <c:v>27750</c:v>
                </c:pt>
                <c:pt idx="291">
                  <c:v>27750</c:v>
                </c:pt>
                <c:pt idx="292">
                  <c:v>27750</c:v>
                </c:pt>
                <c:pt idx="293">
                  <c:v>27750</c:v>
                </c:pt>
                <c:pt idx="294">
                  <c:v>27250</c:v>
                </c:pt>
                <c:pt idx="295">
                  <c:v>27250</c:v>
                </c:pt>
                <c:pt idx="296">
                  <c:v>27250</c:v>
                </c:pt>
                <c:pt idx="297">
                  <c:v>27250</c:v>
                </c:pt>
                <c:pt idx="298">
                  <c:v>27500</c:v>
                </c:pt>
                <c:pt idx="299">
                  <c:v>27500</c:v>
                </c:pt>
                <c:pt idx="300">
                  <c:v>28000</c:v>
                </c:pt>
                <c:pt idx="301">
                  <c:v>27750</c:v>
                </c:pt>
                <c:pt idx="302">
                  <c:v>27000</c:v>
                </c:pt>
                <c:pt idx="303">
                  <c:v>27000</c:v>
                </c:pt>
                <c:pt idx="304">
                  <c:v>27000</c:v>
                </c:pt>
                <c:pt idx="305">
                  <c:v>26000</c:v>
                </c:pt>
                <c:pt idx="306">
                  <c:v>25750</c:v>
                </c:pt>
                <c:pt idx="307">
                  <c:v>25750</c:v>
                </c:pt>
                <c:pt idx="308">
                  <c:v>25450</c:v>
                </c:pt>
                <c:pt idx="309">
                  <c:v>26250</c:v>
                </c:pt>
                <c:pt idx="310">
                  <c:v>26250</c:v>
                </c:pt>
                <c:pt idx="311">
                  <c:v>26250</c:v>
                </c:pt>
                <c:pt idx="312">
                  <c:v>25750</c:v>
                </c:pt>
                <c:pt idx="313">
                  <c:v>25750</c:v>
                </c:pt>
                <c:pt idx="314">
                  <c:v>25750</c:v>
                </c:pt>
                <c:pt idx="315">
                  <c:v>24400</c:v>
                </c:pt>
                <c:pt idx="316">
                  <c:v>24050</c:v>
                </c:pt>
                <c:pt idx="317">
                  <c:v>24050</c:v>
                </c:pt>
                <c:pt idx="318">
                  <c:v>24050</c:v>
                </c:pt>
                <c:pt idx="319">
                  <c:v>23950</c:v>
                </c:pt>
                <c:pt idx="320">
                  <c:v>23750</c:v>
                </c:pt>
                <c:pt idx="321">
                  <c:v>23750</c:v>
                </c:pt>
                <c:pt idx="322">
                  <c:v>23250</c:v>
                </c:pt>
                <c:pt idx="323">
                  <c:v>23250</c:v>
                </c:pt>
              </c:numCache>
            </c:numRef>
          </c:val>
          <c:smooth val="0"/>
        </c:ser>
        <c:dLbls>
          <c:showLegendKey val="0"/>
          <c:showVal val="0"/>
          <c:showCatName val="0"/>
          <c:showSerName val="0"/>
          <c:showPercent val="0"/>
          <c:showBubbleSize val="0"/>
        </c:dLbls>
        <c:marker val="1"/>
        <c:smooth val="0"/>
        <c:axId val="259739008"/>
        <c:axId val="259737088"/>
      </c:lineChart>
      <c:dateAx>
        <c:axId val="259725184"/>
        <c:scaling>
          <c:orientation val="minMax"/>
        </c:scaling>
        <c:delete val="0"/>
        <c:axPos val="b"/>
        <c:numFmt formatCode="m/d/yyyy" sourceLinked="1"/>
        <c:majorTickMark val="out"/>
        <c:minorTickMark val="none"/>
        <c:tickLblPos val="nextTo"/>
        <c:txPr>
          <a:bodyPr/>
          <a:lstStyle/>
          <a:p>
            <a:pPr>
              <a:defRPr sz="1000"/>
            </a:pPr>
            <a:endParaRPr lang="zh-TW"/>
          </a:p>
        </c:txPr>
        <c:crossAx val="259726720"/>
        <c:crosses val="autoZero"/>
        <c:auto val="1"/>
        <c:lblOffset val="100"/>
        <c:baseTimeUnit val="days"/>
        <c:majorUnit val="1"/>
        <c:majorTimeUnit val="months"/>
        <c:minorUnit val="1"/>
        <c:minorTimeUnit val="months"/>
      </c:dateAx>
      <c:valAx>
        <c:axId val="259726720"/>
        <c:scaling>
          <c:orientation val="minMax"/>
        </c:scaling>
        <c:delete val="0"/>
        <c:axPos val="l"/>
        <c:majorGridlines/>
        <c:title>
          <c:tx>
            <c:rich>
              <a:bodyPr rot="0" vert="horz"/>
              <a:lstStyle/>
              <a:p>
                <a:pPr>
                  <a:defRPr/>
                </a:pPr>
                <a:r>
                  <a:rPr lang="zh-TW" altLang="en-US"/>
                  <a:t>鈷 長江</a:t>
                </a:r>
                <a:endParaRPr lang="en-US" altLang="zh-TW"/>
              </a:p>
              <a:p>
                <a:pPr>
                  <a:defRPr/>
                </a:pPr>
                <a:r>
                  <a:rPr lang="zh-TW" altLang="en-US"/>
                  <a:t>人民幣</a:t>
                </a:r>
                <a:r>
                  <a:rPr lang="en-US" altLang="zh-TW"/>
                  <a:t>/</a:t>
                </a:r>
                <a:r>
                  <a:rPr lang="zh-TW" altLang="en-US"/>
                  <a:t>公噸</a:t>
                </a:r>
                <a:endParaRPr lang="en-US" altLang="zh-TW"/>
              </a:p>
            </c:rich>
          </c:tx>
          <c:layout>
            <c:manualLayout>
              <c:xMode val="edge"/>
              <c:yMode val="edge"/>
              <c:x val="3.9164865034500999E-2"/>
              <c:y val="3.9415911169747096E-2"/>
            </c:manualLayout>
          </c:layout>
          <c:overlay val="0"/>
        </c:title>
        <c:numFmt formatCode="General" sourceLinked="1"/>
        <c:majorTickMark val="out"/>
        <c:minorTickMark val="none"/>
        <c:tickLblPos val="nextTo"/>
        <c:txPr>
          <a:bodyPr/>
          <a:lstStyle/>
          <a:p>
            <a:pPr>
              <a:defRPr sz="1000"/>
            </a:pPr>
            <a:endParaRPr lang="zh-TW"/>
          </a:p>
        </c:txPr>
        <c:crossAx val="259725184"/>
        <c:crosses val="autoZero"/>
        <c:crossBetween val="between"/>
      </c:valAx>
      <c:valAx>
        <c:axId val="259737088"/>
        <c:scaling>
          <c:orientation val="minMax"/>
        </c:scaling>
        <c:delete val="0"/>
        <c:axPos val="r"/>
        <c:title>
          <c:tx>
            <c:rich>
              <a:bodyPr rot="0" vert="horz"/>
              <a:lstStyle/>
              <a:p>
                <a:pPr>
                  <a:defRPr/>
                </a:pPr>
                <a:r>
                  <a:rPr lang="zh-TW" altLang="en-US"/>
                  <a:t>鈷 倫敦</a:t>
                </a:r>
                <a:r>
                  <a:rPr lang="en-US" altLang="zh-TW"/>
                  <a:t>LME</a:t>
                </a:r>
              </a:p>
              <a:p>
                <a:pPr>
                  <a:defRPr/>
                </a:pPr>
                <a:r>
                  <a:rPr lang="zh-TW" altLang="en-US"/>
                  <a:t>美元</a:t>
                </a:r>
                <a:r>
                  <a:rPr lang="en-US" altLang="zh-TW"/>
                  <a:t>/</a:t>
                </a:r>
                <a:r>
                  <a:rPr lang="zh-TW" altLang="en-US"/>
                  <a:t>公噸</a:t>
                </a:r>
              </a:p>
            </c:rich>
          </c:tx>
          <c:layout>
            <c:manualLayout>
              <c:xMode val="edge"/>
              <c:yMode val="edge"/>
              <c:x val="0.84092153349221832"/>
              <c:y val="4.1362383487538935E-2"/>
            </c:manualLayout>
          </c:layout>
          <c:overlay val="0"/>
        </c:title>
        <c:numFmt formatCode="General" sourceLinked="1"/>
        <c:majorTickMark val="out"/>
        <c:minorTickMark val="none"/>
        <c:tickLblPos val="nextTo"/>
        <c:txPr>
          <a:bodyPr/>
          <a:lstStyle/>
          <a:p>
            <a:pPr>
              <a:defRPr sz="1000"/>
            </a:pPr>
            <a:endParaRPr lang="zh-TW"/>
          </a:p>
        </c:txPr>
        <c:crossAx val="259739008"/>
        <c:crosses val="max"/>
        <c:crossBetween val="between"/>
      </c:valAx>
      <c:dateAx>
        <c:axId val="259739008"/>
        <c:scaling>
          <c:orientation val="minMax"/>
        </c:scaling>
        <c:delete val="1"/>
        <c:axPos val="b"/>
        <c:numFmt formatCode="m/d/yyyy" sourceLinked="1"/>
        <c:majorTickMark val="out"/>
        <c:minorTickMark val="none"/>
        <c:tickLblPos val="none"/>
        <c:crossAx val="259737088"/>
        <c:crosses val="autoZero"/>
        <c:auto val="1"/>
        <c:lblOffset val="100"/>
        <c:baseTimeUnit val="days"/>
        <c:majorUnit val="1"/>
        <c:minorUnit val="1"/>
      </c:dateAx>
    </c:plotArea>
    <c:legend>
      <c:legendPos val="b"/>
      <c:layout>
        <c:manualLayout>
          <c:xMode val="edge"/>
          <c:yMode val="edge"/>
          <c:x val="0.12877864538420064"/>
          <c:y val="0.89152952863165158"/>
          <c:w val="0.68137401672993669"/>
          <c:h val="9.6585603916204202E-2"/>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114459228681245E-2"/>
          <c:y val="8.3996539820959865E-2"/>
          <c:w val="0.85552325606841051"/>
          <c:h val="0.68860370413553484"/>
        </c:manualLayout>
      </c:layout>
      <c:lineChart>
        <c:grouping val="standard"/>
        <c:varyColors val="0"/>
        <c:ser>
          <c:idx val="0"/>
          <c:order val="0"/>
          <c:tx>
            <c:strRef>
              <c:f>CRU、廢鋼、小鋼胚、平板鋼類、長條鋼類!$P$1</c:f>
              <c:strCache>
                <c:ptCount val="1"/>
                <c:pt idx="0">
                  <c:v>CRU 全球鋼鐵價格指數(美元/其他)</c:v>
                </c:pt>
              </c:strCache>
            </c:strRef>
          </c:tx>
          <c:marker>
            <c:symbol val="none"/>
          </c:marker>
          <c:cat>
            <c:numRef>
              <c:f>CRU、廢鋼、小鋼胚、平板鋼類、長條鋼類!$O$216:$O$538</c:f>
              <c:numCache>
                <c:formatCode>m/d/yyyy</c:formatCode>
                <c:ptCount val="323"/>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numCache>
            </c:numRef>
          </c:cat>
          <c:val>
            <c:numRef>
              <c:f>CRU、廢鋼、小鋼胚、平板鋼類、長條鋼類!$P$216:$P$538</c:f>
              <c:numCache>
                <c:formatCode>General</c:formatCode>
                <c:ptCount val="323"/>
                <c:pt idx="0">
                  <c:v>149.73999999999998</c:v>
                </c:pt>
                <c:pt idx="1">
                  <c:v>160.55000000000001</c:v>
                </c:pt>
                <c:pt idx="2">
                  <c:v>160.55000000000001</c:v>
                </c:pt>
                <c:pt idx="3">
                  <c:v>160.55000000000001</c:v>
                </c:pt>
                <c:pt idx="4">
                  <c:v>160.55000000000001</c:v>
                </c:pt>
                <c:pt idx="5">
                  <c:v>160.55000000000001</c:v>
                </c:pt>
                <c:pt idx="6">
                  <c:v>160.55000000000001</c:v>
                </c:pt>
                <c:pt idx="7">
                  <c:v>160.55000000000001</c:v>
                </c:pt>
                <c:pt idx="8">
                  <c:v>159.16999999999999</c:v>
                </c:pt>
                <c:pt idx="9">
                  <c:v>159.16999999999999</c:v>
                </c:pt>
                <c:pt idx="10">
                  <c:v>159.16999999999999</c:v>
                </c:pt>
                <c:pt idx="11">
                  <c:v>155.33000000000001</c:v>
                </c:pt>
                <c:pt idx="12">
                  <c:v>155.33000000000001</c:v>
                </c:pt>
                <c:pt idx="13">
                  <c:v>155.33000000000001</c:v>
                </c:pt>
                <c:pt idx="14">
                  <c:v>155.33000000000001</c:v>
                </c:pt>
                <c:pt idx="15">
                  <c:v>155.33000000000001</c:v>
                </c:pt>
                <c:pt idx="16">
                  <c:v>155.33000000000001</c:v>
                </c:pt>
                <c:pt idx="17">
                  <c:v>155.33000000000001</c:v>
                </c:pt>
                <c:pt idx="18">
                  <c:v>155.33000000000001</c:v>
                </c:pt>
                <c:pt idx="19">
                  <c:v>155.33000000000001</c:v>
                </c:pt>
                <c:pt idx="20">
                  <c:v>155.33000000000001</c:v>
                </c:pt>
                <c:pt idx="21">
                  <c:v>155.33000000000001</c:v>
                </c:pt>
                <c:pt idx="22">
                  <c:v>154.13</c:v>
                </c:pt>
                <c:pt idx="23">
                  <c:v>154.13</c:v>
                </c:pt>
                <c:pt idx="24">
                  <c:v>154.13</c:v>
                </c:pt>
                <c:pt idx="25">
                  <c:v>154.13</c:v>
                </c:pt>
                <c:pt idx="26">
                  <c:v>154.13</c:v>
                </c:pt>
                <c:pt idx="27">
                  <c:v>154.13</c:v>
                </c:pt>
                <c:pt idx="28">
                  <c:v>154.13</c:v>
                </c:pt>
                <c:pt idx="29">
                  <c:v>153.25</c:v>
                </c:pt>
                <c:pt idx="30">
                  <c:v>153.25</c:v>
                </c:pt>
                <c:pt idx="31">
                  <c:v>153.25</c:v>
                </c:pt>
                <c:pt idx="32">
                  <c:v>153.25</c:v>
                </c:pt>
                <c:pt idx="33">
                  <c:v>153.25</c:v>
                </c:pt>
                <c:pt idx="34">
                  <c:v>153.25</c:v>
                </c:pt>
                <c:pt idx="35">
                  <c:v>153.25</c:v>
                </c:pt>
                <c:pt idx="36">
                  <c:v>151.96</c:v>
                </c:pt>
                <c:pt idx="37">
                  <c:v>151.96</c:v>
                </c:pt>
                <c:pt idx="38">
                  <c:v>151.96</c:v>
                </c:pt>
                <c:pt idx="39">
                  <c:v>151.96</c:v>
                </c:pt>
                <c:pt idx="40">
                  <c:v>151.96</c:v>
                </c:pt>
                <c:pt idx="41">
                  <c:v>151.96</c:v>
                </c:pt>
                <c:pt idx="42">
                  <c:v>151.96</c:v>
                </c:pt>
                <c:pt idx="43">
                  <c:v>150.41</c:v>
                </c:pt>
                <c:pt idx="44">
                  <c:v>150.41</c:v>
                </c:pt>
                <c:pt idx="45">
                  <c:v>150.41</c:v>
                </c:pt>
                <c:pt idx="46">
                  <c:v>150.41</c:v>
                </c:pt>
                <c:pt idx="47">
                  <c:v>150.41</c:v>
                </c:pt>
                <c:pt idx="48">
                  <c:v>150.41</c:v>
                </c:pt>
                <c:pt idx="49">
                  <c:v>150.41</c:v>
                </c:pt>
                <c:pt idx="50">
                  <c:v>148.39000000000001</c:v>
                </c:pt>
                <c:pt idx="51">
                  <c:v>148.39000000000001</c:v>
                </c:pt>
                <c:pt idx="52">
                  <c:v>148.39000000000001</c:v>
                </c:pt>
                <c:pt idx="53">
                  <c:v>148.39000000000001</c:v>
                </c:pt>
                <c:pt idx="54">
                  <c:v>148.39000000000001</c:v>
                </c:pt>
                <c:pt idx="55">
                  <c:v>148.39000000000001</c:v>
                </c:pt>
                <c:pt idx="56">
                  <c:v>148.39000000000001</c:v>
                </c:pt>
                <c:pt idx="57">
                  <c:v>148.39000000000001</c:v>
                </c:pt>
                <c:pt idx="58">
                  <c:v>148.39000000000001</c:v>
                </c:pt>
                <c:pt idx="59">
                  <c:v>148.39000000000001</c:v>
                </c:pt>
                <c:pt idx="60">
                  <c:v>148.39000000000001</c:v>
                </c:pt>
                <c:pt idx="61">
                  <c:v>148.39000000000001</c:v>
                </c:pt>
                <c:pt idx="62">
                  <c:v>148.39000000000001</c:v>
                </c:pt>
                <c:pt idx="63">
                  <c:v>148.39000000000001</c:v>
                </c:pt>
                <c:pt idx="64">
                  <c:v>147.37</c:v>
                </c:pt>
                <c:pt idx="65">
                  <c:v>147.37</c:v>
                </c:pt>
                <c:pt idx="66">
                  <c:v>147.37</c:v>
                </c:pt>
                <c:pt idx="67">
                  <c:v>147.37</c:v>
                </c:pt>
                <c:pt idx="68">
                  <c:v>147.37</c:v>
                </c:pt>
                <c:pt idx="69">
                  <c:v>147.37</c:v>
                </c:pt>
                <c:pt idx="70">
                  <c:v>147.37</c:v>
                </c:pt>
                <c:pt idx="71">
                  <c:v>146.79</c:v>
                </c:pt>
                <c:pt idx="72">
                  <c:v>146.79</c:v>
                </c:pt>
                <c:pt idx="73">
                  <c:v>146.79</c:v>
                </c:pt>
                <c:pt idx="74">
                  <c:v>146.79</c:v>
                </c:pt>
                <c:pt idx="75">
                  <c:v>146.79</c:v>
                </c:pt>
                <c:pt idx="76">
                  <c:v>146.79</c:v>
                </c:pt>
                <c:pt idx="77">
                  <c:v>146.79</c:v>
                </c:pt>
                <c:pt idx="78">
                  <c:v>147.38000000000005</c:v>
                </c:pt>
                <c:pt idx="79">
                  <c:v>147.38000000000005</c:v>
                </c:pt>
                <c:pt idx="80">
                  <c:v>147.38000000000005</c:v>
                </c:pt>
                <c:pt idx="81">
                  <c:v>147.38000000000005</c:v>
                </c:pt>
                <c:pt idx="82">
                  <c:v>147.38000000000005</c:v>
                </c:pt>
                <c:pt idx="83">
                  <c:v>147.38000000000005</c:v>
                </c:pt>
                <c:pt idx="84">
                  <c:v>147.38000000000005</c:v>
                </c:pt>
                <c:pt idx="85">
                  <c:v>148.28</c:v>
                </c:pt>
                <c:pt idx="86">
                  <c:v>148.28</c:v>
                </c:pt>
                <c:pt idx="87">
                  <c:v>148.28</c:v>
                </c:pt>
                <c:pt idx="88">
                  <c:v>148.28</c:v>
                </c:pt>
                <c:pt idx="89">
                  <c:v>148.28</c:v>
                </c:pt>
                <c:pt idx="90">
                  <c:v>148.28</c:v>
                </c:pt>
                <c:pt idx="91">
                  <c:v>148.28</c:v>
                </c:pt>
                <c:pt idx="92">
                  <c:v>147.65</c:v>
                </c:pt>
                <c:pt idx="93">
                  <c:v>147.65</c:v>
                </c:pt>
                <c:pt idx="94">
                  <c:v>147.65</c:v>
                </c:pt>
                <c:pt idx="95">
                  <c:v>147.65</c:v>
                </c:pt>
                <c:pt idx="96">
                  <c:v>147.65</c:v>
                </c:pt>
                <c:pt idx="97">
                  <c:v>147.65</c:v>
                </c:pt>
                <c:pt idx="98">
                  <c:v>147.65</c:v>
                </c:pt>
                <c:pt idx="99">
                  <c:v>145.63</c:v>
                </c:pt>
                <c:pt idx="100">
                  <c:v>145.63</c:v>
                </c:pt>
                <c:pt idx="101">
                  <c:v>145.63</c:v>
                </c:pt>
                <c:pt idx="102">
                  <c:v>145.63</c:v>
                </c:pt>
                <c:pt idx="103">
                  <c:v>145.63</c:v>
                </c:pt>
                <c:pt idx="104">
                  <c:v>145.63</c:v>
                </c:pt>
                <c:pt idx="105">
                  <c:v>145.63</c:v>
                </c:pt>
                <c:pt idx="106">
                  <c:v>145.31</c:v>
                </c:pt>
                <c:pt idx="107">
                  <c:v>145.31</c:v>
                </c:pt>
                <c:pt idx="108">
                  <c:v>145.31</c:v>
                </c:pt>
                <c:pt idx="109">
                  <c:v>145.31</c:v>
                </c:pt>
                <c:pt idx="110">
                  <c:v>145.31</c:v>
                </c:pt>
                <c:pt idx="111">
                  <c:v>145.31</c:v>
                </c:pt>
                <c:pt idx="112">
                  <c:v>145.31</c:v>
                </c:pt>
                <c:pt idx="113">
                  <c:v>144.76999999999998</c:v>
                </c:pt>
                <c:pt idx="114">
                  <c:v>144.76999999999998</c:v>
                </c:pt>
                <c:pt idx="115">
                  <c:v>144.76999999999998</c:v>
                </c:pt>
                <c:pt idx="116">
                  <c:v>144.76999999999998</c:v>
                </c:pt>
                <c:pt idx="117">
                  <c:v>144.76999999999998</c:v>
                </c:pt>
                <c:pt idx="118">
                  <c:v>144.76999999999998</c:v>
                </c:pt>
                <c:pt idx="119">
                  <c:v>144.76999999999998</c:v>
                </c:pt>
                <c:pt idx="120">
                  <c:v>144.97999999999999</c:v>
                </c:pt>
                <c:pt idx="121">
                  <c:v>144.97999999999999</c:v>
                </c:pt>
                <c:pt idx="122">
                  <c:v>144.97999999999999</c:v>
                </c:pt>
                <c:pt idx="123">
                  <c:v>144.97999999999999</c:v>
                </c:pt>
                <c:pt idx="124">
                  <c:v>144.97999999999999</c:v>
                </c:pt>
                <c:pt idx="125">
                  <c:v>144.97999999999999</c:v>
                </c:pt>
                <c:pt idx="126">
                  <c:v>144.97999999999999</c:v>
                </c:pt>
                <c:pt idx="127">
                  <c:v>144.66</c:v>
                </c:pt>
                <c:pt idx="128">
                  <c:v>144.66</c:v>
                </c:pt>
                <c:pt idx="129">
                  <c:v>144.66</c:v>
                </c:pt>
                <c:pt idx="130">
                  <c:v>144.66</c:v>
                </c:pt>
                <c:pt idx="131">
                  <c:v>144.66</c:v>
                </c:pt>
                <c:pt idx="132">
                  <c:v>144.66</c:v>
                </c:pt>
                <c:pt idx="133">
                  <c:v>144.66</c:v>
                </c:pt>
                <c:pt idx="134">
                  <c:v>144.33000000000001</c:v>
                </c:pt>
                <c:pt idx="135">
                  <c:v>144.33000000000001</c:v>
                </c:pt>
                <c:pt idx="136">
                  <c:v>144.33000000000001</c:v>
                </c:pt>
                <c:pt idx="137">
                  <c:v>144.33000000000001</c:v>
                </c:pt>
                <c:pt idx="138">
                  <c:v>144.33000000000001</c:v>
                </c:pt>
                <c:pt idx="139">
                  <c:v>144.33000000000001</c:v>
                </c:pt>
                <c:pt idx="140">
                  <c:v>144.33000000000001</c:v>
                </c:pt>
                <c:pt idx="141">
                  <c:v>143.78</c:v>
                </c:pt>
                <c:pt idx="142">
                  <c:v>143.78</c:v>
                </c:pt>
                <c:pt idx="143">
                  <c:v>143.78</c:v>
                </c:pt>
                <c:pt idx="144">
                  <c:v>143.78</c:v>
                </c:pt>
                <c:pt idx="145">
                  <c:v>143.78</c:v>
                </c:pt>
                <c:pt idx="146">
                  <c:v>143.78</c:v>
                </c:pt>
                <c:pt idx="147">
                  <c:v>143.78</c:v>
                </c:pt>
                <c:pt idx="148">
                  <c:v>143.07</c:v>
                </c:pt>
                <c:pt idx="149">
                  <c:v>143.07</c:v>
                </c:pt>
                <c:pt idx="150">
                  <c:v>143.07</c:v>
                </c:pt>
                <c:pt idx="151">
                  <c:v>143.07</c:v>
                </c:pt>
                <c:pt idx="152">
                  <c:v>143.07</c:v>
                </c:pt>
                <c:pt idx="153">
                  <c:v>143.07</c:v>
                </c:pt>
                <c:pt idx="154">
                  <c:v>143.07</c:v>
                </c:pt>
                <c:pt idx="155">
                  <c:v>142.13</c:v>
                </c:pt>
                <c:pt idx="156">
                  <c:v>142.13</c:v>
                </c:pt>
                <c:pt idx="157">
                  <c:v>142.13</c:v>
                </c:pt>
                <c:pt idx="158">
                  <c:v>142.13</c:v>
                </c:pt>
                <c:pt idx="159">
                  <c:v>142.13</c:v>
                </c:pt>
                <c:pt idx="160">
                  <c:v>142.13</c:v>
                </c:pt>
                <c:pt idx="161">
                  <c:v>142.13</c:v>
                </c:pt>
                <c:pt idx="162">
                  <c:v>141.30000000000001</c:v>
                </c:pt>
                <c:pt idx="163">
                  <c:v>141.30000000000001</c:v>
                </c:pt>
                <c:pt idx="164">
                  <c:v>141.30000000000001</c:v>
                </c:pt>
                <c:pt idx="165">
                  <c:v>141.30000000000001</c:v>
                </c:pt>
                <c:pt idx="166">
                  <c:v>141.30000000000001</c:v>
                </c:pt>
                <c:pt idx="167">
                  <c:v>141.30000000000001</c:v>
                </c:pt>
                <c:pt idx="168">
                  <c:v>141.30000000000001</c:v>
                </c:pt>
                <c:pt idx="169">
                  <c:v>140.30000000000001</c:v>
                </c:pt>
                <c:pt idx="170">
                  <c:v>140.30000000000001</c:v>
                </c:pt>
                <c:pt idx="171">
                  <c:v>140.30000000000001</c:v>
                </c:pt>
                <c:pt idx="172">
                  <c:v>140.30000000000001</c:v>
                </c:pt>
                <c:pt idx="173">
                  <c:v>140.30000000000001</c:v>
                </c:pt>
                <c:pt idx="174">
                  <c:v>140.30000000000001</c:v>
                </c:pt>
                <c:pt idx="175">
                  <c:v>140.30000000000001</c:v>
                </c:pt>
                <c:pt idx="176">
                  <c:v>139.30000000000001</c:v>
                </c:pt>
                <c:pt idx="177">
                  <c:v>139.30000000000001</c:v>
                </c:pt>
                <c:pt idx="178">
                  <c:v>139.30000000000001</c:v>
                </c:pt>
                <c:pt idx="179">
                  <c:v>139.30000000000001</c:v>
                </c:pt>
                <c:pt idx="180">
                  <c:v>139.30000000000001</c:v>
                </c:pt>
                <c:pt idx="181">
                  <c:v>139.30000000000001</c:v>
                </c:pt>
                <c:pt idx="182">
                  <c:v>139.30000000000001</c:v>
                </c:pt>
                <c:pt idx="183">
                  <c:v>137.9</c:v>
                </c:pt>
                <c:pt idx="184">
                  <c:v>137.9</c:v>
                </c:pt>
                <c:pt idx="185">
                  <c:v>137.9</c:v>
                </c:pt>
                <c:pt idx="186">
                  <c:v>137.9</c:v>
                </c:pt>
                <c:pt idx="187">
                  <c:v>137.9</c:v>
                </c:pt>
                <c:pt idx="188">
                  <c:v>137.9</c:v>
                </c:pt>
                <c:pt idx="189">
                  <c:v>137.9</c:v>
                </c:pt>
                <c:pt idx="190">
                  <c:v>136.4</c:v>
                </c:pt>
                <c:pt idx="191">
                  <c:v>136.4</c:v>
                </c:pt>
                <c:pt idx="192">
                  <c:v>136.4</c:v>
                </c:pt>
                <c:pt idx="193">
                  <c:v>136.4</c:v>
                </c:pt>
                <c:pt idx="194">
                  <c:v>136.4</c:v>
                </c:pt>
                <c:pt idx="195">
                  <c:v>136.4</c:v>
                </c:pt>
                <c:pt idx="196">
                  <c:v>136.4</c:v>
                </c:pt>
                <c:pt idx="197">
                  <c:v>135.69999999999999</c:v>
                </c:pt>
                <c:pt idx="198">
                  <c:v>135.69999999999999</c:v>
                </c:pt>
                <c:pt idx="199">
                  <c:v>135.69999999999999</c:v>
                </c:pt>
                <c:pt idx="200">
                  <c:v>135.69999999999999</c:v>
                </c:pt>
                <c:pt idx="201">
                  <c:v>135.69999999999999</c:v>
                </c:pt>
                <c:pt idx="202">
                  <c:v>135.69999999999999</c:v>
                </c:pt>
                <c:pt idx="203">
                  <c:v>135.69999999999999</c:v>
                </c:pt>
                <c:pt idx="204">
                  <c:v>135.6</c:v>
                </c:pt>
                <c:pt idx="205">
                  <c:v>135.6</c:v>
                </c:pt>
                <c:pt idx="206">
                  <c:v>135.6</c:v>
                </c:pt>
                <c:pt idx="207">
                  <c:v>135.6</c:v>
                </c:pt>
                <c:pt idx="208">
                  <c:v>135.6</c:v>
                </c:pt>
                <c:pt idx="209">
                  <c:v>135.6</c:v>
                </c:pt>
                <c:pt idx="210">
                  <c:v>135.6</c:v>
                </c:pt>
                <c:pt idx="211">
                  <c:v>135.9</c:v>
                </c:pt>
                <c:pt idx="212">
                  <c:v>135.9</c:v>
                </c:pt>
                <c:pt idx="213">
                  <c:v>135.9</c:v>
                </c:pt>
                <c:pt idx="214">
                  <c:v>135.9</c:v>
                </c:pt>
                <c:pt idx="215">
                  <c:v>135.9</c:v>
                </c:pt>
                <c:pt idx="216">
                  <c:v>135.9</c:v>
                </c:pt>
                <c:pt idx="217">
                  <c:v>135.9</c:v>
                </c:pt>
                <c:pt idx="218">
                  <c:v>137.4</c:v>
                </c:pt>
                <c:pt idx="219">
                  <c:v>137.4</c:v>
                </c:pt>
                <c:pt idx="220">
                  <c:v>137.4</c:v>
                </c:pt>
                <c:pt idx="221">
                  <c:v>137.4</c:v>
                </c:pt>
                <c:pt idx="222">
                  <c:v>137.4</c:v>
                </c:pt>
                <c:pt idx="223">
                  <c:v>137.4</c:v>
                </c:pt>
                <c:pt idx="224">
                  <c:v>137.4</c:v>
                </c:pt>
                <c:pt idx="225">
                  <c:v>137.30000000000001</c:v>
                </c:pt>
                <c:pt idx="226">
                  <c:v>137.30000000000001</c:v>
                </c:pt>
                <c:pt idx="227">
                  <c:v>137.30000000000001</c:v>
                </c:pt>
                <c:pt idx="228">
                  <c:v>137.30000000000001</c:v>
                </c:pt>
                <c:pt idx="229">
                  <c:v>137.30000000000001</c:v>
                </c:pt>
                <c:pt idx="230">
                  <c:v>137.30000000000001</c:v>
                </c:pt>
                <c:pt idx="231">
                  <c:v>137.30000000000001</c:v>
                </c:pt>
                <c:pt idx="232">
                  <c:v>136</c:v>
                </c:pt>
                <c:pt idx="233">
                  <c:v>136</c:v>
                </c:pt>
                <c:pt idx="234">
                  <c:v>136</c:v>
                </c:pt>
                <c:pt idx="235">
                  <c:v>136</c:v>
                </c:pt>
                <c:pt idx="236">
                  <c:v>136</c:v>
                </c:pt>
                <c:pt idx="237">
                  <c:v>136</c:v>
                </c:pt>
                <c:pt idx="238">
                  <c:v>136</c:v>
                </c:pt>
                <c:pt idx="239">
                  <c:v>134.69999999999999</c:v>
                </c:pt>
                <c:pt idx="240">
                  <c:v>134.69999999999999</c:v>
                </c:pt>
                <c:pt idx="241">
                  <c:v>134.69999999999999</c:v>
                </c:pt>
                <c:pt idx="242">
                  <c:v>134.69999999999999</c:v>
                </c:pt>
                <c:pt idx="243">
                  <c:v>134.69999999999999</c:v>
                </c:pt>
                <c:pt idx="244">
                  <c:v>134.69999999999999</c:v>
                </c:pt>
                <c:pt idx="245">
                  <c:v>134.69999999999999</c:v>
                </c:pt>
                <c:pt idx="246">
                  <c:v>133.69999999999999</c:v>
                </c:pt>
                <c:pt idx="247">
                  <c:v>133.69999999999999</c:v>
                </c:pt>
                <c:pt idx="248">
                  <c:v>133.69999999999999</c:v>
                </c:pt>
                <c:pt idx="249">
                  <c:v>133.69999999999999</c:v>
                </c:pt>
                <c:pt idx="250">
                  <c:v>133.69999999999999</c:v>
                </c:pt>
                <c:pt idx="251">
                  <c:v>133.69999999999999</c:v>
                </c:pt>
                <c:pt idx="252">
                  <c:v>133.69999999999999</c:v>
                </c:pt>
                <c:pt idx="253">
                  <c:v>132.5</c:v>
                </c:pt>
                <c:pt idx="254">
                  <c:v>132.5</c:v>
                </c:pt>
                <c:pt idx="255">
                  <c:v>132.5</c:v>
                </c:pt>
                <c:pt idx="256">
                  <c:v>132.5</c:v>
                </c:pt>
                <c:pt idx="257">
                  <c:v>132.5</c:v>
                </c:pt>
                <c:pt idx="258">
                  <c:v>132.5</c:v>
                </c:pt>
                <c:pt idx="259">
                  <c:v>132.5</c:v>
                </c:pt>
                <c:pt idx="260">
                  <c:v>131.1</c:v>
                </c:pt>
                <c:pt idx="261">
                  <c:v>131.1</c:v>
                </c:pt>
                <c:pt idx="262">
                  <c:v>131.1</c:v>
                </c:pt>
                <c:pt idx="263">
                  <c:v>131.1</c:v>
                </c:pt>
                <c:pt idx="264">
                  <c:v>131.1</c:v>
                </c:pt>
                <c:pt idx="265">
                  <c:v>131.1</c:v>
                </c:pt>
                <c:pt idx="266">
                  <c:v>131.1</c:v>
                </c:pt>
                <c:pt idx="267">
                  <c:v>130.1</c:v>
                </c:pt>
                <c:pt idx="268">
                  <c:v>130.1</c:v>
                </c:pt>
                <c:pt idx="269">
                  <c:v>130.1</c:v>
                </c:pt>
                <c:pt idx="270">
                  <c:v>130.1</c:v>
                </c:pt>
                <c:pt idx="271">
                  <c:v>130.1</c:v>
                </c:pt>
                <c:pt idx="272">
                  <c:v>130.1</c:v>
                </c:pt>
                <c:pt idx="273">
                  <c:v>130.1</c:v>
                </c:pt>
                <c:pt idx="274">
                  <c:v>128.69999999999999</c:v>
                </c:pt>
                <c:pt idx="275">
                  <c:v>128.69999999999999</c:v>
                </c:pt>
                <c:pt idx="276">
                  <c:v>128.69999999999999</c:v>
                </c:pt>
                <c:pt idx="277">
                  <c:v>128.69999999999999</c:v>
                </c:pt>
                <c:pt idx="278">
                  <c:v>128.69999999999999</c:v>
                </c:pt>
                <c:pt idx="279">
                  <c:v>128.69999999999999</c:v>
                </c:pt>
                <c:pt idx="280">
                  <c:v>128.69999999999999</c:v>
                </c:pt>
                <c:pt idx="281">
                  <c:v>127.1</c:v>
                </c:pt>
                <c:pt idx="282">
                  <c:v>127.1</c:v>
                </c:pt>
                <c:pt idx="283">
                  <c:v>127.1</c:v>
                </c:pt>
                <c:pt idx="284">
                  <c:v>127.1</c:v>
                </c:pt>
                <c:pt idx="285">
                  <c:v>127.1</c:v>
                </c:pt>
                <c:pt idx="286">
                  <c:v>127.1</c:v>
                </c:pt>
                <c:pt idx="287">
                  <c:v>127.1</c:v>
                </c:pt>
                <c:pt idx="288">
                  <c:v>126</c:v>
                </c:pt>
                <c:pt idx="289">
                  <c:v>126</c:v>
                </c:pt>
                <c:pt idx="290">
                  <c:v>126</c:v>
                </c:pt>
                <c:pt idx="291">
                  <c:v>126</c:v>
                </c:pt>
                <c:pt idx="292">
                  <c:v>126</c:v>
                </c:pt>
                <c:pt idx="293">
                  <c:v>126</c:v>
                </c:pt>
                <c:pt idx="294">
                  <c:v>126</c:v>
                </c:pt>
                <c:pt idx="295">
                  <c:v>124.7</c:v>
                </c:pt>
                <c:pt idx="296">
                  <c:v>124.7</c:v>
                </c:pt>
                <c:pt idx="297">
                  <c:v>124.7</c:v>
                </c:pt>
                <c:pt idx="298">
                  <c:v>124.7</c:v>
                </c:pt>
                <c:pt idx="299">
                  <c:v>124.7</c:v>
                </c:pt>
                <c:pt idx="300">
                  <c:v>124.7</c:v>
                </c:pt>
                <c:pt idx="301">
                  <c:v>124.7</c:v>
                </c:pt>
                <c:pt idx="302">
                  <c:v>123.316</c:v>
                </c:pt>
                <c:pt idx="303">
                  <c:v>123.316</c:v>
                </c:pt>
                <c:pt idx="304">
                  <c:v>123.316</c:v>
                </c:pt>
                <c:pt idx="305">
                  <c:v>123.316</c:v>
                </c:pt>
                <c:pt idx="306">
                  <c:v>123.316</c:v>
                </c:pt>
                <c:pt idx="307">
                  <c:v>123.316</c:v>
                </c:pt>
                <c:pt idx="308">
                  <c:v>123.316</c:v>
                </c:pt>
                <c:pt idx="309">
                  <c:v>122</c:v>
                </c:pt>
                <c:pt idx="310">
                  <c:v>122</c:v>
                </c:pt>
                <c:pt idx="311">
                  <c:v>122</c:v>
                </c:pt>
                <c:pt idx="312">
                  <c:v>122</c:v>
                </c:pt>
                <c:pt idx="313">
                  <c:v>122</c:v>
                </c:pt>
                <c:pt idx="314">
                  <c:v>122</c:v>
                </c:pt>
                <c:pt idx="315">
                  <c:v>122</c:v>
                </c:pt>
                <c:pt idx="316">
                  <c:v>121.2</c:v>
                </c:pt>
                <c:pt idx="317">
                  <c:v>121.2</c:v>
                </c:pt>
                <c:pt idx="318">
                  <c:v>121.2</c:v>
                </c:pt>
                <c:pt idx="319">
                  <c:v>121.2</c:v>
                </c:pt>
                <c:pt idx="320">
                  <c:v>121.2</c:v>
                </c:pt>
                <c:pt idx="321">
                  <c:v>121.2</c:v>
                </c:pt>
                <c:pt idx="322">
                  <c:v>121.2</c:v>
                </c:pt>
              </c:numCache>
            </c:numRef>
          </c:val>
          <c:smooth val="0"/>
        </c:ser>
        <c:dLbls>
          <c:showLegendKey val="0"/>
          <c:showVal val="0"/>
          <c:showCatName val="0"/>
          <c:showSerName val="0"/>
          <c:showPercent val="0"/>
          <c:showBubbleSize val="0"/>
        </c:dLbls>
        <c:marker val="1"/>
        <c:smooth val="0"/>
        <c:axId val="259750912"/>
        <c:axId val="259769088"/>
      </c:lineChart>
      <c:dateAx>
        <c:axId val="259750912"/>
        <c:scaling>
          <c:orientation val="minMax"/>
          <c:max val="42328"/>
        </c:scaling>
        <c:delete val="0"/>
        <c:axPos val="b"/>
        <c:numFmt formatCode="m/d/yyyy" sourceLinked="1"/>
        <c:majorTickMark val="out"/>
        <c:minorTickMark val="none"/>
        <c:tickLblPos val="nextTo"/>
        <c:crossAx val="259769088"/>
        <c:crosses val="autoZero"/>
        <c:auto val="1"/>
        <c:lblOffset val="100"/>
        <c:baseTimeUnit val="days"/>
        <c:majorUnit val="1"/>
        <c:majorTimeUnit val="months"/>
        <c:minorUnit val="1"/>
        <c:minorTimeUnit val="months"/>
      </c:dateAx>
      <c:valAx>
        <c:axId val="259769088"/>
        <c:scaling>
          <c:orientation val="minMax"/>
          <c:max val="165"/>
          <c:min val="115"/>
        </c:scaling>
        <c:delete val="0"/>
        <c:axPos val="l"/>
        <c:majorGridlines/>
        <c:numFmt formatCode="General" sourceLinked="1"/>
        <c:majorTickMark val="out"/>
        <c:minorTickMark val="none"/>
        <c:tickLblPos val="nextTo"/>
        <c:crossAx val="259750912"/>
        <c:crosses val="autoZero"/>
        <c:crossBetween val="between"/>
        <c:majorUnit val="5"/>
      </c:valAx>
    </c:plotArea>
    <c:legend>
      <c:legendPos val="b"/>
      <c:layout>
        <c:manualLayout>
          <c:xMode val="edge"/>
          <c:yMode val="edge"/>
          <c:x val="0.2485025892925139"/>
          <c:y val="0.92800322782095757"/>
          <c:w val="0.50299482141497232"/>
          <c:h val="7.199677217904249E-2"/>
        </c:manualLayout>
      </c:layout>
      <c:overlay val="0"/>
    </c:legend>
    <c:plotVisOnly val="1"/>
    <c:dispBlanksAs val="gap"/>
    <c:showDLblsOverMax val="0"/>
  </c:chart>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6047443454829722E-2"/>
          <c:y val="2.9302082028356744E-2"/>
          <c:w val="0.88003332654623856"/>
          <c:h val="0.6730369334186479"/>
        </c:manualLayout>
      </c:layout>
      <c:lineChart>
        <c:grouping val="standard"/>
        <c:varyColors val="0"/>
        <c:ser>
          <c:idx val="0"/>
          <c:order val="0"/>
          <c:tx>
            <c:strRef>
              <c:f>CRU、廢鋼、小鋼胚、平板鋼類、長條鋼類!$Q$1</c:f>
              <c:strCache>
                <c:ptCount val="1"/>
                <c:pt idx="0">
                  <c:v>廢鋼 沖床料 台灣北部 未稅收購價(美元/公噸)</c:v>
                </c:pt>
              </c:strCache>
            </c:strRef>
          </c:tx>
          <c:spPr>
            <a:ln>
              <a:prstDash val="sysDash"/>
            </a:ln>
          </c:spPr>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CRU、廢鋼、小鋼胚、平板鋼類、長條鋼類!$Q$216:$Q$539</c:f>
              <c:numCache>
                <c:formatCode>General</c:formatCode>
                <c:ptCount val="324"/>
                <c:pt idx="0">
                  <c:v>260</c:v>
                </c:pt>
                <c:pt idx="1">
                  <c:v>260</c:v>
                </c:pt>
                <c:pt idx="2">
                  <c:v>260</c:v>
                </c:pt>
                <c:pt idx="3">
                  <c:v>260</c:v>
                </c:pt>
                <c:pt idx="4">
                  <c:v>260</c:v>
                </c:pt>
                <c:pt idx="5">
                  <c:v>260</c:v>
                </c:pt>
                <c:pt idx="6">
                  <c:v>260</c:v>
                </c:pt>
                <c:pt idx="7">
                  <c:v>260</c:v>
                </c:pt>
                <c:pt idx="8">
                  <c:v>260</c:v>
                </c:pt>
                <c:pt idx="9">
                  <c:v>260</c:v>
                </c:pt>
                <c:pt idx="10">
                  <c:v>260</c:v>
                </c:pt>
                <c:pt idx="11">
                  <c:v>260</c:v>
                </c:pt>
                <c:pt idx="12">
                  <c:v>260</c:v>
                </c:pt>
                <c:pt idx="13">
                  <c:v>260</c:v>
                </c:pt>
                <c:pt idx="14">
                  <c:v>260</c:v>
                </c:pt>
                <c:pt idx="15">
                  <c:v>260</c:v>
                </c:pt>
                <c:pt idx="16">
                  <c:v>260</c:v>
                </c:pt>
                <c:pt idx="17">
                  <c:v>260</c:v>
                </c:pt>
                <c:pt idx="18">
                  <c:v>260</c:v>
                </c:pt>
                <c:pt idx="19">
                  <c:v>260</c:v>
                </c:pt>
                <c:pt idx="20">
                  <c:v>260</c:v>
                </c:pt>
                <c:pt idx="21">
                  <c:v>260</c:v>
                </c:pt>
                <c:pt idx="22">
                  <c:v>260</c:v>
                </c:pt>
                <c:pt idx="23">
                  <c:v>260</c:v>
                </c:pt>
                <c:pt idx="24">
                  <c:v>260</c:v>
                </c:pt>
                <c:pt idx="25">
                  <c:v>260</c:v>
                </c:pt>
                <c:pt idx="26">
                  <c:v>260</c:v>
                </c:pt>
                <c:pt idx="27">
                  <c:v>260</c:v>
                </c:pt>
                <c:pt idx="28">
                  <c:v>250</c:v>
                </c:pt>
                <c:pt idx="29">
                  <c:v>250</c:v>
                </c:pt>
                <c:pt idx="30">
                  <c:v>250</c:v>
                </c:pt>
                <c:pt idx="31">
                  <c:v>250</c:v>
                </c:pt>
                <c:pt idx="32">
                  <c:v>250</c:v>
                </c:pt>
                <c:pt idx="33">
                  <c:v>250</c:v>
                </c:pt>
                <c:pt idx="34">
                  <c:v>250</c:v>
                </c:pt>
                <c:pt idx="35">
                  <c:v>250</c:v>
                </c:pt>
                <c:pt idx="36">
                  <c:v>250</c:v>
                </c:pt>
                <c:pt idx="37">
                  <c:v>250</c:v>
                </c:pt>
                <c:pt idx="38">
                  <c:v>250</c:v>
                </c:pt>
                <c:pt idx="39">
                  <c:v>240</c:v>
                </c:pt>
                <c:pt idx="40">
                  <c:v>240</c:v>
                </c:pt>
                <c:pt idx="41">
                  <c:v>240</c:v>
                </c:pt>
                <c:pt idx="42">
                  <c:v>240</c:v>
                </c:pt>
                <c:pt idx="43">
                  <c:v>240</c:v>
                </c:pt>
                <c:pt idx="44">
                  <c:v>240</c:v>
                </c:pt>
                <c:pt idx="45">
                  <c:v>240</c:v>
                </c:pt>
                <c:pt idx="46">
                  <c:v>240</c:v>
                </c:pt>
                <c:pt idx="47">
                  <c:v>240</c:v>
                </c:pt>
                <c:pt idx="48">
                  <c:v>240</c:v>
                </c:pt>
                <c:pt idx="49">
                  <c:v>240</c:v>
                </c:pt>
                <c:pt idx="50">
                  <c:v>240</c:v>
                </c:pt>
                <c:pt idx="51">
                  <c:v>240</c:v>
                </c:pt>
                <c:pt idx="52">
                  <c:v>240</c:v>
                </c:pt>
                <c:pt idx="53">
                  <c:v>240</c:v>
                </c:pt>
                <c:pt idx="54">
                  <c:v>240</c:v>
                </c:pt>
                <c:pt idx="55">
                  <c:v>240</c:v>
                </c:pt>
                <c:pt idx="56">
                  <c:v>240</c:v>
                </c:pt>
                <c:pt idx="57">
                  <c:v>240</c:v>
                </c:pt>
                <c:pt idx="58">
                  <c:v>240</c:v>
                </c:pt>
                <c:pt idx="59">
                  <c:v>240</c:v>
                </c:pt>
                <c:pt idx="60">
                  <c:v>233.3333333333334</c:v>
                </c:pt>
                <c:pt idx="61">
                  <c:v>233.3333333333334</c:v>
                </c:pt>
                <c:pt idx="62">
                  <c:v>233.3333333333334</c:v>
                </c:pt>
                <c:pt idx="63">
                  <c:v>233.3333333333334</c:v>
                </c:pt>
                <c:pt idx="64">
                  <c:v>233.3333333333334</c:v>
                </c:pt>
                <c:pt idx="65">
                  <c:v>233.3333333333334</c:v>
                </c:pt>
                <c:pt idx="66">
                  <c:v>233.3333333333334</c:v>
                </c:pt>
                <c:pt idx="67">
                  <c:v>233.3333333333334</c:v>
                </c:pt>
                <c:pt idx="68">
                  <c:v>233.3333333333334</c:v>
                </c:pt>
                <c:pt idx="69">
                  <c:v>233.3333333333334</c:v>
                </c:pt>
                <c:pt idx="70">
                  <c:v>233.3333333333334</c:v>
                </c:pt>
                <c:pt idx="71">
                  <c:v>233.3333333333334</c:v>
                </c:pt>
                <c:pt idx="72">
                  <c:v>233.3333333333334</c:v>
                </c:pt>
                <c:pt idx="73">
                  <c:v>233.3333333333334</c:v>
                </c:pt>
                <c:pt idx="74">
                  <c:v>233.3333333333334</c:v>
                </c:pt>
                <c:pt idx="75">
                  <c:v>233.3333333333334</c:v>
                </c:pt>
                <c:pt idx="76">
                  <c:v>233.3333333333334</c:v>
                </c:pt>
                <c:pt idx="77">
                  <c:v>233.3333333333334</c:v>
                </c:pt>
                <c:pt idx="78">
                  <c:v>233.3333333333334</c:v>
                </c:pt>
                <c:pt idx="79">
                  <c:v>233.3333333333334</c:v>
                </c:pt>
                <c:pt idx="80">
                  <c:v>233.3333333333334</c:v>
                </c:pt>
                <c:pt idx="81">
                  <c:v>233.3333333333334</c:v>
                </c:pt>
                <c:pt idx="82">
                  <c:v>233.3333333333334</c:v>
                </c:pt>
                <c:pt idx="83">
                  <c:v>233.3333333333334</c:v>
                </c:pt>
                <c:pt idx="84">
                  <c:v>233.3333333333334</c:v>
                </c:pt>
                <c:pt idx="85">
                  <c:v>233.3333333333334</c:v>
                </c:pt>
                <c:pt idx="86">
                  <c:v>233.3333333333334</c:v>
                </c:pt>
                <c:pt idx="87">
                  <c:v>233.3333333333334</c:v>
                </c:pt>
                <c:pt idx="88">
                  <c:v>233.3333333333334</c:v>
                </c:pt>
                <c:pt idx="89">
                  <c:v>233.3333333333334</c:v>
                </c:pt>
                <c:pt idx="90">
                  <c:v>233.3333333333334</c:v>
                </c:pt>
                <c:pt idx="91">
                  <c:v>233.3333333333334</c:v>
                </c:pt>
                <c:pt idx="92">
                  <c:v>233.3333333333334</c:v>
                </c:pt>
                <c:pt idx="93">
                  <c:v>233.3333333333334</c:v>
                </c:pt>
                <c:pt idx="94">
                  <c:v>233.3333333333334</c:v>
                </c:pt>
                <c:pt idx="95">
                  <c:v>233.3333333333334</c:v>
                </c:pt>
                <c:pt idx="96">
                  <c:v>233.3333333333334</c:v>
                </c:pt>
                <c:pt idx="97">
                  <c:v>233.3333333333334</c:v>
                </c:pt>
                <c:pt idx="98">
                  <c:v>233.3333333333334</c:v>
                </c:pt>
                <c:pt idx="99">
                  <c:v>233.3333333333334</c:v>
                </c:pt>
                <c:pt idx="100">
                  <c:v>233.3333333333334</c:v>
                </c:pt>
                <c:pt idx="101">
                  <c:v>233.3333333333334</c:v>
                </c:pt>
                <c:pt idx="102">
                  <c:v>233.3333333333334</c:v>
                </c:pt>
                <c:pt idx="103">
                  <c:v>233.3333333333334</c:v>
                </c:pt>
                <c:pt idx="104">
                  <c:v>233.3333333333334</c:v>
                </c:pt>
                <c:pt idx="105">
                  <c:v>233.3333333333334</c:v>
                </c:pt>
                <c:pt idx="106">
                  <c:v>226.6666666666666</c:v>
                </c:pt>
                <c:pt idx="107">
                  <c:v>226.6666666666666</c:v>
                </c:pt>
                <c:pt idx="108">
                  <c:v>226.6666666666666</c:v>
                </c:pt>
                <c:pt idx="109">
                  <c:v>226.6666666666666</c:v>
                </c:pt>
                <c:pt idx="110">
                  <c:v>226.6666666666666</c:v>
                </c:pt>
                <c:pt idx="111">
                  <c:v>226.6666666666666</c:v>
                </c:pt>
                <c:pt idx="112">
                  <c:v>226.6666666666666</c:v>
                </c:pt>
                <c:pt idx="113">
                  <c:v>226.6666666666666</c:v>
                </c:pt>
                <c:pt idx="114">
                  <c:v>220</c:v>
                </c:pt>
                <c:pt idx="115">
                  <c:v>220</c:v>
                </c:pt>
                <c:pt idx="116">
                  <c:v>220</c:v>
                </c:pt>
                <c:pt idx="117">
                  <c:v>220</c:v>
                </c:pt>
                <c:pt idx="118">
                  <c:v>220</c:v>
                </c:pt>
                <c:pt idx="119">
                  <c:v>220</c:v>
                </c:pt>
                <c:pt idx="120">
                  <c:v>220</c:v>
                </c:pt>
                <c:pt idx="121">
                  <c:v>220</c:v>
                </c:pt>
                <c:pt idx="122">
                  <c:v>220</c:v>
                </c:pt>
                <c:pt idx="123">
                  <c:v>213.3333333333334</c:v>
                </c:pt>
                <c:pt idx="124">
                  <c:v>213.3333333333334</c:v>
                </c:pt>
                <c:pt idx="125">
                  <c:v>213.3333333333334</c:v>
                </c:pt>
                <c:pt idx="126">
                  <c:v>213.3333333333334</c:v>
                </c:pt>
                <c:pt idx="127">
                  <c:v>213.3333333333334</c:v>
                </c:pt>
                <c:pt idx="128">
                  <c:v>213.3333333333334</c:v>
                </c:pt>
                <c:pt idx="129">
                  <c:v>213.3333333333334</c:v>
                </c:pt>
                <c:pt idx="130">
                  <c:v>203.3333333333334</c:v>
                </c:pt>
                <c:pt idx="131">
                  <c:v>203.3333333333334</c:v>
                </c:pt>
                <c:pt idx="132">
                  <c:v>203.3333333333334</c:v>
                </c:pt>
                <c:pt idx="133">
                  <c:v>203.3333333333334</c:v>
                </c:pt>
                <c:pt idx="134">
                  <c:v>203.3333333333334</c:v>
                </c:pt>
                <c:pt idx="135">
                  <c:v>203.3333333333334</c:v>
                </c:pt>
                <c:pt idx="136">
                  <c:v>203.3333333333334</c:v>
                </c:pt>
                <c:pt idx="137">
                  <c:v>203.3333333333334</c:v>
                </c:pt>
                <c:pt idx="138">
                  <c:v>203.3333333333334</c:v>
                </c:pt>
                <c:pt idx="139">
                  <c:v>203.3333333333334</c:v>
                </c:pt>
                <c:pt idx="140">
                  <c:v>203.3333333333334</c:v>
                </c:pt>
                <c:pt idx="141">
                  <c:v>203.3333333333334</c:v>
                </c:pt>
                <c:pt idx="142">
                  <c:v>203.3333333333334</c:v>
                </c:pt>
                <c:pt idx="143">
                  <c:v>203.3333333333334</c:v>
                </c:pt>
                <c:pt idx="144">
                  <c:v>203.3333333333334</c:v>
                </c:pt>
                <c:pt idx="145">
                  <c:v>203.3333333333334</c:v>
                </c:pt>
                <c:pt idx="146">
                  <c:v>203.3333333333334</c:v>
                </c:pt>
                <c:pt idx="147">
                  <c:v>203.3333333333334</c:v>
                </c:pt>
                <c:pt idx="148">
                  <c:v>203.3333333333334</c:v>
                </c:pt>
                <c:pt idx="149">
                  <c:v>203.3333333333334</c:v>
                </c:pt>
                <c:pt idx="150">
                  <c:v>203.3333333333334</c:v>
                </c:pt>
                <c:pt idx="151">
                  <c:v>203.3333333333334</c:v>
                </c:pt>
                <c:pt idx="152">
                  <c:v>213.3333333333334</c:v>
                </c:pt>
                <c:pt idx="153">
                  <c:v>213.3333333333334</c:v>
                </c:pt>
                <c:pt idx="154">
                  <c:v>213.3333333333334</c:v>
                </c:pt>
                <c:pt idx="155">
                  <c:v>213.3333333333334</c:v>
                </c:pt>
                <c:pt idx="156">
                  <c:v>213.3333333333334</c:v>
                </c:pt>
                <c:pt idx="157">
                  <c:v>213.3333333333334</c:v>
                </c:pt>
                <c:pt idx="158">
                  <c:v>213.3333333333334</c:v>
                </c:pt>
                <c:pt idx="159">
                  <c:v>213.3333333333334</c:v>
                </c:pt>
                <c:pt idx="160">
                  <c:v>213.3333333333334</c:v>
                </c:pt>
                <c:pt idx="161">
                  <c:v>213.3333333333334</c:v>
                </c:pt>
                <c:pt idx="162">
                  <c:v>213.3333333333334</c:v>
                </c:pt>
                <c:pt idx="163">
                  <c:v>213.3333333333334</c:v>
                </c:pt>
                <c:pt idx="164">
                  <c:v>213.3333333333334</c:v>
                </c:pt>
                <c:pt idx="165">
                  <c:v>213.3333333333334</c:v>
                </c:pt>
                <c:pt idx="166">
                  <c:v>213.3333333333334</c:v>
                </c:pt>
                <c:pt idx="167">
                  <c:v>213.3333333333334</c:v>
                </c:pt>
                <c:pt idx="168">
                  <c:v>213.3333333333334</c:v>
                </c:pt>
                <c:pt idx="169">
                  <c:v>213.3333333333334</c:v>
                </c:pt>
                <c:pt idx="170">
                  <c:v>213.3333333333334</c:v>
                </c:pt>
                <c:pt idx="171">
                  <c:v>213.3333333333334</c:v>
                </c:pt>
                <c:pt idx="172">
                  <c:v>203.3333333333334</c:v>
                </c:pt>
                <c:pt idx="173">
                  <c:v>203.3333333333334</c:v>
                </c:pt>
                <c:pt idx="174">
                  <c:v>203.3333333333334</c:v>
                </c:pt>
                <c:pt idx="175">
                  <c:v>203.3333333333334</c:v>
                </c:pt>
                <c:pt idx="176">
                  <c:v>203.3333333333334</c:v>
                </c:pt>
                <c:pt idx="177">
                  <c:v>203.3333333333334</c:v>
                </c:pt>
                <c:pt idx="178">
                  <c:v>203.3333333333334</c:v>
                </c:pt>
                <c:pt idx="179">
                  <c:v>193.3333333333334</c:v>
                </c:pt>
                <c:pt idx="180">
                  <c:v>193.3333333333334</c:v>
                </c:pt>
                <c:pt idx="181">
                  <c:v>193.3333333333334</c:v>
                </c:pt>
                <c:pt idx="182">
                  <c:v>193.3333333333334</c:v>
                </c:pt>
                <c:pt idx="183">
                  <c:v>193.3333333333334</c:v>
                </c:pt>
                <c:pt idx="184">
                  <c:v>183.3333333333334</c:v>
                </c:pt>
                <c:pt idx="185">
                  <c:v>183.3333333333334</c:v>
                </c:pt>
                <c:pt idx="186">
                  <c:v>180</c:v>
                </c:pt>
                <c:pt idx="187">
                  <c:v>180</c:v>
                </c:pt>
                <c:pt idx="188">
                  <c:v>180</c:v>
                </c:pt>
                <c:pt idx="189">
                  <c:v>180</c:v>
                </c:pt>
                <c:pt idx="190">
                  <c:v>180</c:v>
                </c:pt>
                <c:pt idx="191">
                  <c:v>170</c:v>
                </c:pt>
                <c:pt idx="192">
                  <c:v>170</c:v>
                </c:pt>
                <c:pt idx="193">
                  <c:v>170</c:v>
                </c:pt>
                <c:pt idx="194">
                  <c:v>170</c:v>
                </c:pt>
                <c:pt idx="195">
                  <c:v>170</c:v>
                </c:pt>
                <c:pt idx="196">
                  <c:v>170</c:v>
                </c:pt>
                <c:pt idx="197">
                  <c:v>160</c:v>
                </c:pt>
                <c:pt idx="198">
                  <c:v>160</c:v>
                </c:pt>
                <c:pt idx="199">
                  <c:v>160</c:v>
                </c:pt>
                <c:pt idx="200">
                  <c:v>160</c:v>
                </c:pt>
                <c:pt idx="201">
                  <c:v>150</c:v>
                </c:pt>
                <c:pt idx="202">
                  <c:v>150</c:v>
                </c:pt>
                <c:pt idx="203">
                  <c:v>150</c:v>
                </c:pt>
                <c:pt idx="204">
                  <c:v>150</c:v>
                </c:pt>
                <c:pt idx="205">
                  <c:v>150</c:v>
                </c:pt>
                <c:pt idx="206">
                  <c:v>150</c:v>
                </c:pt>
                <c:pt idx="207">
                  <c:v>150</c:v>
                </c:pt>
                <c:pt idx="208">
                  <c:v>150</c:v>
                </c:pt>
                <c:pt idx="209">
                  <c:v>150</c:v>
                </c:pt>
                <c:pt idx="210">
                  <c:v>150</c:v>
                </c:pt>
                <c:pt idx="211">
                  <c:v>150</c:v>
                </c:pt>
                <c:pt idx="212">
                  <c:v>150</c:v>
                </c:pt>
                <c:pt idx="213">
                  <c:v>150</c:v>
                </c:pt>
                <c:pt idx="214">
                  <c:v>150</c:v>
                </c:pt>
                <c:pt idx="215">
                  <c:v>150</c:v>
                </c:pt>
                <c:pt idx="216">
                  <c:v>150</c:v>
                </c:pt>
                <c:pt idx="217">
                  <c:v>150</c:v>
                </c:pt>
                <c:pt idx="218">
                  <c:v>150</c:v>
                </c:pt>
                <c:pt idx="219">
                  <c:v>160</c:v>
                </c:pt>
                <c:pt idx="220">
                  <c:v>160</c:v>
                </c:pt>
                <c:pt idx="221">
                  <c:v>160</c:v>
                </c:pt>
                <c:pt idx="222">
                  <c:v>160</c:v>
                </c:pt>
                <c:pt idx="223">
                  <c:v>160</c:v>
                </c:pt>
                <c:pt idx="224">
                  <c:v>160</c:v>
                </c:pt>
                <c:pt idx="225">
                  <c:v>160</c:v>
                </c:pt>
                <c:pt idx="226">
                  <c:v>160</c:v>
                </c:pt>
                <c:pt idx="227">
                  <c:v>160</c:v>
                </c:pt>
                <c:pt idx="228">
                  <c:v>166.6666666666666</c:v>
                </c:pt>
                <c:pt idx="229">
                  <c:v>166.6666666666666</c:v>
                </c:pt>
                <c:pt idx="230">
                  <c:v>166.6666666666666</c:v>
                </c:pt>
                <c:pt idx="231">
                  <c:v>166.6666666666666</c:v>
                </c:pt>
                <c:pt idx="232">
                  <c:v>166.6666666666666</c:v>
                </c:pt>
                <c:pt idx="233">
                  <c:v>166.6666666666666</c:v>
                </c:pt>
                <c:pt idx="234">
                  <c:v>166.6666666666666</c:v>
                </c:pt>
                <c:pt idx="235">
                  <c:v>176.6666666666666</c:v>
                </c:pt>
                <c:pt idx="236">
                  <c:v>176.6666666666666</c:v>
                </c:pt>
                <c:pt idx="237">
                  <c:v>176.6666666666666</c:v>
                </c:pt>
                <c:pt idx="238">
                  <c:v>176.6666666666666</c:v>
                </c:pt>
                <c:pt idx="239">
                  <c:v>176.6666666666666</c:v>
                </c:pt>
                <c:pt idx="240">
                  <c:v>176.6666666666666</c:v>
                </c:pt>
                <c:pt idx="241">
                  <c:v>176.6666666666666</c:v>
                </c:pt>
                <c:pt idx="242">
                  <c:v>176.6666666666666</c:v>
                </c:pt>
                <c:pt idx="243">
                  <c:v>176.6666666666666</c:v>
                </c:pt>
                <c:pt idx="244">
                  <c:v>176.6666666666666</c:v>
                </c:pt>
                <c:pt idx="245">
                  <c:v>176.6666666666666</c:v>
                </c:pt>
                <c:pt idx="246">
                  <c:v>166.6666666666666</c:v>
                </c:pt>
                <c:pt idx="247">
                  <c:v>166.6666666666666</c:v>
                </c:pt>
                <c:pt idx="248">
                  <c:v>166.6666666666666</c:v>
                </c:pt>
                <c:pt idx="249">
                  <c:v>166.6666666666666</c:v>
                </c:pt>
                <c:pt idx="250">
                  <c:v>166.6666666666666</c:v>
                </c:pt>
                <c:pt idx="251">
                  <c:v>166.6666666666666</c:v>
                </c:pt>
                <c:pt idx="252">
                  <c:v>166.6666666666666</c:v>
                </c:pt>
                <c:pt idx="253">
                  <c:v>156.6666666666666</c:v>
                </c:pt>
                <c:pt idx="254">
                  <c:v>156.6666666666666</c:v>
                </c:pt>
                <c:pt idx="255">
                  <c:v>156.6666666666666</c:v>
                </c:pt>
                <c:pt idx="256">
                  <c:v>156.6666666666666</c:v>
                </c:pt>
                <c:pt idx="257">
                  <c:v>156.6666666666666</c:v>
                </c:pt>
                <c:pt idx="258">
                  <c:v>156.6666666666666</c:v>
                </c:pt>
                <c:pt idx="259">
                  <c:v>156.6666666666666</c:v>
                </c:pt>
                <c:pt idx="260">
                  <c:v>156.6666666666666</c:v>
                </c:pt>
                <c:pt idx="261">
                  <c:v>156.6666666666666</c:v>
                </c:pt>
                <c:pt idx="262">
                  <c:v>156.6666666666666</c:v>
                </c:pt>
                <c:pt idx="263">
                  <c:v>150</c:v>
                </c:pt>
                <c:pt idx="264">
                  <c:v>150</c:v>
                </c:pt>
                <c:pt idx="265">
                  <c:v>150</c:v>
                </c:pt>
                <c:pt idx="266">
                  <c:v>150</c:v>
                </c:pt>
                <c:pt idx="267">
                  <c:v>150</c:v>
                </c:pt>
                <c:pt idx="268">
                  <c:v>150</c:v>
                </c:pt>
                <c:pt idx="269">
                  <c:v>150</c:v>
                </c:pt>
                <c:pt idx="270">
                  <c:v>150</c:v>
                </c:pt>
                <c:pt idx="271">
                  <c:v>150</c:v>
                </c:pt>
                <c:pt idx="272">
                  <c:v>150</c:v>
                </c:pt>
                <c:pt idx="273">
                  <c:v>150</c:v>
                </c:pt>
                <c:pt idx="274">
                  <c:v>150</c:v>
                </c:pt>
                <c:pt idx="275">
                  <c:v>150</c:v>
                </c:pt>
                <c:pt idx="276">
                  <c:v>150</c:v>
                </c:pt>
                <c:pt idx="277">
                  <c:v>143.3333333333334</c:v>
                </c:pt>
                <c:pt idx="278">
                  <c:v>143.3333333333334</c:v>
                </c:pt>
                <c:pt idx="279">
                  <c:v>143.3333333333334</c:v>
                </c:pt>
                <c:pt idx="280">
                  <c:v>143.3333333333334</c:v>
                </c:pt>
                <c:pt idx="281">
                  <c:v>143.3333333333334</c:v>
                </c:pt>
                <c:pt idx="282">
                  <c:v>143.3333333333334</c:v>
                </c:pt>
                <c:pt idx="283">
                  <c:v>143.3333333333334</c:v>
                </c:pt>
                <c:pt idx="284">
                  <c:v>133.3333333333334</c:v>
                </c:pt>
                <c:pt idx="285">
                  <c:v>133.3333333333334</c:v>
                </c:pt>
                <c:pt idx="286">
                  <c:v>133.3333333333334</c:v>
                </c:pt>
                <c:pt idx="287">
                  <c:v>133.3333333333334</c:v>
                </c:pt>
                <c:pt idx="288">
                  <c:v>133.3333333333334</c:v>
                </c:pt>
                <c:pt idx="289">
                  <c:v>133.3333333333334</c:v>
                </c:pt>
                <c:pt idx="290">
                  <c:v>133.3333333333334</c:v>
                </c:pt>
                <c:pt idx="291">
                  <c:v>133.3333333333334</c:v>
                </c:pt>
                <c:pt idx="292">
                  <c:v>133.3333333333334</c:v>
                </c:pt>
                <c:pt idx="293">
                  <c:v>133.3333333333334</c:v>
                </c:pt>
                <c:pt idx="294">
                  <c:v>133.3333333333334</c:v>
                </c:pt>
                <c:pt idx="295">
                  <c:v>133.3333333333334</c:v>
                </c:pt>
                <c:pt idx="296">
                  <c:v>133.3333333333334</c:v>
                </c:pt>
                <c:pt idx="297">
                  <c:v>133.3333333333334</c:v>
                </c:pt>
                <c:pt idx="298">
                  <c:v>133.3333333333334</c:v>
                </c:pt>
                <c:pt idx="299">
                  <c:v>133.3333333333334</c:v>
                </c:pt>
                <c:pt idx="300">
                  <c:v>133.3333333333334</c:v>
                </c:pt>
                <c:pt idx="301">
                  <c:v>133.3333333333334</c:v>
                </c:pt>
                <c:pt idx="302">
                  <c:v>133.3333333333334</c:v>
                </c:pt>
                <c:pt idx="303">
                  <c:v>133.3333333333334</c:v>
                </c:pt>
                <c:pt idx="304">
                  <c:v>133.3333333333334</c:v>
                </c:pt>
                <c:pt idx="305">
                  <c:v>140</c:v>
                </c:pt>
                <c:pt idx="306">
                  <c:v>140</c:v>
                </c:pt>
                <c:pt idx="307">
                  <c:v>140</c:v>
                </c:pt>
                <c:pt idx="308">
                  <c:v>140</c:v>
                </c:pt>
                <c:pt idx="309">
                  <c:v>140</c:v>
                </c:pt>
                <c:pt idx="310">
                  <c:v>140</c:v>
                </c:pt>
                <c:pt idx="311">
                  <c:v>140</c:v>
                </c:pt>
                <c:pt idx="312">
                  <c:v>146.6666666666666</c:v>
                </c:pt>
                <c:pt idx="313">
                  <c:v>146.6666666666666</c:v>
                </c:pt>
                <c:pt idx="314">
                  <c:v>146.6666666666666</c:v>
                </c:pt>
                <c:pt idx="315">
                  <c:v>146.6666666666666</c:v>
                </c:pt>
                <c:pt idx="316">
                  <c:v>146.6666666666666</c:v>
                </c:pt>
                <c:pt idx="317">
                  <c:v>146.6666666666666</c:v>
                </c:pt>
                <c:pt idx="318">
                  <c:v>146.6666666666666</c:v>
                </c:pt>
                <c:pt idx="319">
                  <c:v>153.3333333333334</c:v>
                </c:pt>
                <c:pt idx="320">
                  <c:v>153.3333333333334</c:v>
                </c:pt>
                <c:pt idx="321">
                  <c:v>153.3333333333334</c:v>
                </c:pt>
                <c:pt idx="322">
                  <c:v>153.3333333333334</c:v>
                </c:pt>
                <c:pt idx="323">
                  <c:v>153.3333333333334</c:v>
                </c:pt>
              </c:numCache>
            </c:numRef>
          </c:val>
          <c:smooth val="0"/>
        </c:ser>
        <c:ser>
          <c:idx val="1"/>
          <c:order val="1"/>
          <c:tx>
            <c:strRef>
              <c:f>CRU、廢鋼、小鋼胚、平板鋼類、長條鋼類!$R$1</c:f>
              <c:strCache>
                <c:ptCount val="1"/>
                <c:pt idx="0">
                  <c:v>廢鋼 H2 日本 C＆F(美元/公噸)</c:v>
                </c:pt>
              </c:strCache>
            </c:strRef>
          </c:tx>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CRU、廢鋼、小鋼胚、平板鋼類、長條鋼類!$R$216:$R$539</c:f>
              <c:numCache>
                <c:formatCode>General</c:formatCode>
                <c:ptCount val="324"/>
                <c:pt idx="0">
                  <c:v>270</c:v>
                </c:pt>
                <c:pt idx="1">
                  <c:v>270</c:v>
                </c:pt>
                <c:pt idx="2">
                  <c:v>270</c:v>
                </c:pt>
                <c:pt idx="3">
                  <c:v>270</c:v>
                </c:pt>
                <c:pt idx="4">
                  <c:v>270</c:v>
                </c:pt>
                <c:pt idx="5">
                  <c:v>270</c:v>
                </c:pt>
                <c:pt idx="6">
                  <c:v>270</c:v>
                </c:pt>
                <c:pt idx="7">
                  <c:v>270</c:v>
                </c:pt>
                <c:pt idx="8">
                  <c:v>270</c:v>
                </c:pt>
                <c:pt idx="9">
                  <c:v>270</c:v>
                </c:pt>
                <c:pt idx="10">
                  <c:v>270</c:v>
                </c:pt>
                <c:pt idx="11">
                  <c:v>265</c:v>
                </c:pt>
                <c:pt idx="12">
                  <c:v>265</c:v>
                </c:pt>
                <c:pt idx="13">
                  <c:v>265</c:v>
                </c:pt>
                <c:pt idx="14">
                  <c:v>265</c:v>
                </c:pt>
                <c:pt idx="15">
                  <c:v>265</c:v>
                </c:pt>
                <c:pt idx="16">
                  <c:v>265</c:v>
                </c:pt>
                <c:pt idx="17">
                  <c:v>265</c:v>
                </c:pt>
                <c:pt idx="18">
                  <c:v>265</c:v>
                </c:pt>
                <c:pt idx="19">
                  <c:v>265</c:v>
                </c:pt>
                <c:pt idx="20">
                  <c:v>265</c:v>
                </c:pt>
                <c:pt idx="21">
                  <c:v>265</c:v>
                </c:pt>
                <c:pt idx="22">
                  <c:v>265</c:v>
                </c:pt>
                <c:pt idx="23">
                  <c:v>265</c:v>
                </c:pt>
                <c:pt idx="24">
                  <c:v>265</c:v>
                </c:pt>
                <c:pt idx="25">
                  <c:v>260</c:v>
                </c:pt>
                <c:pt idx="26">
                  <c:v>260</c:v>
                </c:pt>
                <c:pt idx="27">
                  <c:v>260</c:v>
                </c:pt>
                <c:pt idx="28">
                  <c:v>260</c:v>
                </c:pt>
                <c:pt idx="29">
                  <c:v>260</c:v>
                </c:pt>
                <c:pt idx="30">
                  <c:v>260</c:v>
                </c:pt>
                <c:pt idx="31">
                  <c:v>260</c:v>
                </c:pt>
                <c:pt idx="32">
                  <c:v>245</c:v>
                </c:pt>
                <c:pt idx="33">
                  <c:v>245</c:v>
                </c:pt>
                <c:pt idx="34">
                  <c:v>245</c:v>
                </c:pt>
                <c:pt idx="35">
                  <c:v>245</c:v>
                </c:pt>
                <c:pt idx="36">
                  <c:v>245</c:v>
                </c:pt>
                <c:pt idx="37">
                  <c:v>245</c:v>
                </c:pt>
                <c:pt idx="38">
                  <c:v>245</c:v>
                </c:pt>
                <c:pt idx="39">
                  <c:v>235</c:v>
                </c:pt>
                <c:pt idx="40">
                  <c:v>235</c:v>
                </c:pt>
                <c:pt idx="41">
                  <c:v>235</c:v>
                </c:pt>
                <c:pt idx="42">
                  <c:v>235</c:v>
                </c:pt>
                <c:pt idx="43">
                  <c:v>235</c:v>
                </c:pt>
                <c:pt idx="44">
                  <c:v>235</c:v>
                </c:pt>
                <c:pt idx="45">
                  <c:v>235</c:v>
                </c:pt>
                <c:pt idx="46">
                  <c:v>235</c:v>
                </c:pt>
                <c:pt idx="47">
                  <c:v>235</c:v>
                </c:pt>
                <c:pt idx="48">
                  <c:v>235</c:v>
                </c:pt>
                <c:pt idx="49">
                  <c:v>235</c:v>
                </c:pt>
                <c:pt idx="50">
                  <c:v>235</c:v>
                </c:pt>
                <c:pt idx="51">
                  <c:v>235</c:v>
                </c:pt>
                <c:pt idx="52">
                  <c:v>235</c:v>
                </c:pt>
                <c:pt idx="53">
                  <c:v>235</c:v>
                </c:pt>
                <c:pt idx="54">
                  <c:v>235</c:v>
                </c:pt>
                <c:pt idx="55">
                  <c:v>235</c:v>
                </c:pt>
                <c:pt idx="56">
                  <c:v>235</c:v>
                </c:pt>
                <c:pt idx="57">
                  <c:v>235</c:v>
                </c:pt>
                <c:pt idx="58">
                  <c:v>235</c:v>
                </c:pt>
                <c:pt idx="59">
                  <c:v>235</c:v>
                </c:pt>
                <c:pt idx="60">
                  <c:v>228</c:v>
                </c:pt>
                <c:pt idx="61">
                  <c:v>228</c:v>
                </c:pt>
                <c:pt idx="62">
                  <c:v>228</c:v>
                </c:pt>
                <c:pt idx="63">
                  <c:v>228</c:v>
                </c:pt>
                <c:pt idx="64">
                  <c:v>228</c:v>
                </c:pt>
                <c:pt idx="65">
                  <c:v>228</c:v>
                </c:pt>
                <c:pt idx="66">
                  <c:v>228</c:v>
                </c:pt>
                <c:pt idx="67">
                  <c:v>230</c:v>
                </c:pt>
                <c:pt idx="68">
                  <c:v>230</c:v>
                </c:pt>
                <c:pt idx="69">
                  <c:v>230</c:v>
                </c:pt>
                <c:pt idx="70">
                  <c:v>230</c:v>
                </c:pt>
                <c:pt idx="71">
                  <c:v>230</c:v>
                </c:pt>
                <c:pt idx="72">
                  <c:v>230</c:v>
                </c:pt>
                <c:pt idx="73">
                  <c:v>230</c:v>
                </c:pt>
                <c:pt idx="74">
                  <c:v>225</c:v>
                </c:pt>
                <c:pt idx="75">
                  <c:v>225</c:v>
                </c:pt>
                <c:pt idx="76">
                  <c:v>225</c:v>
                </c:pt>
                <c:pt idx="77">
                  <c:v>225</c:v>
                </c:pt>
                <c:pt idx="78">
                  <c:v>225</c:v>
                </c:pt>
                <c:pt idx="79">
                  <c:v>225</c:v>
                </c:pt>
                <c:pt idx="80">
                  <c:v>225</c:v>
                </c:pt>
                <c:pt idx="81">
                  <c:v>238</c:v>
                </c:pt>
                <c:pt idx="82">
                  <c:v>238</c:v>
                </c:pt>
                <c:pt idx="83">
                  <c:v>238</c:v>
                </c:pt>
                <c:pt idx="84">
                  <c:v>238</c:v>
                </c:pt>
                <c:pt idx="85">
                  <c:v>238</c:v>
                </c:pt>
                <c:pt idx="86">
                  <c:v>238</c:v>
                </c:pt>
                <c:pt idx="87">
                  <c:v>238</c:v>
                </c:pt>
                <c:pt idx="88">
                  <c:v>249</c:v>
                </c:pt>
                <c:pt idx="89">
                  <c:v>249</c:v>
                </c:pt>
                <c:pt idx="90">
                  <c:v>249</c:v>
                </c:pt>
                <c:pt idx="91">
                  <c:v>249</c:v>
                </c:pt>
                <c:pt idx="92">
                  <c:v>249</c:v>
                </c:pt>
                <c:pt idx="93">
                  <c:v>249</c:v>
                </c:pt>
                <c:pt idx="94">
                  <c:v>249</c:v>
                </c:pt>
                <c:pt idx="95">
                  <c:v>249</c:v>
                </c:pt>
                <c:pt idx="96">
                  <c:v>249</c:v>
                </c:pt>
                <c:pt idx="97">
                  <c:v>249</c:v>
                </c:pt>
                <c:pt idx="98">
                  <c:v>249</c:v>
                </c:pt>
                <c:pt idx="99">
                  <c:v>249</c:v>
                </c:pt>
                <c:pt idx="100">
                  <c:v>249</c:v>
                </c:pt>
                <c:pt idx="101">
                  <c:v>249</c:v>
                </c:pt>
                <c:pt idx="102">
                  <c:v>240</c:v>
                </c:pt>
                <c:pt idx="103">
                  <c:v>240</c:v>
                </c:pt>
                <c:pt idx="104">
                  <c:v>240</c:v>
                </c:pt>
                <c:pt idx="105">
                  <c:v>240</c:v>
                </c:pt>
                <c:pt idx="106">
                  <c:v>240</c:v>
                </c:pt>
                <c:pt idx="107">
                  <c:v>240</c:v>
                </c:pt>
                <c:pt idx="108">
                  <c:v>240</c:v>
                </c:pt>
                <c:pt idx="109">
                  <c:v>238</c:v>
                </c:pt>
                <c:pt idx="110">
                  <c:v>238</c:v>
                </c:pt>
                <c:pt idx="111">
                  <c:v>238</c:v>
                </c:pt>
                <c:pt idx="112">
                  <c:v>238</c:v>
                </c:pt>
                <c:pt idx="113">
                  <c:v>238</c:v>
                </c:pt>
                <c:pt idx="114">
                  <c:v>238</c:v>
                </c:pt>
                <c:pt idx="115">
                  <c:v>238</c:v>
                </c:pt>
                <c:pt idx="116">
                  <c:v>240</c:v>
                </c:pt>
                <c:pt idx="117">
                  <c:v>240</c:v>
                </c:pt>
                <c:pt idx="118">
                  <c:v>240</c:v>
                </c:pt>
                <c:pt idx="119">
                  <c:v>240</c:v>
                </c:pt>
                <c:pt idx="120">
                  <c:v>240</c:v>
                </c:pt>
                <c:pt idx="121">
                  <c:v>240</c:v>
                </c:pt>
                <c:pt idx="122">
                  <c:v>240</c:v>
                </c:pt>
                <c:pt idx="123">
                  <c:v>240</c:v>
                </c:pt>
                <c:pt idx="124">
                  <c:v>240</c:v>
                </c:pt>
                <c:pt idx="125">
                  <c:v>240</c:v>
                </c:pt>
                <c:pt idx="126">
                  <c:v>240</c:v>
                </c:pt>
                <c:pt idx="127">
                  <c:v>240</c:v>
                </c:pt>
                <c:pt idx="128">
                  <c:v>240</c:v>
                </c:pt>
                <c:pt idx="129">
                  <c:v>240</c:v>
                </c:pt>
                <c:pt idx="130">
                  <c:v>240</c:v>
                </c:pt>
                <c:pt idx="131">
                  <c:v>240</c:v>
                </c:pt>
                <c:pt idx="132">
                  <c:v>240</c:v>
                </c:pt>
                <c:pt idx="133">
                  <c:v>240</c:v>
                </c:pt>
                <c:pt idx="134">
                  <c:v>240</c:v>
                </c:pt>
                <c:pt idx="135">
                  <c:v>240</c:v>
                </c:pt>
                <c:pt idx="136">
                  <c:v>240</c:v>
                </c:pt>
                <c:pt idx="137">
                  <c:v>245</c:v>
                </c:pt>
                <c:pt idx="138">
                  <c:v>245</c:v>
                </c:pt>
                <c:pt idx="139">
                  <c:v>245</c:v>
                </c:pt>
                <c:pt idx="140">
                  <c:v>245</c:v>
                </c:pt>
                <c:pt idx="141">
                  <c:v>245</c:v>
                </c:pt>
                <c:pt idx="142">
                  <c:v>245</c:v>
                </c:pt>
                <c:pt idx="143">
                  <c:v>245</c:v>
                </c:pt>
                <c:pt idx="144">
                  <c:v>250</c:v>
                </c:pt>
                <c:pt idx="145">
                  <c:v>250</c:v>
                </c:pt>
                <c:pt idx="146">
                  <c:v>250</c:v>
                </c:pt>
                <c:pt idx="147">
                  <c:v>250</c:v>
                </c:pt>
                <c:pt idx="148">
                  <c:v>250</c:v>
                </c:pt>
                <c:pt idx="149">
                  <c:v>250</c:v>
                </c:pt>
                <c:pt idx="150">
                  <c:v>250</c:v>
                </c:pt>
                <c:pt idx="151">
                  <c:v>250</c:v>
                </c:pt>
                <c:pt idx="152">
                  <c:v>250</c:v>
                </c:pt>
                <c:pt idx="153">
                  <c:v>250</c:v>
                </c:pt>
                <c:pt idx="154">
                  <c:v>250</c:v>
                </c:pt>
                <c:pt idx="155">
                  <c:v>250</c:v>
                </c:pt>
                <c:pt idx="156">
                  <c:v>250</c:v>
                </c:pt>
                <c:pt idx="157">
                  <c:v>250</c:v>
                </c:pt>
                <c:pt idx="158">
                  <c:v>245</c:v>
                </c:pt>
                <c:pt idx="159">
                  <c:v>245</c:v>
                </c:pt>
                <c:pt idx="160">
                  <c:v>245</c:v>
                </c:pt>
                <c:pt idx="161">
                  <c:v>245</c:v>
                </c:pt>
                <c:pt idx="162">
                  <c:v>245</c:v>
                </c:pt>
                <c:pt idx="163">
                  <c:v>245</c:v>
                </c:pt>
                <c:pt idx="164">
                  <c:v>245</c:v>
                </c:pt>
                <c:pt idx="165">
                  <c:v>250</c:v>
                </c:pt>
                <c:pt idx="166">
                  <c:v>250</c:v>
                </c:pt>
                <c:pt idx="167">
                  <c:v>250</c:v>
                </c:pt>
                <c:pt idx="168">
                  <c:v>250</c:v>
                </c:pt>
                <c:pt idx="169">
                  <c:v>250</c:v>
                </c:pt>
                <c:pt idx="170">
                  <c:v>250</c:v>
                </c:pt>
                <c:pt idx="171">
                  <c:v>250</c:v>
                </c:pt>
                <c:pt idx="172">
                  <c:v>250</c:v>
                </c:pt>
                <c:pt idx="173">
                  <c:v>250</c:v>
                </c:pt>
                <c:pt idx="174">
                  <c:v>250</c:v>
                </c:pt>
                <c:pt idx="175">
                  <c:v>250</c:v>
                </c:pt>
                <c:pt idx="176">
                  <c:v>250</c:v>
                </c:pt>
                <c:pt idx="177">
                  <c:v>250</c:v>
                </c:pt>
                <c:pt idx="178">
                  <c:v>250</c:v>
                </c:pt>
                <c:pt idx="179">
                  <c:v>240</c:v>
                </c:pt>
                <c:pt idx="180">
                  <c:v>240</c:v>
                </c:pt>
                <c:pt idx="181">
                  <c:v>240</c:v>
                </c:pt>
                <c:pt idx="182">
                  <c:v>240</c:v>
                </c:pt>
                <c:pt idx="183">
                  <c:v>240</c:v>
                </c:pt>
                <c:pt idx="184">
                  <c:v>240</c:v>
                </c:pt>
                <c:pt idx="185">
                  <c:v>240</c:v>
                </c:pt>
                <c:pt idx="186">
                  <c:v>235</c:v>
                </c:pt>
                <c:pt idx="187">
                  <c:v>235</c:v>
                </c:pt>
                <c:pt idx="188">
                  <c:v>235</c:v>
                </c:pt>
                <c:pt idx="189">
                  <c:v>235</c:v>
                </c:pt>
                <c:pt idx="190">
                  <c:v>235</c:v>
                </c:pt>
                <c:pt idx="191">
                  <c:v>235</c:v>
                </c:pt>
                <c:pt idx="192">
                  <c:v>235</c:v>
                </c:pt>
                <c:pt idx="193">
                  <c:v>230</c:v>
                </c:pt>
                <c:pt idx="194">
                  <c:v>230</c:v>
                </c:pt>
                <c:pt idx="195">
                  <c:v>230</c:v>
                </c:pt>
                <c:pt idx="196">
                  <c:v>230</c:v>
                </c:pt>
                <c:pt idx="197">
                  <c:v>230</c:v>
                </c:pt>
                <c:pt idx="198">
                  <c:v>230</c:v>
                </c:pt>
                <c:pt idx="199">
                  <c:v>230</c:v>
                </c:pt>
                <c:pt idx="200">
                  <c:v>215</c:v>
                </c:pt>
                <c:pt idx="201">
                  <c:v>215</c:v>
                </c:pt>
                <c:pt idx="202">
                  <c:v>215</c:v>
                </c:pt>
                <c:pt idx="203">
                  <c:v>215</c:v>
                </c:pt>
                <c:pt idx="204">
                  <c:v>215</c:v>
                </c:pt>
                <c:pt idx="205">
                  <c:v>215</c:v>
                </c:pt>
                <c:pt idx="206">
                  <c:v>215</c:v>
                </c:pt>
                <c:pt idx="207">
                  <c:v>215</c:v>
                </c:pt>
                <c:pt idx="208">
                  <c:v>215</c:v>
                </c:pt>
                <c:pt idx="209">
                  <c:v>215</c:v>
                </c:pt>
                <c:pt idx="210">
                  <c:v>215</c:v>
                </c:pt>
                <c:pt idx="211">
                  <c:v>215</c:v>
                </c:pt>
                <c:pt idx="212">
                  <c:v>215</c:v>
                </c:pt>
                <c:pt idx="213">
                  <c:v>215</c:v>
                </c:pt>
                <c:pt idx="214">
                  <c:v>210</c:v>
                </c:pt>
                <c:pt idx="215">
                  <c:v>210</c:v>
                </c:pt>
                <c:pt idx="216">
                  <c:v>210</c:v>
                </c:pt>
                <c:pt idx="217">
                  <c:v>210</c:v>
                </c:pt>
                <c:pt idx="218">
                  <c:v>210</c:v>
                </c:pt>
                <c:pt idx="219">
                  <c:v>210</c:v>
                </c:pt>
                <c:pt idx="220">
                  <c:v>210</c:v>
                </c:pt>
                <c:pt idx="221">
                  <c:v>208</c:v>
                </c:pt>
                <c:pt idx="222">
                  <c:v>208</c:v>
                </c:pt>
                <c:pt idx="223">
                  <c:v>208</c:v>
                </c:pt>
                <c:pt idx="224">
                  <c:v>208</c:v>
                </c:pt>
                <c:pt idx="225">
                  <c:v>208</c:v>
                </c:pt>
                <c:pt idx="226">
                  <c:v>208</c:v>
                </c:pt>
                <c:pt idx="227">
                  <c:v>208</c:v>
                </c:pt>
                <c:pt idx="228">
                  <c:v>210</c:v>
                </c:pt>
                <c:pt idx="229">
                  <c:v>210</c:v>
                </c:pt>
                <c:pt idx="230">
                  <c:v>210</c:v>
                </c:pt>
                <c:pt idx="231">
                  <c:v>210</c:v>
                </c:pt>
                <c:pt idx="232">
                  <c:v>210</c:v>
                </c:pt>
                <c:pt idx="233">
                  <c:v>210</c:v>
                </c:pt>
                <c:pt idx="234">
                  <c:v>210</c:v>
                </c:pt>
                <c:pt idx="235">
                  <c:v>205</c:v>
                </c:pt>
                <c:pt idx="236">
                  <c:v>205</c:v>
                </c:pt>
                <c:pt idx="237">
                  <c:v>205</c:v>
                </c:pt>
                <c:pt idx="238">
                  <c:v>205</c:v>
                </c:pt>
                <c:pt idx="239">
                  <c:v>205</c:v>
                </c:pt>
                <c:pt idx="240">
                  <c:v>205</c:v>
                </c:pt>
                <c:pt idx="241">
                  <c:v>205</c:v>
                </c:pt>
                <c:pt idx="242">
                  <c:v>200</c:v>
                </c:pt>
                <c:pt idx="243">
                  <c:v>200</c:v>
                </c:pt>
                <c:pt idx="244">
                  <c:v>200</c:v>
                </c:pt>
                <c:pt idx="245">
                  <c:v>200</c:v>
                </c:pt>
                <c:pt idx="246">
                  <c:v>200</c:v>
                </c:pt>
                <c:pt idx="247">
                  <c:v>200</c:v>
                </c:pt>
                <c:pt idx="248">
                  <c:v>200</c:v>
                </c:pt>
                <c:pt idx="249">
                  <c:v>195</c:v>
                </c:pt>
                <c:pt idx="250">
                  <c:v>195</c:v>
                </c:pt>
                <c:pt idx="251">
                  <c:v>195</c:v>
                </c:pt>
                <c:pt idx="252">
                  <c:v>195</c:v>
                </c:pt>
                <c:pt idx="253">
                  <c:v>195</c:v>
                </c:pt>
                <c:pt idx="254">
                  <c:v>195</c:v>
                </c:pt>
                <c:pt idx="255">
                  <c:v>195</c:v>
                </c:pt>
                <c:pt idx="256">
                  <c:v>180</c:v>
                </c:pt>
                <c:pt idx="257">
                  <c:v>180</c:v>
                </c:pt>
                <c:pt idx="258">
                  <c:v>180</c:v>
                </c:pt>
                <c:pt idx="259">
                  <c:v>180</c:v>
                </c:pt>
                <c:pt idx="260">
                  <c:v>180</c:v>
                </c:pt>
                <c:pt idx="261">
                  <c:v>180</c:v>
                </c:pt>
                <c:pt idx="262">
                  <c:v>180</c:v>
                </c:pt>
                <c:pt idx="263">
                  <c:v>175</c:v>
                </c:pt>
                <c:pt idx="264">
                  <c:v>175</c:v>
                </c:pt>
                <c:pt idx="265">
                  <c:v>175</c:v>
                </c:pt>
                <c:pt idx="266">
                  <c:v>175</c:v>
                </c:pt>
                <c:pt idx="267">
                  <c:v>175</c:v>
                </c:pt>
                <c:pt idx="268">
                  <c:v>175</c:v>
                </c:pt>
                <c:pt idx="269">
                  <c:v>175</c:v>
                </c:pt>
                <c:pt idx="270">
                  <c:v>175</c:v>
                </c:pt>
                <c:pt idx="271">
                  <c:v>175</c:v>
                </c:pt>
                <c:pt idx="272">
                  <c:v>175</c:v>
                </c:pt>
                <c:pt idx="273">
                  <c:v>175</c:v>
                </c:pt>
                <c:pt idx="274">
                  <c:v>175</c:v>
                </c:pt>
                <c:pt idx="275">
                  <c:v>175</c:v>
                </c:pt>
                <c:pt idx="276">
                  <c:v>175</c:v>
                </c:pt>
                <c:pt idx="277">
                  <c:v>160</c:v>
                </c:pt>
                <c:pt idx="278">
                  <c:v>160</c:v>
                </c:pt>
                <c:pt idx="279">
                  <c:v>160</c:v>
                </c:pt>
                <c:pt idx="280">
                  <c:v>160</c:v>
                </c:pt>
                <c:pt idx="281">
                  <c:v>160</c:v>
                </c:pt>
                <c:pt idx="282">
                  <c:v>160</c:v>
                </c:pt>
                <c:pt idx="283">
                  <c:v>160</c:v>
                </c:pt>
                <c:pt idx="284">
                  <c:v>150</c:v>
                </c:pt>
                <c:pt idx="285">
                  <c:v>150</c:v>
                </c:pt>
                <c:pt idx="286">
                  <c:v>150</c:v>
                </c:pt>
                <c:pt idx="287">
                  <c:v>150</c:v>
                </c:pt>
                <c:pt idx="288">
                  <c:v>150</c:v>
                </c:pt>
                <c:pt idx="289">
                  <c:v>150</c:v>
                </c:pt>
                <c:pt idx="290">
                  <c:v>150</c:v>
                </c:pt>
                <c:pt idx="291">
                  <c:v>145</c:v>
                </c:pt>
                <c:pt idx="292">
                  <c:v>145</c:v>
                </c:pt>
                <c:pt idx="293">
                  <c:v>145</c:v>
                </c:pt>
                <c:pt idx="294">
                  <c:v>145</c:v>
                </c:pt>
                <c:pt idx="295">
                  <c:v>145</c:v>
                </c:pt>
                <c:pt idx="296">
                  <c:v>145</c:v>
                </c:pt>
                <c:pt idx="297">
                  <c:v>145</c:v>
                </c:pt>
                <c:pt idx="298">
                  <c:v>145</c:v>
                </c:pt>
                <c:pt idx="299">
                  <c:v>145</c:v>
                </c:pt>
                <c:pt idx="300">
                  <c:v>145</c:v>
                </c:pt>
                <c:pt idx="301">
                  <c:v>145</c:v>
                </c:pt>
                <c:pt idx="302">
                  <c:v>145</c:v>
                </c:pt>
                <c:pt idx="303">
                  <c:v>145</c:v>
                </c:pt>
                <c:pt idx="304">
                  <c:v>145</c:v>
                </c:pt>
                <c:pt idx="305">
                  <c:v>145</c:v>
                </c:pt>
                <c:pt idx="306">
                  <c:v>145</c:v>
                </c:pt>
                <c:pt idx="307">
                  <c:v>145</c:v>
                </c:pt>
                <c:pt idx="308">
                  <c:v>145</c:v>
                </c:pt>
                <c:pt idx="309">
                  <c:v>145</c:v>
                </c:pt>
                <c:pt idx="310">
                  <c:v>145</c:v>
                </c:pt>
                <c:pt idx="311">
                  <c:v>145</c:v>
                </c:pt>
                <c:pt idx="312">
                  <c:v>148</c:v>
                </c:pt>
                <c:pt idx="313">
                  <c:v>148</c:v>
                </c:pt>
                <c:pt idx="314">
                  <c:v>148</c:v>
                </c:pt>
                <c:pt idx="315">
                  <c:v>148</c:v>
                </c:pt>
                <c:pt idx="316">
                  <c:v>148</c:v>
                </c:pt>
                <c:pt idx="317">
                  <c:v>148</c:v>
                </c:pt>
                <c:pt idx="318">
                  <c:v>148</c:v>
                </c:pt>
                <c:pt idx="319">
                  <c:v>155</c:v>
                </c:pt>
                <c:pt idx="320">
                  <c:v>155</c:v>
                </c:pt>
                <c:pt idx="321">
                  <c:v>155</c:v>
                </c:pt>
                <c:pt idx="322">
                  <c:v>155</c:v>
                </c:pt>
                <c:pt idx="323">
                  <c:v>155</c:v>
                </c:pt>
              </c:numCache>
            </c:numRef>
          </c:val>
          <c:smooth val="0"/>
        </c:ser>
        <c:dLbls>
          <c:showLegendKey val="0"/>
          <c:showVal val="0"/>
          <c:showCatName val="0"/>
          <c:showSerName val="0"/>
          <c:showPercent val="0"/>
          <c:showBubbleSize val="0"/>
        </c:dLbls>
        <c:marker val="1"/>
        <c:smooth val="0"/>
        <c:axId val="259945600"/>
        <c:axId val="259947136"/>
      </c:lineChart>
      <c:dateAx>
        <c:axId val="259945600"/>
        <c:scaling>
          <c:orientation val="minMax"/>
          <c:max val="42328"/>
        </c:scaling>
        <c:delete val="0"/>
        <c:axPos val="b"/>
        <c:numFmt formatCode="m/d/yyyy" sourceLinked="1"/>
        <c:majorTickMark val="out"/>
        <c:minorTickMark val="none"/>
        <c:tickLblPos val="nextTo"/>
        <c:crossAx val="259947136"/>
        <c:crosses val="autoZero"/>
        <c:auto val="1"/>
        <c:lblOffset val="100"/>
        <c:baseTimeUnit val="days"/>
        <c:majorUnit val="1"/>
        <c:majorTimeUnit val="months"/>
        <c:minorUnit val="1"/>
        <c:minorTimeUnit val="days"/>
      </c:dateAx>
      <c:valAx>
        <c:axId val="259947136"/>
        <c:scaling>
          <c:orientation val="minMax"/>
          <c:min val="120"/>
        </c:scaling>
        <c:delete val="0"/>
        <c:axPos val="l"/>
        <c:majorGridlines/>
        <c:numFmt formatCode="General" sourceLinked="1"/>
        <c:majorTickMark val="out"/>
        <c:minorTickMark val="none"/>
        <c:tickLblPos val="nextTo"/>
        <c:crossAx val="259945600"/>
        <c:crossesAt val="42005"/>
        <c:crossBetween val="between"/>
      </c:valAx>
    </c:plotArea>
    <c:legend>
      <c:legendPos val="b"/>
      <c:layout>
        <c:manualLayout>
          <c:xMode val="edge"/>
          <c:yMode val="edge"/>
          <c:x val="0.17692883253369893"/>
          <c:y val="0.85296857105863844"/>
          <c:w val="0.76823525117837232"/>
          <c:h val="0.14703128128463291"/>
        </c:manualLayout>
      </c:layout>
      <c:overlay val="0"/>
    </c:legend>
    <c:plotVisOnly val="1"/>
    <c:dispBlanksAs val="gap"/>
    <c:showDLblsOverMax val="0"/>
  </c:chart>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8189208742670019E-2"/>
          <c:y val="3.4281803566905189E-2"/>
          <c:w val="0.87768040759611221"/>
          <c:h val="0.7213283223105883"/>
        </c:manualLayout>
      </c:layout>
      <c:lineChart>
        <c:grouping val="standard"/>
        <c:varyColors val="0"/>
        <c:ser>
          <c:idx val="0"/>
          <c:order val="0"/>
          <c:tx>
            <c:strRef>
              <c:f>CRU、廢鋼、小鋼胚、平板鋼類、長條鋼類!$S$1</c:f>
              <c:strCache>
                <c:ptCount val="1"/>
                <c:pt idx="0">
                  <c:v>小鋼胚 中級 協勝發 含稅出廠價(美元/公噸)</c:v>
                </c:pt>
              </c:strCache>
            </c:strRef>
          </c:tx>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CRU、廢鋼、小鋼胚、平板鋼類、長條鋼類!$S$216:$S$539</c:f>
              <c:numCache>
                <c:formatCode>General</c:formatCode>
                <c:ptCount val="324"/>
                <c:pt idx="0">
                  <c:v>443.33333333333331</c:v>
                </c:pt>
                <c:pt idx="1">
                  <c:v>443.33333333333331</c:v>
                </c:pt>
                <c:pt idx="2">
                  <c:v>443.33333333333331</c:v>
                </c:pt>
                <c:pt idx="3">
                  <c:v>443.33333333333331</c:v>
                </c:pt>
                <c:pt idx="4">
                  <c:v>443.33333333333331</c:v>
                </c:pt>
                <c:pt idx="5">
                  <c:v>443.33333333333331</c:v>
                </c:pt>
                <c:pt idx="6">
                  <c:v>443.33333333333331</c:v>
                </c:pt>
                <c:pt idx="7">
                  <c:v>443.33333333333331</c:v>
                </c:pt>
                <c:pt idx="8">
                  <c:v>443.33333333333331</c:v>
                </c:pt>
                <c:pt idx="9">
                  <c:v>443.33333333333331</c:v>
                </c:pt>
                <c:pt idx="10">
                  <c:v>443.33333333333331</c:v>
                </c:pt>
                <c:pt idx="11">
                  <c:v>443.33333333333331</c:v>
                </c:pt>
                <c:pt idx="12">
                  <c:v>443.33333333333331</c:v>
                </c:pt>
                <c:pt idx="13">
                  <c:v>443.33333333333331</c:v>
                </c:pt>
                <c:pt idx="14">
                  <c:v>443.33333333333331</c:v>
                </c:pt>
                <c:pt idx="15">
                  <c:v>443.33333333333331</c:v>
                </c:pt>
                <c:pt idx="16">
                  <c:v>443.33333333333331</c:v>
                </c:pt>
                <c:pt idx="17">
                  <c:v>443.33333333333331</c:v>
                </c:pt>
                <c:pt idx="18">
                  <c:v>443.33333333333331</c:v>
                </c:pt>
                <c:pt idx="19">
                  <c:v>443.33333333333331</c:v>
                </c:pt>
                <c:pt idx="20">
                  <c:v>443.33333333333331</c:v>
                </c:pt>
                <c:pt idx="21">
                  <c:v>443.33333333333331</c:v>
                </c:pt>
                <c:pt idx="22">
                  <c:v>443.33333333333331</c:v>
                </c:pt>
                <c:pt idx="23">
                  <c:v>443.33333333333331</c:v>
                </c:pt>
                <c:pt idx="24">
                  <c:v>443.33333333333331</c:v>
                </c:pt>
                <c:pt idx="25">
                  <c:v>443.33333333333331</c:v>
                </c:pt>
                <c:pt idx="26">
                  <c:v>430</c:v>
                </c:pt>
                <c:pt idx="27">
                  <c:v>430</c:v>
                </c:pt>
                <c:pt idx="28">
                  <c:v>430</c:v>
                </c:pt>
                <c:pt idx="29">
                  <c:v>430</c:v>
                </c:pt>
                <c:pt idx="30">
                  <c:v>430</c:v>
                </c:pt>
                <c:pt idx="31">
                  <c:v>430</c:v>
                </c:pt>
                <c:pt idx="32">
                  <c:v>430</c:v>
                </c:pt>
                <c:pt idx="33">
                  <c:v>430</c:v>
                </c:pt>
                <c:pt idx="34">
                  <c:v>416.66666666666686</c:v>
                </c:pt>
                <c:pt idx="35">
                  <c:v>416.66666666666686</c:v>
                </c:pt>
                <c:pt idx="36">
                  <c:v>416.66666666666686</c:v>
                </c:pt>
                <c:pt idx="37">
                  <c:v>416.66666666666686</c:v>
                </c:pt>
                <c:pt idx="38">
                  <c:v>416.66666666666686</c:v>
                </c:pt>
                <c:pt idx="39">
                  <c:v>416.66666666666686</c:v>
                </c:pt>
                <c:pt idx="40">
                  <c:v>410</c:v>
                </c:pt>
                <c:pt idx="41">
                  <c:v>410</c:v>
                </c:pt>
                <c:pt idx="42">
                  <c:v>410</c:v>
                </c:pt>
                <c:pt idx="43">
                  <c:v>410</c:v>
                </c:pt>
                <c:pt idx="44">
                  <c:v>410</c:v>
                </c:pt>
                <c:pt idx="45">
                  <c:v>410</c:v>
                </c:pt>
                <c:pt idx="46">
                  <c:v>410</c:v>
                </c:pt>
                <c:pt idx="47">
                  <c:v>410</c:v>
                </c:pt>
                <c:pt idx="48">
                  <c:v>410</c:v>
                </c:pt>
                <c:pt idx="49">
                  <c:v>410</c:v>
                </c:pt>
                <c:pt idx="50">
                  <c:v>410</c:v>
                </c:pt>
                <c:pt idx="51">
                  <c:v>410</c:v>
                </c:pt>
                <c:pt idx="52">
                  <c:v>410</c:v>
                </c:pt>
                <c:pt idx="53">
                  <c:v>410</c:v>
                </c:pt>
                <c:pt idx="54">
                  <c:v>410</c:v>
                </c:pt>
                <c:pt idx="55">
                  <c:v>410</c:v>
                </c:pt>
                <c:pt idx="56">
                  <c:v>410</c:v>
                </c:pt>
                <c:pt idx="57">
                  <c:v>410</c:v>
                </c:pt>
                <c:pt idx="58">
                  <c:v>410</c:v>
                </c:pt>
                <c:pt idx="59">
                  <c:v>410</c:v>
                </c:pt>
                <c:pt idx="60">
                  <c:v>410</c:v>
                </c:pt>
                <c:pt idx="61">
                  <c:v>400</c:v>
                </c:pt>
                <c:pt idx="62">
                  <c:v>400</c:v>
                </c:pt>
                <c:pt idx="63">
                  <c:v>400</c:v>
                </c:pt>
                <c:pt idx="64">
                  <c:v>400</c:v>
                </c:pt>
                <c:pt idx="65">
                  <c:v>400</c:v>
                </c:pt>
                <c:pt idx="66">
                  <c:v>400</c:v>
                </c:pt>
                <c:pt idx="67">
                  <c:v>400</c:v>
                </c:pt>
                <c:pt idx="68">
                  <c:v>390</c:v>
                </c:pt>
                <c:pt idx="69">
                  <c:v>390</c:v>
                </c:pt>
                <c:pt idx="70">
                  <c:v>390</c:v>
                </c:pt>
                <c:pt idx="71">
                  <c:v>390</c:v>
                </c:pt>
                <c:pt idx="72">
                  <c:v>390</c:v>
                </c:pt>
                <c:pt idx="73">
                  <c:v>390</c:v>
                </c:pt>
                <c:pt idx="74">
                  <c:v>390</c:v>
                </c:pt>
                <c:pt idx="75">
                  <c:v>390</c:v>
                </c:pt>
                <c:pt idx="76">
                  <c:v>390</c:v>
                </c:pt>
                <c:pt idx="77">
                  <c:v>390</c:v>
                </c:pt>
                <c:pt idx="78">
                  <c:v>390</c:v>
                </c:pt>
                <c:pt idx="79">
                  <c:v>390</c:v>
                </c:pt>
                <c:pt idx="80">
                  <c:v>390</c:v>
                </c:pt>
                <c:pt idx="81">
                  <c:v>390</c:v>
                </c:pt>
                <c:pt idx="82">
                  <c:v>396.66666666666686</c:v>
                </c:pt>
                <c:pt idx="83">
                  <c:v>396.66666666666686</c:v>
                </c:pt>
                <c:pt idx="84">
                  <c:v>396.66666666666686</c:v>
                </c:pt>
                <c:pt idx="85">
                  <c:v>396.66666666666686</c:v>
                </c:pt>
                <c:pt idx="86">
                  <c:v>396.66666666666686</c:v>
                </c:pt>
                <c:pt idx="87">
                  <c:v>396.66666666666686</c:v>
                </c:pt>
                <c:pt idx="88">
                  <c:v>396.66666666666686</c:v>
                </c:pt>
                <c:pt idx="89">
                  <c:v>396.66666666666686</c:v>
                </c:pt>
                <c:pt idx="90">
                  <c:v>396.66666666666686</c:v>
                </c:pt>
                <c:pt idx="91">
                  <c:v>396.66666666666686</c:v>
                </c:pt>
                <c:pt idx="92">
                  <c:v>396.66666666666686</c:v>
                </c:pt>
                <c:pt idx="93">
                  <c:v>396.66666666666686</c:v>
                </c:pt>
                <c:pt idx="94">
                  <c:v>396.66666666666686</c:v>
                </c:pt>
                <c:pt idx="95">
                  <c:v>396.66666666666686</c:v>
                </c:pt>
                <c:pt idx="96">
                  <c:v>396.66666666666686</c:v>
                </c:pt>
                <c:pt idx="97">
                  <c:v>396.66666666666686</c:v>
                </c:pt>
                <c:pt idx="98">
                  <c:v>396.66666666666686</c:v>
                </c:pt>
                <c:pt idx="99">
                  <c:v>396.66666666666686</c:v>
                </c:pt>
                <c:pt idx="100">
                  <c:v>396.66666666666686</c:v>
                </c:pt>
                <c:pt idx="101">
                  <c:v>396.66666666666686</c:v>
                </c:pt>
                <c:pt idx="102">
                  <c:v>396.66666666666686</c:v>
                </c:pt>
                <c:pt idx="103">
                  <c:v>390</c:v>
                </c:pt>
                <c:pt idx="104">
                  <c:v>390</c:v>
                </c:pt>
                <c:pt idx="105">
                  <c:v>390</c:v>
                </c:pt>
                <c:pt idx="106">
                  <c:v>390</c:v>
                </c:pt>
                <c:pt idx="107">
                  <c:v>390</c:v>
                </c:pt>
                <c:pt idx="108">
                  <c:v>390</c:v>
                </c:pt>
                <c:pt idx="109">
                  <c:v>390</c:v>
                </c:pt>
                <c:pt idx="110">
                  <c:v>383.33333333333331</c:v>
                </c:pt>
                <c:pt idx="111">
                  <c:v>383.33333333333331</c:v>
                </c:pt>
                <c:pt idx="112">
                  <c:v>383.33333333333331</c:v>
                </c:pt>
                <c:pt idx="113">
                  <c:v>383.33333333333331</c:v>
                </c:pt>
                <c:pt idx="114">
                  <c:v>383.33333333333331</c:v>
                </c:pt>
                <c:pt idx="115">
                  <c:v>383.33333333333331</c:v>
                </c:pt>
                <c:pt idx="116">
                  <c:v>383.33333333333331</c:v>
                </c:pt>
                <c:pt idx="117">
                  <c:v>370</c:v>
                </c:pt>
                <c:pt idx="118">
                  <c:v>370</c:v>
                </c:pt>
                <c:pt idx="119">
                  <c:v>370</c:v>
                </c:pt>
                <c:pt idx="120">
                  <c:v>370</c:v>
                </c:pt>
                <c:pt idx="121">
                  <c:v>370</c:v>
                </c:pt>
                <c:pt idx="122">
                  <c:v>370</c:v>
                </c:pt>
                <c:pt idx="123">
                  <c:v>370</c:v>
                </c:pt>
                <c:pt idx="124">
                  <c:v>370</c:v>
                </c:pt>
                <c:pt idx="125">
                  <c:v>370</c:v>
                </c:pt>
                <c:pt idx="126">
                  <c:v>370</c:v>
                </c:pt>
                <c:pt idx="127">
                  <c:v>370</c:v>
                </c:pt>
                <c:pt idx="128">
                  <c:v>370</c:v>
                </c:pt>
                <c:pt idx="129">
                  <c:v>370</c:v>
                </c:pt>
                <c:pt idx="130">
                  <c:v>370</c:v>
                </c:pt>
                <c:pt idx="131">
                  <c:v>370</c:v>
                </c:pt>
                <c:pt idx="132">
                  <c:v>370</c:v>
                </c:pt>
                <c:pt idx="133">
                  <c:v>363.33333333333331</c:v>
                </c:pt>
                <c:pt idx="134">
                  <c:v>363.33333333333331</c:v>
                </c:pt>
                <c:pt idx="135">
                  <c:v>363.33333333333331</c:v>
                </c:pt>
                <c:pt idx="136">
                  <c:v>363.33333333333331</c:v>
                </c:pt>
                <c:pt idx="137">
                  <c:v>363.33333333333331</c:v>
                </c:pt>
                <c:pt idx="138">
                  <c:v>363.33333333333331</c:v>
                </c:pt>
                <c:pt idx="139">
                  <c:v>363.33333333333331</c:v>
                </c:pt>
                <c:pt idx="140">
                  <c:v>363.33333333333331</c:v>
                </c:pt>
                <c:pt idx="141">
                  <c:v>363.33333333333331</c:v>
                </c:pt>
                <c:pt idx="142">
                  <c:v>363.33333333333331</c:v>
                </c:pt>
                <c:pt idx="143">
                  <c:v>363.33333333333331</c:v>
                </c:pt>
                <c:pt idx="144">
                  <c:v>363.33333333333331</c:v>
                </c:pt>
                <c:pt idx="145">
                  <c:v>363.33333333333331</c:v>
                </c:pt>
                <c:pt idx="146">
                  <c:v>363.33333333333331</c:v>
                </c:pt>
                <c:pt idx="147">
                  <c:v>363.33333333333331</c:v>
                </c:pt>
                <c:pt idx="148">
                  <c:v>363.33333333333331</c:v>
                </c:pt>
                <c:pt idx="149">
                  <c:v>363.33333333333331</c:v>
                </c:pt>
                <c:pt idx="150">
                  <c:v>363.33333333333331</c:v>
                </c:pt>
                <c:pt idx="151">
                  <c:v>363.33333333333331</c:v>
                </c:pt>
                <c:pt idx="152">
                  <c:v>363.33333333333331</c:v>
                </c:pt>
                <c:pt idx="153">
                  <c:v>363.33333333333331</c:v>
                </c:pt>
                <c:pt idx="154">
                  <c:v>363.33333333333331</c:v>
                </c:pt>
                <c:pt idx="155">
                  <c:v>363.33333333333331</c:v>
                </c:pt>
                <c:pt idx="156">
                  <c:v>363.33333333333331</c:v>
                </c:pt>
                <c:pt idx="157">
                  <c:v>363.33333333333331</c:v>
                </c:pt>
                <c:pt idx="158">
                  <c:v>363.33333333333331</c:v>
                </c:pt>
                <c:pt idx="159">
                  <c:v>363.33333333333331</c:v>
                </c:pt>
                <c:pt idx="160">
                  <c:v>363.33333333333331</c:v>
                </c:pt>
                <c:pt idx="161">
                  <c:v>363.33333333333331</c:v>
                </c:pt>
                <c:pt idx="162">
                  <c:v>363.33333333333331</c:v>
                </c:pt>
                <c:pt idx="163">
                  <c:v>363.33333333333331</c:v>
                </c:pt>
                <c:pt idx="164">
                  <c:v>363.33333333333331</c:v>
                </c:pt>
                <c:pt idx="165">
                  <c:v>363.33333333333331</c:v>
                </c:pt>
                <c:pt idx="166">
                  <c:v>363.33333333333331</c:v>
                </c:pt>
                <c:pt idx="167">
                  <c:v>363.33333333333331</c:v>
                </c:pt>
                <c:pt idx="168">
                  <c:v>363.33333333333331</c:v>
                </c:pt>
                <c:pt idx="169">
                  <c:v>363.33333333333331</c:v>
                </c:pt>
                <c:pt idx="170">
                  <c:v>363.33333333333331</c:v>
                </c:pt>
                <c:pt idx="171">
                  <c:v>363.33333333333331</c:v>
                </c:pt>
                <c:pt idx="172">
                  <c:v>363.33333333333331</c:v>
                </c:pt>
                <c:pt idx="173">
                  <c:v>363.33333333333331</c:v>
                </c:pt>
                <c:pt idx="174">
                  <c:v>353.33333333333331</c:v>
                </c:pt>
                <c:pt idx="175">
                  <c:v>353.33333333333331</c:v>
                </c:pt>
                <c:pt idx="176">
                  <c:v>353.33333333333331</c:v>
                </c:pt>
                <c:pt idx="177">
                  <c:v>353.33333333333331</c:v>
                </c:pt>
                <c:pt idx="178">
                  <c:v>353.33333333333331</c:v>
                </c:pt>
                <c:pt idx="179">
                  <c:v>353.33333333333331</c:v>
                </c:pt>
                <c:pt idx="180">
                  <c:v>353.33333333333331</c:v>
                </c:pt>
                <c:pt idx="181">
                  <c:v>353.33333333333331</c:v>
                </c:pt>
                <c:pt idx="182">
                  <c:v>353.33333333333331</c:v>
                </c:pt>
                <c:pt idx="183">
                  <c:v>353.33333333333331</c:v>
                </c:pt>
                <c:pt idx="184">
                  <c:v>353.33333333333331</c:v>
                </c:pt>
                <c:pt idx="185">
                  <c:v>353.33333333333331</c:v>
                </c:pt>
                <c:pt idx="186">
                  <c:v>353.33333333333331</c:v>
                </c:pt>
                <c:pt idx="187">
                  <c:v>353.33333333333331</c:v>
                </c:pt>
                <c:pt idx="188">
                  <c:v>353.33333333333331</c:v>
                </c:pt>
                <c:pt idx="189">
                  <c:v>353.33333333333331</c:v>
                </c:pt>
                <c:pt idx="190">
                  <c:v>353.33333333333331</c:v>
                </c:pt>
                <c:pt idx="191">
                  <c:v>353.33333333333331</c:v>
                </c:pt>
                <c:pt idx="192">
                  <c:v>353.33333333333331</c:v>
                </c:pt>
                <c:pt idx="193">
                  <c:v>353.33333333333331</c:v>
                </c:pt>
                <c:pt idx="194">
                  <c:v>353.33333333333331</c:v>
                </c:pt>
                <c:pt idx="195">
                  <c:v>333.33333333333331</c:v>
                </c:pt>
                <c:pt idx="196">
                  <c:v>333.33333333333331</c:v>
                </c:pt>
                <c:pt idx="197">
                  <c:v>333.33333333333331</c:v>
                </c:pt>
                <c:pt idx="198">
                  <c:v>333.33333333333331</c:v>
                </c:pt>
                <c:pt idx="199">
                  <c:v>333.33333333333331</c:v>
                </c:pt>
                <c:pt idx="200">
                  <c:v>333.33333333333331</c:v>
                </c:pt>
                <c:pt idx="201">
                  <c:v>333.33333333333331</c:v>
                </c:pt>
                <c:pt idx="202">
                  <c:v>333.33333333333331</c:v>
                </c:pt>
                <c:pt idx="203">
                  <c:v>333.33333333333331</c:v>
                </c:pt>
                <c:pt idx="204">
                  <c:v>333.33333333333331</c:v>
                </c:pt>
                <c:pt idx="205">
                  <c:v>333.33333333333331</c:v>
                </c:pt>
                <c:pt idx="206">
                  <c:v>333.33333333333331</c:v>
                </c:pt>
                <c:pt idx="207">
                  <c:v>333.33333333333331</c:v>
                </c:pt>
                <c:pt idx="208">
                  <c:v>333.33333333333331</c:v>
                </c:pt>
                <c:pt idx="209">
                  <c:v>333.33333333333331</c:v>
                </c:pt>
                <c:pt idx="210">
                  <c:v>333.33333333333331</c:v>
                </c:pt>
                <c:pt idx="211">
                  <c:v>333.33333333333331</c:v>
                </c:pt>
                <c:pt idx="212">
                  <c:v>333.33333333333331</c:v>
                </c:pt>
                <c:pt idx="213">
                  <c:v>333.33333333333331</c:v>
                </c:pt>
                <c:pt idx="214">
                  <c:v>333.33333333333331</c:v>
                </c:pt>
                <c:pt idx="215">
                  <c:v>333.33333333333331</c:v>
                </c:pt>
                <c:pt idx="216">
                  <c:v>333.33333333333331</c:v>
                </c:pt>
                <c:pt idx="217">
                  <c:v>333.33333333333331</c:v>
                </c:pt>
                <c:pt idx="218">
                  <c:v>333.33333333333331</c:v>
                </c:pt>
                <c:pt idx="219">
                  <c:v>333.33333333333331</c:v>
                </c:pt>
                <c:pt idx="220">
                  <c:v>333.33333333333331</c:v>
                </c:pt>
                <c:pt idx="221">
                  <c:v>333.33333333333331</c:v>
                </c:pt>
                <c:pt idx="222">
                  <c:v>333.33333333333331</c:v>
                </c:pt>
                <c:pt idx="223">
                  <c:v>333.33333333333331</c:v>
                </c:pt>
                <c:pt idx="224">
                  <c:v>333.33333333333331</c:v>
                </c:pt>
                <c:pt idx="225">
                  <c:v>333.33333333333331</c:v>
                </c:pt>
                <c:pt idx="226">
                  <c:v>333.33333333333331</c:v>
                </c:pt>
                <c:pt idx="227">
                  <c:v>333.33333333333331</c:v>
                </c:pt>
                <c:pt idx="228">
                  <c:v>333.33333333333331</c:v>
                </c:pt>
                <c:pt idx="229">
                  <c:v>333.33333333333331</c:v>
                </c:pt>
                <c:pt idx="230">
                  <c:v>333.33333333333331</c:v>
                </c:pt>
                <c:pt idx="231">
                  <c:v>333.33333333333331</c:v>
                </c:pt>
                <c:pt idx="232">
                  <c:v>333.33333333333331</c:v>
                </c:pt>
                <c:pt idx="233">
                  <c:v>333.33333333333331</c:v>
                </c:pt>
                <c:pt idx="234">
                  <c:v>333.33333333333331</c:v>
                </c:pt>
                <c:pt idx="235">
                  <c:v>333.33333333333331</c:v>
                </c:pt>
                <c:pt idx="236">
                  <c:v>333.33333333333331</c:v>
                </c:pt>
                <c:pt idx="237">
                  <c:v>333.33333333333331</c:v>
                </c:pt>
                <c:pt idx="238">
                  <c:v>356.66666666666686</c:v>
                </c:pt>
                <c:pt idx="239">
                  <c:v>356.66666666666686</c:v>
                </c:pt>
                <c:pt idx="240">
                  <c:v>356.66666666666686</c:v>
                </c:pt>
                <c:pt idx="241">
                  <c:v>356.66666666666686</c:v>
                </c:pt>
                <c:pt idx="242">
                  <c:v>356.66666666666686</c:v>
                </c:pt>
                <c:pt idx="243">
                  <c:v>356.66666666666686</c:v>
                </c:pt>
                <c:pt idx="244">
                  <c:v>356.66666666666686</c:v>
                </c:pt>
                <c:pt idx="245">
                  <c:v>356.66666666666686</c:v>
                </c:pt>
                <c:pt idx="246">
                  <c:v>356.66666666666686</c:v>
                </c:pt>
                <c:pt idx="247">
                  <c:v>356.66666666666686</c:v>
                </c:pt>
                <c:pt idx="248">
                  <c:v>356.66666666666686</c:v>
                </c:pt>
                <c:pt idx="249">
                  <c:v>356.66666666666686</c:v>
                </c:pt>
                <c:pt idx="250">
                  <c:v>356.66666666666686</c:v>
                </c:pt>
                <c:pt idx="251">
                  <c:v>356.66666666666686</c:v>
                </c:pt>
                <c:pt idx="252">
                  <c:v>356.66666666666686</c:v>
                </c:pt>
                <c:pt idx="253">
                  <c:v>356.66666666666686</c:v>
                </c:pt>
                <c:pt idx="254">
                  <c:v>356.66666666666686</c:v>
                </c:pt>
                <c:pt idx="255">
                  <c:v>356.66666666666686</c:v>
                </c:pt>
                <c:pt idx="256">
                  <c:v>356.66666666666686</c:v>
                </c:pt>
                <c:pt idx="257">
                  <c:v>356.66666666666686</c:v>
                </c:pt>
                <c:pt idx="258">
                  <c:v>356.66666666666686</c:v>
                </c:pt>
                <c:pt idx="259">
                  <c:v>356.66666666666686</c:v>
                </c:pt>
                <c:pt idx="260">
                  <c:v>356.66666666666686</c:v>
                </c:pt>
                <c:pt idx="261">
                  <c:v>356.66666666666686</c:v>
                </c:pt>
                <c:pt idx="262">
                  <c:v>356.66666666666686</c:v>
                </c:pt>
                <c:pt idx="263">
                  <c:v>356.66666666666686</c:v>
                </c:pt>
                <c:pt idx="264">
                  <c:v>356.66666666666686</c:v>
                </c:pt>
                <c:pt idx="265">
                  <c:v>356.66666666666686</c:v>
                </c:pt>
                <c:pt idx="266">
                  <c:v>323.33333333333331</c:v>
                </c:pt>
                <c:pt idx="267">
                  <c:v>323.33333333333331</c:v>
                </c:pt>
                <c:pt idx="268">
                  <c:v>323.33333333333331</c:v>
                </c:pt>
                <c:pt idx="269">
                  <c:v>323.33333333333331</c:v>
                </c:pt>
                <c:pt idx="270">
                  <c:v>323.33333333333331</c:v>
                </c:pt>
                <c:pt idx="271">
                  <c:v>323.33333333333331</c:v>
                </c:pt>
                <c:pt idx="272">
                  <c:v>323.33333333333331</c:v>
                </c:pt>
                <c:pt idx="273">
                  <c:v>323.33333333333331</c:v>
                </c:pt>
                <c:pt idx="274">
                  <c:v>323.33333333333331</c:v>
                </c:pt>
                <c:pt idx="275">
                  <c:v>323.33333333333331</c:v>
                </c:pt>
                <c:pt idx="276">
                  <c:v>323.33333333333331</c:v>
                </c:pt>
                <c:pt idx="277">
                  <c:v>323.33333333333331</c:v>
                </c:pt>
                <c:pt idx="278">
                  <c:v>323.33333333333331</c:v>
                </c:pt>
                <c:pt idx="279">
                  <c:v>323.33333333333331</c:v>
                </c:pt>
                <c:pt idx="280">
                  <c:v>323.33333333333331</c:v>
                </c:pt>
                <c:pt idx="281">
                  <c:v>323.33333333333331</c:v>
                </c:pt>
                <c:pt idx="282">
                  <c:v>323.33333333333331</c:v>
                </c:pt>
                <c:pt idx="283">
                  <c:v>323.33333333333331</c:v>
                </c:pt>
                <c:pt idx="284">
                  <c:v>323.33333333333331</c:v>
                </c:pt>
                <c:pt idx="285">
                  <c:v>323.33333333333331</c:v>
                </c:pt>
                <c:pt idx="286">
                  <c:v>323.33333333333331</c:v>
                </c:pt>
                <c:pt idx="287">
                  <c:v>303.33333333333331</c:v>
                </c:pt>
                <c:pt idx="288">
                  <c:v>303.33333333333331</c:v>
                </c:pt>
                <c:pt idx="289">
                  <c:v>303.33333333333331</c:v>
                </c:pt>
                <c:pt idx="290">
                  <c:v>303.33333333333331</c:v>
                </c:pt>
                <c:pt idx="291">
                  <c:v>303.33333333333331</c:v>
                </c:pt>
                <c:pt idx="292">
                  <c:v>303.33333333333331</c:v>
                </c:pt>
                <c:pt idx="293">
                  <c:v>303.33333333333331</c:v>
                </c:pt>
                <c:pt idx="294">
                  <c:v>303.33333333333331</c:v>
                </c:pt>
                <c:pt idx="295">
                  <c:v>303.33333333333331</c:v>
                </c:pt>
                <c:pt idx="296">
                  <c:v>303.33333333333331</c:v>
                </c:pt>
                <c:pt idx="297">
                  <c:v>303.33333333333331</c:v>
                </c:pt>
                <c:pt idx="298">
                  <c:v>303.33333333333331</c:v>
                </c:pt>
                <c:pt idx="299">
                  <c:v>303.33333333333331</c:v>
                </c:pt>
                <c:pt idx="300">
                  <c:v>303.33333333333331</c:v>
                </c:pt>
                <c:pt idx="301">
                  <c:v>303.33333333333331</c:v>
                </c:pt>
                <c:pt idx="302">
                  <c:v>303.33333333333331</c:v>
                </c:pt>
                <c:pt idx="303">
                  <c:v>303.33333333333331</c:v>
                </c:pt>
                <c:pt idx="304">
                  <c:v>303.33333333333331</c:v>
                </c:pt>
                <c:pt idx="305">
                  <c:v>303.33333333333331</c:v>
                </c:pt>
                <c:pt idx="306">
                  <c:v>303.33333333333331</c:v>
                </c:pt>
                <c:pt idx="307">
                  <c:v>303.33333333333331</c:v>
                </c:pt>
                <c:pt idx="308">
                  <c:v>303.33333333333331</c:v>
                </c:pt>
                <c:pt idx="309">
                  <c:v>303.33333333333331</c:v>
                </c:pt>
                <c:pt idx="310">
                  <c:v>303.33333333333331</c:v>
                </c:pt>
                <c:pt idx="311">
                  <c:v>303.33333333333331</c:v>
                </c:pt>
                <c:pt idx="312">
                  <c:v>306.66666666666686</c:v>
                </c:pt>
                <c:pt idx="313">
                  <c:v>306.66666666666686</c:v>
                </c:pt>
                <c:pt idx="314">
                  <c:v>306.66666666666686</c:v>
                </c:pt>
                <c:pt idx="315">
                  <c:v>306.66666666666686</c:v>
                </c:pt>
                <c:pt idx="316">
                  <c:v>306.66666666666686</c:v>
                </c:pt>
                <c:pt idx="317">
                  <c:v>306.66666666666686</c:v>
                </c:pt>
                <c:pt idx="318">
                  <c:v>306.66666666666686</c:v>
                </c:pt>
                <c:pt idx="319">
                  <c:v>306.66666666666686</c:v>
                </c:pt>
                <c:pt idx="320">
                  <c:v>306.66666666666686</c:v>
                </c:pt>
                <c:pt idx="321">
                  <c:v>306.66666666666686</c:v>
                </c:pt>
                <c:pt idx="322">
                  <c:v>306.66666666666686</c:v>
                </c:pt>
                <c:pt idx="323">
                  <c:v>306.66666666666686</c:v>
                </c:pt>
              </c:numCache>
            </c:numRef>
          </c:val>
          <c:smooth val="0"/>
        </c:ser>
        <c:dLbls>
          <c:showLegendKey val="0"/>
          <c:showVal val="0"/>
          <c:showCatName val="0"/>
          <c:showSerName val="0"/>
          <c:showPercent val="0"/>
          <c:showBubbleSize val="0"/>
        </c:dLbls>
        <c:marker val="1"/>
        <c:smooth val="0"/>
        <c:axId val="259975040"/>
        <c:axId val="259976576"/>
      </c:lineChart>
      <c:dateAx>
        <c:axId val="259975040"/>
        <c:scaling>
          <c:orientation val="minMax"/>
          <c:max val="42328"/>
        </c:scaling>
        <c:delete val="0"/>
        <c:axPos val="b"/>
        <c:numFmt formatCode="m/d/yyyy" sourceLinked="1"/>
        <c:majorTickMark val="out"/>
        <c:minorTickMark val="none"/>
        <c:tickLblPos val="nextTo"/>
        <c:crossAx val="259976576"/>
        <c:crosses val="autoZero"/>
        <c:auto val="1"/>
        <c:lblOffset val="100"/>
        <c:baseTimeUnit val="days"/>
        <c:majorUnit val="1"/>
        <c:majorTimeUnit val="months"/>
        <c:minorUnit val="1"/>
        <c:minorTimeUnit val="months"/>
      </c:dateAx>
      <c:valAx>
        <c:axId val="259976576"/>
        <c:scaling>
          <c:orientation val="minMax"/>
          <c:min val="250"/>
        </c:scaling>
        <c:delete val="0"/>
        <c:axPos val="l"/>
        <c:majorGridlines/>
        <c:numFmt formatCode="General" sourceLinked="1"/>
        <c:majorTickMark val="out"/>
        <c:minorTickMark val="none"/>
        <c:tickLblPos val="nextTo"/>
        <c:crossAx val="259975040"/>
        <c:crosses val="autoZero"/>
        <c:crossBetween val="between"/>
      </c:valAx>
    </c:plotArea>
    <c:legend>
      <c:legendPos val="b"/>
      <c:layout>
        <c:manualLayout>
          <c:xMode val="edge"/>
          <c:yMode val="edge"/>
          <c:x val="0.19432373771989947"/>
          <c:y val="0.92800322782095757"/>
          <c:w val="0.61135252456020106"/>
          <c:h val="7.199677217904249E-2"/>
        </c:manualLayout>
      </c:layout>
      <c:overlay val="0"/>
    </c:legend>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2754984942240239E-2"/>
          <c:y val="4.6054898620234395E-2"/>
          <c:w val="0.87793683635249886"/>
          <c:h val="0.64948582894406837"/>
        </c:manualLayout>
      </c:layout>
      <c:lineChart>
        <c:grouping val="standard"/>
        <c:varyColors val="0"/>
        <c:ser>
          <c:idx val="0"/>
          <c:order val="0"/>
          <c:tx>
            <c:strRef>
              <c:f>CRU、廢鋼、小鋼胚、平板鋼類、長條鋼類!$T$1</c:f>
              <c:strCache>
                <c:ptCount val="1"/>
                <c:pt idx="0">
                  <c:v>熱軋鋼捲 軋延料 中鋼 內銷基價(美元/公噸)</c:v>
                </c:pt>
              </c:strCache>
            </c:strRef>
          </c:tx>
          <c:spPr>
            <a:ln>
              <a:prstDash val="sysDash"/>
            </a:ln>
          </c:spPr>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CRU、廢鋼、小鋼胚、平板鋼類、長條鋼類!$T$216:$T$539</c:f>
              <c:numCache>
                <c:formatCode>General</c:formatCode>
                <c:ptCount val="324"/>
                <c:pt idx="0">
                  <c:v>588.3333333333336</c:v>
                </c:pt>
                <c:pt idx="1">
                  <c:v>588.3333333333336</c:v>
                </c:pt>
                <c:pt idx="2">
                  <c:v>588.3333333333336</c:v>
                </c:pt>
                <c:pt idx="3">
                  <c:v>588.3333333333336</c:v>
                </c:pt>
                <c:pt idx="4">
                  <c:v>588.3333333333336</c:v>
                </c:pt>
                <c:pt idx="5">
                  <c:v>588.3333333333336</c:v>
                </c:pt>
                <c:pt idx="6">
                  <c:v>588.3333333333336</c:v>
                </c:pt>
                <c:pt idx="7">
                  <c:v>588.3333333333336</c:v>
                </c:pt>
                <c:pt idx="8">
                  <c:v>588.3333333333336</c:v>
                </c:pt>
                <c:pt idx="9">
                  <c:v>588.3333333333336</c:v>
                </c:pt>
                <c:pt idx="10">
                  <c:v>588.3333333333336</c:v>
                </c:pt>
                <c:pt idx="11">
                  <c:v>588.3333333333336</c:v>
                </c:pt>
                <c:pt idx="12">
                  <c:v>588.3333333333336</c:v>
                </c:pt>
                <c:pt idx="13">
                  <c:v>588.3333333333336</c:v>
                </c:pt>
                <c:pt idx="14">
                  <c:v>588.3333333333336</c:v>
                </c:pt>
                <c:pt idx="15">
                  <c:v>588.3333333333336</c:v>
                </c:pt>
                <c:pt idx="16">
                  <c:v>588.3333333333336</c:v>
                </c:pt>
                <c:pt idx="17">
                  <c:v>588.3333333333336</c:v>
                </c:pt>
                <c:pt idx="18">
                  <c:v>588.3333333333336</c:v>
                </c:pt>
                <c:pt idx="19">
                  <c:v>588.3333333333336</c:v>
                </c:pt>
                <c:pt idx="20">
                  <c:v>588.3333333333336</c:v>
                </c:pt>
                <c:pt idx="21">
                  <c:v>588.3333333333336</c:v>
                </c:pt>
                <c:pt idx="22">
                  <c:v>588.3333333333336</c:v>
                </c:pt>
                <c:pt idx="23">
                  <c:v>588.3333333333336</c:v>
                </c:pt>
                <c:pt idx="24">
                  <c:v>588.3333333333336</c:v>
                </c:pt>
                <c:pt idx="25">
                  <c:v>588.3333333333336</c:v>
                </c:pt>
                <c:pt idx="26">
                  <c:v>588.3333333333336</c:v>
                </c:pt>
                <c:pt idx="27">
                  <c:v>588.3333333333336</c:v>
                </c:pt>
                <c:pt idx="28">
                  <c:v>588.3333333333336</c:v>
                </c:pt>
                <c:pt idx="29">
                  <c:v>588.3333333333336</c:v>
                </c:pt>
                <c:pt idx="30">
                  <c:v>588.3333333333336</c:v>
                </c:pt>
                <c:pt idx="31">
                  <c:v>588.3333333333336</c:v>
                </c:pt>
                <c:pt idx="32">
                  <c:v>588.3333333333336</c:v>
                </c:pt>
                <c:pt idx="33">
                  <c:v>588.3333333333336</c:v>
                </c:pt>
                <c:pt idx="34">
                  <c:v>588.3333333333336</c:v>
                </c:pt>
                <c:pt idx="35">
                  <c:v>588.3333333333336</c:v>
                </c:pt>
                <c:pt idx="36">
                  <c:v>588.3333333333336</c:v>
                </c:pt>
                <c:pt idx="37">
                  <c:v>588.3333333333336</c:v>
                </c:pt>
                <c:pt idx="38">
                  <c:v>588.3333333333336</c:v>
                </c:pt>
                <c:pt idx="39">
                  <c:v>588.3333333333336</c:v>
                </c:pt>
                <c:pt idx="40">
                  <c:v>588.3333333333336</c:v>
                </c:pt>
                <c:pt idx="41">
                  <c:v>588.3333333333336</c:v>
                </c:pt>
                <c:pt idx="42">
                  <c:v>588.3333333333336</c:v>
                </c:pt>
                <c:pt idx="43">
                  <c:v>588.3333333333336</c:v>
                </c:pt>
                <c:pt idx="44">
                  <c:v>588.3333333333336</c:v>
                </c:pt>
                <c:pt idx="45">
                  <c:v>588.3333333333336</c:v>
                </c:pt>
                <c:pt idx="46">
                  <c:v>588.3333333333336</c:v>
                </c:pt>
                <c:pt idx="47">
                  <c:v>588.3333333333336</c:v>
                </c:pt>
                <c:pt idx="48">
                  <c:v>588.3333333333336</c:v>
                </c:pt>
                <c:pt idx="49">
                  <c:v>588.3333333333336</c:v>
                </c:pt>
                <c:pt idx="50">
                  <c:v>588.3333333333336</c:v>
                </c:pt>
                <c:pt idx="51">
                  <c:v>588.3333333333336</c:v>
                </c:pt>
                <c:pt idx="52">
                  <c:v>588.3333333333336</c:v>
                </c:pt>
                <c:pt idx="53">
                  <c:v>588.3333333333336</c:v>
                </c:pt>
                <c:pt idx="54">
                  <c:v>588.3333333333336</c:v>
                </c:pt>
                <c:pt idx="55">
                  <c:v>588.3333333333336</c:v>
                </c:pt>
                <c:pt idx="56">
                  <c:v>588.3333333333336</c:v>
                </c:pt>
                <c:pt idx="57">
                  <c:v>588.3333333333336</c:v>
                </c:pt>
                <c:pt idx="58">
                  <c:v>588.3333333333336</c:v>
                </c:pt>
                <c:pt idx="59">
                  <c:v>568.3333333333336</c:v>
                </c:pt>
                <c:pt idx="60">
                  <c:v>568.3333333333336</c:v>
                </c:pt>
                <c:pt idx="61">
                  <c:v>568.3333333333336</c:v>
                </c:pt>
                <c:pt idx="62">
                  <c:v>568.3333333333336</c:v>
                </c:pt>
                <c:pt idx="63">
                  <c:v>568.3333333333336</c:v>
                </c:pt>
                <c:pt idx="64">
                  <c:v>568.3333333333336</c:v>
                </c:pt>
                <c:pt idx="65">
                  <c:v>568.3333333333336</c:v>
                </c:pt>
                <c:pt idx="66">
                  <c:v>568.3333333333336</c:v>
                </c:pt>
                <c:pt idx="67">
                  <c:v>568.3333333333336</c:v>
                </c:pt>
                <c:pt idx="68">
                  <c:v>568.3333333333336</c:v>
                </c:pt>
                <c:pt idx="69">
                  <c:v>568.3333333333336</c:v>
                </c:pt>
                <c:pt idx="70">
                  <c:v>568.3333333333336</c:v>
                </c:pt>
                <c:pt idx="71">
                  <c:v>568.3333333333336</c:v>
                </c:pt>
                <c:pt idx="72">
                  <c:v>568.3333333333336</c:v>
                </c:pt>
                <c:pt idx="73">
                  <c:v>568.3333333333336</c:v>
                </c:pt>
                <c:pt idx="74">
                  <c:v>568.3333333333336</c:v>
                </c:pt>
                <c:pt idx="75">
                  <c:v>568.3333333333336</c:v>
                </c:pt>
                <c:pt idx="76">
                  <c:v>568.3333333333336</c:v>
                </c:pt>
                <c:pt idx="77">
                  <c:v>568.3333333333336</c:v>
                </c:pt>
                <c:pt idx="78">
                  <c:v>568.3333333333336</c:v>
                </c:pt>
                <c:pt idx="79">
                  <c:v>568.3333333333336</c:v>
                </c:pt>
                <c:pt idx="80">
                  <c:v>568.3333333333336</c:v>
                </c:pt>
                <c:pt idx="81">
                  <c:v>568.3333333333336</c:v>
                </c:pt>
                <c:pt idx="82">
                  <c:v>568.3333333333336</c:v>
                </c:pt>
                <c:pt idx="83">
                  <c:v>568.3333333333336</c:v>
                </c:pt>
                <c:pt idx="84">
                  <c:v>568.3333333333336</c:v>
                </c:pt>
                <c:pt idx="85">
                  <c:v>568.3333333333336</c:v>
                </c:pt>
                <c:pt idx="86">
                  <c:v>568.3333333333336</c:v>
                </c:pt>
                <c:pt idx="87">
                  <c:v>568.3333333333336</c:v>
                </c:pt>
                <c:pt idx="88">
                  <c:v>568.3333333333336</c:v>
                </c:pt>
                <c:pt idx="89">
                  <c:v>568.3333333333336</c:v>
                </c:pt>
                <c:pt idx="90">
                  <c:v>528.3333333333336</c:v>
                </c:pt>
                <c:pt idx="91">
                  <c:v>528.3333333333336</c:v>
                </c:pt>
                <c:pt idx="92">
                  <c:v>528.3333333333336</c:v>
                </c:pt>
                <c:pt idx="93">
                  <c:v>528.3333333333336</c:v>
                </c:pt>
                <c:pt idx="94">
                  <c:v>528.3333333333336</c:v>
                </c:pt>
                <c:pt idx="95">
                  <c:v>528.3333333333336</c:v>
                </c:pt>
                <c:pt idx="96">
                  <c:v>528.3333333333336</c:v>
                </c:pt>
                <c:pt idx="97">
                  <c:v>528.3333333333336</c:v>
                </c:pt>
                <c:pt idx="98">
                  <c:v>528.3333333333336</c:v>
                </c:pt>
                <c:pt idx="99">
                  <c:v>528.3333333333336</c:v>
                </c:pt>
                <c:pt idx="100">
                  <c:v>528.3333333333336</c:v>
                </c:pt>
                <c:pt idx="101">
                  <c:v>528.3333333333336</c:v>
                </c:pt>
                <c:pt idx="102">
                  <c:v>528.3333333333336</c:v>
                </c:pt>
                <c:pt idx="103">
                  <c:v>528.3333333333336</c:v>
                </c:pt>
                <c:pt idx="104">
                  <c:v>528.3333333333336</c:v>
                </c:pt>
                <c:pt idx="105">
                  <c:v>528.3333333333336</c:v>
                </c:pt>
                <c:pt idx="106">
                  <c:v>528.3333333333336</c:v>
                </c:pt>
                <c:pt idx="107">
                  <c:v>528.3333333333336</c:v>
                </c:pt>
                <c:pt idx="108">
                  <c:v>528.3333333333336</c:v>
                </c:pt>
                <c:pt idx="109">
                  <c:v>528.3333333333336</c:v>
                </c:pt>
                <c:pt idx="110">
                  <c:v>528.3333333333336</c:v>
                </c:pt>
                <c:pt idx="111">
                  <c:v>528.3333333333336</c:v>
                </c:pt>
                <c:pt idx="112">
                  <c:v>528.3333333333336</c:v>
                </c:pt>
                <c:pt idx="113">
                  <c:v>528.3333333333336</c:v>
                </c:pt>
                <c:pt idx="114">
                  <c:v>528.3333333333336</c:v>
                </c:pt>
                <c:pt idx="115">
                  <c:v>528.3333333333336</c:v>
                </c:pt>
                <c:pt idx="116">
                  <c:v>528.3333333333336</c:v>
                </c:pt>
                <c:pt idx="117">
                  <c:v>528.3333333333336</c:v>
                </c:pt>
                <c:pt idx="118">
                  <c:v>528.3333333333336</c:v>
                </c:pt>
                <c:pt idx="119">
                  <c:v>528.3333333333336</c:v>
                </c:pt>
                <c:pt idx="120">
                  <c:v>528.3333333333336</c:v>
                </c:pt>
                <c:pt idx="121">
                  <c:v>528.3333333333336</c:v>
                </c:pt>
                <c:pt idx="122">
                  <c:v>528.3333333333336</c:v>
                </c:pt>
                <c:pt idx="123">
                  <c:v>528.3333333333336</c:v>
                </c:pt>
                <c:pt idx="124">
                  <c:v>528.3333333333336</c:v>
                </c:pt>
                <c:pt idx="125">
                  <c:v>528.3333333333336</c:v>
                </c:pt>
                <c:pt idx="126">
                  <c:v>528.3333333333336</c:v>
                </c:pt>
                <c:pt idx="127">
                  <c:v>528.3333333333336</c:v>
                </c:pt>
                <c:pt idx="128">
                  <c:v>528.3333333333336</c:v>
                </c:pt>
                <c:pt idx="129">
                  <c:v>528.3333333333336</c:v>
                </c:pt>
                <c:pt idx="130">
                  <c:v>528.3333333333336</c:v>
                </c:pt>
                <c:pt idx="131">
                  <c:v>528.3333333333336</c:v>
                </c:pt>
                <c:pt idx="132">
                  <c:v>528.3333333333336</c:v>
                </c:pt>
                <c:pt idx="133">
                  <c:v>528.3333333333336</c:v>
                </c:pt>
                <c:pt idx="134">
                  <c:v>528.3333333333336</c:v>
                </c:pt>
                <c:pt idx="135">
                  <c:v>528.3333333333336</c:v>
                </c:pt>
                <c:pt idx="136">
                  <c:v>528.3333333333336</c:v>
                </c:pt>
                <c:pt idx="137">
                  <c:v>528.3333333333336</c:v>
                </c:pt>
                <c:pt idx="138">
                  <c:v>528.3333333333336</c:v>
                </c:pt>
                <c:pt idx="139">
                  <c:v>528.3333333333336</c:v>
                </c:pt>
                <c:pt idx="140">
                  <c:v>528.3333333333336</c:v>
                </c:pt>
                <c:pt idx="141">
                  <c:v>528.3333333333336</c:v>
                </c:pt>
                <c:pt idx="142">
                  <c:v>528.3333333333336</c:v>
                </c:pt>
                <c:pt idx="143">
                  <c:v>528.3333333333336</c:v>
                </c:pt>
                <c:pt idx="144">
                  <c:v>528.3333333333336</c:v>
                </c:pt>
                <c:pt idx="145">
                  <c:v>528.3333333333336</c:v>
                </c:pt>
                <c:pt idx="146">
                  <c:v>528.3333333333336</c:v>
                </c:pt>
                <c:pt idx="147">
                  <c:v>528.3333333333336</c:v>
                </c:pt>
                <c:pt idx="148">
                  <c:v>528.3333333333336</c:v>
                </c:pt>
                <c:pt idx="149">
                  <c:v>528.3333333333336</c:v>
                </c:pt>
                <c:pt idx="150">
                  <c:v>528.3333333333336</c:v>
                </c:pt>
                <c:pt idx="151">
                  <c:v>478.33333333333331</c:v>
                </c:pt>
                <c:pt idx="152">
                  <c:v>478.33333333333331</c:v>
                </c:pt>
                <c:pt idx="153">
                  <c:v>478.33333333333331</c:v>
                </c:pt>
                <c:pt idx="154">
                  <c:v>478.33333333333331</c:v>
                </c:pt>
                <c:pt idx="155">
                  <c:v>478.33333333333331</c:v>
                </c:pt>
                <c:pt idx="156">
                  <c:v>478.33333333333331</c:v>
                </c:pt>
                <c:pt idx="157">
                  <c:v>478.33333333333331</c:v>
                </c:pt>
                <c:pt idx="158">
                  <c:v>478.33333333333331</c:v>
                </c:pt>
                <c:pt idx="159">
                  <c:v>478.33333333333331</c:v>
                </c:pt>
                <c:pt idx="160">
                  <c:v>478.33333333333331</c:v>
                </c:pt>
                <c:pt idx="161">
                  <c:v>478.33333333333331</c:v>
                </c:pt>
                <c:pt idx="162">
                  <c:v>478.33333333333331</c:v>
                </c:pt>
                <c:pt idx="163">
                  <c:v>478.33333333333331</c:v>
                </c:pt>
                <c:pt idx="164">
                  <c:v>478.33333333333331</c:v>
                </c:pt>
                <c:pt idx="165">
                  <c:v>478.33333333333331</c:v>
                </c:pt>
                <c:pt idx="166">
                  <c:v>478.33333333333331</c:v>
                </c:pt>
                <c:pt idx="167">
                  <c:v>478.33333333333331</c:v>
                </c:pt>
                <c:pt idx="168">
                  <c:v>478.33333333333331</c:v>
                </c:pt>
                <c:pt idx="169">
                  <c:v>478.33333333333331</c:v>
                </c:pt>
                <c:pt idx="170">
                  <c:v>478.33333333333331</c:v>
                </c:pt>
                <c:pt idx="171">
                  <c:v>478.33333333333331</c:v>
                </c:pt>
                <c:pt idx="172">
                  <c:v>478.33333333333331</c:v>
                </c:pt>
                <c:pt idx="173">
                  <c:v>478.33333333333331</c:v>
                </c:pt>
                <c:pt idx="174">
                  <c:v>478.33333333333331</c:v>
                </c:pt>
                <c:pt idx="175">
                  <c:v>478.33333333333331</c:v>
                </c:pt>
                <c:pt idx="176">
                  <c:v>478.33333333333331</c:v>
                </c:pt>
                <c:pt idx="177">
                  <c:v>478.33333333333331</c:v>
                </c:pt>
                <c:pt idx="178">
                  <c:v>478.33333333333331</c:v>
                </c:pt>
                <c:pt idx="179">
                  <c:v>478.33333333333331</c:v>
                </c:pt>
                <c:pt idx="180">
                  <c:v>478.33333333333331</c:v>
                </c:pt>
                <c:pt idx="181">
                  <c:v>478.33333333333331</c:v>
                </c:pt>
                <c:pt idx="182">
                  <c:v>478.33333333333331</c:v>
                </c:pt>
                <c:pt idx="183">
                  <c:v>478.33333333333331</c:v>
                </c:pt>
                <c:pt idx="184">
                  <c:v>478.33333333333331</c:v>
                </c:pt>
                <c:pt idx="185">
                  <c:v>478.33333333333331</c:v>
                </c:pt>
                <c:pt idx="186">
                  <c:v>478.33333333333331</c:v>
                </c:pt>
                <c:pt idx="187">
                  <c:v>478.33333333333331</c:v>
                </c:pt>
                <c:pt idx="188">
                  <c:v>478.33333333333331</c:v>
                </c:pt>
                <c:pt idx="189">
                  <c:v>478.33333333333331</c:v>
                </c:pt>
                <c:pt idx="190">
                  <c:v>478.33333333333331</c:v>
                </c:pt>
                <c:pt idx="191">
                  <c:v>478.33333333333331</c:v>
                </c:pt>
                <c:pt idx="192">
                  <c:v>478.33333333333331</c:v>
                </c:pt>
                <c:pt idx="193">
                  <c:v>478.33333333333331</c:v>
                </c:pt>
                <c:pt idx="194">
                  <c:v>478.33333333333331</c:v>
                </c:pt>
                <c:pt idx="195">
                  <c:v>478.33333333333331</c:v>
                </c:pt>
                <c:pt idx="196">
                  <c:v>478.33333333333331</c:v>
                </c:pt>
                <c:pt idx="197">
                  <c:v>478.33333333333331</c:v>
                </c:pt>
                <c:pt idx="198">
                  <c:v>478.33333333333331</c:v>
                </c:pt>
                <c:pt idx="199">
                  <c:v>478.33333333333331</c:v>
                </c:pt>
                <c:pt idx="200">
                  <c:v>478.33333333333331</c:v>
                </c:pt>
                <c:pt idx="201">
                  <c:v>478.33333333333331</c:v>
                </c:pt>
                <c:pt idx="202">
                  <c:v>478.33333333333331</c:v>
                </c:pt>
                <c:pt idx="203">
                  <c:v>478.33333333333331</c:v>
                </c:pt>
                <c:pt idx="204">
                  <c:v>478.33333333333331</c:v>
                </c:pt>
                <c:pt idx="205">
                  <c:v>478.33333333333331</c:v>
                </c:pt>
                <c:pt idx="206">
                  <c:v>478.33333333333331</c:v>
                </c:pt>
                <c:pt idx="207">
                  <c:v>478.33333333333331</c:v>
                </c:pt>
                <c:pt idx="208">
                  <c:v>478.33333333333331</c:v>
                </c:pt>
                <c:pt idx="209">
                  <c:v>478.33333333333331</c:v>
                </c:pt>
                <c:pt idx="210">
                  <c:v>478.33333333333331</c:v>
                </c:pt>
                <c:pt idx="211">
                  <c:v>478.33333333333331</c:v>
                </c:pt>
                <c:pt idx="212">
                  <c:v>478.33333333333331</c:v>
                </c:pt>
                <c:pt idx="213">
                  <c:v>478.33333333333331</c:v>
                </c:pt>
                <c:pt idx="214">
                  <c:v>478.33333333333331</c:v>
                </c:pt>
                <c:pt idx="215">
                  <c:v>478.33333333333331</c:v>
                </c:pt>
                <c:pt idx="216">
                  <c:v>478.33333333333331</c:v>
                </c:pt>
                <c:pt idx="217">
                  <c:v>478.33333333333331</c:v>
                </c:pt>
                <c:pt idx="218">
                  <c:v>478.33333333333331</c:v>
                </c:pt>
                <c:pt idx="219">
                  <c:v>478.33333333333331</c:v>
                </c:pt>
                <c:pt idx="220">
                  <c:v>478.33333333333331</c:v>
                </c:pt>
                <c:pt idx="221">
                  <c:v>478.33333333333331</c:v>
                </c:pt>
                <c:pt idx="222">
                  <c:v>478.33333333333331</c:v>
                </c:pt>
                <c:pt idx="223">
                  <c:v>478.33333333333331</c:v>
                </c:pt>
                <c:pt idx="224">
                  <c:v>478.33333333333331</c:v>
                </c:pt>
                <c:pt idx="225">
                  <c:v>478.33333333333331</c:v>
                </c:pt>
                <c:pt idx="226">
                  <c:v>478.33333333333331</c:v>
                </c:pt>
                <c:pt idx="227">
                  <c:v>478.33333333333331</c:v>
                </c:pt>
                <c:pt idx="228">
                  <c:v>478.33333333333331</c:v>
                </c:pt>
                <c:pt idx="229">
                  <c:v>478.33333333333331</c:v>
                </c:pt>
                <c:pt idx="230">
                  <c:v>478.33333333333331</c:v>
                </c:pt>
                <c:pt idx="231">
                  <c:v>478.33333333333331</c:v>
                </c:pt>
                <c:pt idx="232">
                  <c:v>478.33333333333331</c:v>
                </c:pt>
                <c:pt idx="233">
                  <c:v>478.33333333333331</c:v>
                </c:pt>
                <c:pt idx="234">
                  <c:v>478.33333333333331</c:v>
                </c:pt>
                <c:pt idx="235">
                  <c:v>478.33333333333331</c:v>
                </c:pt>
                <c:pt idx="236">
                  <c:v>478.33333333333331</c:v>
                </c:pt>
                <c:pt idx="237">
                  <c:v>478.33333333333331</c:v>
                </c:pt>
                <c:pt idx="238">
                  <c:v>478.33333333333331</c:v>
                </c:pt>
                <c:pt idx="239">
                  <c:v>478.33333333333331</c:v>
                </c:pt>
                <c:pt idx="240">
                  <c:v>478.33333333333331</c:v>
                </c:pt>
                <c:pt idx="241">
                  <c:v>478.33333333333331</c:v>
                </c:pt>
                <c:pt idx="242">
                  <c:v>478.33333333333331</c:v>
                </c:pt>
                <c:pt idx="243">
                  <c:v>436.66666666666686</c:v>
                </c:pt>
                <c:pt idx="244">
                  <c:v>436.66666666666686</c:v>
                </c:pt>
                <c:pt idx="245">
                  <c:v>436.66666666666686</c:v>
                </c:pt>
                <c:pt idx="246">
                  <c:v>436.66666666666686</c:v>
                </c:pt>
                <c:pt idx="247">
                  <c:v>436.66666666666686</c:v>
                </c:pt>
                <c:pt idx="248">
                  <c:v>436.66666666666686</c:v>
                </c:pt>
                <c:pt idx="249">
                  <c:v>436.66666666666686</c:v>
                </c:pt>
                <c:pt idx="250">
                  <c:v>436.66666666666686</c:v>
                </c:pt>
                <c:pt idx="251">
                  <c:v>436.66666666666686</c:v>
                </c:pt>
                <c:pt idx="252">
                  <c:v>436.66666666666686</c:v>
                </c:pt>
                <c:pt idx="253">
                  <c:v>436.66666666666686</c:v>
                </c:pt>
                <c:pt idx="254">
                  <c:v>436.66666666666686</c:v>
                </c:pt>
                <c:pt idx="255">
                  <c:v>436.66666666666686</c:v>
                </c:pt>
                <c:pt idx="256">
                  <c:v>436.66666666666686</c:v>
                </c:pt>
                <c:pt idx="257">
                  <c:v>436.66666666666686</c:v>
                </c:pt>
                <c:pt idx="258">
                  <c:v>436.66666666666686</c:v>
                </c:pt>
                <c:pt idx="259">
                  <c:v>436.66666666666686</c:v>
                </c:pt>
                <c:pt idx="260">
                  <c:v>436.66666666666686</c:v>
                </c:pt>
                <c:pt idx="261">
                  <c:v>436.66666666666686</c:v>
                </c:pt>
                <c:pt idx="262">
                  <c:v>436.66666666666686</c:v>
                </c:pt>
                <c:pt idx="263">
                  <c:v>436.66666666666686</c:v>
                </c:pt>
                <c:pt idx="264">
                  <c:v>436.66666666666686</c:v>
                </c:pt>
                <c:pt idx="265">
                  <c:v>436.66666666666686</c:v>
                </c:pt>
                <c:pt idx="266">
                  <c:v>436.66666666666686</c:v>
                </c:pt>
                <c:pt idx="267">
                  <c:v>436.66666666666686</c:v>
                </c:pt>
                <c:pt idx="268">
                  <c:v>436.66666666666686</c:v>
                </c:pt>
                <c:pt idx="269">
                  <c:v>436.66666666666686</c:v>
                </c:pt>
                <c:pt idx="270">
                  <c:v>436.66666666666686</c:v>
                </c:pt>
                <c:pt idx="271">
                  <c:v>436.66666666666686</c:v>
                </c:pt>
                <c:pt idx="272">
                  <c:v>436.66666666666686</c:v>
                </c:pt>
                <c:pt idx="273">
                  <c:v>436.66666666666686</c:v>
                </c:pt>
                <c:pt idx="274">
                  <c:v>436.66666666666686</c:v>
                </c:pt>
                <c:pt idx="275">
                  <c:v>436.66666666666686</c:v>
                </c:pt>
                <c:pt idx="276">
                  <c:v>436.66666666666686</c:v>
                </c:pt>
                <c:pt idx="277">
                  <c:v>436.66666666666686</c:v>
                </c:pt>
                <c:pt idx="278">
                  <c:v>436.66666666666686</c:v>
                </c:pt>
                <c:pt idx="279">
                  <c:v>436.66666666666686</c:v>
                </c:pt>
                <c:pt idx="280">
                  <c:v>436.66666666666686</c:v>
                </c:pt>
                <c:pt idx="281">
                  <c:v>436.66666666666686</c:v>
                </c:pt>
                <c:pt idx="282">
                  <c:v>436.66666666666686</c:v>
                </c:pt>
                <c:pt idx="283">
                  <c:v>436.66666666666686</c:v>
                </c:pt>
                <c:pt idx="284">
                  <c:v>436.66666666666686</c:v>
                </c:pt>
                <c:pt idx="285">
                  <c:v>436.66666666666686</c:v>
                </c:pt>
                <c:pt idx="286">
                  <c:v>436.66666666666686</c:v>
                </c:pt>
                <c:pt idx="287">
                  <c:v>436.66666666666686</c:v>
                </c:pt>
                <c:pt idx="288">
                  <c:v>436.66666666666686</c:v>
                </c:pt>
                <c:pt idx="289">
                  <c:v>436.66666666666686</c:v>
                </c:pt>
                <c:pt idx="290">
                  <c:v>436.66666666666686</c:v>
                </c:pt>
                <c:pt idx="291">
                  <c:v>436.66666666666686</c:v>
                </c:pt>
                <c:pt idx="292">
                  <c:v>436.66666666666686</c:v>
                </c:pt>
                <c:pt idx="293">
                  <c:v>436.66666666666686</c:v>
                </c:pt>
                <c:pt idx="294">
                  <c:v>436.66666666666686</c:v>
                </c:pt>
                <c:pt idx="295">
                  <c:v>436.66666666666686</c:v>
                </c:pt>
                <c:pt idx="296">
                  <c:v>436.66666666666686</c:v>
                </c:pt>
                <c:pt idx="297">
                  <c:v>436.66666666666686</c:v>
                </c:pt>
                <c:pt idx="298">
                  <c:v>436.66666666666686</c:v>
                </c:pt>
                <c:pt idx="299">
                  <c:v>436.66666666666686</c:v>
                </c:pt>
                <c:pt idx="300">
                  <c:v>436.66666666666686</c:v>
                </c:pt>
                <c:pt idx="301">
                  <c:v>436.66666666666686</c:v>
                </c:pt>
                <c:pt idx="302">
                  <c:v>436.66666666666686</c:v>
                </c:pt>
                <c:pt idx="303">
                  <c:v>436.66666666666686</c:v>
                </c:pt>
                <c:pt idx="304">
                  <c:v>436.66666666666686</c:v>
                </c:pt>
                <c:pt idx="305">
                  <c:v>436.66666666666686</c:v>
                </c:pt>
                <c:pt idx="306">
                  <c:v>436.66666666666686</c:v>
                </c:pt>
                <c:pt idx="307">
                  <c:v>436.66666666666686</c:v>
                </c:pt>
                <c:pt idx="308">
                  <c:v>436.66666666666686</c:v>
                </c:pt>
                <c:pt idx="309">
                  <c:v>436.66666666666686</c:v>
                </c:pt>
                <c:pt idx="310">
                  <c:v>436.66666666666686</c:v>
                </c:pt>
                <c:pt idx="311">
                  <c:v>436.66666666666686</c:v>
                </c:pt>
                <c:pt idx="312">
                  <c:v>436.66666666666686</c:v>
                </c:pt>
                <c:pt idx="313">
                  <c:v>436.66666666666686</c:v>
                </c:pt>
                <c:pt idx="314">
                  <c:v>436.66666666666686</c:v>
                </c:pt>
                <c:pt idx="315">
                  <c:v>436.66666666666686</c:v>
                </c:pt>
                <c:pt idx="316">
                  <c:v>436.66666666666686</c:v>
                </c:pt>
                <c:pt idx="317">
                  <c:v>436.66666666666686</c:v>
                </c:pt>
                <c:pt idx="318">
                  <c:v>436.66666666666686</c:v>
                </c:pt>
                <c:pt idx="319">
                  <c:v>436.66666666666686</c:v>
                </c:pt>
                <c:pt idx="320">
                  <c:v>436.66666666666686</c:v>
                </c:pt>
                <c:pt idx="321">
                  <c:v>436.66666666666686</c:v>
                </c:pt>
                <c:pt idx="322">
                  <c:v>436.66666666666686</c:v>
                </c:pt>
                <c:pt idx="323">
                  <c:v>436.66666666666686</c:v>
                </c:pt>
              </c:numCache>
            </c:numRef>
          </c:val>
          <c:smooth val="0"/>
        </c:ser>
        <c:ser>
          <c:idx val="1"/>
          <c:order val="1"/>
          <c:tx>
            <c:strRef>
              <c:f>CRU、廢鋼、小鋼胚、平板鋼類、長條鋼類!$U$1</c:f>
              <c:strCache>
                <c:ptCount val="1"/>
                <c:pt idx="0">
                  <c:v>熱軋板捲 美國中西部 廠交價(美元/公噸)</c:v>
                </c:pt>
              </c:strCache>
            </c:strRef>
          </c:tx>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CRU、廢鋼、小鋼胚、平板鋼類、長條鋼類!$U$216:$U$539</c:f>
              <c:numCache>
                <c:formatCode>General</c:formatCode>
                <c:ptCount val="324"/>
                <c:pt idx="0">
                  <c:v>662</c:v>
                </c:pt>
                <c:pt idx="1">
                  <c:v>662</c:v>
                </c:pt>
                <c:pt idx="2">
                  <c:v>662</c:v>
                </c:pt>
                <c:pt idx="3">
                  <c:v>662</c:v>
                </c:pt>
                <c:pt idx="4">
                  <c:v>662</c:v>
                </c:pt>
                <c:pt idx="5">
                  <c:v>662</c:v>
                </c:pt>
                <c:pt idx="6">
                  <c:v>662</c:v>
                </c:pt>
                <c:pt idx="7">
                  <c:v>662</c:v>
                </c:pt>
                <c:pt idx="8">
                  <c:v>662</c:v>
                </c:pt>
                <c:pt idx="9">
                  <c:v>662</c:v>
                </c:pt>
                <c:pt idx="10">
                  <c:v>662</c:v>
                </c:pt>
                <c:pt idx="11">
                  <c:v>662</c:v>
                </c:pt>
                <c:pt idx="12">
                  <c:v>662</c:v>
                </c:pt>
                <c:pt idx="13">
                  <c:v>662</c:v>
                </c:pt>
                <c:pt idx="14">
                  <c:v>662</c:v>
                </c:pt>
                <c:pt idx="15">
                  <c:v>662</c:v>
                </c:pt>
                <c:pt idx="16">
                  <c:v>662</c:v>
                </c:pt>
                <c:pt idx="17">
                  <c:v>662</c:v>
                </c:pt>
                <c:pt idx="18">
                  <c:v>662</c:v>
                </c:pt>
                <c:pt idx="19">
                  <c:v>662</c:v>
                </c:pt>
                <c:pt idx="20">
                  <c:v>617</c:v>
                </c:pt>
                <c:pt idx="21">
                  <c:v>617</c:v>
                </c:pt>
                <c:pt idx="22">
                  <c:v>617</c:v>
                </c:pt>
                <c:pt idx="23">
                  <c:v>617</c:v>
                </c:pt>
                <c:pt idx="24">
                  <c:v>617</c:v>
                </c:pt>
                <c:pt idx="25">
                  <c:v>617</c:v>
                </c:pt>
                <c:pt idx="26">
                  <c:v>617</c:v>
                </c:pt>
                <c:pt idx="27">
                  <c:v>606</c:v>
                </c:pt>
                <c:pt idx="28">
                  <c:v>606</c:v>
                </c:pt>
                <c:pt idx="29">
                  <c:v>606</c:v>
                </c:pt>
                <c:pt idx="30">
                  <c:v>606</c:v>
                </c:pt>
                <c:pt idx="31">
                  <c:v>606</c:v>
                </c:pt>
                <c:pt idx="32">
                  <c:v>606</c:v>
                </c:pt>
                <c:pt idx="33">
                  <c:v>606</c:v>
                </c:pt>
                <c:pt idx="34">
                  <c:v>606</c:v>
                </c:pt>
                <c:pt idx="35">
                  <c:v>606</c:v>
                </c:pt>
                <c:pt idx="36">
                  <c:v>606</c:v>
                </c:pt>
                <c:pt idx="37">
                  <c:v>606</c:v>
                </c:pt>
                <c:pt idx="38">
                  <c:v>606</c:v>
                </c:pt>
                <c:pt idx="39">
                  <c:v>606</c:v>
                </c:pt>
                <c:pt idx="40">
                  <c:v>606</c:v>
                </c:pt>
                <c:pt idx="41">
                  <c:v>595</c:v>
                </c:pt>
                <c:pt idx="42">
                  <c:v>595</c:v>
                </c:pt>
                <c:pt idx="43">
                  <c:v>595</c:v>
                </c:pt>
                <c:pt idx="44">
                  <c:v>595</c:v>
                </c:pt>
                <c:pt idx="45">
                  <c:v>595</c:v>
                </c:pt>
                <c:pt idx="46">
                  <c:v>595</c:v>
                </c:pt>
                <c:pt idx="47">
                  <c:v>595</c:v>
                </c:pt>
                <c:pt idx="48">
                  <c:v>595</c:v>
                </c:pt>
                <c:pt idx="49">
                  <c:v>595</c:v>
                </c:pt>
                <c:pt idx="50">
                  <c:v>595</c:v>
                </c:pt>
                <c:pt idx="51">
                  <c:v>595</c:v>
                </c:pt>
                <c:pt idx="52">
                  <c:v>595</c:v>
                </c:pt>
                <c:pt idx="53">
                  <c:v>595</c:v>
                </c:pt>
                <c:pt idx="54">
                  <c:v>595</c:v>
                </c:pt>
                <c:pt idx="55">
                  <c:v>595</c:v>
                </c:pt>
                <c:pt idx="56">
                  <c:v>595</c:v>
                </c:pt>
                <c:pt idx="57">
                  <c:v>595</c:v>
                </c:pt>
                <c:pt idx="58">
                  <c:v>595</c:v>
                </c:pt>
                <c:pt idx="59">
                  <c:v>595</c:v>
                </c:pt>
                <c:pt idx="60">
                  <c:v>595</c:v>
                </c:pt>
                <c:pt idx="61">
                  <c:v>595</c:v>
                </c:pt>
                <c:pt idx="62">
                  <c:v>540</c:v>
                </c:pt>
                <c:pt idx="63">
                  <c:v>540</c:v>
                </c:pt>
                <c:pt idx="64">
                  <c:v>540</c:v>
                </c:pt>
                <c:pt idx="65">
                  <c:v>540</c:v>
                </c:pt>
                <c:pt idx="66">
                  <c:v>540</c:v>
                </c:pt>
                <c:pt idx="67">
                  <c:v>540</c:v>
                </c:pt>
                <c:pt idx="68">
                  <c:v>540</c:v>
                </c:pt>
                <c:pt idx="69">
                  <c:v>540</c:v>
                </c:pt>
                <c:pt idx="70">
                  <c:v>540</c:v>
                </c:pt>
                <c:pt idx="71">
                  <c:v>540</c:v>
                </c:pt>
                <c:pt idx="72">
                  <c:v>540</c:v>
                </c:pt>
                <c:pt idx="73">
                  <c:v>540</c:v>
                </c:pt>
                <c:pt idx="74">
                  <c:v>540</c:v>
                </c:pt>
                <c:pt idx="75">
                  <c:v>540</c:v>
                </c:pt>
                <c:pt idx="76">
                  <c:v>529</c:v>
                </c:pt>
                <c:pt idx="77">
                  <c:v>529</c:v>
                </c:pt>
                <c:pt idx="78">
                  <c:v>529</c:v>
                </c:pt>
                <c:pt idx="79">
                  <c:v>529</c:v>
                </c:pt>
                <c:pt idx="80">
                  <c:v>529</c:v>
                </c:pt>
                <c:pt idx="81">
                  <c:v>529</c:v>
                </c:pt>
                <c:pt idx="82">
                  <c:v>529</c:v>
                </c:pt>
                <c:pt idx="83">
                  <c:v>518</c:v>
                </c:pt>
                <c:pt idx="84">
                  <c:v>518</c:v>
                </c:pt>
                <c:pt idx="85">
                  <c:v>518</c:v>
                </c:pt>
                <c:pt idx="86">
                  <c:v>518</c:v>
                </c:pt>
                <c:pt idx="87">
                  <c:v>518</c:v>
                </c:pt>
                <c:pt idx="88">
                  <c:v>518</c:v>
                </c:pt>
                <c:pt idx="89">
                  <c:v>518</c:v>
                </c:pt>
                <c:pt idx="90">
                  <c:v>507</c:v>
                </c:pt>
                <c:pt idx="91">
                  <c:v>507</c:v>
                </c:pt>
                <c:pt idx="92">
                  <c:v>507</c:v>
                </c:pt>
                <c:pt idx="93">
                  <c:v>507</c:v>
                </c:pt>
                <c:pt idx="94">
                  <c:v>507</c:v>
                </c:pt>
                <c:pt idx="95">
                  <c:v>507</c:v>
                </c:pt>
                <c:pt idx="96">
                  <c:v>507</c:v>
                </c:pt>
                <c:pt idx="97">
                  <c:v>502</c:v>
                </c:pt>
                <c:pt idx="98">
                  <c:v>502</c:v>
                </c:pt>
                <c:pt idx="99">
                  <c:v>502</c:v>
                </c:pt>
                <c:pt idx="100">
                  <c:v>502</c:v>
                </c:pt>
                <c:pt idx="101">
                  <c:v>502</c:v>
                </c:pt>
                <c:pt idx="102">
                  <c:v>502</c:v>
                </c:pt>
                <c:pt idx="103">
                  <c:v>502</c:v>
                </c:pt>
                <c:pt idx="104">
                  <c:v>491</c:v>
                </c:pt>
                <c:pt idx="105">
                  <c:v>491</c:v>
                </c:pt>
                <c:pt idx="106">
                  <c:v>491</c:v>
                </c:pt>
                <c:pt idx="107">
                  <c:v>491</c:v>
                </c:pt>
                <c:pt idx="108">
                  <c:v>491</c:v>
                </c:pt>
                <c:pt idx="109">
                  <c:v>491</c:v>
                </c:pt>
                <c:pt idx="110">
                  <c:v>491</c:v>
                </c:pt>
                <c:pt idx="111">
                  <c:v>485</c:v>
                </c:pt>
                <c:pt idx="112">
                  <c:v>485</c:v>
                </c:pt>
                <c:pt idx="113">
                  <c:v>485</c:v>
                </c:pt>
                <c:pt idx="114">
                  <c:v>485</c:v>
                </c:pt>
                <c:pt idx="115">
                  <c:v>485</c:v>
                </c:pt>
                <c:pt idx="116">
                  <c:v>485</c:v>
                </c:pt>
                <c:pt idx="117">
                  <c:v>485</c:v>
                </c:pt>
                <c:pt idx="118">
                  <c:v>485</c:v>
                </c:pt>
                <c:pt idx="119">
                  <c:v>485</c:v>
                </c:pt>
                <c:pt idx="120">
                  <c:v>485</c:v>
                </c:pt>
                <c:pt idx="121">
                  <c:v>485</c:v>
                </c:pt>
                <c:pt idx="122">
                  <c:v>485</c:v>
                </c:pt>
                <c:pt idx="123">
                  <c:v>485</c:v>
                </c:pt>
                <c:pt idx="124">
                  <c:v>485</c:v>
                </c:pt>
                <c:pt idx="125">
                  <c:v>485</c:v>
                </c:pt>
                <c:pt idx="126">
                  <c:v>485</c:v>
                </c:pt>
                <c:pt idx="127">
                  <c:v>485</c:v>
                </c:pt>
                <c:pt idx="128">
                  <c:v>485</c:v>
                </c:pt>
                <c:pt idx="129">
                  <c:v>485</c:v>
                </c:pt>
                <c:pt idx="130">
                  <c:v>485</c:v>
                </c:pt>
                <c:pt idx="131">
                  <c:v>485</c:v>
                </c:pt>
                <c:pt idx="132">
                  <c:v>496</c:v>
                </c:pt>
                <c:pt idx="133">
                  <c:v>496</c:v>
                </c:pt>
                <c:pt idx="134">
                  <c:v>496</c:v>
                </c:pt>
                <c:pt idx="135">
                  <c:v>496</c:v>
                </c:pt>
                <c:pt idx="136">
                  <c:v>496</c:v>
                </c:pt>
                <c:pt idx="137">
                  <c:v>496</c:v>
                </c:pt>
                <c:pt idx="138">
                  <c:v>496</c:v>
                </c:pt>
                <c:pt idx="139">
                  <c:v>502</c:v>
                </c:pt>
                <c:pt idx="140">
                  <c:v>502</c:v>
                </c:pt>
                <c:pt idx="141">
                  <c:v>502</c:v>
                </c:pt>
                <c:pt idx="142">
                  <c:v>502</c:v>
                </c:pt>
                <c:pt idx="143">
                  <c:v>502</c:v>
                </c:pt>
                <c:pt idx="144">
                  <c:v>502</c:v>
                </c:pt>
                <c:pt idx="145">
                  <c:v>502</c:v>
                </c:pt>
                <c:pt idx="146">
                  <c:v>507</c:v>
                </c:pt>
                <c:pt idx="147">
                  <c:v>507</c:v>
                </c:pt>
                <c:pt idx="148">
                  <c:v>507</c:v>
                </c:pt>
                <c:pt idx="149">
                  <c:v>507</c:v>
                </c:pt>
                <c:pt idx="150">
                  <c:v>507</c:v>
                </c:pt>
                <c:pt idx="151">
                  <c:v>507</c:v>
                </c:pt>
                <c:pt idx="152">
                  <c:v>507</c:v>
                </c:pt>
                <c:pt idx="153">
                  <c:v>507</c:v>
                </c:pt>
                <c:pt idx="154">
                  <c:v>507</c:v>
                </c:pt>
                <c:pt idx="155">
                  <c:v>507</c:v>
                </c:pt>
                <c:pt idx="156">
                  <c:v>507</c:v>
                </c:pt>
                <c:pt idx="157">
                  <c:v>507</c:v>
                </c:pt>
                <c:pt idx="158">
                  <c:v>507</c:v>
                </c:pt>
                <c:pt idx="159">
                  <c:v>507</c:v>
                </c:pt>
                <c:pt idx="160">
                  <c:v>507</c:v>
                </c:pt>
                <c:pt idx="161">
                  <c:v>502</c:v>
                </c:pt>
                <c:pt idx="162">
                  <c:v>502</c:v>
                </c:pt>
                <c:pt idx="163">
                  <c:v>502</c:v>
                </c:pt>
                <c:pt idx="164">
                  <c:v>502</c:v>
                </c:pt>
                <c:pt idx="165">
                  <c:v>502</c:v>
                </c:pt>
                <c:pt idx="166">
                  <c:v>502</c:v>
                </c:pt>
                <c:pt idx="167">
                  <c:v>502</c:v>
                </c:pt>
                <c:pt idx="168">
                  <c:v>502</c:v>
                </c:pt>
                <c:pt idx="169">
                  <c:v>502</c:v>
                </c:pt>
                <c:pt idx="170">
                  <c:v>502</c:v>
                </c:pt>
                <c:pt idx="171">
                  <c:v>502</c:v>
                </c:pt>
                <c:pt idx="172">
                  <c:v>502</c:v>
                </c:pt>
                <c:pt idx="173">
                  <c:v>502</c:v>
                </c:pt>
                <c:pt idx="174">
                  <c:v>513</c:v>
                </c:pt>
                <c:pt idx="175">
                  <c:v>513</c:v>
                </c:pt>
                <c:pt idx="176">
                  <c:v>513</c:v>
                </c:pt>
                <c:pt idx="177">
                  <c:v>513</c:v>
                </c:pt>
                <c:pt idx="178">
                  <c:v>513</c:v>
                </c:pt>
                <c:pt idx="179">
                  <c:v>513</c:v>
                </c:pt>
                <c:pt idx="180">
                  <c:v>513</c:v>
                </c:pt>
                <c:pt idx="181">
                  <c:v>513</c:v>
                </c:pt>
                <c:pt idx="182">
                  <c:v>513</c:v>
                </c:pt>
                <c:pt idx="183">
                  <c:v>513</c:v>
                </c:pt>
                <c:pt idx="184">
                  <c:v>513</c:v>
                </c:pt>
                <c:pt idx="185">
                  <c:v>513</c:v>
                </c:pt>
                <c:pt idx="186">
                  <c:v>513</c:v>
                </c:pt>
                <c:pt idx="187">
                  <c:v>513</c:v>
                </c:pt>
                <c:pt idx="188">
                  <c:v>507</c:v>
                </c:pt>
                <c:pt idx="189">
                  <c:v>507</c:v>
                </c:pt>
                <c:pt idx="190">
                  <c:v>507</c:v>
                </c:pt>
                <c:pt idx="191">
                  <c:v>507</c:v>
                </c:pt>
                <c:pt idx="192">
                  <c:v>507</c:v>
                </c:pt>
                <c:pt idx="193">
                  <c:v>507</c:v>
                </c:pt>
                <c:pt idx="194">
                  <c:v>507</c:v>
                </c:pt>
                <c:pt idx="195">
                  <c:v>513</c:v>
                </c:pt>
                <c:pt idx="196">
                  <c:v>513</c:v>
                </c:pt>
                <c:pt idx="197">
                  <c:v>513</c:v>
                </c:pt>
                <c:pt idx="198">
                  <c:v>513</c:v>
                </c:pt>
                <c:pt idx="199">
                  <c:v>513</c:v>
                </c:pt>
                <c:pt idx="200">
                  <c:v>513</c:v>
                </c:pt>
                <c:pt idx="201">
                  <c:v>513</c:v>
                </c:pt>
                <c:pt idx="202">
                  <c:v>513</c:v>
                </c:pt>
                <c:pt idx="203">
                  <c:v>513</c:v>
                </c:pt>
                <c:pt idx="204">
                  <c:v>513</c:v>
                </c:pt>
                <c:pt idx="205">
                  <c:v>513</c:v>
                </c:pt>
                <c:pt idx="206">
                  <c:v>513</c:v>
                </c:pt>
                <c:pt idx="207">
                  <c:v>513</c:v>
                </c:pt>
                <c:pt idx="208">
                  <c:v>513</c:v>
                </c:pt>
                <c:pt idx="209">
                  <c:v>513</c:v>
                </c:pt>
                <c:pt idx="210">
                  <c:v>513</c:v>
                </c:pt>
                <c:pt idx="211">
                  <c:v>513</c:v>
                </c:pt>
                <c:pt idx="212">
                  <c:v>513</c:v>
                </c:pt>
                <c:pt idx="213">
                  <c:v>513</c:v>
                </c:pt>
                <c:pt idx="214">
                  <c:v>513</c:v>
                </c:pt>
                <c:pt idx="215">
                  <c:v>513</c:v>
                </c:pt>
                <c:pt idx="216">
                  <c:v>513</c:v>
                </c:pt>
                <c:pt idx="217">
                  <c:v>513</c:v>
                </c:pt>
                <c:pt idx="218">
                  <c:v>513</c:v>
                </c:pt>
                <c:pt idx="219">
                  <c:v>513</c:v>
                </c:pt>
                <c:pt idx="220">
                  <c:v>513</c:v>
                </c:pt>
                <c:pt idx="221">
                  <c:v>513</c:v>
                </c:pt>
                <c:pt idx="222">
                  <c:v>513</c:v>
                </c:pt>
                <c:pt idx="223">
                  <c:v>513</c:v>
                </c:pt>
                <c:pt idx="224">
                  <c:v>513</c:v>
                </c:pt>
                <c:pt idx="225">
                  <c:v>513</c:v>
                </c:pt>
                <c:pt idx="226">
                  <c:v>513</c:v>
                </c:pt>
                <c:pt idx="227">
                  <c:v>513</c:v>
                </c:pt>
                <c:pt idx="228">
                  <c:v>513</c:v>
                </c:pt>
                <c:pt idx="229">
                  <c:v>513</c:v>
                </c:pt>
                <c:pt idx="230">
                  <c:v>507</c:v>
                </c:pt>
                <c:pt idx="231">
                  <c:v>507</c:v>
                </c:pt>
                <c:pt idx="232">
                  <c:v>507</c:v>
                </c:pt>
                <c:pt idx="233">
                  <c:v>507</c:v>
                </c:pt>
                <c:pt idx="234">
                  <c:v>507</c:v>
                </c:pt>
                <c:pt idx="235">
                  <c:v>507</c:v>
                </c:pt>
                <c:pt idx="236">
                  <c:v>507</c:v>
                </c:pt>
                <c:pt idx="237">
                  <c:v>507</c:v>
                </c:pt>
                <c:pt idx="238">
                  <c:v>507</c:v>
                </c:pt>
                <c:pt idx="239">
                  <c:v>507</c:v>
                </c:pt>
                <c:pt idx="240">
                  <c:v>507</c:v>
                </c:pt>
                <c:pt idx="241">
                  <c:v>507</c:v>
                </c:pt>
                <c:pt idx="242">
                  <c:v>507</c:v>
                </c:pt>
                <c:pt idx="243">
                  <c:v>507</c:v>
                </c:pt>
                <c:pt idx="244">
                  <c:v>496</c:v>
                </c:pt>
                <c:pt idx="245">
                  <c:v>496</c:v>
                </c:pt>
                <c:pt idx="246">
                  <c:v>496</c:v>
                </c:pt>
                <c:pt idx="247">
                  <c:v>496</c:v>
                </c:pt>
                <c:pt idx="248">
                  <c:v>496</c:v>
                </c:pt>
                <c:pt idx="249">
                  <c:v>496</c:v>
                </c:pt>
                <c:pt idx="250">
                  <c:v>496</c:v>
                </c:pt>
                <c:pt idx="251">
                  <c:v>496</c:v>
                </c:pt>
                <c:pt idx="252">
                  <c:v>496</c:v>
                </c:pt>
                <c:pt idx="253">
                  <c:v>496</c:v>
                </c:pt>
                <c:pt idx="254">
                  <c:v>496</c:v>
                </c:pt>
                <c:pt idx="255">
                  <c:v>496</c:v>
                </c:pt>
                <c:pt idx="256">
                  <c:v>496</c:v>
                </c:pt>
                <c:pt idx="257">
                  <c:v>496</c:v>
                </c:pt>
                <c:pt idx="258">
                  <c:v>485</c:v>
                </c:pt>
                <c:pt idx="259">
                  <c:v>485</c:v>
                </c:pt>
                <c:pt idx="260">
                  <c:v>485</c:v>
                </c:pt>
                <c:pt idx="261">
                  <c:v>485</c:v>
                </c:pt>
                <c:pt idx="262">
                  <c:v>485</c:v>
                </c:pt>
                <c:pt idx="263">
                  <c:v>485</c:v>
                </c:pt>
                <c:pt idx="264">
                  <c:v>485</c:v>
                </c:pt>
                <c:pt idx="265">
                  <c:v>485</c:v>
                </c:pt>
                <c:pt idx="266">
                  <c:v>485</c:v>
                </c:pt>
                <c:pt idx="267">
                  <c:v>485</c:v>
                </c:pt>
                <c:pt idx="268">
                  <c:v>485</c:v>
                </c:pt>
                <c:pt idx="269">
                  <c:v>485</c:v>
                </c:pt>
                <c:pt idx="270">
                  <c:v>485</c:v>
                </c:pt>
                <c:pt idx="271">
                  <c:v>485</c:v>
                </c:pt>
                <c:pt idx="272">
                  <c:v>485</c:v>
                </c:pt>
                <c:pt idx="273">
                  <c:v>485</c:v>
                </c:pt>
                <c:pt idx="274">
                  <c:v>485</c:v>
                </c:pt>
                <c:pt idx="275">
                  <c:v>485</c:v>
                </c:pt>
                <c:pt idx="276">
                  <c:v>485</c:v>
                </c:pt>
                <c:pt idx="277">
                  <c:v>485</c:v>
                </c:pt>
                <c:pt idx="278">
                  <c:v>485</c:v>
                </c:pt>
                <c:pt idx="279">
                  <c:v>485</c:v>
                </c:pt>
                <c:pt idx="280">
                  <c:v>485</c:v>
                </c:pt>
                <c:pt idx="281">
                  <c:v>485</c:v>
                </c:pt>
                <c:pt idx="282">
                  <c:v>485</c:v>
                </c:pt>
                <c:pt idx="283">
                  <c:v>485</c:v>
                </c:pt>
                <c:pt idx="284">
                  <c:v>485</c:v>
                </c:pt>
                <c:pt idx="285">
                  <c:v>485</c:v>
                </c:pt>
                <c:pt idx="286">
                  <c:v>452</c:v>
                </c:pt>
                <c:pt idx="287">
                  <c:v>452</c:v>
                </c:pt>
                <c:pt idx="288">
                  <c:v>452</c:v>
                </c:pt>
                <c:pt idx="289">
                  <c:v>452</c:v>
                </c:pt>
                <c:pt idx="290">
                  <c:v>452</c:v>
                </c:pt>
                <c:pt idx="291">
                  <c:v>452</c:v>
                </c:pt>
                <c:pt idx="292">
                  <c:v>452</c:v>
                </c:pt>
                <c:pt idx="293">
                  <c:v>441</c:v>
                </c:pt>
                <c:pt idx="294">
                  <c:v>441</c:v>
                </c:pt>
                <c:pt idx="295">
                  <c:v>441</c:v>
                </c:pt>
                <c:pt idx="296">
                  <c:v>441</c:v>
                </c:pt>
                <c:pt idx="297">
                  <c:v>441</c:v>
                </c:pt>
                <c:pt idx="298">
                  <c:v>441</c:v>
                </c:pt>
                <c:pt idx="299">
                  <c:v>441</c:v>
                </c:pt>
                <c:pt idx="300">
                  <c:v>436</c:v>
                </c:pt>
                <c:pt idx="301">
                  <c:v>436</c:v>
                </c:pt>
                <c:pt idx="302">
                  <c:v>436</c:v>
                </c:pt>
                <c:pt idx="303">
                  <c:v>436</c:v>
                </c:pt>
                <c:pt idx="304">
                  <c:v>436</c:v>
                </c:pt>
                <c:pt idx="305">
                  <c:v>436</c:v>
                </c:pt>
                <c:pt idx="306">
                  <c:v>436</c:v>
                </c:pt>
                <c:pt idx="307">
                  <c:v>430</c:v>
                </c:pt>
                <c:pt idx="308">
                  <c:v>430</c:v>
                </c:pt>
                <c:pt idx="309">
                  <c:v>430</c:v>
                </c:pt>
                <c:pt idx="310">
                  <c:v>430</c:v>
                </c:pt>
                <c:pt idx="311">
                  <c:v>430</c:v>
                </c:pt>
                <c:pt idx="312">
                  <c:v>430</c:v>
                </c:pt>
                <c:pt idx="313">
                  <c:v>430</c:v>
                </c:pt>
                <c:pt idx="314">
                  <c:v>419</c:v>
                </c:pt>
                <c:pt idx="315">
                  <c:v>419</c:v>
                </c:pt>
                <c:pt idx="316">
                  <c:v>419</c:v>
                </c:pt>
                <c:pt idx="317">
                  <c:v>419</c:v>
                </c:pt>
                <c:pt idx="318">
                  <c:v>419</c:v>
                </c:pt>
                <c:pt idx="319">
                  <c:v>419</c:v>
                </c:pt>
                <c:pt idx="320">
                  <c:v>413</c:v>
                </c:pt>
                <c:pt idx="321">
                  <c:v>413</c:v>
                </c:pt>
                <c:pt idx="322">
                  <c:v>413</c:v>
                </c:pt>
                <c:pt idx="323">
                  <c:v>413</c:v>
                </c:pt>
              </c:numCache>
            </c:numRef>
          </c:val>
          <c:smooth val="0"/>
        </c:ser>
        <c:dLbls>
          <c:showLegendKey val="0"/>
          <c:showVal val="0"/>
          <c:showCatName val="0"/>
          <c:showSerName val="0"/>
          <c:showPercent val="0"/>
          <c:showBubbleSize val="0"/>
        </c:dLbls>
        <c:marker val="1"/>
        <c:smooth val="0"/>
        <c:axId val="260014080"/>
        <c:axId val="260015616"/>
      </c:lineChart>
      <c:dateAx>
        <c:axId val="260014080"/>
        <c:scaling>
          <c:orientation val="minMax"/>
          <c:max val="42328"/>
        </c:scaling>
        <c:delete val="0"/>
        <c:axPos val="b"/>
        <c:numFmt formatCode="m/d/yyyy" sourceLinked="1"/>
        <c:majorTickMark val="out"/>
        <c:minorTickMark val="none"/>
        <c:tickLblPos val="nextTo"/>
        <c:crossAx val="260015616"/>
        <c:crosses val="autoZero"/>
        <c:auto val="1"/>
        <c:lblOffset val="100"/>
        <c:baseTimeUnit val="days"/>
        <c:majorUnit val="1"/>
        <c:majorTimeUnit val="months"/>
        <c:minorUnit val="1"/>
        <c:minorTimeUnit val="months"/>
      </c:dateAx>
      <c:valAx>
        <c:axId val="260015616"/>
        <c:scaling>
          <c:orientation val="minMax"/>
          <c:min val="350"/>
        </c:scaling>
        <c:delete val="0"/>
        <c:axPos val="l"/>
        <c:majorGridlines/>
        <c:numFmt formatCode="General" sourceLinked="1"/>
        <c:majorTickMark val="out"/>
        <c:minorTickMark val="none"/>
        <c:tickLblPos val="nextTo"/>
        <c:crossAx val="260014080"/>
        <c:crosses val="autoZero"/>
        <c:crossBetween val="between"/>
      </c:valAx>
    </c:plotArea>
    <c:legend>
      <c:legendPos val="b"/>
      <c:layout>
        <c:manualLayout>
          <c:xMode val="edge"/>
          <c:yMode val="edge"/>
          <c:x val="0.23862044017972739"/>
          <c:y val="0.86197140707298736"/>
          <c:w val="0.54452060010661796"/>
          <c:h val="0.13802859292701281"/>
        </c:manualLayout>
      </c:layout>
      <c:overlay val="0"/>
    </c:legend>
    <c:plotVisOnly val="1"/>
    <c:dispBlanksAs val="gap"/>
    <c:showDLblsOverMax val="0"/>
  </c:chart>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2754998393370324E-2"/>
          <c:y val="4.6054913662959752E-2"/>
          <c:w val="0.87793681378514343"/>
          <c:h val="0.65745021501570511"/>
        </c:manualLayout>
      </c:layout>
      <c:lineChart>
        <c:grouping val="standard"/>
        <c:varyColors val="0"/>
        <c:ser>
          <c:idx val="0"/>
          <c:order val="0"/>
          <c:tx>
            <c:strRef>
              <c:f>CRU、廢鋼、小鋼胚、平板鋼類、長條鋼類!$V$1</c:f>
              <c:strCache>
                <c:ptCount val="1"/>
                <c:pt idx="0">
                  <c:v>冷軋鋼捲 其他料 中鋼 內銷基價(美元/公噸)</c:v>
                </c:pt>
              </c:strCache>
            </c:strRef>
          </c:tx>
          <c:spPr>
            <a:ln>
              <a:prstDash val="sysDash"/>
            </a:ln>
          </c:spPr>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CRU、廢鋼、小鋼胚、平板鋼類、長條鋼類!$V$216:$V$539</c:f>
              <c:numCache>
                <c:formatCode>General</c:formatCode>
                <c:ptCount val="324"/>
                <c:pt idx="0">
                  <c:v>667.66666666666663</c:v>
                </c:pt>
                <c:pt idx="1">
                  <c:v>667.66666666666663</c:v>
                </c:pt>
                <c:pt idx="2">
                  <c:v>667.66666666666663</c:v>
                </c:pt>
                <c:pt idx="3">
                  <c:v>667.66666666666663</c:v>
                </c:pt>
                <c:pt idx="4">
                  <c:v>667.66666666666663</c:v>
                </c:pt>
                <c:pt idx="5">
                  <c:v>667.66666666666663</c:v>
                </c:pt>
                <c:pt idx="6">
                  <c:v>667.66666666666663</c:v>
                </c:pt>
                <c:pt idx="7">
                  <c:v>667.66666666666663</c:v>
                </c:pt>
                <c:pt idx="8">
                  <c:v>667.66666666666663</c:v>
                </c:pt>
                <c:pt idx="9">
                  <c:v>667.66666666666663</c:v>
                </c:pt>
                <c:pt idx="10">
                  <c:v>667.66666666666663</c:v>
                </c:pt>
                <c:pt idx="11">
                  <c:v>667.66666666666663</c:v>
                </c:pt>
                <c:pt idx="12">
                  <c:v>667.66666666666663</c:v>
                </c:pt>
                <c:pt idx="13">
                  <c:v>667.66666666666663</c:v>
                </c:pt>
                <c:pt idx="14">
                  <c:v>667.66666666666663</c:v>
                </c:pt>
                <c:pt idx="15">
                  <c:v>667.66666666666663</c:v>
                </c:pt>
                <c:pt idx="16">
                  <c:v>667.66666666666663</c:v>
                </c:pt>
                <c:pt idx="17">
                  <c:v>667.66666666666663</c:v>
                </c:pt>
                <c:pt idx="18">
                  <c:v>667.66666666666663</c:v>
                </c:pt>
                <c:pt idx="19">
                  <c:v>667.66666666666663</c:v>
                </c:pt>
                <c:pt idx="20">
                  <c:v>667.66666666666663</c:v>
                </c:pt>
                <c:pt idx="21">
                  <c:v>667.66666666666663</c:v>
                </c:pt>
                <c:pt idx="22">
                  <c:v>667.66666666666663</c:v>
                </c:pt>
                <c:pt idx="23">
                  <c:v>667.66666666666663</c:v>
                </c:pt>
                <c:pt idx="24">
                  <c:v>667.66666666666663</c:v>
                </c:pt>
                <c:pt idx="25">
                  <c:v>667.66666666666663</c:v>
                </c:pt>
                <c:pt idx="26">
                  <c:v>667.66666666666663</c:v>
                </c:pt>
                <c:pt idx="27">
                  <c:v>667.66666666666663</c:v>
                </c:pt>
                <c:pt idx="28">
                  <c:v>667.66666666666663</c:v>
                </c:pt>
                <c:pt idx="29">
                  <c:v>667.66666666666663</c:v>
                </c:pt>
                <c:pt idx="30">
                  <c:v>667.66666666666663</c:v>
                </c:pt>
                <c:pt idx="31">
                  <c:v>667.66666666666663</c:v>
                </c:pt>
                <c:pt idx="32">
                  <c:v>667.66666666666663</c:v>
                </c:pt>
                <c:pt idx="33">
                  <c:v>667.66666666666663</c:v>
                </c:pt>
                <c:pt idx="34">
                  <c:v>667.66666666666663</c:v>
                </c:pt>
                <c:pt idx="35">
                  <c:v>667.66666666666663</c:v>
                </c:pt>
                <c:pt idx="36">
                  <c:v>667.66666666666663</c:v>
                </c:pt>
                <c:pt idx="37">
                  <c:v>667.66666666666663</c:v>
                </c:pt>
                <c:pt idx="38">
                  <c:v>667.66666666666663</c:v>
                </c:pt>
                <c:pt idx="39">
                  <c:v>667.66666666666663</c:v>
                </c:pt>
                <c:pt idx="40">
                  <c:v>667.66666666666663</c:v>
                </c:pt>
                <c:pt idx="41">
                  <c:v>667.66666666666663</c:v>
                </c:pt>
                <c:pt idx="42">
                  <c:v>667.66666666666663</c:v>
                </c:pt>
                <c:pt idx="43">
                  <c:v>667.66666666666663</c:v>
                </c:pt>
                <c:pt idx="44">
                  <c:v>667.66666666666663</c:v>
                </c:pt>
                <c:pt idx="45">
                  <c:v>667.66666666666663</c:v>
                </c:pt>
                <c:pt idx="46">
                  <c:v>667.66666666666663</c:v>
                </c:pt>
                <c:pt idx="47">
                  <c:v>667.66666666666663</c:v>
                </c:pt>
                <c:pt idx="48">
                  <c:v>667.66666666666663</c:v>
                </c:pt>
                <c:pt idx="49">
                  <c:v>667.66666666666663</c:v>
                </c:pt>
                <c:pt idx="50">
                  <c:v>667.66666666666663</c:v>
                </c:pt>
                <c:pt idx="51">
                  <c:v>667.66666666666663</c:v>
                </c:pt>
                <c:pt idx="52">
                  <c:v>667.66666666666663</c:v>
                </c:pt>
                <c:pt idx="53">
                  <c:v>667.66666666666663</c:v>
                </c:pt>
                <c:pt idx="54">
                  <c:v>667.66666666666663</c:v>
                </c:pt>
                <c:pt idx="55">
                  <c:v>667.66666666666663</c:v>
                </c:pt>
                <c:pt idx="56">
                  <c:v>667.66666666666663</c:v>
                </c:pt>
                <c:pt idx="57">
                  <c:v>667.66666666666663</c:v>
                </c:pt>
                <c:pt idx="58">
                  <c:v>667.66666666666663</c:v>
                </c:pt>
                <c:pt idx="59">
                  <c:v>637.66666666666663</c:v>
                </c:pt>
                <c:pt idx="60">
                  <c:v>637.66666666666663</c:v>
                </c:pt>
                <c:pt idx="61">
                  <c:v>637.66666666666663</c:v>
                </c:pt>
                <c:pt idx="62">
                  <c:v>637.66666666666663</c:v>
                </c:pt>
                <c:pt idx="63">
                  <c:v>637.66666666666663</c:v>
                </c:pt>
                <c:pt idx="64">
                  <c:v>637.66666666666663</c:v>
                </c:pt>
                <c:pt idx="65">
                  <c:v>637.66666666666663</c:v>
                </c:pt>
                <c:pt idx="66">
                  <c:v>637.66666666666663</c:v>
                </c:pt>
                <c:pt idx="67">
                  <c:v>637.66666666666663</c:v>
                </c:pt>
                <c:pt idx="68">
                  <c:v>637.66666666666663</c:v>
                </c:pt>
                <c:pt idx="69">
                  <c:v>637.66666666666663</c:v>
                </c:pt>
                <c:pt idx="70">
                  <c:v>637.66666666666663</c:v>
                </c:pt>
                <c:pt idx="71">
                  <c:v>637.66666666666663</c:v>
                </c:pt>
                <c:pt idx="72">
                  <c:v>637.66666666666663</c:v>
                </c:pt>
                <c:pt idx="73">
                  <c:v>637.66666666666663</c:v>
                </c:pt>
                <c:pt idx="74">
                  <c:v>637.66666666666663</c:v>
                </c:pt>
                <c:pt idx="75">
                  <c:v>637.66666666666663</c:v>
                </c:pt>
                <c:pt idx="76">
                  <c:v>637.66666666666663</c:v>
                </c:pt>
                <c:pt idx="77">
                  <c:v>637.66666666666663</c:v>
                </c:pt>
                <c:pt idx="78">
                  <c:v>637.66666666666663</c:v>
                </c:pt>
                <c:pt idx="79">
                  <c:v>637.66666666666663</c:v>
                </c:pt>
                <c:pt idx="80">
                  <c:v>637.66666666666663</c:v>
                </c:pt>
                <c:pt idx="81">
                  <c:v>637.66666666666663</c:v>
                </c:pt>
                <c:pt idx="82">
                  <c:v>637.66666666666663</c:v>
                </c:pt>
                <c:pt idx="83">
                  <c:v>637.66666666666663</c:v>
                </c:pt>
                <c:pt idx="84">
                  <c:v>637.66666666666663</c:v>
                </c:pt>
                <c:pt idx="85">
                  <c:v>637.66666666666663</c:v>
                </c:pt>
                <c:pt idx="86">
                  <c:v>637.66666666666663</c:v>
                </c:pt>
                <c:pt idx="87">
                  <c:v>637.66666666666663</c:v>
                </c:pt>
                <c:pt idx="88">
                  <c:v>637.66666666666663</c:v>
                </c:pt>
                <c:pt idx="89">
                  <c:v>637.66666666666663</c:v>
                </c:pt>
                <c:pt idx="90">
                  <c:v>604.3333333333336</c:v>
                </c:pt>
                <c:pt idx="91">
                  <c:v>604.3333333333336</c:v>
                </c:pt>
                <c:pt idx="92">
                  <c:v>604.3333333333336</c:v>
                </c:pt>
                <c:pt idx="93">
                  <c:v>604.3333333333336</c:v>
                </c:pt>
                <c:pt idx="94">
                  <c:v>604.3333333333336</c:v>
                </c:pt>
                <c:pt idx="95">
                  <c:v>604.3333333333336</c:v>
                </c:pt>
                <c:pt idx="96">
                  <c:v>604.3333333333336</c:v>
                </c:pt>
                <c:pt idx="97">
                  <c:v>604.3333333333336</c:v>
                </c:pt>
                <c:pt idx="98">
                  <c:v>604.3333333333336</c:v>
                </c:pt>
                <c:pt idx="99">
                  <c:v>604.3333333333336</c:v>
                </c:pt>
                <c:pt idx="100">
                  <c:v>604.3333333333336</c:v>
                </c:pt>
                <c:pt idx="101">
                  <c:v>604.3333333333336</c:v>
                </c:pt>
                <c:pt idx="102">
                  <c:v>604.3333333333336</c:v>
                </c:pt>
                <c:pt idx="103">
                  <c:v>604.3333333333336</c:v>
                </c:pt>
                <c:pt idx="104">
                  <c:v>604.3333333333336</c:v>
                </c:pt>
                <c:pt idx="105">
                  <c:v>604.3333333333336</c:v>
                </c:pt>
                <c:pt idx="106">
                  <c:v>604.3333333333336</c:v>
                </c:pt>
                <c:pt idx="107">
                  <c:v>604.3333333333336</c:v>
                </c:pt>
                <c:pt idx="108">
                  <c:v>604.3333333333336</c:v>
                </c:pt>
                <c:pt idx="109">
                  <c:v>604.3333333333336</c:v>
                </c:pt>
                <c:pt idx="110">
                  <c:v>604.3333333333336</c:v>
                </c:pt>
                <c:pt idx="111">
                  <c:v>604.3333333333336</c:v>
                </c:pt>
                <c:pt idx="112">
                  <c:v>604.3333333333336</c:v>
                </c:pt>
                <c:pt idx="113">
                  <c:v>604.3333333333336</c:v>
                </c:pt>
                <c:pt idx="114">
                  <c:v>604.3333333333336</c:v>
                </c:pt>
                <c:pt idx="115">
                  <c:v>604.3333333333336</c:v>
                </c:pt>
                <c:pt idx="116">
                  <c:v>604.3333333333336</c:v>
                </c:pt>
                <c:pt idx="117">
                  <c:v>604.3333333333336</c:v>
                </c:pt>
                <c:pt idx="118">
                  <c:v>604.3333333333336</c:v>
                </c:pt>
                <c:pt idx="119">
                  <c:v>604.3333333333336</c:v>
                </c:pt>
                <c:pt idx="120">
                  <c:v>604.3333333333336</c:v>
                </c:pt>
                <c:pt idx="121">
                  <c:v>604.3333333333336</c:v>
                </c:pt>
                <c:pt idx="122">
                  <c:v>604.3333333333336</c:v>
                </c:pt>
                <c:pt idx="123">
                  <c:v>604.3333333333336</c:v>
                </c:pt>
                <c:pt idx="124">
                  <c:v>604.3333333333336</c:v>
                </c:pt>
                <c:pt idx="125">
                  <c:v>604.3333333333336</c:v>
                </c:pt>
                <c:pt idx="126">
                  <c:v>604.3333333333336</c:v>
                </c:pt>
                <c:pt idx="127">
                  <c:v>604.3333333333336</c:v>
                </c:pt>
                <c:pt idx="128">
                  <c:v>604.3333333333336</c:v>
                </c:pt>
                <c:pt idx="129">
                  <c:v>604.3333333333336</c:v>
                </c:pt>
                <c:pt idx="130">
                  <c:v>604.3333333333336</c:v>
                </c:pt>
                <c:pt idx="131">
                  <c:v>604.3333333333336</c:v>
                </c:pt>
                <c:pt idx="132">
                  <c:v>604.3333333333336</c:v>
                </c:pt>
                <c:pt idx="133">
                  <c:v>604.3333333333336</c:v>
                </c:pt>
                <c:pt idx="134">
                  <c:v>604.3333333333336</c:v>
                </c:pt>
                <c:pt idx="135">
                  <c:v>604.3333333333336</c:v>
                </c:pt>
                <c:pt idx="136">
                  <c:v>604.3333333333336</c:v>
                </c:pt>
                <c:pt idx="137">
                  <c:v>604.3333333333336</c:v>
                </c:pt>
                <c:pt idx="138">
                  <c:v>604.3333333333336</c:v>
                </c:pt>
                <c:pt idx="139">
                  <c:v>604.3333333333336</c:v>
                </c:pt>
                <c:pt idx="140">
                  <c:v>604.3333333333336</c:v>
                </c:pt>
                <c:pt idx="141">
                  <c:v>604.3333333333336</c:v>
                </c:pt>
                <c:pt idx="142">
                  <c:v>604.3333333333336</c:v>
                </c:pt>
                <c:pt idx="143">
                  <c:v>604.3333333333336</c:v>
                </c:pt>
                <c:pt idx="144">
                  <c:v>604.3333333333336</c:v>
                </c:pt>
                <c:pt idx="145">
                  <c:v>604.3333333333336</c:v>
                </c:pt>
                <c:pt idx="146">
                  <c:v>604.3333333333336</c:v>
                </c:pt>
                <c:pt idx="147">
                  <c:v>604.3333333333336</c:v>
                </c:pt>
                <c:pt idx="148">
                  <c:v>604.3333333333336</c:v>
                </c:pt>
                <c:pt idx="149">
                  <c:v>604.3333333333336</c:v>
                </c:pt>
                <c:pt idx="150">
                  <c:v>604.3333333333336</c:v>
                </c:pt>
                <c:pt idx="151">
                  <c:v>554.3333333333336</c:v>
                </c:pt>
                <c:pt idx="152">
                  <c:v>554.3333333333336</c:v>
                </c:pt>
                <c:pt idx="153">
                  <c:v>554.3333333333336</c:v>
                </c:pt>
                <c:pt idx="154">
                  <c:v>554.3333333333336</c:v>
                </c:pt>
                <c:pt idx="155">
                  <c:v>554.3333333333336</c:v>
                </c:pt>
                <c:pt idx="156">
                  <c:v>554.3333333333336</c:v>
                </c:pt>
                <c:pt idx="157">
                  <c:v>554.3333333333336</c:v>
                </c:pt>
                <c:pt idx="158">
                  <c:v>554.3333333333336</c:v>
                </c:pt>
                <c:pt idx="159">
                  <c:v>554.3333333333336</c:v>
                </c:pt>
                <c:pt idx="160">
                  <c:v>554.3333333333336</c:v>
                </c:pt>
                <c:pt idx="161">
                  <c:v>554.3333333333336</c:v>
                </c:pt>
                <c:pt idx="162">
                  <c:v>554.3333333333336</c:v>
                </c:pt>
                <c:pt idx="163">
                  <c:v>554.3333333333336</c:v>
                </c:pt>
                <c:pt idx="164">
                  <c:v>554.3333333333336</c:v>
                </c:pt>
                <c:pt idx="165">
                  <c:v>554.3333333333336</c:v>
                </c:pt>
                <c:pt idx="166">
                  <c:v>554.3333333333336</c:v>
                </c:pt>
                <c:pt idx="167">
                  <c:v>554.3333333333336</c:v>
                </c:pt>
                <c:pt idx="168">
                  <c:v>554.3333333333336</c:v>
                </c:pt>
                <c:pt idx="169">
                  <c:v>554.3333333333336</c:v>
                </c:pt>
                <c:pt idx="170">
                  <c:v>554.3333333333336</c:v>
                </c:pt>
                <c:pt idx="171">
                  <c:v>554.3333333333336</c:v>
                </c:pt>
                <c:pt idx="172">
                  <c:v>554.3333333333336</c:v>
                </c:pt>
                <c:pt idx="173">
                  <c:v>554.3333333333336</c:v>
                </c:pt>
                <c:pt idx="174">
                  <c:v>554.3333333333336</c:v>
                </c:pt>
                <c:pt idx="175">
                  <c:v>554.3333333333336</c:v>
                </c:pt>
                <c:pt idx="176">
                  <c:v>554.3333333333336</c:v>
                </c:pt>
                <c:pt idx="177">
                  <c:v>554.3333333333336</c:v>
                </c:pt>
                <c:pt idx="178">
                  <c:v>554.3333333333336</c:v>
                </c:pt>
                <c:pt idx="179">
                  <c:v>554.3333333333336</c:v>
                </c:pt>
                <c:pt idx="180">
                  <c:v>554.3333333333336</c:v>
                </c:pt>
                <c:pt idx="181">
                  <c:v>544.3333333333336</c:v>
                </c:pt>
                <c:pt idx="182">
                  <c:v>544.3333333333336</c:v>
                </c:pt>
                <c:pt idx="183">
                  <c:v>544.3333333333336</c:v>
                </c:pt>
                <c:pt idx="184">
                  <c:v>544.3333333333336</c:v>
                </c:pt>
                <c:pt idx="185">
                  <c:v>544.3333333333336</c:v>
                </c:pt>
                <c:pt idx="186">
                  <c:v>544.3333333333336</c:v>
                </c:pt>
                <c:pt idx="187">
                  <c:v>544.3333333333336</c:v>
                </c:pt>
                <c:pt idx="188">
                  <c:v>544.3333333333336</c:v>
                </c:pt>
                <c:pt idx="189">
                  <c:v>544.3333333333336</c:v>
                </c:pt>
                <c:pt idx="190">
                  <c:v>544.3333333333336</c:v>
                </c:pt>
                <c:pt idx="191">
                  <c:v>544.3333333333336</c:v>
                </c:pt>
                <c:pt idx="192">
                  <c:v>544.3333333333336</c:v>
                </c:pt>
                <c:pt idx="193">
                  <c:v>544.3333333333336</c:v>
                </c:pt>
                <c:pt idx="194">
                  <c:v>544.3333333333336</c:v>
                </c:pt>
                <c:pt idx="195">
                  <c:v>544.3333333333336</c:v>
                </c:pt>
                <c:pt idx="196">
                  <c:v>544.3333333333336</c:v>
                </c:pt>
                <c:pt idx="197">
                  <c:v>544.3333333333336</c:v>
                </c:pt>
                <c:pt idx="198">
                  <c:v>544.3333333333336</c:v>
                </c:pt>
                <c:pt idx="199">
                  <c:v>544.3333333333336</c:v>
                </c:pt>
                <c:pt idx="200">
                  <c:v>544.3333333333336</c:v>
                </c:pt>
                <c:pt idx="201">
                  <c:v>544.3333333333336</c:v>
                </c:pt>
                <c:pt idx="202">
                  <c:v>544.3333333333336</c:v>
                </c:pt>
                <c:pt idx="203">
                  <c:v>544.3333333333336</c:v>
                </c:pt>
                <c:pt idx="204">
                  <c:v>544.3333333333336</c:v>
                </c:pt>
                <c:pt idx="205">
                  <c:v>544.3333333333336</c:v>
                </c:pt>
                <c:pt idx="206">
                  <c:v>544.3333333333336</c:v>
                </c:pt>
                <c:pt idx="207">
                  <c:v>544.3333333333336</c:v>
                </c:pt>
                <c:pt idx="208">
                  <c:v>544.3333333333336</c:v>
                </c:pt>
                <c:pt idx="209">
                  <c:v>544.3333333333336</c:v>
                </c:pt>
                <c:pt idx="210">
                  <c:v>544.3333333333336</c:v>
                </c:pt>
                <c:pt idx="211">
                  <c:v>544.3333333333336</c:v>
                </c:pt>
                <c:pt idx="212">
                  <c:v>544.3333333333336</c:v>
                </c:pt>
                <c:pt idx="213">
                  <c:v>544.3333333333336</c:v>
                </c:pt>
                <c:pt idx="214">
                  <c:v>544.3333333333336</c:v>
                </c:pt>
                <c:pt idx="215">
                  <c:v>544.3333333333336</c:v>
                </c:pt>
                <c:pt idx="216">
                  <c:v>544.3333333333336</c:v>
                </c:pt>
                <c:pt idx="217">
                  <c:v>544.3333333333336</c:v>
                </c:pt>
                <c:pt idx="218">
                  <c:v>544.3333333333336</c:v>
                </c:pt>
                <c:pt idx="219">
                  <c:v>544.3333333333336</c:v>
                </c:pt>
                <c:pt idx="220">
                  <c:v>544.3333333333336</c:v>
                </c:pt>
                <c:pt idx="221">
                  <c:v>544.3333333333336</c:v>
                </c:pt>
                <c:pt idx="222">
                  <c:v>544.3333333333336</c:v>
                </c:pt>
                <c:pt idx="223">
                  <c:v>544.3333333333336</c:v>
                </c:pt>
                <c:pt idx="224">
                  <c:v>544.3333333333336</c:v>
                </c:pt>
                <c:pt idx="225">
                  <c:v>544.3333333333336</c:v>
                </c:pt>
                <c:pt idx="226">
                  <c:v>544.3333333333336</c:v>
                </c:pt>
                <c:pt idx="227">
                  <c:v>544.3333333333336</c:v>
                </c:pt>
                <c:pt idx="228">
                  <c:v>544.3333333333336</c:v>
                </c:pt>
                <c:pt idx="229">
                  <c:v>544.3333333333336</c:v>
                </c:pt>
                <c:pt idx="230">
                  <c:v>544.3333333333336</c:v>
                </c:pt>
                <c:pt idx="231">
                  <c:v>544.3333333333336</c:v>
                </c:pt>
                <c:pt idx="232">
                  <c:v>544.3333333333336</c:v>
                </c:pt>
                <c:pt idx="233">
                  <c:v>544.3333333333336</c:v>
                </c:pt>
                <c:pt idx="234">
                  <c:v>544.3333333333336</c:v>
                </c:pt>
                <c:pt idx="235">
                  <c:v>544.3333333333336</c:v>
                </c:pt>
                <c:pt idx="236">
                  <c:v>544.3333333333336</c:v>
                </c:pt>
                <c:pt idx="237">
                  <c:v>544.3333333333336</c:v>
                </c:pt>
                <c:pt idx="238">
                  <c:v>544.3333333333336</c:v>
                </c:pt>
                <c:pt idx="239">
                  <c:v>544.3333333333336</c:v>
                </c:pt>
                <c:pt idx="240">
                  <c:v>544.3333333333336</c:v>
                </c:pt>
                <c:pt idx="241">
                  <c:v>544.3333333333336</c:v>
                </c:pt>
                <c:pt idx="242">
                  <c:v>544.3333333333336</c:v>
                </c:pt>
                <c:pt idx="243">
                  <c:v>521</c:v>
                </c:pt>
                <c:pt idx="244">
                  <c:v>521</c:v>
                </c:pt>
                <c:pt idx="245">
                  <c:v>521</c:v>
                </c:pt>
                <c:pt idx="246">
                  <c:v>521</c:v>
                </c:pt>
                <c:pt idx="247">
                  <c:v>521</c:v>
                </c:pt>
                <c:pt idx="248">
                  <c:v>521</c:v>
                </c:pt>
                <c:pt idx="249">
                  <c:v>521</c:v>
                </c:pt>
                <c:pt idx="250">
                  <c:v>521</c:v>
                </c:pt>
                <c:pt idx="251">
                  <c:v>521</c:v>
                </c:pt>
                <c:pt idx="252">
                  <c:v>521</c:v>
                </c:pt>
                <c:pt idx="253">
                  <c:v>521</c:v>
                </c:pt>
                <c:pt idx="254">
                  <c:v>521</c:v>
                </c:pt>
                <c:pt idx="255">
                  <c:v>521</c:v>
                </c:pt>
                <c:pt idx="256">
                  <c:v>521</c:v>
                </c:pt>
                <c:pt idx="257">
                  <c:v>521</c:v>
                </c:pt>
                <c:pt idx="258">
                  <c:v>521</c:v>
                </c:pt>
                <c:pt idx="259">
                  <c:v>521</c:v>
                </c:pt>
                <c:pt idx="260">
                  <c:v>521</c:v>
                </c:pt>
                <c:pt idx="261">
                  <c:v>521</c:v>
                </c:pt>
                <c:pt idx="262">
                  <c:v>521</c:v>
                </c:pt>
                <c:pt idx="263">
                  <c:v>521</c:v>
                </c:pt>
                <c:pt idx="264">
                  <c:v>521</c:v>
                </c:pt>
                <c:pt idx="265">
                  <c:v>521</c:v>
                </c:pt>
                <c:pt idx="266">
                  <c:v>521</c:v>
                </c:pt>
                <c:pt idx="267">
                  <c:v>521</c:v>
                </c:pt>
                <c:pt idx="268">
                  <c:v>521</c:v>
                </c:pt>
                <c:pt idx="269">
                  <c:v>521</c:v>
                </c:pt>
                <c:pt idx="270">
                  <c:v>521</c:v>
                </c:pt>
                <c:pt idx="271">
                  <c:v>521</c:v>
                </c:pt>
                <c:pt idx="272">
                  <c:v>521</c:v>
                </c:pt>
                <c:pt idx="273">
                  <c:v>521</c:v>
                </c:pt>
                <c:pt idx="274">
                  <c:v>521</c:v>
                </c:pt>
                <c:pt idx="275">
                  <c:v>521</c:v>
                </c:pt>
                <c:pt idx="276">
                  <c:v>521</c:v>
                </c:pt>
                <c:pt idx="277">
                  <c:v>521</c:v>
                </c:pt>
                <c:pt idx="278">
                  <c:v>521</c:v>
                </c:pt>
                <c:pt idx="279">
                  <c:v>521</c:v>
                </c:pt>
                <c:pt idx="280">
                  <c:v>521</c:v>
                </c:pt>
                <c:pt idx="281">
                  <c:v>521</c:v>
                </c:pt>
                <c:pt idx="282">
                  <c:v>521</c:v>
                </c:pt>
                <c:pt idx="283">
                  <c:v>521</c:v>
                </c:pt>
                <c:pt idx="284">
                  <c:v>521</c:v>
                </c:pt>
                <c:pt idx="285">
                  <c:v>521</c:v>
                </c:pt>
                <c:pt idx="286">
                  <c:v>521</c:v>
                </c:pt>
                <c:pt idx="287">
                  <c:v>521</c:v>
                </c:pt>
                <c:pt idx="288">
                  <c:v>521</c:v>
                </c:pt>
                <c:pt idx="289">
                  <c:v>521</c:v>
                </c:pt>
                <c:pt idx="290">
                  <c:v>521</c:v>
                </c:pt>
                <c:pt idx="291">
                  <c:v>521</c:v>
                </c:pt>
                <c:pt idx="292">
                  <c:v>521</c:v>
                </c:pt>
                <c:pt idx="293">
                  <c:v>521</c:v>
                </c:pt>
                <c:pt idx="294">
                  <c:v>521</c:v>
                </c:pt>
                <c:pt idx="295">
                  <c:v>521</c:v>
                </c:pt>
                <c:pt idx="296">
                  <c:v>521</c:v>
                </c:pt>
                <c:pt idx="297">
                  <c:v>521</c:v>
                </c:pt>
                <c:pt idx="298">
                  <c:v>521</c:v>
                </c:pt>
                <c:pt idx="299">
                  <c:v>521</c:v>
                </c:pt>
                <c:pt idx="300">
                  <c:v>521</c:v>
                </c:pt>
                <c:pt idx="301">
                  <c:v>521</c:v>
                </c:pt>
                <c:pt idx="302">
                  <c:v>521</c:v>
                </c:pt>
                <c:pt idx="303">
                  <c:v>521</c:v>
                </c:pt>
                <c:pt idx="304">
                  <c:v>521</c:v>
                </c:pt>
                <c:pt idx="305">
                  <c:v>521</c:v>
                </c:pt>
                <c:pt idx="306">
                  <c:v>521</c:v>
                </c:pt>
                <c:pt idx="307">
                  <c:v>521</c:v>
                </c:pt>
                <c:pt idx="308">
                  <c:v>521</c:v>
                </c:pt>
                <c:pt idx="309">
                  <c:v>521</c:v>
                </c:pt>
                <c:pt idx="310">
                  <c:v>521</c:v>
                </c:pt>
                <c:pt idx="311">
                  <c:v>521</c:v>
                </c:pt>
                <c:pt idx="312">
                  <c:v>521</c:v>
                </c:pt>
                <c:pt idx="313">
                  <c:v>521</c:v>
                </c:pt>
                <c:pt idx="314">
                  <c:v>521</c:v>
                </c:pt>
                <c:pt idx="315">
                  <c:v>521</c:v>
                </c:pt>
                <c:pt idx="316">
                  <c:v>521</c:v>
                </c:pt>
                <c:pt idx="317">
                  <c:v>521</c:v>
                </c:pt>
                <c:pt idx="318">
                  <c:v>521</c:v>
                </c:pt>
                <c:pt idx="319">
                  <c:v>521</c:v>
                </c:pt>
                <c:pt idx="320">
                  <c:v>521</c:v>
                </c:pt>
                <c:pt idx="321">
                  <c:v>521</c:v>
                </c:pt>
                <c:pt idx="322">
                  <c:v>521</c:v>
                </c:pt>
                <c:pt idx="323">
                  <c:v>521</c:v>
                </c:pt>
              </c:numCache>
            </c:numRef>
          </c:val>
          <c:smooth val="0"/>
        </c:ser>
        <c:ser>
          <c:idx val="1"/>
          <c:order val="1"/>
          <c:tx>
            <c:strRef>
              <c:f>CRU、廢鋼、小鋼胚、平板鋼類、長條鋼類!$W$1</c:f>
              <c:strCache>
                <c:ptCount val="1"/>
                <c:pt idx="0">
                  <c:v>冷軋板捲 美國中西部 廠交價(美元/公噸)</c:v>
                </c:pt>
              </c:strCache>
            </c:strRef>
          </c:tx>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CRU、廢鋼、小鋼胚、平板鋼類、長條鋼類!$W$216:$W$539</c:f>
              <c:numCache>
                <c:formatCode>General</c:formatCode>
                <c:ptCount val="324"/>
                <c:pt idx="0">
                  <c:v>810</c:v>
                </c:pt>
                <c:pt idx="1">
                  <c:v>810</c:v>
                </c:pt>
                <c:pt idx="2">
                  <c:v>810</c:v>
                </c:pt>
                <c:pt idx="3">
                  <c:v>810</c:v>
                </c:pt>
                <c:pt idx="4">
                  <c:v>810</c:v>
                </c:pt>
                <c:pt idx="5">
                  <c:v>810</c:v>
                </c:pt>
                <c:pt idx="6">
                  <c:v>810</c:v>
                </c:pt>
                <c:pt idx="7">
                  <c:v>810</c:v>
                </c:pt>
                <c:pt idx="8">
                  <c:v>810</c:v>
                </c:pt>
                <c:pt idx="9">
                  <c:v>810</c:v>
                </c:pt>
                <c:pt idx="10">
                  <c:v>810</c:v>
                </c:pt>
                <c:pt idx="11">
                  <c:v>810</c:v>
                </c:pt>
                <c:pt idx="12">
                  <c:v>810</c:v>
                </c:pt>
                <c:pt idx="13">
                  <c:v>810</c:v>
                </c:pt>
                <c:pt idx="14">
                  <c:v>810</c:v>
                </c:pt>
                <c:pt idx="15">
                  <c:v>810</c:v>
                </c:pt>
                <c:pt idx="16">
                  <c:v>810</c:v>
                </c:pt>
                <c:pt idx="17">
                  <c:v>810</c:v>
                </c:pt>
                <c:pt idx="18">
                  <c:v>810</c:v>
                </c:pt>
                <c:pt idx="19">
                  <c:v>810</c:v>
                </c:pt>
                <c:pt idx="20">
                  <c:v>772</c:v>
                </c:pt>
                <c:pt idx="21">
                  <c:v>772</c:v>
                </c:pt>
                <c:pt idx="22">
                  <c:v>772</c:v>
                </c:pt>
                <c:pt idx="23">
                  <c:v>772</c:v>
                </c:pt>
                <c:pt idx="24">
                  <c:v>772</c:v>
                </c:pt>
                <c:pt idx="25">
                  <c:v>772</c:v>
                </c:pt>
                <c:pt idx="26">
                  <c:v>772</c:v>
                </c:pt>
                <c:pt idx="27">
                  <c:v>761</c:v>
                </c:pt>
                <c:pt idx="28">
                  <c:v>761</c:v>
                </c:pt>
                <c:pt idx="29">
                  <c:v>761</c:v>
                </c:pt>
                <c:pt idx="30">
                  <c:v>761</c:v>
                </c:pt>
                <c:pt idx="31">
                  <c:v>761</c:v>
                </c:pt>
                <c:pt idx="32">
                  <c:v>761</c:v>
                </c:pt>
                <c:pt idx="33">
                  <c:v>761</c:v>
                </c:pt>
                <c:pt idx="34">
                  <c:v>761</c:v>
                </c:pt>
                <c:pt idx="35">
                  <c:v>761</c:v>
                </c:pt>
                <c:pt idx="36">
                  <c:v>761</c:v>
                </c:pt>
                <c:pt idx="37">
                  <c:v>761</c:v>
                </c:pt>
                <c:pt idx="38">
                  <c:v>761</c:v>
                </c:pt>
                <c:pt idx="39">
                  <c:v>761</c:v>
                </c:pt>
                <c:pt idx="40">
                  <c:v>761</c:v>
                </c:pt>
                <c:pt idx="41">
                  <c:v>750</c:v>
                </c:pt>
                <c:pt idx="42">
                  <c:v>750</c:v>
                </c:pt>
                <c:pt idx="43">
                  <c:v>750</c:v>
                </c:pt>
                <c:pt idx="44">
                  <c:v>750</c:v>
                </c:pt>
                <c:pt idx="45">
                  <c:v>750</c:v>
                </c:pt>
                <c:pt idx="46">
                  <c:v>750</c:v>
                </c:pt>
                <c:pt idx="47">
                  <c:v>750</c:v>
                </c:pt>
                <c:pt idx="48">
                  <c:v>750</c:v>
                </c:pt>
                <c:pt idx="49">
                  <c:v>750</c:v>
                </c:pt>
                <c:pt idx="50">
                  <c:v>750</c:v>
                </c:pt>
                <c:pt idx="51">
                  <c:v>750</c:v>
                </c:pt>
                <c:pt idx="52">
                  <c:v>750</c:v>
                </c:pt>
                <c:pt idx="53">
                  <c:v>750</c:v>
                </c:pt>
                <c:pt idx="54">
                  <c:v>750</c:v>
                </c:pt>
                <c:pt idx="55">
                  <c:v>750</c:v>
                </c:pt>
                <c:pt idx="56">
                  <c:v>750</c:v>
                </c:pt>
                <c:pt idx="57">
                  <c:v>750</c:v>
                </c:pt>
                <c:pt idx="58">
                  <c:v>750</c:v>
                </c:pt>
                <c:pt idx="59">
                  <c:v>750</c:v>
                </c:pt>
                <c:pt idx="60">
                  <c:v>750</c:v>
                </c:pt>
                <c:pt idx="61">
                  <c:v>750</c:v>
                </c:pt>
                <c:pt idx="62">
                  <c:v>695</c:v>
                </c:pt>
                <c:pt idx="63">
                  <c:v>695</c:v>
                </c:pt>
                <c:pt idx="64">
                  <c:v>695</c:v>
                </c:pt>
                <c:pt idx="65">
                  <c:v>695</c:v>
                </c:pt>
                <c:pt idx="66">
                  <c:v>695</c:v>
                </c:pt>
                <c:pt idx="67">
                  <c:v>695</c:v>
                </c:pt>
                <c:pt idx="68">
                  <c:v>695</c:v>
                </c:pt>
                <c:pt idx="69">
                  <c:v>695</c:v>
                </c:pt>
                <c:pt idx="70">
                  <c:v>695</c:v>
                </c:pt>
                <c:pt idx="71">
                  <c:v>695</c:v>
                </c:pt>
                <c:pt idx="72">
                  <c:v>695</c:v>
                </c:pt>
                <c:pt idx="73">
                  <c:v>695</c:v>
                </c:pt>
                <c:pt idx="74">
                  <c:v>695</c:v>
                </c:pt>
                <c:pt idx="75">
                  <c:v>695</c:v>
                </c:pt>
                <c:pt idx="76">
                  <c:v>678</c:v>
                </c:pt>
                <c:pt idx="77">
                  <c:v>678</c:v>
                </c:pt>
                <c:pt idx="78">
                  <c:v>678</c:v>
                </c:pt>
                <c:pt idx="79">
                  <c:v>678</c:v>
                </c:pt>
                <c:pt idx="80">
                  <c:v>678</c:v>
                </c:pt>
                <c:pt idx="81">
                  <c:v>678</c:v>
                </c:pt>
                <c:pt idx="82">
                  <c:v>678</c:v>
                </c:pt>
                <c:pt idx="83">
                  <c:v>673</c:v>
                </c:pt>
                <c:pt idx="84">
                  <c:v>673</c:v>
                </c:pt>
                <c:pt idx="85">
                  <c:v>673</c:v>
                </c:pt>
                <c:pt idx="86">
                  <c:v>673</c:v>
                </c:pt>
                <c:pt idx="87">
                  <c:v>673</c:v>
                </c:pt>
                <c:pt idx="88">
                  <c:v>673</c:v>
                </c:pt>
                <c:pt idx="89">
                  <c:v>673</c:v>
                </c:pt>
                <c:pt idx="90">
                  <c:v>662</c:v>
                </c:pt>
                <c:pt idx="91">
                  <c:v>662</c:v>
                </c:pt>
                <c:pt idx="92">
                  <c:v>662</c:v>
                </c:pt>
                <c:pt idx="93">
                  <c:v>662</c:v>
                </c:pt>
                <c:pt idx="94">
                  <c:v>662</c:v>
                </c:pt>
                <c:pt idx="95">
                  <c:v>662</c:v>
                </c:pt>
                <c:pt idx="96">
                  <c:v>662</c:v>
                </c:pt>
                <c:pt idx="97">
                  <c:v>656</c:v>
                </c:pt>
                <c:pt idx="98">
                  <c:v>656</c:v>
                </c:pt>
                <c:pt idx="99">
                  <c:v>656</c:v>
                </c:pt>
                <c:pt idx="100">
                  <c:v>656</c:v>
                </c:pt>
                <c:pt idx="101">
                  <c:v>656</c:v>
                </c:pt>
                <c:pt idx="102">
                  <c:v>656</c:v>
                </c:pt>
                <c:pt idx="103">
                  <c:v>656</c:v>
                </c:pt>
                <c:pt idx="104">
                  <c:v>628</c:v>
                </c:pt>
                <c:pt idx="105">
                  <c:v>628</c:v>
                </c:pt>
                <c:pt idx="106">
                  <c:v>628</c:v>
                </c:pt>
                <c:pt idx="107">
                  <c:v>628</c:v>
                </c:pt>
                <c:pt idx="108">
                  <c:v>628</c:v>
                </c:pt>
                <c:pt idx="109">
                  <c:v>628</c:v>
                </c:pt>
                <c:pt idx="110">
                  <c:v>628</c:v>
                </c:pt>
                <c:pt idx="111">
                  <c:v>617</c:v>
                </c:pt>
                <c:pt idx="112">
                  <c:v>617</c:v>
                </c:pt>
                <c:pt idx="113">
                  <c:v>617</c:v>
                </c:pt>
                <c:pt idx="114">
                  <c:v>617</c:v>
                </c:pt>
                <c:pt idx="115">
                  <c:v>617</c:v>
                </c:pt>
                <c:pt idx="116">
                  <c:v>617</c:v>
                </c:pt>
                <c:pt idx="117">
                  <c:v>617</c:v>
                </c:pt>
                <c:pt idx="118">
                  <c:v>606</c:v>
                </c:pt>
                <c:pt idx="119">
                  <c:v>606</c:v>
                </c:pt>
                <c:pt idx="120">
                  <c:v>606</c:v>
                </c:pt>
                <c:pt idx="121">
                  <c:v>606</c:v>
                </c:pt>
                <c:pt idx="122">
                  <c:v>606</c:v>
                </c:pt>
                <c:pt idx="123">
                  <c:v>606</c:v>
                </c:pt>
                <c:pt idx="124">
                  <c:v>606</c:v>
                </c:pt>
                <c:pt idx="125">
                  <c:v>617</c:v>
                </c:pt>
                <c:pt idx="126">
                  <c:v>617</c:v>
                </c:pt>
                <c:pt idx="127">
                  <c:v>617</c:v>
                </c:pt>
                <c:pt idx="128">
                  <c:v>617</c:v>
                </c:pt>
                <c:pt idx="129">
                  <c:v>617</c:v>
                </c:pt>
                <c:pt idx="130">
                  <c:v>617</c:v>
                </c:pt>
                <c:pt idx="131">
                  <c:v>617</c:v>
                </c:pt>
                <c:pt idx="132">
                  <c:v>628</c:v>
                </c:pt>
                <c:pt idx="133">
                  <c:v>628</c:v>
                </c:pt>
                <c:pt idx="134">
                  <c:v>628</c:v>
                </c:pt>
                <c:pt idx="135">
                  <c:v>628</c:v>
                </c:pt>
                <c:pt idx="136">
                  <c:v>628</c:v>
                </c:pt>
                <c:pt idx="137">
                  <c:v>628</c:v>
                </c:pt>
                <c:pt idx="138">
                  <c:v>628</c:v>
                </c:pt>
                <c:pt idx="139">
                  <c:v>634</c:v>
                </c:pt>
                <c:pt idx="140">
                  <c:v>634</c:v>
                </c:pt>
                <c:pt idx="141">
                  <c:v>634</c:v>
                </c:pt>
                <c:pt idx="142">
                  <c:v>634</c:v>
                </c:pt>
                <c:pt idx="143">
                  <c:v>634</c:v>
                </c:pt>
                <c:pt idx="144">
                  <c:v>634</c:v>
                </c:pt>
                <c:pt idx="145">
                  <c:v>634</c:v>
                </c:pt>
                <c:pt idx="146">
                  <c:v>639</c:v>
                </c:pt>
                <c:pt idx="147">
                  <c:v>639</c:v>
                </c:pt>
                <c:pt idx="148">
                  <c:v>639</c:v>
                </c:pt>
                <c:pt idx="149">
                  <c:v>639</c:v>
                </c:pt>
                <c:pt idx="150">
                  <c:v>639</c:v>
                </c:pt>
                <c:pt idx="151">
                  <c:v>639</c:v>
                </c:pt>
                <c:pt idx="152">
                  <c:v>639</c:v>
                </c:pt>
                <c:pt idx="153">
                  <c:v>639</c:v>
                </c:pt>
                <c:pt idx="154">
                  <c:v>639</c:v>
                </c:pt>
                <c:pt idx="155">
                  <c:v>639</c:v>
                </c:pt>
                <c:pt idx="156">
                  <c:v>639</c:v>
                </c:pt>
                <c:pt idx="157">
                  <c:v>639</c:v>
                </c:pt>
                <c:pt idx="158">
                  <c:v>639</c:v>
                </c:pt>
                <c:pt idx="159">
                  <c:v>639</c:v>
                </c:pt>
                <c:pt idx="160">
                  <c:v>639</c:v>
                </c:pt>
                <c:pt idx="161">
                  <c:v>634</c:v>
                </c:pt>
                <c:pt idx="162">
                  <c:v>634</c:v>
                </c:pt>
                <c:pt idx="163">
                  <c:v>634</c:v>
                </c:pt>
                <c:pt idx="164">
                  <c:v>634</c:v>
                </c:pt>
                <c:pt idx="165">
                  <c:v>634</c:v>
                </c:pt>
                <c:pt idx="166">
                  <c:v>634</c:v>
                </c:pt>
                <c:pt idx="167">
                  <c:v>634</c:v>
                </c:pt>
                <c:pt idx="168">
                  <c:v>634</c:v>
                </c:pt>
                <c:pt idx="169">
                  <c:v>634</c:v>
                </c:pt>
                <c:pt idx="170">
                  <c:v>634</c:v>
                </c:pt>
                <c:pt idx="171">
                  <c:v>634</c:v>
                </c:pt>
                <c:pt idx="172">
                  <c:v>634</c:v>
                </c:pt>
                <c:pt idx="173">
                  <c:v>634</c:v>
                </c:pt>
                <c:pt idx="174">
                  <c:v>639</c:v>
                </c:pt>
                <c:pt idx="175">
                  <c:v>639</c:v>
                </c:pt>
                <c:pt idx="176">
                  <c:v>639</c:v>
                </c:pt>
                <c:pt idx="177">
                  <c:v>639</c:v>
                </c:pt>
                <c:pt idx="178">
                  <c:v>639</c:v>
                </c:pt>
                <c:pt idx="179">
                  <c:v>639</c:v>
                </c:pt>
                <c:pt idx="180">
                  <c:v>639</c:v>
                </c:pt>
                <c:pt idx="181">
                  <c:v>645</c:v>
                </c:pt>
                <c:pt idx="182">
                  <c:v>645</c:v>
                </c:pt>
                <c:pt idx="183">
                  <c:v>645</c:v>
                </c:pt>
                <c:pt idx="184">
                  <c:v>645</c:v>
                </c:pt>
                <c:pt idx="185">
                  <c:v>645</c:v>
                </c:pt>
                <c:pt idx="186">
                  <c:v>645</c:v>
                </c:pt>
                <c:pt idx="187">
                  <c:v>645</c:v>
                </c:pt>
                <c:pt idx="188">
                  <c:v>645</c:v>
                </c:pt>
                <c:pt idx="189">
                  <c:v>645</c:v>
                </c:pt>
                <c:pt idx="190">
                  <c:v>645</c:v>
                </c:pt>
                <c:pt idx="191">
                  <c:v>645</c:v>
                </c:pt>
                <c:pt idx="192">
                  <c:v>645</c:v>
                </c:pt>
                <c:pt idx="193">
                  <c:v>645</c:v>
                </c:pt>
                <c:pt idx="194">
                  <c:v>645</c:v>
                </c:pt>
                <c:pt idx="195">
                  <c:v>645</c:v>
                </c:pt>
                <c:pt idx="196">
                  <c:v>645</c:v>
                </c:pt>
                <c:pt idx="197">
                  <c:v>645</c:v>
                </c:pt>
                <c:pt idx="198">
                  <c:v>645</c:v>
                </c:pt>
                <c:pt idx="199">
                  <c:v>645</c:v>
                </c:pt>
                <c:pt idx="200">
                  <c:v>645</c:v>
                </c:pt>
                <c:pt idx="201">
                  <c:v>645</c:v>
                </c:pt>
                <c:pt idx="202">
                  <c:v>645</c:v>
                </c:pt>
                <c:pt idx="203">
                  <c:v>645</c:v>
                </c:pt>
                <c:pt idx="204">
                  <c:v>645</c:v>
                </c:pt>
                <c:pt idx="205">
                  <c:v>645</c:v>
                </c:pt>
                <c:pt idx="206">
                  <c:v>645</c:v>
                </c:pt>
                <c:pt idx="207">
                  <c:v>645</c:v>
                </c:pt>
                <c:pt idx="208">
                  <c:v>645</c:v>
                </c:pt>
                <c:pt idx="209">
                  <c:v>645</c:v>
                </c:pt>
                <c:pt idx="210">
                  <c:v>645</c:v>
                </c:pt>
                <c:pt idx="211">
                  <c:v>645</c:v>
                </c:pt>
                <c:pt idx="212">
                  <c:v>645</c:v>
                </c:pt>
                <c:pt idx="213">
                  <c:v>645</c:v>
                </c:pt>
                <c:pt idx="214">
                  <c:v>645</c:v>
                </c:pt>
                <c:pt idx="215">
                  <c:v>645</c:v>
                </c:pt>
                <c:pt idx="216">
                  <c:v>645</c:v>
                </c:pt>
                <c:pt idx="217">
                  <c:v>645</c:v>
                </c:pt>
                <c:pt idx="218">
                  <c:v>645</c:v>
                </c:pt>
                <c:pt idx="219">
                  <c:v>645</c:v>
                </c:pt>
                <c:pt idx="220">
                  <c:v>645</c:v>
                </c:pt>
                <c:pt idx="221">
                  <c:v>645</c:v>
                </c:pt>
                <c:pt idx="222">
                  <c:v>645</c:v>
                </c:pt>
                <c:pt idx="223">
                  <c:v>650</c:v>
                </c:pt>
                <c:pt idx="224">
                  <c:v>650</c:v>
                </c:pt>
                <c:pt idx="225">
                  <c:v>650</c:v>
                </c:pt>
                <c:pt idx="226">
                  <c:v>650</c:v>
                </c:pt>
                <c:pt idx="227">
                  <c:v>650</c:v>
                </c:pt>
                <c:pt idx="228">
                  <c:v>650</c:v>
                </c:pt>
                <c:pt idx="229">
                  <c:v>650</c:v>
                </c:pt>
                <c:pt idx="230">
                  <c:v>650</c:v>
                </c:pt>
                <c:pt idx="231">
                  <c:v>650</c:v>
                </c:pt>
                <c:pt idx="232">
                  <c:v>650</c:v>
                </c:pt>
                <c:pt idx="233">
                  <c:v>650</c:v>
                </c:pt>
                <c:pt idx="234">
                  <c:v>650</c:v>
                </c:pt>
                <c:pt idx="235">
                  <c:v>650</c:v>
                </c:pt>
                <c:pt idx="236">
                  <c:v>650</c:v>
                </c:pt>
                <c:pt idx="237">
                  <c:v>650</c:v>
                </c:pt>
                <c:pt idx="238">
                  <c:v>650</c:v>
                </c:pt>
                <c:pt idx="239">
                  <c:v>650</c:v>
                </c:pt>
                <c:pt idx="240">
                  <c:v>650</c:v>
                </c:pt>
                <c:pt idx="241">
                  <c:v>650</c:v>
                </c:pt>
                <c:pt idx="242">
                  <c:v>650</c:v>
                </c:pt>
                <c:pt idx="243">
                  <c:v>650</c:v>
                </c:pt>
                <c:pt idx="244">
                  <c:v>639</c:v>
                </c:pt>
                <c:pt idx="245">
                  <c:v>639</c:v>
                </c:pt>
                <c:pt idx="246">
                  <c:v>639</c:v>
                </c:pt>
                <c:pt idx="247">
                  <c:v>639</c:v>
                </c:pt>
                <c:pt idx="248">
                  <c:v>639</c:v>
                </c:pt>
                <c:pt idx="249">
                  <c:v>639</c:v>
                </c:pt>
                <c:pt idx="250">
                  <c:v>639</c:v>
                </c:pt>
                <c:pt idx="251">
                  <c:v>639</c:v>
                </c:pt>
                <c:pt idx="252">
                  <c:v>639</c:v>
                </c:pt>
                <c:pt idx="253">
                  <c:v>639</c:v>
                </c:pt>
                <c:pt idx="254">
                  <c:v>639</c:v>
                </c:pt>
                <c:pt idx="255">
                  <c:v>639</c:v>
                </c:pt>
                <c:pt idx="256">
                  <c:v>639</c:v>
                </c:pt>
                <c:pt idx="257">
                  <c:v>639</c:v>
                </c:pt>
                <c:pt idx="258">
                  <c:v>628</c:v>
                </c:pt>
                <c:pt idx="259">
                  <c:v>628</c:v>
                </c:pt>
                <c:pt idx="260">
                  <c:v>628</c:v>
                </c:pt>
                <c:pt idx="261">
                  <c:v>628</c:v>
                </c:pt>
                <c:pt idx="262">
                  <c:v>628</c:v>
                </c:pt>
                <c:pt idx="263">
                  <c:v>628</c:v>
                </c:pt>
                <c:pt idx="264">
                  <c:v>628</c:v>
                </c:pt>
                <c:pt idx="265">
                  <c:v>628</c:v>
                </c:pt>
                <c:pt idx="266">
                  <c:v>628</c:v>
                </c:pt>
                <c:pt idx="267">
                  <c:v>628</c:v>
                </c:pt>
                <c:pt idx="268">
                  <c:v>628</c:v>
                </c:pt>
                <c:pt idx="269">
                  <c:v>628</c:v>
                </c:pt>
                <c:pt idx="270">
                  <c:v>628</c:v>
                </c:pt>
                <c:pt idx="271">
                  <c:v>628</c:v>
                </c:pt>
                <c:pt idx="272">
                  <c:v>628</c:v>
                </c:pt>
                <c:pt idx="273">
                  <c:v>628</c:v>
                </c:pt>
                <c:pt idx="274">
                  <c:v>628</c:v>
                </c:pt>
                <c:pt idx="275">
                  <c:v>628</c:v>
                </c:pt>
                <c:pt idx="276">
                  <c:v>628</c:v>
                </c:pt>
                <c:pt idx="277">
                  <c:v>628</c:v>
                </c:pt>
                <c:pt idx="278">
                  <c:v>628</c:v>
                </c:pt>
                <c:pt idx="279">
                  <c:v>628</c:v>
                </c:pt>
                <c:pt idx="280">
                  <c:v>628</c:v>
                </c:pt>
                <c:pt idx="281">
                  <c:v>628</c:v>
                </c:pt>
                <c:pt idx="282">
                  <c:v>628</c:v>
                </c:pt>
                <c:pt idx="283">
                  <c:v>628</c:v>
                </c:pt>
                <c:pt idx="284">
                  <c:v>628</c:v>
                </c:pt>
                <c:pt idx="285">
                  <c:v>628</c:v>
                </c:pt>
                <c:pt idx="286">
                  <c:v>595</c:v>
                </c:pt>
                <c:pt idx="287">
                  <c:v>595</c:v>
                </c:pt>
                <c:pt idx="288">
                  <c:v>595</c:v>
                </c:pt>
                <c:pt idx="289">
                  <c:v>595</c:v>
                </c:pt>
                <c:pt idx="290">
                  <c:v>595</c:v>
                </c:pt>
                <c:pt idx="291">
                  <c:v>595</c:v>
                </c:pt>
                <c:pt idx="292">
                  <c:v>595</c:v>
                </c:pt>
                <c:pt idx="293">
                  <c:v>584</c:v>
                </c:pt>
                <c:pt idx="294">
                  <c:v>584</c:v>
                </c:pt>
                <c:pt idx="295">
                  <c:v>584</c:v>
                </c:pt>
                <c:pt idx="296">
                  <c:v>584</c:v>
                </c:pt>
                <c:pt idx="297">
                  <c:v>584</c:v>
                </c:pt>
                <c:pt idx="298">
                  <c:v>584</c:v>
                </c:pt>
                <c:pt idx="299">
                  <c:v>584</c:v>
                </c:pt>
                <c:pt idx="300">
                  <c:v>579</c:v>
                </c:pt>
                <c:pt idx="301">
                  <c:v>579</c:v>
                </c:pt>
                <c:pt idx="302">
                  <c:v>579</c:v>
                </c:pt>
                <c:pt idx="303">
                  <c:v>579</c:v>
                </c:pt>
                <c:pt idx="304">
                  <c:v>579</c:v>
                </c:pt>
                <c:pt idx="305">
                  <c:v>579</c:v>
                </c:pt>
                <c:pt idx="306">
                  <c:v>579</c:v>
                </c:pt>
                <c:pt idx="307">
                  <c:v>579</c:v>
                </c:pt>
                <c:pt idx="308">
                  <c:v>579</c:v>
                </c:pt>
                <c:pt idx="309">
                  <c:v>579</c:v>
                </c:pt>
                <c:pt idx="310">
                  <c:v>579</c:v>
                </c:pt>
                <c:pt idx="311">
                  <c:v>579</c:v>
                </c:pt>
                <c:pt idx="312">
                  <c:v>579</c:v>
                </c:pt>
                <c:pt idx="313">
                  <c:v>579</c:v>
                </c:pt>
                <c:pt idx="314">
                  <c:v>568</c:v>
                </c:pt>
                <c:pt idx="315">
                  <c:v>568</c:v>
                </c:pt>
                <c:pt idx="316">
                  <c:v>568</c:v>
                </c:pt>
                <c:pt idx="317">
                  <c:v>568</c:v>
                </c:pt>
                <c:pt idx="318">
                  <c:v>568</c:v>
                </c:pt>
                <c:pt idx="319">
                  <c:v>568</c:v>
                </c:pt>
                <c:pt idx="320">
                  <c:v>562</c:v>
                </c:pt>
                <c:pt idx="321">
                  <c:v>562</c:v>
                </c:pt>
                <c:pt idx="322">
                  <c:v>562</c:v>
                </c:pt>
                <c:pt idx="323">
                  <c:v>562</c:v>
                </c:pt>
              </c:numCache>
            </c:numRef>
          </c:val>
          <c:smooth val="0"/>
        </c:ser>
        <c:dLbls>
          <c:showLegendKey val="0"/>
          <c:showVal val="0"/>
          <c:showCatName val="0"/>
          <c:showSerName val="0"/>
          <c:showPercent val="0"/>
          <c:showBubbleSize val="0"/>
        </c:dLbls>
        <c:marker val="1"/>
        <c:smooth val="0"/>
        <c:axId val="260249472"/>
        <c:axId val="260251008"/>
      </c:lineChart>
      <c:dateAx>
        <c:axId val="260249472"/>
        <c:scaling>
          <c:orientation val="minMax"/>
          <c:max val="42328"/>
        </c:scaling>
        <c:delete val="0"/>
        <c:axPos val="b"/>
        <c:numFmt formatCode="m/d/yyyy" sourceLinked="1"/>
        <c:majorTickMark val="out"/>
        <c:minorTickMark val="none"/>
        <c:tickLblPos val="nextTo"/>
        <c:crossAx val="260251008"/>
        <c:crosses val="autoZero"/>
        <c:auto val="1"/>
        <c:lblOffset val="100"/>
        <c:baseTimeUnit val="days"/>
        <c:majorUnit val="1"/>
        <c:majorTimeUnit val="months"/>
        <c:minorUnit val="1"/>
        <c:minorTimeUnit val="months"/>
      </c:dateAx>
      <c:valAx>
        <c:axId val="260251008"/>
        <c:scaling>
          <c:orientation val="minMax"/>
          <c:min val="500"/>
        </c:scaling>
        <c:delete val="0"/>
        <c:axPos val="l"/>
        <c:majorGridlines/>
        <c:numFmt formatCode="General" sourceLinked="1"/>
        <c:majorTickMark val="out"/>
        <c:minorTickMark val="none"/>
        <c:tickLblPos val="nextTo"/>
        <c:crossAx val="260249472"/>
        <c:crosses val="autoZero"/>
        <c:crossBetween val="between"/>
      </c:valAx>
    </c:plotArea>
    <c:legend>
      <c:legendPos val="b"/>
      <c:layout>
        <c:manualLayout>
          <c:xMode val="edge"/>
          <c:yMode val="edge"/>
          <c:x val="0.23620249790571929"/>
          <c:y val="0.86197863354909654"/>
          <c:w val="0.53968471555860187"/>
          <c:h val="0.13802136645090379"/>
        </c:manualLayout>
      </c:layout>
      <c:overlay val="0"/>
    </c:legend>
    <c:plotVisOnly val="1"/>
    <c:dispBlanksAs val="gap"/>
    <c:showDLblsOverMax val="0"/>
  </c:chart>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483725518059422E-2"/>
          <c:y val="4.6054898620234395E-2"/>
          <c:w val="0.86575097095895714"/>
          <c:h val="0.64550576891666378"/>
        </c:manualLayout>
      </c:layout>
      <c:lineChart>
        <c:grouping val="standard"/>
        <c:varyColors val="0"/>
        <c:ser>
          <c:idx val="0"/>
          <c:order val="0"/>
          <c:tx>
            <c:strRef>
              <c:f>CRU、廢鋼、小鋼胚、平板鋼類、長條鋼類!$X$1</c:f>
              <c:strCache>
                <c:ptCount val="1"/>
                <c:pt idx="0">
                  <c:v>熱浸鍍鋅鋼捲 熱軋底0.4mm 中鋼 內銷基價(美元/公噸)</c:v>
                </c:pt>
              </c:strCache>
            </c:strRef>
          </c:tx>
          <c:spPr>
            <a:ln>
              <a:prstDash val="sysDash"/>
            </a:ln>
          </c:spPr>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CRU、廢鋼、小鋼胚、平板鋼類、長條鋼類!$X$216:$X$539</c:f>
              <c:numCache>
                <c:formatCode>General</c:formatCode>
                <c:ptCount val="324"/>
                <c:pt idx="0">
                  <c:v>753.3333333333336</c:v>
                </c:pt>
                <c:pt idx="1">
                  <c:v>753.3333333333336</c:v>
                </c:pt>
                <c:pt idx="2">
                  <c:v>753.3333333333336</c:v>
                </c:pt>
                <c:pt idx="3">
                  <c:v>753.3333333333336</c:v>
                </c:pt>
                <c:pt idx="4">
                  <c:v>753.3333333333336</c:v>
                </c:pt>
                <c:pt idx="5">
                  <c:v>753.3333333333336</c:v>
                </c:pt>
                <c:pt idx="6">
                  <c:v>753.3333333333336</c:v>
                </c:pt>
                <c:pt idx="7">
                  <c:v>753.3333333333336</c:v>
                </c:pt>
                <c:pt idx="8">
                  <c:v>753.3333333333336</c:v>
                </c:pt>
                <c:pt idx="9">
                  <c:v>753.3333333333336</c:v>
                </c:pt>
                <c:pt idx="10">
                  <c:v>753.3333333333336</c:v>
                </c:pt>
                <c:pt idx="11">
                  <c:v>753.3333333333336</c:v>
                </c:pt>
                <c:pt idx="12">
                  <c:v>753.3333333333336</c:v>
                </c:pt>
                <c:pt idx="13">
                  <c:v>753.3333333333336</c:v>
                </c:pt>
                <c:pt idx="14">
                  <c:v>753.3333333333336</c:v>
                </c:pt>
                <c:pt idx="15">
                  <c:v>753.3333333333336</c:v>
                </c:pt>
                <c:pt idx="16">
                  <c:v>753.3333333333336</c:v>
                </c:pt>
                <c:pt idx="17">
                  <c:v>753.3333333333336</c:v>
                </c:pt>
                <c:pt idx="18">
                  <c:v>753.3333333333336</c:v>
                </c:pt>
                <c:pt idx="19">
                  <c:v>753.3333333333336</c:v>
                </c:pt>
                <c:pt idx="20">
                  <c:v>753.3333333333336</c:v>
                </c:pt>
                <c:pt idx="21">
                  <c:v>753.3333333333336</c:v>
                </c:pt>
                <c:pt idx="22">
                  <c:v>753.3333333333336</c:v>
                </c:pt>
                <c:pt idx="23">
                  <c:v>753.3333333333336</c:v>
                </c:pt>
                <c:pt idx="24">
                  <c:v>753.3333333333336</c:v>
                </c:pt>
                <c:pt idx="25">
                  <c:v>753.3333333333336</c:v>
                </c:pt>
                <c:pt idx="26">
                  <c:v>753.3333333333336</c:v>
                </c:pt>
                <c:pt idx="27">
                  <c:v>753.3333333333336</c:v>
                </c:pt>
                <c:pt idx="28">
                  <c:v>753.3333333333336</c:v>
                </c:pt>
                <c:pt idx="29">
                  <c:v>753.3333333333336</c:v>
                </c:pt>
                <c:pt idx="30">
                  <c:v>753.3333333333336</c:v>
                </c:pt>
                <c:pt idx="31">
                  <c:v>753.3333333333336</c:v>
                </c:pt>
                <c:pt idx="32">
                  <c:v>753.3333333333336</c:v>
                </c:pt>
                <c:pt idx="33">
                  <c:v>753.3333333333336</c:v>
                </c:pt>
                <c:pt idx="34">
                  <c:v>753.3333333333336</c:v>
                </c:pt>
                <c:pt idx="35">
                  <c:v>753.3333333333336</c:v>
                </c:pt>
                <c:pt idx="36">
                  <c:v>753.3333333333336</c:v>
                </c:pt>
                <c:pt idx="37">
                  <c:v>753.3333333333336</c:v>
                </c:pt>
                <c:pt idx="38">
                  <c:v>753.3333333333336</c:v>
                </c:pt>
                <c:pt idx="39">
                  <c:v>753.3333333333336</c:v>
                </c:pt>
                <c:pt idx="40">
                  <c:v>753.3333333333336</c:v>
                </c:pt>
                <c:pt idx="41">
                  <c:v>753.3333333333336</c:v>
                </c:pt>
                <c:pt idx="42">
                  <c:v>753.3333333333336</c:v>
                </c:pt>
                <c:pt idx="43">
                  <c:v>753.3333333333336</c:v>
                </c:pt>
                <c:pt idx="44">
                  <c:v>753.3333333333336</c:v>
                </c:pt>
                <c:pt idx="45">
                  <c:v>753.3333333333336</c:v>
                </c:pt>
                <c:pt idx="46">
                  <c:v>753.3333333333336</c:v>
                </c:pt>
                <c:pt idx="47">
                  <c:v>753.3333333333336</c:v>
                </c:pt>
                <c:pt idx="48">
                  <c:v>753.3333333333336</c:v>
                </c:pt>
                <c:pt idx="49">
                  <c:v>753.3333333333336</c:v>
                </c:pt>
                <c:pt idx="50">
                  <c:v>753.3333333333336</c:v>
                </c:pt>
                <c:pt idx="51">
                  <c:v>753.3333333333336</c:v>
                </c:pt>
                <c:pt idx="52">
                  <c:v>753.3333333333336</c:v>
                </c:pt>
                <c:pt idx="53">
                  <c:v>753.3333333333336</c:v>
                </c:pt>
                <c:pt idx="54">
                  <c:v>753.3333333333336</c:v>
                </c:pt>
                <c:pt idx="55">
                  <c:v>753.3333333333336</c:v>
                </c:pt>
                <c:pt idx="56">
                  <c:v>753.3333333333336</c:v>
                </c:pt>
                <c:pt idx="57">
                  <c:v>753.3333333333336</c:v>
                </c:pt>
                <c:pt idx="58">
                  <c:v>753.3333333333336</c:v>
                </c:pt>
                <c:pt idx="59">
                  <c:v>733.3333333333336</c:v>
                </c:pt>
                <c:pt idx="60">
                  <c:v>733.3333333333336</c:v>
                </c:pt>
                <c:pt idx="61">
                  <c:v>733.3333333333336</c:v>
                </c:pt>
                <c:pt idx="62">
                  <c:v>733.3333333333336</c:v>
                </c:pt>
                <c:pt idx="63">
                  <c:v>733.3333333333336</c:v>
                </c:pt>
                <c:pt idx="64">
                  <c:v>733.3333333333336</c:v>
                </c:pt>
                <c:pt idx="65">
                  <c:v>733.3333333333336</c:v>
                </c:pt>
                <c:pt idx="66">
                  <c:v>733.3333333333336</c:v>
                </c:pt>
                <c:pt idx="67">
                  <c:v>733.3333333333336</c:v>
                </c:pt>
                <c:pt idx="68">
                  <c:v>733.3333333333336</c:v>
                </c:pt>
                <c:pt idx="69">
                  <c:v>733.3333333333336</c:v>
                </c:pt>
                <c:pt idx="70">
                  <c:v>733.3333333333336</c:v>
                </c:pt>
                <c:pt idx="71">
                  <c:v>733.3333333333336</c:v>
                </c:pt>
                <c:pt idx="72">
                  <c:v>733.3333333333336</c:v>
                </c:pt>
                <c:pt idx="73">
                  <c:v>733.3333333333336</c:v>
                </c:pt>
                <c:pt idx="74">
                  <c:v>733.3333333333336</c:v>
                </c:pt>
                <c:pt idx="75">
                  <c:v>733.3333333333336</c:v>
                </c:pt>
                <c:pt idx="76">
                  <c:v>733.3333333333336</c:v>
                </c:pt>
                <c:pt idx="77">
                  <c:v>733.3333333333336</c:v>
                </c:pt>
                <c:pt idx="78">
                  <c:v>733.3333333333336</c:v>
                </c:pt>
                <c:pt idx="79">
                  <c:v>733.3333333333336</c:v>
                </c:pt>
                <c:pt idx="80">
                  <c:v>733.3333333333336</c:v>
                </c:pt>
                <c:pt idx="81">
                  <c:v>733.3333333333336</c:v>
                </c:pt>
                <c:pt idx="82">
                  <c:v>733.3333333333336</c:v>
                </c:pt>
                <c:pt idx="83">
                  <c:v>733.3333333333336</c:v>
                </c:pt>
                <c:pt idx="84">
                  <c:v>733.3333333333336</c:v>
                </c:pt>
                <c:pt idx="85">
                  <c:v>733.3333333333336</c:v>
                </c:pt>
                <c:pt idx="86">
                  <c:v>733.3333333333336</c:v>
                </c:pt>
                <c:pt idx="87">
                  <c:v>733.3333333333336</c:v>
                </c:pt>
                <c:pt idx="88">
                  <c:v>733.3333333333336</c:v>
                </c:pt>
                <c:pt idx="89">
                  <c:v>733.3333333333336</c:v>
                </c:pt>
                <c:pt idx="90">
                  <c:v>700</c:v>
                </c:pt>
                <c:pt idx="91">
                  <c:v>700</c:v>
                </c:pt>
                <c:pt idx="92">
                  <c:v>700</c:v>
                </c:pt>
                <c:pt idx="93">
                  <c:v>700</c:v>
                </c:pt>
                <c:pt idx="94">
                  <c:v>700</c:v>
                </c:pt>
                <c:pt idx="95">
                  <c:v>700</c:v>
                </c:pt>
                <c:pt idx="96">
                  <c:v>700</c:v>
                </c:pt>
                <c:pt idx="97">
                  <c:v>700</c:v>
                </c:pt>
                <c:pt idx="98">
                  <c:v>700</c:v>
                </c:pt>
                <c:pt idx="99">
                  <c:v>700</c:v>
                </c:pt>
                <c:pt idx="100">
                  <c:v>700</c:v>
                </c:pt>
                <c:pt idx="101">
                  <c:v>700</c:v>
                </c:pt>
                <c:pt idx="102">
                  <c:v>700</c:v>
                </c:pt>
                <c:pt idx="103">
                  <c:v>700</c:v>
                </c:pt>
                <c:pt idx="104">
                  <c:v>700</c:v>
                </c:pt>
                <c:pt idx="105">
                  <c:v>700</c:v>
                </c:pt>
                <c:pt idx="106">
                  <c:v>700</c:v>
                </c:pt>
                <c:pt idx="107">
                  <c:v>700</c:v>
                </c:pt>
                <c:pt idx="108">
                  <c:v>700</c:v>
                </c:pt>
                <c:pt idx="109">
                  <c:v>700</c:v>
                </c:pt>
                <c:pt idx="110">
                  <c:v>700</c:v>
                </c:pt>
                <c:pt idx="111">
                  <c:v>700</c:v>
                </c:pt>
                <c:pt idx="112">
                  <c:v>700</c:v>
                </c:pt>
                <c:pt idx="113">
                  <c:v>700</c:v>
                </c:pt>
                <c:pt idx="114">
                  <c:v>700</c:v>
                </c:pt>
                <c:pt idx="115">
                  <c:v>700</c:v>
                </c:pt>
                <c:pt idx="116">
                  <c:v>700</c:v>
                </c:pt>
                <c:pt idx="117">
                  <c:v>700</c:v>
                </c:pt>
                <c:pt idx="118">
                  <c:v>700</c:v>
                </c:pt>
                <c:pt idx="119">
                  <c:v>700</c:v>
                </c:pt>
                <c:pt idx="120">
                  <c:v>700</c:v>
                </c:pt>
                <c:pt idx="121">
                  <c:v>700</c:v>
                </c:pt>
                <c:pt idx="122">
                  <c:v>700</c:v>
                </c:pt>
                <c:pt idx="123">
                  <c:v>700</c:v>
                </c:pt>
                <c:pt idx="124">
                  <c:v>700</c:v>
                </c:pt>
                <c:pt idx="125">
                  <c:v>700</c:v>
                </c:pt>
                <c:pt idx="126">
                  <c:v>700</c:v>
                </c:pt>
                <c:pt idx="127">
                  <c:v>700</c:v>
                </c:pt>
                <c:pt idx="128">
                  <c:v>700</c:v>
                </c:pt>
                <c:pt idx="129">
                  <c:v>700</c:v>
                </c:pt>
                <c:pt idx="130">
                  <c:v>700</c:v>
                </c:pt>
                <c:pt idx="131">
                  <c:v>700</c:v>
                </c:pt>
                <c:pt idx="132">
                  <c:v>700</c:v>
                </c:pt>
                <c:pt idx="133">
                  <c:v>700</c:v>
                </c:pt>
                <c:pt idx="134">
                  <c:v>700</c:v>
                </c:pt>
                <c:pt idx="135">
                  <c:v>700</c:v>
                </c:pt>
                <c:pt idx="136">
                  <c:v>700</c:v>
                </c:pt>
                <c:pt idx="137">
                  <c:v>700</c:v>
                </c:pt>
                <c:pt idx="138">
                  <c:v>700</c:v>
                </c:pt>
                <c:pt idx="139">
                  <c:v>700</c:v>
                </c:pt>
                <c:pt idx="140">
                  <c:v>700</c:v>
                </c:pt>
                <c:pt idx="141">
                  <c:v>700</c:v>
                </c:pt>
                <c:pt idx="142">
                  <c:v>700</c:v>
                </c:pt>
                <c:pt idx="143">
                  <c:v>700</c:v>
                </c:pt>
                <c:pt idx="144">
                  <c:v>700</c:v>
                </c:pt>
                <c:pt idx="145">
                  <c:v>700</c:v>
                </c:pt>
                <c:pt idx="146">
                  <c:v>700</c:v>
                </c:pt>
                <c:pt idx="147">
                  <c:v>700</c:v>
                </c:pt>
                <c:pt idx="148">
                  <c:v>700</c:v>
                </c:pt>
                <c:pt idx="149">
                  <c:v>700</c:v>
                </c:pt>
                <c:pt idx="150">
                  <c:v>700</c:v>
                </c:pt>
                <c:pt idx="151">
                  <c:v>660</c:v>
                </c:pt>
                <c:pt idx="152">
                  <c:v>660</c:v>
                </c:pt>
                <c:pt idx="153">
                  <c:v>660</c:v>
                </c:pt>
                <c:pt idx="154">
                  <c:v>660</c:v>
                </c:pt>
                <c:pt idx="155">
                  <c:v>660</c:v>
                </c:pt>
                <c:pt idx="156">
                  <c:v>660</c:v>
                </c:pt>
                <c:pt idx="157">
                  <c:v>660</c:v>
                </c:pt>
                <c:pt idx="158">
                  <c:v>660</c:v>
                </c:pt>
                <c:pt idx="159">
                  <c:v>660</c:v>
                </c:pt>
                <c:pt idx="160">
                  <c:v>660</c:v>
                </c:pt>
                <c:pt idx="161">
                  <c:v>660</c:v>
                </c:pt>
                <c:pt idx="162">
                  <c:v>660</c:v>
                </c:pt>
                <c:pt idx="163">
                  <c:v>660</c:v>
                </c:pt>
                <c:pt idx="164">
                  <c:v>660</c:v>
                </c:pt>
                <c:pt idx="165">
                  <c:v>660</c:v>
                </c:pt>
                <c:pt idx="166">
                  <c:v>660</c:v>
                </c:pt>
                <c:pt idx="167">
                  <c:v>660</c:v>
                </c:pt>
                <c:pt idx="168">
                  <c:v>660</c:v>
                </c:pt>
                <c:pt idx="169">
                  <c:v>660</c:v>
                </c:pt>
                <c:pt idx="170">
                  <c:v>660</c:v>
                </c:pt>
                <c:pt idx="171">
                  <c:v>660</c:v>
                </c:pt>
                <c:pt idx="172">
                  <c:v>660</c:v>
                </c:pt>
                <c:pt idx="173">
                  <c:v>660</c:v>
                </c:pt>
                <c:pt idx="174">
                  <c:v>660</c:v>
                </c:pt>
                <c:pt idx="175">
                  <c:v>660</c:v>
                </c:pt>
                <c:pt idx="176">
                  <c:v>660</c:v>
                </c:pt>
                <c:pt idx="177">
                  <c:v>660</c:v>
                </c:pt>
                <c:pt idx="178">
                  <c:v>660</c:v>
                </c:pt>
                <c:pt idx="179">
                  <c:v>660</c:v>
                </c:pt>
                <c:pt idx="180">
                  <c:v>660</c:v>
                </c:pt>
                <c:pt idx="181">
                  <c:v>640</c:v>
                </c:pt>
                <c:pt idx="182">
                  <c:v>640</c:v>
                </c:pt>
                <c:pt idx="183">
                  <c:v>640</c:v>
                </c:pt>
                <c:pt idx="184">
                  <c:v>640</c:v>
                </c:pt>
                <c:pt idx="185">
                  <c:v>640</c:v>
                </c:pt>
                <c:pt idx="186">
                  <c:v>640</c:v>
                </c:pt>
                <c:pt idx="187">
                  <c:v>640</c:v>
                </c:pt>
                <c:pt idx="188">
                  <c:v>640</c:v>
                </c:pt>
                <c:pt idx="189">
                  <c:v>640</c:v>
                </c:pt>
                <c:pt idx="190">
                  <c:v>640</c:v>
                </c:pt>
                <c:pt idx="191">
                  <c:v>640</c:v>
                </c:pt>
                <c:pt idx="192">
                  <c:v>640</c:v>
                </c:pt>
                <c:pt idx="193">
                  <c:v>640</c:v>
                </c:pt>
                <c:pt idx="194">
                  <c:v>640</c:v>
                </c:pt>
                <c:pt idx="195">
                  <c:v>640</c:v>
                </c:pt>
                <c:pt idx="196">
                  <c:v>640</c:v>
                </c:pt>
                <c:pt idx="197">
                  <c:v>640</c:v>
                </c:pt>
                <c:pt idx="198">
                  <c:v>640</c:v>
                </c:pt>
                <c:pt idx="199">
                  <c:v>640</c:v>
                </c:pt>
                <c:pt idx="200">
                  <c:v>640</c:v>
                </c:pt>
                <c:pt idx="201">
                  <c:v>640</c:v>
                </c:pt>
                <c:pt idx="202">
                  <c:v>640</c:v>
                </c:pt>
                <c:pt idx="203">
                  <c:v>640</c:v>
                </c:pt>
                <c:pt idx="204">
                  <c:v>640</c:v>
                </c:pt>
                <c:pt idx="205">
                  <c:v>640</c:v>
                </c:pt>
                <c:pt idx="206">
                  <c:v>640</c:v>
                </c:pt>
                <c:pt idx="207">
                  <c:v>640</c:v>
                </c:pt>
                <c:pt idx="208">
                  <c:v>640</c:v>
                </c:pt>
                <c:pt idx="209">
                  <c:v>640</c:v>
                </c:pt>
                <c:pt idx="210">
                  <c:v>640</c:v>
                </c:pt>
                <c:pt idx="211">
                  <c:v>640</c:v>
                </c:pt>
                <c:pt idx="212">
                  <c:v>640</c:v>
                </c:pt>
                <c:pt idx="213">
                  <c:v>640</c:v>
                </c:pt>
                <c:pt idx="214">
                  <c:v>640</c:v>
                </c:pt>
                <c:pt idx="215">
                  <c:v>640</c:v>
                </c:pt>
                <c:pt idx="216">
                  <c:v>640</c:v>
                </c:pt>
                <c:pt idx="217">
                  <c:v>640</c:v>
                </c:pt>
                <c:pt idx="218">
                  <c:v>640</c:v>
                </c:pt>
                <c:pt idx="219">
                  <c:v>640</c:v>
                </c:pt>
                <c:pt idx="220">
                  <c:v>640</c:v>
                </c:pt>
                <c:pt idx="221">
                  <c:v>640</c:v>
                </c:pt>
                <c:pt idx="222">
                  <c:v>640</c:v>
                </c:pt>
                <c:pt idx="223">
                  <c:v>640</c:v>
                </c:pt>
                <c:pt idx="224">
                  <c:v>640</c:v>
                </c:pt>
                <c:pt idx="225">
                  <c:v>640</c:v>
                </c:pt>
                <c:pt idx="226">
                  <c:v>640</c:v>
                </c:pt>
                <c:pt idx="227">
                  <c:v>640</c:v>
                </c:pt>
                <c:pt idx="228">
                  <c:v>640</c:v>
                </c:pt>
                <c:pt idx="229">
                  <c:v>640</c:v>
                </c:pt>
                <c:pt idx="230">
                  <c:v>640</c:v>
                </c:pt>
                <c:pt idx="231">
                  <c:v>640</c:v>
                </c:pt>
                <c:pt idx="232">
                  <c:v>640</c:v>
                </c:pt>
                <c:pt idx="233">
                  <c:v>640</c:v>
                </c:pt>
                <c:pt idx="234">
                  <c:v>640</c:v>
                </c:pt>
                <c:pt idx="235">
                  <c:v>640</c:v>
                </c:pt>
                <c:pt idx="236">
                  <c:v>640</c:v>
                </c:pt>
                <c:pt idx="237">
                  <c:v>640</c:v>
                </c:pt>
                <c:pt idx="238">
                  <c:v>640</c:v>
                </c:pt>
                <c:pt idx="239">
                  <c:v>640</c:v>
                </c:pt>
                <c:pt idx="240">
                  <c:v>640</c:v>
                </c:pt>
                <c:pt idx="241">
                  <c:v>640</c:v>
                </c:pt>
                <c:pt idx="242">
                  <c:v>640</c:v>
                </c:pt>
                <c:pt idx="243">
                  <c:v>610</c:v>
                </c:pt>
                <c:pt idx="244">
                  <c:v>610</c:v>
                </c:pt>
                <c:pt idx="245">
                  <c:v>610</c:v>
                </c:pt>
                <c:pt idx="246">
                  <c:v>610</c:v>
                </c:pt>
                <c:pt idx="247">
                  <c:v>610</c:v>
                </c:pt>
                <c:pt idx="248">
                  <c:v>610</c:v>
                </c:pt>
                <c:pt idx="249">
                  <c:v>610</c:v>
                </c:pt>
                <c:pt idx="250">
                  <c:v>610</c:v>
                </c:pt>
                <c:pt idx="251">
                  <c:v>610</c:v>
                </c:pt>
                <c:pt idx="252">
                  <c:v>610</c:v>
                </c:pt>
                <c:pt idx="253">
                  <c:v>610</c:v>
                </c:pt>
                <c:pt idx="254">
                  <c:v>610</c:v>
                </c:pt>
                <c:pt idx="255">
                  <c:v>610</c:v>
                </c:pt>
                <c:pt idx="256">
                  <c:v>610</c:v>
                </c:pt>
                <c:pt idx="257">
                  <c:v>610</c:v>
                </c:pt>
                <c:pt idx="258">
                  <c:v>610</c:v>
                </c:pt>
                <c:pt idx="259">
                  <c:v>610</c:v>
                </c:pt>
                <c:pt idx="260">
                  <c:v>610</c:v>
                </c:pt>
                <c:pt idx="261">
                  <c:v>610</c:v>
                </c:pt>
                <c:pt idx="262">
                  <c:v>610</c:v>
                </c:pt>
                <c:pt idx="263">
                  <c:v>610</c:v>
                </c:pt>
                <c:pt idx="264">
                  <c:v>610</c:v>
                </c:pt>
                <c:pt idx="265">
                  <c:v>610</c:v>
                </c:pt>
                <c:pt idx="266">
                  <c:v>610</c:v>
                </c:pt>
                <c:pt idx="267">
                  <c:v>610</c:v>
                </c:pt>
                <c:pt idx="268">
                  <c:v>610</c:v>
                </c:pt>
                <c:pt idx="269">
                  <c:v>610</c:v>
                </c:pt>
                <c:pt idx="270">
                  <c:v>610</c:v>
                </c:pt>
                <c:pt idx="271">
                  <c:v>610</c:v>
                </c:pt>
                <c:pt idx="272">
                  <c:v>610</c:v>
                </c:pt>
                <c:pt idx="273">
                  <c:v>600</c:v>
                </c:pt>
                <c:pt idx="274">
                  <c:v>600</c:v>
                </c:pt>
                <c:pt idx="275">
                  <c:v>600</c:v>
                </c:pt>
                <c:pt idx="276">
                  <c:v>600</c:v>
                </c:pt>
                <c:pt idx="277">
                  <c:v>600</c:v>
                </c:pt>
                <c:pt idx="278">
                  <c:v>600</c:v>
                </c:pt>
                <c:pt idx="279">
                  <c:v>600</c:v>
                </c:pt>
                <c:pt idx="280">
                  <c:v>600</c:v>
                </c:pt>
                <c:pt idx="281">
                  <c:v>600</c:v>
                </c:pt>
                <c:pt idx="282">
                  <c:v>600</c:v>
                </c:pt>
                <c:pt idx="283">
                  <c:v>600</c:v>
                </c:pt>
                <c:pt idx="284">
                  <c:v>600</c:v>
                </c:pt>
                <c:pt idx="285">
                  <c:v>600</c:v>
                </c:pt>
                <c:pt idx="286">
                  <c:v>600</c:v>
                </c:pt>
                <c:pt idx="287">
                  <c:v>600</c:v>
                </c:pt>
                <c:pt idx="288">
                  <c:v>600</c:v>
                </c:pt>
                <c:pt idx="289">
                  <c:v>600</c:v>
                </c:pt>
                <c:pt idx="290">
                  <c:v>600</c:v>
                </c:pt>
                <c:pt idx="291">
                  <c:v>600</c:v>
                </c:pt>
                <c:pt idx="292">
                  <c:v>600</c:v>
                </c:pt>
                <c:pt idx="293">
                  <c:v>600</c:v>
                </c:pt>
                <c:pt idx="294">
                  <c:v>600</c:v>
                </c:pt>
                <c:pt idx="295">
                  <c:v>600</c:v>
                </c:pt>
                <c:pt idx="296">
                  <c:v>600</c:v>
                </c:pt>
                <c:pt idx="297">
                  <c:v>600</c:v>
                </c:pt>
                <c:pt idx="298">
                  <c:v>600</c:v>
                </c:pt>
                <c:pt idx="299">
                  <c:v>600</c:v>
                </c:pt>
                <c:pt idx="300">
                  <c:v>600</c:v>
                </c:pt>
                <c:pt idx="301">
                  <c:v>600</c:v>
                </c:pt>
                <c:pt idx="302">
                  <c:v>600</c:v>
                </c:pt>
                <c:pt idx="303">
                  <c:v>600</c:v>
                </c:pt>
                <c:pt idx="304">
                  <c:v>600</c:v>
                </c:pt>
                <c:pt idx="305">
                  <c:v>600</c:v>
                </c:pt>
                <c:pt idx="306">
                  <c:v>600</c:v>
                </c:pt>
                <c:pt idx="307">
                  <c:v>600</c:v>
                </c:pt>
                <c:pt idx="308">
                  <c:v>600</c:v>
                </c:pt>
                <c:pt idx="309">
                  <c:v>600</c:v>
                </c:pt>
                <c:pt idx="310">
                  <c:v>600</c:v>
                </c:pt>
                <c:pt idx="311">
                  <c:v>600</c:v>
                </c:pt>
                <c:pt idx="312">
                  <c:v>600</c:v>
                </c:pt>
                <c:pt idx="313">
                  <c:v>600</c:v>
                </c:pt>
                <c:pt idx="314">
                  <c:v>600</c:v>
                </c:pt>
                <c:pt idx="315">
                  <c:v>600</c:v>
                </c:pt>
                <c:pt idx="316">
                  <c:v>600</c:v>
                </c:pt>
                <c:pt idx="317">
                  <c:v>600</c:v>
                </c:pt>
                <c:pt idx="318">
                  <c:v>600</c:v>
                </c:pt>
                <c:pt idx="319">
                  <c:v>600</c:v>
                </c:pt>
                <c:pt idx="320">
                  <c:v>600</c:v>
                </c:pt>
                <c:pt idx="321">
                  <c:v>600</c:v>
                </c:pt>
                <c:pt idx="322">
                  <c:v>600</c:v>
                </c:pt>
                <c:pt idx="323">
                  <c:v>600</c:v>
                </c:pt>
              </c:numCache>
            </c:numRef>
          </c:val>
          <c:smooth val="0"/>
        </c:ser>
        <c:ser>
          <c:idx val="1"/>
          <c:order val="1"/>
          <c:tx>
            <c:strRef>
              <c:f>CRU、廢鋼、小鋼胚、平板鋼類、長條鋼類!$Y$1</c:f>
              <c:strCache>
                <c:ptCount val="1"/>
                <c:pt idx="0">
                  <c:v>熱浸鍍鋅鋼捲 美國中西部 廠交價(美元/公噸)</c:v>
                </c:pt>
              </c:strCache>
            </c:strRef>
          </c:tx>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CRU、廢鋼、小鋼胚、平板鋼類、長條鋼類!$Y$216:$Y$539</c:f>
              <c:numCache>
                <c:formatCode>General</c:formatCode>
                <c:ptCount val="324"/>
                <c:pt idx="0">
                  <c:v>904</c:v>
                </c:pt>
                <c:pt idx="1">
                  <c:v>904</c:v>
                </c:pt>
                <c:pt idx="2">
                  <c:v>904</c:v>
                </c:pt>
                <c:pt idx="3">
                  <c:v>904</c:v>
                </c:pt>
                <c:pt idx="4">
                  <c:v>904</c:v>
                </c:pt>
                <c:pt idx="5">
                  <c:v>904</c:v>
                </c:pt>
                <c:pt idx="6">
                  <c:v>904</c:v>
                </c:pt>
                <c:pt idx="7">
                  <c:v>904</c:v>
                </c:pt>
                <c:pt idx="8">
                  <c:v>904</c:v>
                </c:pt>
                <c:pt idx="9">
                  <c:v>904</c:v>
                </c:pt>
                <c:pt idx="10">
                  <c:v>904</c:v>
                </c:pt>
                <c:pt idx="11">
                  <c:v>904</c:v>
                </c:pt>
                <c:pt idx="12">
                  <c:v>904</c:v>
                </c:pt>
                <c:pt idx="13">
                  <c:v>904</c:v>
                </c:pt>
                <c:pt idx="14">
                  <c:v>904</c:v>
                </c:pt>
                <c:pt idx="15">
                  <c:v>904</c:v>
                </c:pt>
                <c:pt idx="16">
                  <c:v>904</c:v>
                </c:pt>
                <c:pt idx="17">
                  <c:v>904</c:v>
                </c:pt>
                <c:pt idx="18">
                  <c:v>904</c:v>
                </c:pt>
                <c:pt idx="19">
                  <c:v>904</c:v>
                </c:pt>
                <c:pt idx="20">
                  <c:v>860</c:v>
                </c:pt>
                <c:pt idx="21">
                  <c:v>860</c:v>
                </c:pt>
                <c:pt idx="22">
                  <c:v>860</c:v>
                </c:pt>
                <c:pt idx="23">
                  <c:v>860</c:v>
                </c:pt>
                <c:pt idx="24">
                  <c:v>860</c:v>
                </c:pt>
                <c:pt idx="25">
                  <c:v>860</c:v>
                </c:pt>
                <c:pt idx="26">
                  <c:v>860</c:v>
                </c:pt>
                <c:pt idx="27">
                  <c:v>849</c:v>
                </c:pt>
                <c:pt idx="28">
                  <c:v>849</c:v>
                </c:pt>
                <c:pt idx="29">
                  <c:v>849</c:v>
                </c:pt>
                <c:pt idx="30">
                  <c:v>849</c:v>
                </c:pt>
                <c:pt idx="31">
                  <c:v>849</c:v>
                </c:pt>
                <c:pt idx="32">
                  <c:v>849</c:v>
                </c:pt>
                <c:pt idx="33">
                  <c:v>849</c:v>
                </c:pt>
                <c:pt idx="34">
                  <c:v>849</c:v>
                </c:pt>
                <c:pt idx="35">
                  <c:v>849</c:v>
                </c:pt>
                <c:pt idx="36">
                  <c:v>849</c:v>
                </c:pt>
                <c:pt idx="37">
                  <c:v>849</c:v>
                </c:pt>
                <c:pt idx="38">
                  <c:v>849</c:v>
                </c:pt>
                <c:pt idx="39">
                  <c:v>849</c:v>
                </c:pt>
                <c:pt idx="40">
                  <c:v>849</c:v>
                </c:pt>
                <c:pt idx="41">
                  <c:v>838</c:v>
                </c:pt>
                <c:pt idx="42">
                  <c:v>838</c:v>
                </c:pt>
                <c:pt idx="43">
                  <c:v>838</c:v>
                </c:pt>
                <c:pt idx="44">
                  <c:v>838</c:v>
                </c:pt>
                <c:pt idx="45">
                  <c:v>838</c:v>
                </c:pt>
                <c:pt idx="46">
                  <c:v>838</c:v>
                </c:pt>
                <c:pt idx="47">
                  <c:v>838</c:v>
                </c:pt>
                <c:pt idx="48">
                  <c:v>838</c:v>
                </c:pt>
                <c:pt idx="49">
                  <c:v>838</c:v>
                </c:pt>
                <c:pt idx="50">
                  <c:v>838</c:v>
                </c:pt>
                <c:pt idx="51">
                  <c:v>838</c:v>
                </c:pt>
                <c:pt idx="52">
                  <c:v>838</c:v>
                </c:pt>
                <c:pt idx="53">
                  <c:v>838</c:v>
                </c:pt>
                <c:pt idx="54">
                  <c:v>838</c:v>
                </c:pt>
                <c:pt idx="55">
                  <c:v>838</c:v>
                </c:pt>
                <c:pt idx="56">
                  <c:v>838</c:v>
                </c:pt>
                <c:pt idx="57">
                  <c:v>838</c:v>
                </c:pt>
                <c:pt idx="58">
                  <c:v>838</c:v>
                </c:pt>
                <c:pt idx="59">
                  <c:v>838</c:v>
                </c:pt>
                <c:pt idx="60">
                  <c:v>838</c:v>
                </c:pt>
                <c:pt idx="61">
                  <c:v>838</c:v>
                </c:pt>
                <c:pt idx="62">
                  <c:v>783</c:v>
                </c:pt>
                <c:pt idx="63">
                  <c:v>783</c:v>
                </c:pt>
                <c:pt idx="64">
                  <c:v>783</c:v>
                </c:pt>
                <c:pt idx="65">
                  <c:v>783</c:v>
                </c:pt>
                <c:pt idx="66">
                  <c:v>783</c:v>
                </c:pt>
                <c:pt idx="67">
                  <c:v>783</c:v>
                </c:pt>
                <c:pt idx="68">
                  <c:v>783</c:v>
                </c:pt>
                <c:pt idx="69">
                  <c:v>783</c:v>
                </c:pt>
                <c:pt idx="70">
                  <c:v>783</c:v>
                </c:pt>
                <c:pt idx="71">
                  <c:v>783</c:v>
                </c:pt>
                <c:pt idx="72">
                  <c:v>783</c:v>
                </c:pt>
                <c:pt idx="73">
                  <c:v>783</c:v>
                </c:pt>
                <c:pt idx="74">
                  <c:v>783</c:v>
                </c:pt>
                <c:pt idx="75">
                  <c:v>783</c:v>
                </c:pt>
                <c:pt idx="76">
                  <c:v>766</c:v>
                </c:pt>
                <c:pt idx="77">
                  <c:v>766</c:v>
                </c:pt>
                <c:pt idx="78">
                  <c:v>766</c:v>
                </c:pt>
                <c:pt idx="79">
                  <c:v>766</c:v>
                </c:pt>
                <c:pt idx="80">
                  <c:v>766</c:v>
                </c:pt>
                <c:pt idx="81">
                  <c:v>766</c:v>
                </c:pt>
                <c:pt idx="82">
                  <c:v>766</c:v>
                </c:pt>
                <c:pt idx="83">
                  <c:v>761</c:v>
                </c:pt>
                <c:pt idx="84">
                  <c:v>761</c:v>
                </c:pt>
                <c:pt idx="85">
                  <c:v>761</c:v>
                </c:pt>
                <c:pt idx="86">
                  <c:v>761</c:v>
                </c:pt>
                <c:pt idx="87">
                  <c:v>761</c:v>
                </c:pt>
                <c:pt idx="88">
                  <c:v>761</c:v>
                </c:pt>
                <c:pt idx="89">
                  <c:v>761</c:v>
                </c:pt>
                <c:pt idx="90">
                  <c:v>750</c:v>
                </c:pt>
                <c:pt idx="91">
                  <c:v>750</c:v>
                </c:pt>
                <c:pt idx="92">
                  <c:v>750</c:v>
                </c:pt>
                <c:pt idx="93">
                  <c:v>750</c:v>
                </c:pt>
                <c:pt idx="94">
                  <c:v>750</c:v>
                </c:pt>
                <c:pt idx="95">
                  <c:v>750</c:v>
                </c:pt>
                <c:pt idx="96">
                  <c:v>750</c:v>
                </c:pt>
                <c:pt idx="97">
                  <c:v>744</c:v>
                </c:pt>
                <c:pt idx="98">
                  <c:v>744</c:v>
                </c:pt>
                <c:pt idx="99">
                  <c:v>744</c:v>
                </c:pt>
                <c:pt idx="100">
                  <c:v>744</c:v>
                </c:pt>
                <c:pt idx="101">
                  <c:v>744</c:v>
                </c:pt>
                <c:pt idx="102">
                  <c:v>744</c:v>
                </c:pt>
                <c:pt idx="103">
                  <c:v>744</c:v>
                </c:pt>
                <c:pt idx="104">
                  <c:v>728</c:v>
                </c:pt>
                <c:pt idx="105">
                  <c:v>728</c:v>
                </c:pt>
                <c:pt idx="106">
                  <c:v>728</c:v>
                </c:pt>
                <c:pt idx="107">
                  <c:v>728</c:v>
                </c:pt>
                <c:pt idx="108">
                  <c:v>728</c:v>
                </c:pt>
                <c:pt idx="109">
                  <c:v>728</c:v>
                </c:pt>
                <c:pt idx="110">
                  <c:v>728</c:v>
                </c:pt>
                <c:pt idx="111">
                  <c:v>717</c:v>
                </c:pt>
                <c:pt idx="112">
                  <c:v>717</c:v>
                </c:pt>
                <c:pt idx="113">
                  <c:v>717</c:v>
                </c:pt>
                <c:pt idx="114">
                  <c:v>717</c:v>
                </c:pt>
                <c:pt idx="115">
                  <c:v>717</c:v>
                </c:pt>
                <c:pt idx="116">
                  <c:v>717</c:v>
                </c:pt>
                <c:pt idx="117">
                  <c:v>717</c:v>
                </c:pt>
                <c:pt idx="118">
                  <c:v>706</c:v>
                </c:pt>
                <c:pt idx="119">
                  <c:v>706</c:v>
                </c:pt>
                <c:pt idx="120">
                  <c:v>706</c:v>
                </c:pt>
                <c:pt idx="121">
                  <c:v>706</c:v>
                </c:pt>
                <c:pt idx="122">
                  <c:v>706</c:v>
                </c:pt>
                <c:pt idx="123">
                  <c:v>706</c:v>
                </c:pt>
                <c:pt idx="124">
                  <c:v>706</c:v>
                </c:pt>
                <c:pt idx="125">
                  <c:v>706</c:v>
                </c:pt>
                <c:pt idx="126">
                  <c:v>706</c:v>
                </c:pt>
                <c:pt idx="127">
                  <c:v>706</c:v>
                </c:pt>
                <c:pt idx="128">
                  <c:v>706</c:v>
                </c:pt>
                <c:pt idx="129">
                  <c:v>706</c:v>
                </c:pt>
                <c:pt idx="130">
                  <c:v>706</c:v>
                </c:pt>
                <c:pt idx="131">
                  <c:v>706</c:v>
                </c:pt>
                <c:pt idx="132">
                  <c:v>717</c:v>
                </c:pt>
                <c:pt idx="133">
                  <c:v>717</c:v>
                </c:pt>
                <c:pt idx="134">
                  <c:v>717</c:v>
                </c:pt>
                <c:pt idx="135">
                  <c:v>717</c:v>
                </c:pt>
                <c:pt idx="136">
                  <c:v>717</c:v>
                </c:pt>
                <c:pt idx="137">
                  <c:v>717</c:v>
                </c:pt>
                <c:pt idx="138">
                  <c:v>717</c:v>
                </c:pt>
                <c:pt idx="139">
                  <c:v>722</c:v>
                </c:pt>
                <c:pt idx="140">
                  <c:v>722</c:v>
                </c:pt>
                <c:pt idx="141">
                  <c:v>722</c:v>
                </c:pt>
                <c:pt idx="142">
                  <c:v>722</c:v>
                </c:pt>
                <c:pt idx="143">
                  <c:v>722</c:v>
                </c:pt>
                <c:pt idx="144">
                  <c:v>722</c:v>
                </c:pt>
                <c:pt idx="145">
                  <c:v>722</c:v>
                </c:pt>
                <c:pt idx="146">
                  <c:v>722</c:v>
                </c:pt>
                <c:pt idx="147">
                  <c:v>722</c:v>
                </c:pt>
                <c:pt idx="148">
                  <c:v>722</c:v>
                </c:pt>
                <c:pt idx="149">
                  <c:v>722</c:v>
                </c:pt>
                <c:pt idx="150">
                  <c:v>722</c:v>
                </c:pt>
                <c:pt idx="151">
                  <c:v>722</c:v>
                </c:pt>
                <c:pt idx="152">
                  <c:v>722</c:v>
                </c:pt>
                <c:pt idx="153">
                  <c:v>722</c:v>
                </c:pt>
                <c:pt idx="154">
                  <c:v>722</c:v>
                </c:pt>
                <c:pt idx="155">
                  <c:v>722</c:v>
                </c:pt>
                <c:pt idx="156">
                  <c:v>722</c:v>
                </c:pt>
                <c:pt idx="157">
                  <c:v>722</c:v>
                </c:pt>
                <c:pt idx="158">
                  <c:v>722</c:v>
                </c:pt>
                <c:pt idx="159">
                  <c:v>722</c:v>
                </c:pt>
                <c:pt idx="160">
                  <c:v>722</c:v>
                </c:pt>
                <c:pt idx="161">
                  <c:v>722</c:v>
                </c:pt>
                <c:pt idx="162">
                  <c:v>722</c:v>
                </c:pt>
                <c:pt idx="163">
                  <c:v>722</c:v>
                </c:pt>
                <c:pt idx="164">
                  <c:v>722</c:v>
                </c:pt>
                <c:pt idx="165">
                  <c:v>722</c:v>
                </c:pt>
                <c:pt idx="166">
                  <c:v>722</c:v>
                </c:pt>
                <c:pt idx="167">
                  <c:v>722</c:v>
                </c:pt>
                <c:pt idx="168">
                  <c:v>722</c:v>
                </c:pt>
                <c:pt idx="169">
                  <c:v>722</c:v>
                </c:pt>
                <c:pt idx="170">
                  <c:v>722</c:v>
                </c:pt>
                <c:pt idx="171">
                  <c:v>722</c:v>
                </c:pt>
                <c:pt idx="172">
                  <c:v>722</c:v>
                </c:pt>
                <c:pt idx="173">
                  <c:v>722</c:v>
                </c:pt>
                <c:pt idx="174">
                  <c:v>728</c:v>
                </c:pt>
                <c:pt idx="175">
                  <c:v>728</c:v>
                </c:pt>
                <c:pt idx="176">
                  <c:v>728</c:v>
                </c:pt>
                <c:pt idx="177">
                  <c:v>728</c:v>
                </c:pt>
                <c:pt idx="178">
                  <c:v>728</c:v>
                </c:pt>
                <c:pt idx="179">
                  <c:v>728</c:v>
                </c:pt>
                <c:pt idx="180">
                  <c:v>728</c:v>
                </c:pt>
                <c:pt idx="181">
                  <c:v>728</c:v>
                </c:pt>
                <c:pt idx="182">
                  <c:v>728</c:v>
                </c:pt>
                <c:pt idx="183">
                  <c:v>728</c:v>
                </c:pt>
                <c:pt idx="184">
                  <c:v>728</c:v>
                </c:pt>
                <c:pt idx="185">
                  <c:v>728</c:v>
                </c:pt>
                <c:pt idx="186">
                  <c:v>728</c:v>
                </c:pt>
                <c:pt idx="187">
                  <c:v>728</c:v>
                </c:pt>
                <c:pt idx="188">
                  <c:v>728</c:v>
                </c:pt>
                <c:pt idx="189">
                  <c:v>728</c:v>
                </c:pt>
                <c:pt idx="190">
                  <c:v>728</c:v>
                </c:pt>
                <c:pt idx="191">
                  <c:v>728</c:v>
                </c:pt>
                <c:pt idx="192">
                  <c:v>728</c:v>
                </c:pt>
                <c:pt idx="193">
                  <c:v>728</c:v>
                </c:pt>
                <c:pt idx="194">
                  <c:v>728</c:v>
                </c:pt>
                <c:pt idx="195">
                  <c:v>728</c:v>
                </c:pt>
                <c:pt idx="196">
                  <c:v>728</c:v>
                </c:pt>
                <c:pt idx="197">
                  <c:v>728</c:v>
                </c:pt>
                <c:pt idx="198">
                  <c:v>728</c:v>
                </c:pt>
                <c:pt idx="199">
                  <c:v>728</c:v>
                </c:pt>
                <c:pt idx="200">
                  <c:v>728</c:v>
                </c:pt>
                <c:pt idx="201">
                  <c:v>728</c:v>
                </c:pt>
                <c:pt idx="202">
                  <c:v>728</c:v>
                </c:pt>
                <c:pt idx="203">
                  <c:v>728</c:v>
                </c:pt>
                <c:pt idx="204">
                  <c:v>728</c:v>
                </c:pt>
                <c:pt idx="205">
                  <c:v>728</c:v>
                </c:pt>
                <c:pt idx="206">
                  <c:v>728</c:v>
                </c:pt>
                <c:pt idx="207">
                  <c:v>728</c:v>
                </c:pt>
                <c:pt idx="208">
                  <c:v>728</c:v>
                </c:pt>
                <c:pt idx="209">
                  <c:v>728</c:v>
                </c:pt>
                <c:pt idx="210">
                  <c:v>728</c:v>
                </c:pt>
                <c:pt idx="211">
                  <c:v>728</c:v>
                </c:pt>
                <c:pt idx="212">
                  <c:v>728</c:v>
                </c:pt>
                <c:pt idx="213">
                  <c:v>728</c:v>
                </c:pt>
                <c:pt idx="214">
                  <c:v>728</c:v>
                </c:pt>
                <c:pt idx="215">
                  <c:v>728</c:v>
                </c:pt>
                <c:pt idx="216">
                  <c:v>728</c:v>
                </c:pt>
                <c:pt idx="217">
                  <c:v>728</c:v>
                </c:pt>
                <c:pt idx="218">
                  <c:v>728</c:v>
                </c:pt>
                <c:pt idx="219">
                  <c:v>728</c:v>
                </c:pt>
                <c:pt idx="220">
                  <c:v>728</c:v>
                </c:pt>
                <c:pt idx="221">
                  <c:v>728</c:v>
                </c:pt>
                <c:pt idx="222">
                  <c:v>728</c:v>
                </c:pt>
                <c:pt idx="223">
                  <c:v>728</c:v>
                </c:pt>
                <c:pt idx="224">
                  <c:v>728</c:v>
                </c:pt>
                <c:pt idx="225">
                  <c:v>728</c:v>
                </c:pt>
                <c:pt idx="226">
                  <c:v>728</c:v>
                </c:pt>
                <c:pt idx="227">
                  <c:v>728</c:v>
                </c:pt>
                <c:pt idx="228">
                  <c:v>728</c:v>
                </c:pt>
                <c:pt idx="229">
                  <c:v>728</c:v>
                </c:pt>
                <c:pt idx="230">
                  <c:v>728</c:v>
                </c:pt>
                <c:pt idx="231">
                  <c:v>728</c:v>
                </c:pt>
                <c:pt idx="232">
                  <c:v>728</c:v>
                </c:pt>
                <c:pt idx="233">
                  <c:v>728</c:v>
                </c:pt>
                <c:pt idx="234">
                  <c:v>728</c:v>
                </c:pt>
                <c:pt idx="235">
                  <c:v>728</c:v>
                </c:pt>
                <c:pt idx="236">
                  <c:v>728</c:v>
                </c:pt>
                <c:pt idx="237">
                  <c:v>728</c:v>
                </c:pt>
                <c:pt idx="238">
                  <c:v>728</c:v>
                </c:pt>
                <c:pt idx="239">
                  <c:v>728</c:v>
                </c:pt>
                <c:pt idx="240">
                  <c:v>728</c:v>
                </c:pt>
                <c:pt idx="241">
                  <c:v>728</c:v>
                </c:pt>
                <c:pt idx="242">
                  <c:v>728</c:v>
                </c:pt>
                <c:pt idx="243">
                  <c:v>728</c:v>
                </c:pt>
                <c:pt idx="244">
                  <c:v>717</c:v>
                </c:pt>
                <c:pt idx="245">
                  <c:v>717</c:v>
                </c:pt>
                <c:pt idx="246">
                  <c:v>717</c:v>
                </c:pt>
                <c:pt idx="247">
                  <c:v>717</c:v>
                </c:pt>
                <c:pt idx="248">
                  <c:v>717</c:v>
                </c:pt>
                <c:pt idx="249">
                  <c:v>717</c:v>
                </c:pt>
                <c:pt idx="250">
                  <c:v>717</c:v>
                </c:pt>
                <c:pt idx="251">
                  <c:v>717</c:v>
                </c:pt>
                <c:pt idx="252">
                  <c:v>717</c:v>
                </c:pt>
                <c:pt idx="253">
                  <c:v>717</c:v>
                </c:pt>
                <c:pt idx="254">
                  <c:v>717</c:v>
                </c:pt>
                <c:pt idx="255">
                  <c:v>717</c:v>
                </c:pt>
                <c:pt idx="256">
                  <c:v>717</c:v>
                </c:pt>
                <c:pt idx="257">
                  <c:v>717</c:v>
                </c:pt>
                <c:pt idx="258">
                  <c:v>706</c:v>
                </c:pt>
                <c:pt idx="259">
                  <c:v>706</c:v>
                </c:pt>
                <c:pt idx="260">
                  <c:v>706</c:v>
                </c:pt>
                <c:pt idx="261">
                  <c:v>706</c:v>
                </c:pt>
                <c:pt idx="262">
                  <c:v>706</c:v>
                </c:pt>
                <c:pt idx="263">
                  <c:v>706</c:v>
                </c:pt>
                <c:pt idx="264">
                  <c:v>706</c:v>
                </c:pt>
                <c:pt idx="265">
                  <c:v>706</c:v>
                </c:pt>
                <c:pt idx="266">
                  <c:v>706</c:v>
                </c:pt>
                <c:pt idx="267">
                  <c:v>706</c:v>
                </c:pt>
                <c:pt idx="268">
                  <c:v>706</c:v>
                </c:pt>
                <c:pt idx="269">
                  <c:v>706</c:v>
                </c:pt>
                <c:pt idx="270">
                  <c:v>706</c:v>
                </c:pt>
                <c:pt idx="271">
                  <c:v>706</c:v>
                </c:pt>
                <c:pt idx="272">
                  <c:v>706</c:v>
                </c:pt>
                <c:pt idx="273">
                  <c:v>706</c:v>
                </c:pt>
                <c:pt idx="274">
                  <c:v>706</c:v>
                </c:pt>
                <c:pt idx="275">
                  <c:v>706</c:v>
                </c:pt>
                <c:pt idx="276">
                  <c:v>706</c:v>
                </c:pt>
                <c:pt idx="277">
                  <c:v>706</c:v>
                </c:pt>
                <c:pt idx="278">
                  <c:v>706</c:v>
                </c:pt>
                <c:pt idx="279">
                  <c:v>706</c:v>
                </c:pt>
                <c:pt idx="280">
                  <c:v>706</c:v>
                </c:pt>
                <c:pt idx="281">
                  <c:v>706</c:v>
                </c:pt>
                <c:pt idx="282">
                  <c:v>706</c:v>
                </c:pt>
                <c:pt idx="283">
                  <c:v>706</c:v>
                </c:pt>
                <c:pt idx="284">
                  <c:v>706</c:v>
                </c:pt>
                <c:pt idx="285">
                  <c:v>706</c:v>
                </c:pt>
                <c:pt idx="286">
                  <c:v>673</c:v>
                </c:pt>
                <c:pt idx="287">
                  <c:v>673</c:v>
                </c:pt>
                <c:pt idx="288">
                  <c:v>673</c:v>
                </c:pt>
                <c:pt idx="289">
                  <c:v>673</c:v>
                </c:pt>
                <c:pt idx="290">
                  <c:v>673</c:v>
                </c:pt>
                <c:pt idx="291">
                  <c:v>673</c:v>
                </c:pt>
                <c:pt idx="292">
                  <c:v>673</c:v>
                </c:pt>
                <c:pt idx="293">
                  <c:v>662</c:v>
                </c:pt>
                <c:pt idx="294">
                  <c:v>662</c:v>
                </c:pt>
                <c:pt idx="295">
                  <c:v>662</c:v>
                </c:pt>
                <c:pt idx="296">
                  <c:v>662</c:v>
                </c:pt>
                <c:pt idx="297">
                  <c:v>662</c:v>
                </c:pt>
                <c:pt idx="298">
                  <c:v>662</c:v>
                </c:pt>
                <c:pt idx="299">
                  <c:v>662</c:v>
                </c:pt>
                <c:pt idx="300">
                  <c:v>656</c:v>
                </c:pt>
                <c:pt idx="301">
                  <c:v>656</c:v>
                </c:pt>
                <c:pt idx="302">
                  <c:v>656</c:v>
                </c:pt>
                <c:pt idx="303">
                  <c:v>656</c:v>
                </c:pt>
                <c:pt idx="304">
                  <c:v>656</c:v>
                </c:pt>
                <c:pt idx="305">
                  <c:v>656</c:v>
                </c:pt>
                <c:pt idx="306">
                  <c:v>656</c:v>
                </c:pt>
                <c:pt idx="307">
                  <c:v>656</c:v>
                </c:pt>
                <c:pt idx="308">
                  <c:v>656</c:v>
                </c:pt>
                <c:pt idx="309">
                  <c:v>656</c:v>
                </c:pt>
                <c:pt idx="310">
                  <c:v>656</c:v>
                </c:pt>
                <c:pt idx="311">
                  <c:v>656</c:v>
                </c:pt>
                <c:pt idx="312">
                  <c:v>656</c:v>
                </c:pt>
                <c:pt idx="313">
                  <c:v>656</c:v>
                </c:pt>
                <c:pt idx="314">
                  <c:v>645</c:v>
                </c:pt>
                <c:pt idx="315">
                  <c:v>645</c:v>
                </c:pt>
                <c:pt idx="316">
                  <c:v>645</c:v>
                </c:pt>
                <c:pt idx="317">
                  <c:v>645</c:v>
                </c:pt>
                <c:pt idx="318">
                  <c:v>645</c:v>
                </c:pt>
                <c:pt idx="319">
                  <c:v>645</c:v>
                </c:pt>
                <c:pt idx="320">
                  <c:v>639</c:v>
                </c:pt>
                <c:pt idx="321">
                  <c:v>639</c:v>
                </c:pt>
                <c:pt idx="322">
                  <c:v>639</c:v>
                </c:pt>
                <c:pt idx="323">
                  <c:v>639</c:v>
                </c:pt>
              </c:numCache>
            </c:numRef>
          </c:val>
          <c:smooth val="0"/>
        </c:ser>
        <c:dLbls>
          <c:showLegendKey val="0"/>
          <c:showVal val="0"/>
          <c:showCatName val="0"/>
          <c:showSerName val="0"/>
          <c:showPercent val="0"/>
          <c:showBubbleSize val="0"/>
        </c:dLbls>
        <c:marker val="1"/>
        <c:smooth val="0"/>
        <c:axId val="260284416"/>
        <c:axId val="260285952"/>
      </c:lineChart>
      <c:dateAx>
        <c:axId val="260284416"/>
        <c:scaling>
          <c:orientation val="minMax"/>
          <c:max val="42328"/>
          <c:min val="42005"/>
        </c:scaling>
        <c:delete val="0"/>
        <c:axPos val="b"/>
        <c:numFmt formatCode="m/d/yyyy" sourceLinked="1"/>
        <c:majorTickMark val="out"/>
        <c:minorTickMark val="none"/>
        <c:tickLblPos val="nextTo"/>
        <c:crossAx val="260285952"/>
        <c:crosses val="autoZero"/>
        <c:auto val="1"/>
        <c:lblOffset val="100"/>
        <c:baseTimeUnit val="days"/>
        <c:majorUnit val="1"/>
        <c:majorTimeUnit val="months"/>
        <c:minorUnit val="1"/>
        <c:minorTimeUnit val="months"/>
      </c:dateAx>
      <c:valAx>
        <c:axId val="260285952"/>
        <c:scaling>
          <c:orientation val="minMax"/>
          <c:min val="550"/>
        </c:scaling>
        <c:delete val="0"/>
        <c:axPos val="l"/>
        <c:majorGridlines/>
        <c:numFmt formatCode="General" sourceLinked="1"/>
        <c:majorTickMark val="out"/>
        <c:minorTickMark val="none"/>
        <c:tickLblPos val="nextTo"/>
        <c:crossAx val="260284416"/>
        <c:crosses val="autoZero"/>
        <c:crossBetween val="between"/>
      </c:valAx>
    </c:plotArea>
    <c:legend>
      <c:legendPos val="b"/>
      <c:layout>
        <c:manualLayout>
          <c:xMode val="edge"/>
          <c:yMode val="edge"/>
          <c:x val="0.18222793389688527"/>
          <c:y val="0.86197863354909654"/>
          <c:w val="0.65730561267230236"/>
          <c:h val="0.13802136645090379"/>
        </c:manualLayout>
      </c:layout>
      <c:overlay val="0"/>
    </c:legend>
    <c:plotVisOnly val="1"/>
    <c:dispBlanksAs val="gap"/>
    <c:showDLblsOverMax val="0"/>
  </c:chart>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306131398597257E-2"/>
          <c:y val="4.6226102099881046E-2"/>
          <c:w val="0.88449658300225031"/>
          <c:h val="0.60502598281247755"/>
        </c:manualLayout>
      </c:layout>
      <c:lineChart>
        <c:grouping val="standard"/>
        <c:varyColors val="0"/>
        <c:ser>
          <c:idx val="0"/>
          <c:order val="0"/>
          <c:tx>
            <c:strRef>
              <c:f>CRU、廢鋼、小鋼胚、平板鋼類、長條鋼類!$Z$1</c:f>
              <c:strCache>
                <c:ptCount val="1"/>
                <c:pt idx="0">
                  <c:v>鋼筋 豐興 盤價(美元/公噸)</c:v>
                </c:pt>
              </c:strCache>
            </c:strRef>
          </c:tx>
          <c:spPr>
            <a:ln>
              <a:prstDash val="sysDash"/>
            </a:ln>
          </c:spPr>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CRU、廢鋼、小鋼胚、平板鋼類、長條鋼類!$Z$216:$Z$539</c:f>
              <c:numCache>
                <c:formatCode>General</c:formatCode>
                <c:ptCount val="324"/>
                <c:pt idx="0">
                  <c:v>530</c:v>
                </c:pt>
                <c:pt idx="1">
                  <c:v>530</c:v>
                </c:pt>
                <c:pt idx="2">
                  <c:v>530</c:v>
                </c:pt>
                <c:pt idx="3">
                  <c:v>530</c:v>
                </c:pt>
                <c:pt idx="4">
                  <c:v>530</c:v>
                </c:pt>
                <c:pt idx="5">
                  <c:v>530</c:v>
                </c:pt>
                <c:pt idx="6">
                  <c:v>530</c:v>
                </c:pt>
                <c:pt idx="7">
                  <c:v>530</c:v>
                </c:pt>
                <c:pt idx="8">
                  <c:v>530</c:v>
                </c:pt>
                <c:pt idx="9">
                  <c:v>530</c:v>
                </c:pt>
                <c:pt idx="10">
                  <c:v>530</c:v>
                </c:pt>
                <c:pt idx="11">
                  <c:v>530</c:v>
                </c:pt>
                <c:pt idx="12">
                  <c:v>530</c:v>
                </c:pt>
                <c:pt idx="13">
                  <c:v>530</c:v>
                </c:pt>
                <c:pt idx="14">
                  <c:v>530</c:v>
                </c:pt>
                <c:pt idx="15">
                  <c:v>530</c:v>
                </c:pt>
                <c:pt idx="16">
                  <c:v>530</c:v>
                </c:pt>
                <c:pt idx="17">
                  <c:v>530</c:v>
                </c:pt>
                <c:pt idx="18">
                  <c:v>523.3333333333336</c:v>
                </c:pt>
                <c:pt idx="19">
                  <c:v>523.3333333333336</c:v>
                </c:pt>
                <c:pt idx="20">
                  <c:v>523.3333333333336</c:v>
                </c:pt>
                <c:pt idx="21">
                  <c:v>523.3333333333336</c:v>
                </c:pt>
                <c:pt idx="22">
                  <c:v>523.3333333333336</c:v>
                </c:pt>
                <c:pt idx="23">
                  <c:v>523.3333333333336</c:v>
                </c:pt>
                <c:pt idx="24">
                  <c:v>523.3333333333336</c:v>
                </c:pt>
                <c:pt idx="25">
                  <c:v>520</c:v>
                </c:pt>
                <c:pt idx="26">
                  <c:v>520</c:v>
                </c:pt>
                <c:pt idx="27">
                  <c:v>510</c:v>
                </c:pt>
                <c:pt idx="28">
                  <c:v>510</c:v>
                </c:pt>
                <c:pt idx="29">
                  <c:v>510</c:v>
                </c:pt>
                <c:pt idx="30">
                  <c:v>510</c:v>
                </c:pt>
                <c:pt idx="31">
                  <c:v>510</c:v>
                </c:pt>
                <c:pt idx="32">
                  <c:v>510</c:v>
                </c:pt>
                <c:pt idx="33">
                  <c:v>510</c:v>
                </c:pt>
                <c:pt idx="34">
                  <c:v>510</c:v>
                </c:pt>
                <c:pt idx="35">
                  <c:v>510</c:v>
                </c:pt>
                <c:pt idx="36">
                  <c:v>510</c:v>
                </c:pt>
                <c:pt idx="37">
                  <c:v>510</c:v>
                </c:pt>
                <c:pt idx="38">
                  <c:v>510</c:v>
                </c:pt>
                <c:pt idx="39">
                  <c:v>510</c:v>
                </c:pt>
                <c:pt idx="40">
                  <c:v>510</c:v>
                </c:pt>
                <c:pt idx="41">
                  <c:v>510</c:v>
                </c:pt>
                <c:pt idx="42">
                  <c:v>510</c:v>
                </c:pt>
                <c:pt idx="43">
                  <c:v>510</c:v>
                </c:pt>
                <c:pt idx="44">
                  <c:v>510</c:v>
                </c:pt>
                <c:pt idx="45">
                  <c:v>510</c:v>
                </c:pt>
                <c:pt idx="46">
                  <c:v>510</c:v>
                </c:pt>
                <c:pt idx="47">
                  <c:v>510</c:v>
                </c:pt>
                <c:pt idx="48">
                  <c:v>510</c:v>
                </c:pt>
                <c:pt idx="49">
                  <c:v>510</c:v>
                </c:pt>
                <c:pt idx="50">
                  <c:v>510</c:v>
                </c:pt>
                <c:pt idx="51">
                  <c:v>510</c:v>
                </c:pt>
                <c:pt idx="52">
                  <c:v>510</c:v>
                </c:pt>
                <c:pt idx="53">
                  <c:v>510</c:v>
                </c:pt>
                <c:pt idx="54">
                  <c:v>500</c:v>
                </c:pt>
                <c:pt idx="55">
                  <c:v>500</c:v>
                </c:pt>
                <c:pt idx="56">
                  <c:v>500</c:v>
                </c:pt>
                <c:pt idx="57">
                  <c:v>500</c:v>
                </c:pt>
                <c:pt idx="58">
                  <c:v>500</c:v>
                </c:pt>
                <c:pt idx="59">
                  <c:v>500</c:v>
                </c:pt>
                <c:pt idx="60">
                  <c:v>490</c:v>
                </c:pt>
                <c:pt idx="61">
                  <c:v>490</c:v>
                </c:pt>
                <c:pt idx="62">
                  <c:v>490</c:v>
                </c:pt>
                <c:pt idx="63">
                  <c:v>490</c:v>
                </c:pt>
                <c:pt idx="64">
                  <c:v>490</c:v>
                </c:pt>
                <c:pt idx="65">
                  <c:v>490</c:v>
                </c:pt>
                <c:pt idx="66">
                  <c:v>490</c:v>
                </c:pt>
                <c:pt idx="67">
                  <c:v>483.33333333333331</c:v>
                </c:pt>
                <c:pt idx="68">
                  <c:v>483.33333333333331</c:v>
                </c:pt>
                <c:pt idx="69">
                  <c:v>483.33333333333331</c:v>
                </c:pt>
                <c:pt idx="70">
                  <c:v>483.33333333333331</c:v>
                </c:pt>
                <c:pt idx="71">
                  <c:v>483.33333333333331</c:v>
                </c:pt>
                <c:pt idx="72">
                  <c:v>483.33333333333331</c:v>
                </c:pt>
                <c:pt idx="73">
                  <c:v>483.33333333333331</c:v>
                </c:pt>
                <c:pt idx="74">
                  <c:v>483.33333333333331</c:v>
                </c:pt>
                <c:pt idx="75">
                  <c:v>483.33333333333331</c:v>
                </c:pt>
                <c:pt idx="76">
                  <c:v>483.33333333333331</c:v>
                </c:pt>
                <c:pt idx="77">
                  <c:v>483.33333333333331</c:v>
                </c:pt>
                <c:pt idx="78">
                  <c:v>483.33333333333331</c:v>
                </c:pt>
                <c:pt idx="79">
                  <c:v>483.33333333333331</c:v>
                </c:pt>
                <c:pt idx="80">
                  <c:v>483.33333333333331</c:v>
                </c:pt>
                <c:pt idx="81">
                  <c:v>490</c:v>
                </c:pt>
                <c:pt idx="82">
                  <c:v>490</c:v>
                </c:pt>
                <c:pt idx="83">
                  <c:v>490</c:v>
                </c:pt>
                <c:pt idx="84">
                  <c:v>490</c:v>
                </c:pt>
                <c:pt idx="85">
                  <c:v>490</c:v>
                </c:pt>
                <c:pt idx="86">
                  <c:v>490</c:v>
                </c:pt>
                <c:pt idx="87">
                  <c:v>490</c:v>
                </c:pt>
                <c:pt idx="88">
                  <c:v>490</c:v>
                </c:pt>
                <c:pt idx="89">
                  <c:v>490</c:v>
                </c:pt>
                <c:pt idx="90">
                  <c:v>490</c:v>
                </c:pt>
                <c:pt idx="91">
                  <c:v>490</c:v>
                </c:pt>
                <c:pt idx="92">
                  <c:v>490</c:v>
                </c:pt>
                <c:pt idx="93">
                  <c:v>490</c:v>
                </c:pt>
                <c:pt idx="94">
                  <c:v>490</c:v>
                </c:pt>
                <c:pt idx="95">
                  <c:v>490</c:v>
                </c:pt>
                <c:pt idx="96">
                  <c:v>490</c:v>
                </c:pt>
                <c:pt idx="97">
                  <c:v>490</c:v>
                </c:pt>
                <c:pt idx="98">
                  <c:v>490</c:v>
                </c:pt>
                <c:pt idx="99">
                  <c:v>490</c:v>
                </c:pt>
                <c:pt idx="100">
                  <c:v>490</c:v>
                </c:pt>
                <c:pt idx="101">
                  <c:v>490</c:v>
                </c:pt>
                <c:pt idx="102">
                  <c:v>483.33333333333331</c:v>
                </c:pt>
                <c:pt idx="103">
                  <c:v>483.33333333333331</c:v>
                </c:pt>
                <c:pt idx="104">
                  <c:v>483.33333333333331</c:v>
                </c:pt>
                <c:pt idx="105">
                  <c:v>483.33333333333331</c:v>
                </c:pt>
                <c:pt idx="106">
                  <c:v>483.33333333333331</c:v>
                </c:pt>
                <c:pt idx="107">
                  <c:v>483.33333333333331</c:v>
                </c:pt>
                <c:pt idx="108">
                  <c:v>483.33333333333331</c:v>
                </c:pt>
                <c:pt idx="109">
                  <c:v>476.66666666666686</c:v>
                </c:pt>
                <c:pt idx="110">
                  <c:v>476.66666666666686</c:v>
                </c:pt>
                <c:pt idx="111">
                  <c:v>476.66666666666686</c:v>
                </c:pt>
                <c:pt idx="112">
                  <c:v>476.66666666666686</c:v>
                </c:pt>
                <c:pt idx="113">
                  <c:v>476.66666666666686</c:v>
                </c:pt>
                <c:pt idx="114">
                  <c:v>476.66666666666686</c:v>
                </c:pt>
                <c:pt idx="115">
                  <c:v>476.66666666666686</c:v>
                </c:pt>
                <c:pt idx="116">
                  <c:v>463.33333333333331</c:v>
                </c:pt>
                <c:pt idx="117">
                  <c:v>463.33333333333331</c:v>
                </c:pt>
                <c:pt idx="118">
                  <c:v>463.33333333333331</c:v>
                </c:pt>
                <c:pt idx="119">
                  <c:v>463.33333333333331</c:v>
                </c:pt>
                <c:pt idx="120">
                  <c:v>463.33333333333331</c:v>
                </c:pt>
                <c:pt idx="121">
                  <c:v>463.33333333333331</c:v>
                </c:pt>
                <c:pt idx="122">
                  <c:v>463.33333333333331</c:v>
                </c:pt>
                <c:pt idx="123">
                  <c:v>463.33333333333331</c:v>
                </c:pt>
                <c:pt idx="124">
                  <c:v>463.33333333333331</c:v>
                </c:pt>
                <c:pt idx="125">
                  <c:v>463.33333333333331</c:v>
                </c:pt>
                <c:pt idx="126">
                  <c:v>463.33333333333331</c:v>
                </c:pt>
                <c:pt idx="127">
                  <c:v>463.33333333333331</c:v>
                </c:pt>
                <c:pt idx="128">
                  <c:v>463.33333333333331</c:v>
                </c:pt>
                <c:pt idx="129">
                  <c:v>463.33333333333331</c:v>
                </c:pt>
                <c:pt idx="130">
                  <c:v>453.33333333333331</c:v>
                </c:pt>
                <c:pt idx="131">
                  <c:v>453.33333333333331</c:v>
                </c:pt>
                <c:pt idx="132">
                  <c:v>453.33333333333331</c:v>
                </c:pt>
                <c:pt idx="133">
                  <c:v>453.33333333333331</c:v>
                </c:pt>
                <c:pt idx="134">
                  <c:v>453.33333333333331</c:v>
                </c:pt>
                <c:pt idx="135">
                  <c:v>453.33333333333331</c:v>
                </c:pt>
                <c:pt idx="136">
                  <c:v>453.33333333333331</c:v>
                </c:pt>
                <c:pt idx="137">
                  <c:v>453.33333333333331</c:v>
                </c:pt>
                <c:pt idx="138">
                  <c:v>453.33333333333331</c:v>
                </c:pt>
                <c:pt idx="139">
                  <c:v>453.33333333333331</c:v>
                </c:pt>
                <c:pt idx="140">
                  <c:v>453.33333333333331</c:v>
                </c:pt>
                <c:pt idx="141">
                  <c:v>453.33333333333331</c:v>
                </c:pt>
                <c:pt idx="142">
                  <c:v>453.33333333333331</c:v>
                </c:pt>
                <c:pt idx="143">
                  <c:v>453.33333333333331</c:v>
                </c:pt>
                <c:pt idx="144">
                  <c:v>453.33333333333331</c:v>
                </c:pt>
                <c:pt idx="145">
                  <c:v>453.33333333333331</c:v>
                </c:pt>
                <c:pt idx="146">
                  <c:v>453.33333333333331</c:v>
                </c:pt>
                <c:pt idx="147">
                  <c:v>453.33333333333331</c:v>
                </c:pt>
                <c:pt idx="148">
                  <c:v>453.33333333333331</c:v>
                </c:pt>
                <c:pt idx="149">
                  <c:v>453.33333333333331</c:v>
                </c:pt>
                <c:pt idx="150">
                  <c:v>453.33333333333331</c:v>
                </c:pt>
                <c:pt idx="151">
                  <c:v>453.33333333333331</c:v>
                </c:pt>
                <c:pt idx="152">
                  <c:v>453.33333333333331</c:v>
                </c:pt>
                <c:pt idx="153">
                  <c:v>453.33333333333331</c:v>
                </c:pt>
                <c:pt idx="154">
                  <c:v>453.33333333333331</c:v>
                </c:pt>
                <c:pt idx="155">
                  <c:v>453.33333333333331</c:v>
                </c:pt>
                <c:pt idx="156">
                  <c:v>453.33333333333331</c:v>
                </c:pt>
                <c:pt idx="157">
                  <c:v>453.33333333333331</c:v>
                </c:pt>
                <c:pt idx="158">
                  <c:v>453.33333333333331</c:v>
                </c:pt>
                <c:pt idx="159">
                  <c:v>453.33333333333331</c:v>
                </c:pt>
                <c:pt idx="160">
                  <c:v>453.33333333333331</c:v>
                </c:pt>
                <c:pt idx="161">
                  <c:v>453.33333333333331</c:v>
                </c:pt>
                <c:pt idx="162">
                  <c:v>453.33333333333331</c:v>
                </c:pt>
                <c:pt idx="163">
                  <c:v>453.33333333333331</c:v>
                </c:pt>
                <c:pt idx="164">
                  <c:v>453.33333333333331</c:v>
                </c:pt>
                <c:pt idx="165">
                  <c:v>453.33333333333331</c:v>
                </c:pt>
                <c:pt idx="166">
                  <c:v>453.33333333333331</c:v>
                </c:pt>
                <c:pt idx="167">
                  <c:v>453.33333333333331</c:v>
                </c:pt>
                <c:pt idx="168">
                  <c:v>453.33333333333331</c:v>
                </c:pt>
                <c:pt idx="169">
                  <c:v>453.33333333333331</c:v>
                </c:pt>
                <c:pt idx="170">
                  <c:v>453.33333333333331</c:v>
                </c:pt>
                <c:pt idx="171">
                  <c:v>453.33333333333331</c:v>
                </c:pt>
                <c:pt idx="172">
                  <c:v>443.33333333333331</c:v>
                </c:pt>
                <c:pt idx="173">
                  <c:v>443.33333333333331</c:v>
                </c:pt>
                <c:pt idx="174">
                  <c:v>443.33333333333331</c:v>
                </c:pt>
                <c:pt idx="175">
                  <c:v>443.33333333333331</c:v>
                </c:pt>
                <c:pt idx="176">
                  <c:v>443.33333333333331</c:v>
                </c:pt>
                <c:pt idx="177">
                  <c:v>443.33333333333331</c:v>
                </c:pt>
                <c:pt idx="178">
                  <c:v>443.33333333333331</c:v>
                </c:pt>
                <c:pt idx="179">
                  <c:v>436.66666666666686</c:v>
                </c:pt>
                <c:pt idx="180">
                  <c:v>436.66666666666686</c:v>
                </c:pt>
                <c:pt idx="181">
                  <c:v>436.66666666666686</c:v>
                </c:pt>
                <c:pt idx="182">
                  <c:v>436.66666666666686</c:v>
                </c:pt>
                <c:pt idx="183">
                  <c:v>436.66666666666686</c:v>
                </c:pt>
                <c:pt idx="184">
                  <c:v>436.66666666666686</c:v>
                </c:pt>
                <c:pt idx="185">
                  <c:v>436.66666666666686</c:v>
                </c:pt>
                <c:pt idx="186">
                  <c:v>426.66666666666686</c:v>
                </c:pt>
                <c:pt idx="187">
                  <c:v>426.66666666666686</c:v>
                </c:pt>
                <c:pt idx="188">
                  <c:v>426.66666666666686</c:v>
                </c:pt>
                <c:pt idx="189">
                  <c:v>426.66666666666686</c:v>
                </c:pt>
                <c:pt idx="190">
                  <c:v>426.66666666666686</c:v>
                </c:pt>
                <c:pt idx="191">
                  <c:v>426.66666666666686</c:v>
                </c:pt>
                <c:pt idx="192">
                  <c:v>426.66666666666686</c:v>
                </c:pt>
                <c:pt idx="193">
                  <c:v>416.66666666666686</c:v>
                </c:pt>
                <c:pt idx="194">
                  <c:v>416.66666666666686</c:v>
                </c:pt>
                <c:pt idx="195">
                  <c:v>416.66666666666686</c:v>
                </c:pt>
                <c:pt idx="196">
                  <c:v>416.66666666666686</c:v>
                </c:pt>
                <c:pt idx="197">
                  <c:v>416.66666666666686</c:v>
                </c:pt>
                <c:pt idx="198">
                  <c:v>416.66666666666686</c:v>
                </c:pt>
                <c:pt idx="199">
                  <c:v>416.66666666666686</c:v>
                </c:pt>
                <c:pt idx="200">
                  <c:v>403.33333333333331</c:v>
                </c:pt>
                <c:pt idx="201">
                  <c:v>403.33333333333331</c:v>
                </c:pt>
                <c:pt idx="202">
                  <c:v>403.33333333333331</c:v>
                </c:pt>
                <c:pt idx="203">
                  <c:v>403.33333333333331</c:v>
                </c:pt>
                <c:pt idx="204">
                  <c:v>403.33333333333331</c:v>
                </c:pt>
                <c:pt idx="205">
                  <c:v>403.33333333333331</c:v>
                </c:pt>
                <c:pt idx="206">
                  <c:v>403.33333333333331</c:v>
                </c:pt>
                <c:pt idx="207">
                  <c:v>390</c:v>
                </c:pt>
                <c:pt idx="208">
                  <c:v>390</c:v>
                </c:pt>
                <c:pt idx="209">
                  <c:v>390</c:v>
                </c:pt>
                <c:pt idx="210">
                  <c:v>390</c:v>
                </c:pt>
                <c:pt idx="211">
                  <c:v>390</c:v>
                </c:pt>
                <c:pt idx="212">
                  <c:v>390</c:v>
                </c:pt>
                <c:pt idx="213">
                  <c:v>390</c:v>
                </c:pt>
                <c:pt idx="214">
                  <c:v>390</c:v>
                </c:pt>
                <c:pt idx="215">
                  <c:v>390</c:v>
                </c:pt>
                <c:pt idx="216">
                  <c:v>390</c:v>
                </c:pt>
                <c:pt idx="217">
                  <c:v>390</c:v>
                </c:pt>
                <c:pt idx="218">
                  <c:v>390</c:v>
                </c:pt>
                <c:pt idx="219">
                  <c:v>390</c:v>
                </c:pt>
                <c:pt idx="220">
                  <c:v>390</c:v>
                </c:pt>
                <c:pt idx="221">
                  <c:v>390</c:v>
                </c:pt>
                <c:pt idx="222">
                  <c:v>390</c:v>
                </c:pt>
                <c:pt idx="223">
                  <c:v>390</c:v>
                </c:pt>
                <c:pt idx="224">
                  <c:v>390</c:v>
                </c:pt>
                <c:pt idx="225">
                  <c:v>390</c:v>
                </c:pt>
                <c:pt idx="226">
                  <c:v>390</c:v>
                </c:pt>
                <c:pt idx="227">
                  <c:v>390</c:v>
                </c:pt>
                <c:pt idx="228">
                  <c:v>400</c:v>
                </c:pt>
                <c:pt idx="229">
                  <c:v>400</c:v>
                </c:pt>
                <c:pt idx="230">
                  <c:v>400</c:v>
                </c:pt>
                <c:pt idx="231">
                  <c:v>400</c:v>
                </c:pt>
                <c:pt idx="232">
                  <c:v>400</c:v>
                </c:pt>
                <c:pt idx="233">
                  <c:v>400</c:v>
                </c:pt>
                <c:pt idx="234">
                  <c:v>400</c:v>
                </c:pt>
                <c:pt idx="235">
                  <c:v>413.33333333333331</c:v>
                </c:pt>
                <c:pt idx="236">
                  <c:v>413.33333333333331</c:v>
                </c:pt>
                <c:pt idx="237">
                  <c:v>413.33333333333331</c:v>
                </c:pt>
                <c:pt idx="238">
                  <c:v>413.33333333333331</c:v>
                </c:pt>
                <c:pt idx="239">
                  <c:v>413.33333333333331</c:v>
                </c:pt>
                <c:pt idx="240">
                  <c:v>413.33333333333331</c:v>
                </c:pt>
                <c:pt idx="241">
                  <c:v>413.33333333333331</c:v>
                </c:pt>
                <c:pt idx="242">
                  <c:v>413.33333333333331</c:v>
                </c:pt>
                <c:pt idx="243">
                  <c:v>413.33333333333331</c:v>
                </c:pt>
                <c:pt idx="244">
                  <c:v>413.33333333333331</c:v>
                </c:pt>
                <c:pt idx="245">
                  <c:v>413.33333333333331</c:v>
                </c:pt>
                <c:pt idx="246">
                  <c:v>413.33333333333331</c:v>
                </c:pt>
                <c:pt idx="247">
                  <c:v>413.33333333333331</c:v>
                </c:pt>
                <c:pt idx="248">
                  <c:v>413.33333333333331</c:v>
                </c:pt>
                <c:pt idx="249">
                  <c:v>400</c:v>
                </c:pt>
                <c:pt idx="250">
                  <c:v>400</c:v>
                </c:pt>
                <c:pt idx="251">
                  <c:v>400</c:v>
                </c:pt>
                <c:pt idx="252">
                  <c:v>400</c:v>
                </c:pt>
                <c:pt idx="253">
                  <c:v>400</c:v>
                </c:pt>
                <c:pt idx="254">
                  <c:v>400</c:v>
                </c:pt>
                <c:pt idx="255">
                  <c:v>400</c:v>
                </c:pt>
                <c:pt idx="256">
                  <c:v>400</c:v>
                </c:pt>
                <c:pt idx="257">
                  <c:v>400</c:v>
                </c:pt>
                <c:pt idx="258">
                  <c:v>400</c:v>
                </c:pt>
                <c:pt idx="259">
                  <c:v>400</c:v>
                </c:pt>
                <c:pt idx="260">
                  <c:v>400</c:v>
                </c:pt>
                <c:pt idx="261">
                  <c:v>400</c:v>
                </c:pt>
                <c:pt idx="262">
                  <c:v>400</c:v>
                </c:pt>
                <c:pt idx="263">
                  <c:v>386.66666666666686</c:v>
                </c:pt>
                <c:pt idx="264">
                  <c:v>386.66666666666686</c:v>
                </c:pt>
                <c:pt idx="265">
                  <c:v>386.66666666666686</c:v>
                </c:pt>
                <c:pt idx="266">
                  <c:v>386.66666666666686</c:v>
                </c:pt>
                <c:pt idx="267">
                  <c:v>386.66666666666686</c:v>
                </c:pt>
                <c:pt idx="268">
                  <c:v>386.66666666666686</c:v>
                </c:pt>
                <c:pt idx="269">
                  <c:v>386.66666666666686</c:v>
                </c:pt>
                <c:pt idx="270">
                  <c:v>386.66666666666686</c:v>
                </c:pt>
                <c:pt idx="271">
                  <c:v>386.66666666666686</c:v>
                </c:pt>
                <c:pt idx="272">
                  <c:v>386.66666666666686</c:v>
                </c:pt>
                <c:pt idx="273">
                  <c:v>386.66666666666686</c:v>
                </c:pt>
                <c:pt idx="274">
                  <c:v>386.66666666666686</c:v>
                </c:pt>
                <c:pt idx="275">
                  <c:v>386.66666666666686</c:v>
                </c:pt>
                <c:pt idx="276">
                  <c:v>386.66666666666686</c:v>
                </c:pt>
                <c:pt idx="277">
                  <c:v>373.33333333333331</c:v>
                </c:pt>
                <c:pt idx="278">
                  <c:v>373.33333333333331</c:v>
                </c:pt>
                <c:pt idx="279">
                  <c:v>366.66666666666686</c:v>
                </c:pt>
                <c:pt idx="280">
                  <c:v>366.66666666666686</c:v>
                </c:pt>
                <c:pt idx="281">
                  <c:v>366.66666666666686</c:v>
                </c:pt>
                <c:pt idx="282">
                  <c:v>366.66666666666686</c:v>
                </c:pt>
                <c:pt idx="283">
                  <c:v>366.66666666666686</c:v>
                </c:pt>
                <c:pt idx="284">
                  <c:v>356.66666666666686</c:v>
                </c:pt>
                <c:pt idx="285">
                  <c:v>356.66666666666686</c:v>
                </c:pt>
                <c:pt idx="286">
                  <c:v>356.66666666666686</c:v>
                </c:pt>
                <c:pt idx="287">
                  <c:v>356.66666666666686</c:v>
                </c:pt>
                <c:pt idx="288">
                  <c:v>356.66666666666686</c:v>
                </c:pt>
                <c:pt idx="289">
                  <c:v>356.66666666666686</c:v>
                </c:pt>
                <c:pt idx="290">
                  <c:v>356.66666666666686</c:v>
                </c:pt>
                <c:pt idx="291">
                  <c:v>356.66666666666686</c:v>
                </c:pt>
                <c:pt idx="292">
                  <c:v>356.66666666666686</c:v>
                </c:pt>
                <c:pt idx="293">
                  <c:v>356.66666666666686</c:v>
                </c:pt>
                <c:pt idx="294">
                  <c:v>356.66666666666686</c:v>
                </c:pt>
                <c:pt idx="295">
                  <c:v>356.66666666666686</c:v>
                </c:pt>
                <c:pt idx="296">
                  <c:v>356.66666666666686</c:v>
                </c:pt>
                <c:pt idx="297">
                  <c:v>356.66666666666686</c:v>
                </c:pt>
                <c:pt idx="298">
                  <c:v>356.66666666666686</c:v>
                </c:pt>
                <c:pt idx="299">
                  <c:v>356.66666666666686</c:v>
                </c:pt>
                <c:pt idx="300">
                  <c:v>356.66666666666686</c:v>
                </c:pt>
                <c:pt idx="301">
                  <c:v>356.66666666666686</c:v>
                </c:pt>
                <c:pt idx="302">
                  <c:v>356.66666666666686</c:v>
                </c:pt>
                <c:pt idx="303">
                  <c:v>356.66666666666686</c:v>
                </c:pt>
                <c:pt idx="304">
                  <c:v>356.66666666666686</c:v>
                </c:pt>
                <c:pt idx="305">
                  <c:v>363.33333333333331</c:v>
                </c:pt>
                <c:pt idx="306">
                  <c:v>363.33333333333331</c:v>
                </c:pt>
                <c:pt idx="307">
                  <c:v>363.33333333333331</c:v>
                </c:pt>
                <c:pt idx="308">
                  <c:v>363.33333333333331</c:v>
                </c:pt>
                <c:pt idx="309">
                  <c:v>363.33333333333331</c:v>
                </c:pt>
                <c:pt idx="310">
                  <c:v>363.33333333333331</c:v>
                </c:pt>
                <c:pt idx="311">
                  <c:v>363.33333333333331</c:v>
                </c:pt>
                <c:pt idx="312">
                  <c:v>363.33333333333331</c:v>
                </c:pt>
                <c:pt idx="313">
                  <c:v>363.33333333333331</c:v>
                </c:pt>
                <c:pt idx="314">
                  <c:v>363.33333333333331</c:v>
                </c:pt>
                <c:pt idx="315">
                  <c:v>363.33333333333331</c:v>
                </c:pt>
                <c:pt idx="316">
                  <c:v>363.33333333333331</c:v>
                </c:pt>
                <c:pt idx="317">
                  <c:v>363.33333333333331</c:v>
                </c:pt>
                <c:pt idx="318">
                  <c:v>363.33333333333331</c:v>
                </c:pt>
                <c:pt idx="319">
                  <c:v>370</c:v>
                </c:pt>
                <c:pt idx="320">
                  <c:v>370</c:v>
                </c:pt>
                <c:pt idx="321">
                  <c:v>370</c:v>
                </c:pt>
                <c:pt idx="322">
                  <c:v>370</c:v>
                </c:pt>
                <c:pt idx="323">
                  <c:v>370</c:v>
                </c:pt>
              </c:numCache>
            </c:numRef>
          </c:val>
          <c:smooth val="0"/>
        </c:ser>
        <c:ser>
          <c:idx val="1"/>
          <c:order val="1"/>
          <c:tx>
            <c:strRef>
              <c:f>CRU、廢鋼、小鋼胚、平板鋼類、長條鋼類!$AA$1</c:f>
              <c:strCache>
                <c:ptCount val="1"/>
                <c:pt idx="0">
                  <c:v>鋼筋 土耳其 FOB(美元/公噸)</c:v>
                </c:pt>
              </c:strCache>
            </c:strRef>
          </c:tx>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CRU、廢鋼、小鋼胚、平板鋼類、長條鋼類!$AA$216:$AA$539</c:f>
              <c:numCache>
                <c:formatCode>General</c:formatCode>
                <c:ptCount val="324"/>
                <c:pt idx="0">
                  <c:v>510</c:v>
                </c:pt>
                <c:pt idx="1">
                  <c:v>510</c:v>
                </c:pt>
                <c:pt idx="2">
                  <c:v>510</c:v>
                </c:pt>
                <c:pt idx="3">
                  <c:v>510</c:v>
                </c:pt>
                <c:pt idx="4">
                  <c:v>510</c:v>
                </c:pt>
                <c:pt idx="5">
                  <c:v>510</c:v>
                </c:pt>
                <c:pt idx="6">
                  <c:v>510</c:v>
                </c:pt>
                <c:pt idx="7">
                  <c:v>510</c:v>
                </c:pt>
                <c:pt idx="8">
                  <c:v>510</c:v>
                </c:pt>
                <c:pt idx="9">
                  <c:v>510</c:v>
                </c:pt>
                <c:pt idx="10">
                  <c:v>510</c:v>
                </c:pt>
                <c:pt idx="11">
                  <c:v>510</c:v>
                </c:pt>
                <c:pt idx="12">
                  <c:v>510</c:v>
                </c:pt>
                <c:pt idx="13">
                  <c:v>510</c:v>
                </c:pt>
                <c:pt idx="14">
                  <c:v>510</c:v>
                </c:pt>
                <c:pt idx="15">
                  <c:v>510</c:v>
                </c:pt>
                <c:pt idx="16">
                  <c:v>510</c:v>
                </c:pt>
                <c:pt idx="17">
                  <c:v>510</c:v>
                </c:pt>
                <c:pt idx="18">
                  <c:v>510</c:v>
                </c:pt>
                <c:pt idx="19">
                  <c:v>510</c:v>
                </c:pt>
                <c:pt idx="20">
                  <c:v>495</c:v>
                </c:pt>
                <c:pt idx="21">
                  <c:v>495</c:v>
                </c:pt>
                <c:pt idx="22">
                  <c:v>495</c:v>
                </c:pt>
                <c:pt idx="23">
                  <c:v>495</c:v>
                </c:pt>
                <c:pt idx="24">
                  <c:v>495</c:v>
                </c:pt>
                <c:pt idx="25">
                  <c:v>495</c:v>
                </c:pt>
                <c:pt idx="26">
                  <c:v>495</c:v>
                </c:pt>
                <c:pt idx="27">
                  <c:v>490</c:v>
                </c:pt>
                <c:pt idx="28">
                  <c:v>490</c:v>
                </c:pt>
                <c:pt idx="29">
                  <c:v>490</c:v>
                </c:pt>
                <c:pt idx="30">
                  <c:v>490</c:v>
                </c:pt>
                <c:pt idx="31">
                  <c:v>490</c:v>
                </c:pt>
                <c:pt idx="32">
                  <c:v>490</c:v>
                </c:pt>
                <c:pt idx="33">
                  <c:v>490</c:v>
                </c:pt>
                <c:pt idx="34">
                  <c:v>490</c:v>
                </c:pt>
                <c:pt idx="35">
                  <c:v>490</c:v>
                </c:pt>
                <c:pt idx="36">
                  <c:v>490</c:v>
                </c:pt>
                <c:pt idx="37">
                  <c:v>490</c:v>
                </c:pt>
                <c:pt idx="38">
                  <c:v>490</c:v>
                </c:pt>
                <c:pt idx="39">
                  <c:v>490</c:v>
                </c:pt>
                <c:pt idx="40">
                  <c:v>490</c:v>
                </c:pt>
                <c:pt idx="41">
                  <c:v>480</c:v>
                </c:pt>
                <c:pt idx="42">
                  <c:v>480</c:v>
                </c:pt>
                <c:pt idx="43">
                  <c:v>480</c:v>
                </c:pt>
                <c:pt idx="44">
                  <c:v>480</c:v>
                </c:pt>
                <c:pt idx="45">
                  <c:v>480</c:v>
                </c:pt>
                <c:pt idx="46">
                  <c:v>480</c:v>
                </c:pt>
                <c:pt idx="47">
                  <c:v>480</c:v>
                </c:pt>
                <c:pt idx="48">
                  <c:v>480</c:v>
                </c:pt>
                <c:pt idx="49">
                  <c:v>480</c:v>
                </c:pt>
                <c:pt idx="50">
                  <c:v>480</c:v>
                </c:pt>
                <c:pt idx="51">
                  <c:v>480</c:v>
                </c:pt>
                <c:pt idx="52">
                  <c:v>480</c:v>
                </c:pt>
                <c:pt idx="53">
                  <c:v>480</c:v>
                </c:pt>
                <c:pt idx="54">
                  <c:v>480</c:v>
                </c:pt>
                <c:pt idx="55">
                  <c:v>480</c:v>
                </c:pt>
                <c:pt idx="56">
                  <c:v>480</c:v>
                </c:pt>
                <c:pt idx="57">
                  <c:v>480</c:v>
                </c:pt>
                <c:pt idx="58">
                  <c:v>480</c:v>
                </c:pt>
                <c:pt idx="59">
                  <c:v>480</c:v>
                </c:pt>
                <c:pt idx="60">
                  <c:v>480</c:v>
                </c:pt>
                <c:pt idx="61">
                  <c:v>480</c:v>
                </c:pt>
                <c:pt idx="62">
                  <c:v>435</c:v>
                </c:pt>
                <c:pt idx="63">
                  <c:v>435</c:v>
                </c:pt>
                <c:pt idx="64">
                  <c:v>435</c:v>
                </c:pt>
                <c:pt idx="65">
                  <c:v>435</c:v>
                </c:pt>
                <c:pt idx="66">
                  <c:v>435</c:v>
                </c:pt>
                <c:pt idx="67">
                  <c:v>435</c:v>
                </c:pt>
                <c:pt idx="68">
                  <c:v>435</c:v>
                </c:pt>
                <c:pt idx="69">
                  <c:v>435</c:v>
                </c:pt>
                <c:pt idx="70">
                  <c:v>435</c:v>
                </c:pt>
                <c:pt idx="71">
                  <c:v>435</c:v>
                </c:pt>
                <c:pt idx="72">
                  <c:v>435</c:v>
                </c:pt>
                <c:pt idx="73">
                  <c:v>435</c:v>
                </c:pt>
                <c:pt idx="74">
                  <c:v>435</c:v>
                </c:pt>
                <c:pt idx="75">
                  <c:v>435</c:v>
                </c:pt>
                <c:pt idx="76">
                  <c:v>445</c:v>
                </c:pt>
                <c:pt idx="77">
                  <c:v>445</c:v>
                </c:pt>
                <c:pt idx="78">
                  <c:v>445</c:v>
                </c:pt>
                <c:pt idx="79">
                  <c:v>445</c:v>
                </c:pt>
                <c:pt idx="80">
                  <c:v>445</c:v>
                </c:pt>
                <c:pt idx="81">
                  <c:v>445</c:v>
                </c:pt>
                <c:pt idx="82">
                  <c:v>445</c:v>
                </c:pt>
                <c:pt idx="83">
                  <c:v>440</c:v>
                </c:pt>
                <c:pt idx="84">
                  <c:v>440</c:v>
                </c:pt>
                <c:pt idx="85">
                  <c:v>440</c:v>
                </c:pt>
                <c:pt idx="86">
                  <c:v>440</c:v>
                </c:pt>
                <c:pt idx="87">
                  <c:v>440</c:v>
                </c:pt>
                <c:pt idx="88">
                  <c:v>440</c:v>
                </c:pt>
                <c:pt idx="89">
                  <c:v>440</c:v>
                </c:pt>
                <c:pt idx="90">
                  <c:v>445</c:v>
                </c:pt>
                <c:pt idx="91">
                  <c:v>445</c:v>
                </c:pt>
                <c:pt idx="92">
                  <c:v>445</c:v>
                </c:pt>
                <c:pt idx="93">
                  <c:v>445</c:v>
                </c:pt>
                <c:pt idx="94">
                  <c:v>445</c:v>
                </c:pt>
                <c:pt idx="95">
                  <c:v>445</c:v>
                </c:pt>
                <c:pt idx="96">
                  <c:v>445</c:v>
                </c:pt>
                <c:pt idx="97">
                  <c:v>445</c:v>
                </c:pt>
                <c:pt idx="98">
                  <c:v>445</c:v>
                </c:pt>
                <c:pt idx="99">
                  <c:v>445</c:v>
                </c:pt>
                <c:pt idx="100">
                  <c:v>445</c:v>
                </c:pt>
                <c:pt idx="101">
                  <c:v>445</c:v>
                </c:pt>
                <c:pt idx="102">
                  <c:v>445</c:v>
                </c:pt>
                <c:pt idx="103">
                  <c:v>445</c:v>
                </c:pt>
                <c:pt idx="104">
                  <c:v>440</c:v>
                </c:pt>
                <c:pt idx="105">
                  <c:v>440</c:v>
                </c:pt>
                <c:pt idx="106">
                  <c:v>440</c:v>
                </c:pt>
                <c:pt idx="107">
                  <c:v>440</c:v>
                </c:pt>
                <c:pt idx="108">
                  <c:v>440</c:v>
                </c:pt>
                <c:pt idx="109">
                  <c:v>440</c:v>
                </c:pt>
                <c:pt idx="110">
                  <c:v>440</c:v>
                </c:pt>
                <c:pt idx="111">
                  <c:v>440</c:v>
                </c:pt>
                <c:pt idx="112">
                  <c:v>440</c:v>
                </c:pt>
                <c:pt idx="113">
                  <c:v>440</c:v>
                </c:pt>
                <c:pt idx="114">
                  <c:v>440</c:v>
                </c:pt>
                <c:pt idx="115">
                  <c:v>440</c:v>
                </c:pt>
                <c:pt idx="116">
                  <c:v>440</c:v>
                </c:pt>
                <c:pt idx="117">
                  <c:v>440</c:v>
                </c:pt>
                <c:pt idx="118">
                  <c:v>455</c:v>
                </c:pt>
                <c:pt idx="119">
                  <c:v>455</c:v>
                </c:pt>
                <c:pt idx="120">
                  <c:v>455</c:v>
                </c:pt>
                <c:pt idx="121">
                  <c:v>455</c:v>
                </c:pt>
                <c:pt idx="122">
                  <c:v>455</c:v>
                </c:pt>
                <c:pt idx="123">
                  <c:v>455</c:v>
                </c:pt>
                <c:pt idx="124">
                  <c:v>455</c:v>
                </c:pt>
                <c:pt idx="125">
                  <c:v>460</c:v>
                </c:pt>
                <c:pt idx="126">
                  <c:v>460</c:v>
                </c:pt>
                <c:pt idx="127">
                  <c:v>460</c:v>
                </c:pt>
                <c:pt idx="128">
                  <c:v>460</c:v>
                </c:pt>
                <c:pt idx="129">
                  <c:v>460</c:v>
                </c:pt>
                <c:pt idx="130">
                  <c:v>460</c:v>
                </c:pt>
                <c:pt idx="131">
                  <c:v>460</c:v>
                </c:pt>
                <c:pt idx="132">
                  <c:v>450</c:v>
                </c:pt>
                <c:pt idx="133">
                  <c:v>450</c:v>
                </c:pt>
                <c:pt idx="134">
                  <c:v>450</c:v>
                </c:pt>
                <c:pt idx="135">
                  <c:v>450</c:v>
                </c:pt>
                <c:pt idx="136">
                  <c:v>450</c:v>
                </c:pt>
                <c:pt idx="137">
                  <c:v>450</c:v>
                </c:pt>
                <c:pt idx="138">
                  <c:v>450</c:v>
                </c:pt>
                <c:pt idx="139">
                  <c:v>455</c:v>
                </c:pt>
                <c:pt idx="140">
                  <c:v>455</c:v>
                </c:pt>
                <c:pt idx="141">
                  <c:v>455</c:v>
                </c:pt>
                <c:pt idx="142">
                  <c:v>455</c:v>
                </c:pt>
                <c:pt idx="143">
                  <c:v>455</c:v>
                </c:pt>
                <c:pt idx="144">
                  <c:v>455</c:v>
                </c:pt>
                <c:pt idx="145">
                  <c:v>455</c:v>
                </c:pt>
                <c:pt idx="146">
                  <c:v>460</c:v>
                </c:pt>
                <c:pt idx="147">
                  <c:v>460</c:v>
                </c:pt>
                <c:pt idx="148">
                  <c:v>460</c:v>
                </c:pt>
                <c:pt idx="149">
                  <c:v>460</c:v>
                </c:pt>
                <c:pt idx="150">
                  <c:v>460</c:v>
                </c:pt>
                <c:pt idx="151">
                  <c:v>460</c:v>
                </c:pt>
                <c:pt idx="152">
                  <c:v>460</c:v>
                </c:pt>
                <c:pt idx="153">
                  <c:v>455</c:v>
                </c:pt>
                <c:pt idx="154">
                  <c:v>455</c:v>
                </c:pt>
                <c:pt idx="155">
                  <c:v>455</c:v>
                </c:pt>
                <c:pt idx="156">
                  <c:v>455</c:v>
                </c:pt>
                <c:pt idx="157">
                  <c:v>455</c:v>
                </c:pt>
                <c:pt idx="158">
                  <c:v>455</c:v>
                </c:pt>
                <c:pt idx="159">
                  <c:v>455</c:v>
                </c:pt>
                <c:pt idx="160">
                  <c:v>455</c:v>
                </c:pt>
                <c:pt idx="161">
                  <c:v>450</c:v>
                </c:pt>
                <c:pt idx="162">
                  <c:v>450</c:v>
                </c:pt>
                <c:pt idx="163">
                  <c:v>450</c:v>
                </c:pt>
                <c:pt idx="164">
                  <c:v>450</c:v>
                </c:pt>
                <c:pt idx="165">
                  <c:v>450</c:v>
                </c:pt>
                <c:pt idx="166">
                  <c:v>450</c:v>
                </c:pt>
                <c:pt idx="167">
                  <c:v>450</c:v>
                </c:pt>
                <c:pt idx="168">
                  <c:v>450</c:v>
                </c:pt>
                <c:pt idx="169">
                  <c:v>450</c:v>
                </c:pt>
                <c:pt idx="170">
                  <c:v>450</c:v>
                </c:pt>
                <c:pt idx="171">
                  <c:v>450</c:v>
                </c:pt>
                <c:pt idx="172">
                  <c:v>450</c:v>
                </c:pt>
                <c:pt idx="173">
                  <c:v>450</c:v>
                </c:pt>
                <c:pt idx="174">
                  <c:v>440</c:v>
                </c:pt>
                <c:pt idx="175">
                  <c:v>440</c:v>
                </c:pt>
                <c:pt idx="176">
                  <c:v>440</c:v>
                </c:pt>
                <c:pt idx="177">
                  <c:v>440</c:v>
                </c:pt>
                <c:pt idx="178">
                  <c:v>440</c:v>
                </c:pt>
                <c:pt idx="179">
                  <c:v>440</c:v>
                </c:pt>
                <c:pt idx="180">
                  <c:v>440</c:v>
                </c:pt>
                <c:pt idx="181">
                  <c:v>425</c:v>
                </c:pt>
                <c:pt idx="182">
                  <c:v>425</c:v>
                </c:pt>
                <c:pt idx="183">
                  <c:v>425</c:v>
                </c:pt>
                <c:pt idx="184">
                  <c:v>425</c:v>
                </c:pt>
                <c:pt idx="185">
                  <c:v>425</c:v>
                </c:pt>
                <c:pt idx="186">
                  <c:v>425</c:v>
                </c:pt>
                <c:pt idx="187">
                  <c:v>425</c:v>
                </c:pt>
                <c:pt idx="188">
                  <c:v>410</c:v>
                </c:pt>
                <c:pt idx="189">
                  <c:v>410</c:v>
                </c:pt>
                <c:pt idx="190">
                  <c:v>410</c:v>
                </c:pt>
                <c:pt idx="191">
                  <c:v>410</c:v>
                </c:pt>
                <c:pt idx="192">
                  <c:v>410</c:v>
                </c:pt>
                <c:pt idx="193">
                  <c:v>410</c:v>
                </c:pt>
                <c:pt idx="194">
                  <c:v>410</c:v>
                </c:pt>
                <c:pt idx="195">
                  <c:v>410</c:v>
                </c:pt>
                <c:pt idx="196">
                  <c:v>410</c:v>
                </c:pt>
                <c:pt idx="197">
                  <c:v>410</c:v>
                </c:pt>
                <c:pt idx="198">
                  <c:v>410</c:v>
                </c:pt>
                <c:pt idx="199">
                  <c:v>410</c:v>
                </c:pt>
                <c:pt idx="200">
                  <c:v>410</c:v>
                </c:pt>
                <c:pt idx="201">
                  <c:v>410</c:v>
                </c:pt>
                <c:pt idx="202">
                  <c:v>405</c:v>
                </c:pt>
                <c:pt idx="203">
                  <c:v>405</c:v>
                </c:pt>
                <c:pt idx="204">
                  <c:v>405</c:v>
                </c:pt>
                <c:pt idx="205">
                  <c:v>405</c:v>
                </c:pt>
                <c:pt idx="206">
                  <c:v>405</c:v>
                </c:pt>
                <c:pt idx="207">
                  <c:v>405</c:v>
                </c:pt>
                <c:pt idx="208">
                  <c:v>405</c:v>
                </c:pt>
                <c:pt idx="209">
                  <c:v>405</c:v>
                </c:pt>
                <c:pt idx="210">
                  <c:v>405</c:v>
                </c:pt>
                <c:pt idx="211">
                  <c:v>405</c:v>
                </c:pt>
                <c:pt idx="212">
                  <c:v>405</c:v>
                </c:pt>
                <c:pt idx="213">
                  <c:v>405</c:v>
                </c:pt>
                <c:pt idx="214">
                  <c:v>405</c:v>
                </c:pt>
                <c:pt idx="215">
                  <c:v>405</c:v>
                </c:pt>
                <c:pt idx="216">
                  <c:v>395</c:v>
                </c:pt>
                <c:pt idx="217">
                  <c:v>395</c:v>
                </c:pt>
                <c:pt idx="218">
                  <c:v>395</c:v>
                </c:pt>
                <c:pt idx="219">
                  <c:v>395</c:v>
                </c:pt>
                <c:pt idx="220">
                  <c:v>395</c:v>
                </c:pt>
                <c:pt idx="221">
                  <c:v>395</c:v>
                </c:pt>
                <c:pt idx="222">
                  <c:v>395</c:v>
                </c:pt>
                <c:pt idx="223">
                  <c:v>395</c:v>
                </c:pt>
                <c:pt idx="224">
                  <c:v>395</c:v>
                </c:pt>
                <c:pt idx="225">
                  <c:v>395</c:v>
                </c:pt>
                <c:pt idx="226">
                  <c:v>395</c:v>
                </c:pt>
                <c:pt idx="227">
                  <c:v>395</c:v>
                </c:pt>
                <c:pt idx="228">
                  <c:v>395</c:v>
                </c:pt>
                <c:pt idx="229">
                  <c:v>395</c:v>
                </c:pt>
                <c:pt idx="230">
                  <c:v>395</c:v>
                </c:pt>
                <c:pt idx="231">
                  <c:v>395</c:v>
                </c:pt>
                <c:pt idx="232">
                  <c:v>395</c:v>
                </c:pt>
                <c:pt idx="233">
                  <c:v>395</c:v>
                </c:pt>
                <c:pt idx="234">
                  <c:v>395</c:v>
                </c:pt>
                <c:pt idx="235">
                  <c:v>395</c:v>
                </c:pt>
                <c:pt idx="236">
                  <c:v>395</c:v>
                </c:pt>
                <c:pt idx="237">
                  <c:v>395</c:v>
                </c:pt>
                <c:pt idx="238">
                  <c:v>395</c:v>
                </c:pt>
                <c:pt idx="239">
                  <c:v>395</c:v>
                </c:pt>
                <c:pt idx="240">
                  <c:v>395</c:v>
                </c:pt>
                <c:pt idx="241">
                  <c:v>395</c:v>
                </c:pt>
                <c:pt idx="242">
                  <c:v>395</c:v>
                </c:pt>
                <c:pt idx="243">
                  <c:v>395</c:v>
                </c:pt>
                <c:pt idx="244">
                  <c:v>385</c:v>
                </c:pt>
                <c:pt idx="245">
                  <c:v>385</c:v>
                </c:pt>
                <c:pt idx="246">
                  <c:v>385</c:v>
                </c:pt>
                <c:pt idx="247">
                  <c:v>385</c:v>
                </c:pt>
                <c:pt idx="248">
                  <c:v>385</c:v>
                </c:pt>
                <c:pt idx="249">
                  <c:v>385</c:v>
                </c:pt>
                <c:pt idx="250">
                  <c:v>385</c:v>
                </c:pt>
                <c:pt idx="251">
                  <c:v>375</c:v>
                </c:pt>
                <c:pt idx="252">
                  <c:v>375</c:v>
                </c:pt>
                <c:pt idx="253">
                  <c:v>375</c:v>
                </c:pt>
                <c:pt idx="254">
                  <c:v>375</c:v>
                </c:pt>
                <c:pt idx="255">
                  <c:v>375</c:v>
                </c:pt>
                <c:pt idx="256">
                  <c:v>375</c:v>
                </c:pt>
                <c:pt idx="257">
                  <c:v>375</c:v>
                </c:pt>
                <c:pt idx="258">
                  <c:v>375</c:v>
                </c:pt>
                <c:pt idx="259">
                  <c:v>375</c:v>
                </c:pt>
                <c:pt idx="260">
                  <c:v>375</c:v>
                </c:pt>
                <c:pt idx="261">
                  <c:v>375</c:v>
                </c:pt>
                <c:pt idx="262">
                  <c:v>375</c:v>
                </c:pt>
                <c:pt idx="263">
                  <c:v>375</c:v>
                </c:pt>
                <c:pt idx="264">
                  <c:v>375</c:v>
                </c:pt>
                <c:pt idx="265">
                  <c:v>375</c:v>
                </c:pt>
                <c:pt idx="266">
                  <c:v>375</c:v>
                </c:pt>
                <c:pt idx="267">
                  <c:v>375</c:v>
                </c:pt>
                <c:pt idx="268">
                  <c:v>375</c:v>
                </c:pt>
                <c:pt idx="269">
                  <c:v>375</c:v>
                </c:pt>
                <c:pt idx="270">
                  <c:v>375</c:v>
                </c:pt>
                <c:pt idx="271">
                  <c:v>375</c:v>
                </c:pt>
                <c:pt idx="272">
                  <c:v>375</c:v>
                </c:pt>
                <c:pt idx="273">
                  <c:v>375</c:v>
                </c:pt>
                <c:pt idx="274">
                  <c:v>375</c:v>
                </c:pt>
                <c:pt idx="275">
                  <c:v>375</c:v>
                </c:pt>
                <c:pt idx="276">
                  <c:v>375</c:v>
                </c:pt>
                <c:pt idx="277">
                  <c:v>375</c:v>
                </c:pt>
                <c:pt idx="278">
                  <c:v>375</c:v>
                </c:pt>
                <c:pt idx="279">
                  <c:v>375</c:v>
                </c:pt>
                <c:pt idx="280">
                  <c:v>375</c:v>
                </c:pt>
                <c:pt idx="281">
                  <c:v>375</c:v>
                </c:pt>
                <c:pt idx="282">
                  <c:v>375</c:v>
                </c:pt>
                <c:pt idx="283">
                  <c:v>375</c:v>
                </c:pt>
                <c:pt idx="284">
                  <c:v>375</c:v>
                </c:pt>
                <c:pt idx="285">
                  <c:v>375</c:v>
                </c:pt>
                <c:pt idx="286">
                  <c:v>345</c:v>
                </c:pt>
                <c:pt idx="287">
                  <c:v>345</c:v>
                </c:pt>
                <c:pt idx="288">
                  <c:v>345</c:v>
                </c:pt>
                <c:pt idx="289">
                  <c:v>345</c:v>
                </c:pt>
                <c:pt idx="290">
                  <c:v>345</c:v>
                </c:pt>
                <c:pt idx="291">
                  <c:v>345</c:v>
                </c:pt>
                <c:pt idx="292">
                  <c:v>345</c:v>
                </c:pt>
                <c:pt idx="293">
                  <c:v>330</c:v>
                </c:pt>
                <c:pt idx="294">
                  <c:v>330</c:v>
                </c:pt>
                <c:pt idx="295">
                  <c:v>330</c:v>
                </c:pt>
                <c:pt idx="296">
                  <c:v>330</c:v>
                </c:pt>
                <c:pt idx="297">
                  <c:v>330</c:v>
                </c:pt>
                <c:pt idx="298">
                  <c:v>330</c:v>
                </c:pt>
                <c:pt idx="299">
                  <c:v>330</c:v>
                </c:pt>
                <c:pt idx="300">
                  <c:v>320</c:v>
                </c:pt>
                <c:pt idx="301">
                  <c:v>320</c:v>
                </c:pt>
                <c:pt idx="302">
                  <c:v>320</c:v>
                </c:pt>
                <c:pt idx="303">
                  <c:v>320</c:v>
                </c:pt>
                <c:pt idx="304">
                  <c:v>320</c:v>
                </c:pt>
                <c:pt idx="305">
                  <c:v>320</c:v>
                </c:pt>
                <c:pt idx="306">
                  <c:v>320</c:v>
                </c:pt>
                <c:pt idx="307">
                  <c:v>315</c:v>
                </c:pt>
                <c:pt idx="308">
                  <c:v>315</c:v>
                </c:pt>
                <c:pt idx="309">
                  <c:v>315</c:v>
                </c:pt>
                <c:pt idx="310">
                  <c:v>315</c:v>
                </c:pt>
                <c:pt idx="311">
                  <c:v>315</c:v>
                </c:pt>
                <c:pt idx="312">
                  <c:v>315</c:v>
                </c:pt>
                <c:pt idx="313">
                  <c:v>315</c:v>
                </c:pt>
                <c:pt idx="314">
                  <c:v>335</c:v>
                </c:pt>
                <c:pt idx="315">
                  <c:v>335</c:v>
                </c:pt>
                <c:pt idx="316">
                  <c:v>335</c:v>
                </c:pt>
                <c:pt idx="317">
                  <c:v>335</c:v>
                </c:pt>
                <c:pt idx="318">
                  <c:v>335</c:v>
                </c:pt>
                <c:pt idx="319">
                  <c:v>335</c:v>
                </c:pt>
                <c:pt idx="320">
                  <c:v>340</c:v>
                </c:pt>
                <c:pt idx="321">
                  <c:v>340</c:v>
                </c:pt>
                <c:pt idx="322">
                  <c:v>340</c:v>
                </c:pt>
                <c:pt idx="323">
                  <c:v>340</c:v>
                </c:pt>
              </c:numCache>
            </c:numRef>
          </c:val>
          <c:smooth val="0"/>
        </c:ser>
        <c:dLbls>
          <c:showLegendKey val="0"/>
          <c:showVal val="0"/>
          <c:showCatName val="0"/>
          <c:showSerName val="0"/>
          <c:showPercent val="0"/>
          <c:showBubbleSize val="0"/>
        </c:dLbls>
        <c:marker val="1"/>
        <c:smooth val="0"/>
        <c:axId val="263468928"/>
        <c:axId val="263470464"/>
      </c:lineChart>
      <c:dateAx>
        <c:axId val="263468928"/>
        <c:scaling>
          <c:orientation val="minMax"/>
          <c:max val="42328"/>
        </c:scaling>
        <c:delete val="0"/>
        <c:axPos val="b"/>
        <c:numFmt formatCode="m/d/yyyy" sourceLinked="1"/>
        <c:majorTickMark val="out"/>
        <c:minorTickMark val="none"/>
        <c:tickLblPos val="nextTo"/>
        <c:crossAx val="263470464"/>
        <c:crosses val="autoZero"/>
        <c:auto val="1"/>
        <c:lblOffset val="100"/>
        <c:baseTimeUnit val="days"/>
        <c:majorUnit val="1"/>
        <c:majorTimeUnit val="months"/>
        <c:minorUnit val="1"/>
        <c:minorTimeUnit val="months"/>
      </c:dateAx>
      <c:valAx>
        <c:axId val="263470464"/>
        <c:scaling>
          <c:orientation val="minMax"/>
          <c:min val="300"/>
        </c:scaling>
        <c:delete val="0"/>
        <c:axPos val="l"/>
        <c:majorGridlines/>
        <c:numFmt formatCode="General" sourceLinked="1"/>
        <c:majorTickMark val="out"/>
        <c:minorTickMark val="none"/>
        <c:tickLblPos val="nextTo"/>
        <c:crossAx val="263468928"/>
        <c:crosses val="autoZero"/>
        <c:crossBetween val="between"/>
      </c:valAx>
    </c:plotArea>
    <c:legend>
      <c:legendPos val="b"/>
      <c:layout>
        <c:manualLayout>
          <c:xMode val="edge"/>
          <c:yMode val="edge"/>
          <c:x val="0.2333325717767116"/>
          <c:y val="0.86949176241030712"/>
          <c:w val="0.59240226944571273"/>
          <c:h val="0.12941584149327257"/>
        </c:manualLayout>
      </c:layout>
      <c:overlay val="0"/>
    </c:legend>
    <c:plotVisOnly val="1"/>
    <c:dispBlanksAs val="gap"/>
    <c:showDLblsOverMax val="0"/>
  </c:chart>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3061327550611413E-2"/>
          <c:y val="4.6226102099881046E-2"/>
          <c:w val="0.87270708631010097"/>
          <c:h val="0.72530971697932811"/>
        </c:manualLayout>
      </c:layout>
      <c:lineChart>
        <c:grouping val="standard"/>
        <c:varyColors val="0"/>
        <c:ser>
          <c:idx val="0"/>
          <c:order val="0"/>
          <c:tx>
            <c:strRef>
              <c:f>CRU、廢鋼、小鋼胚、平板鋼類、長條鋼類!$AB$1</c:f>
              <c:strCache>
                <c:ptCount val="1"/>
                <c:pt idx="0">
                  <c:v>H型鋼 100*100mm-175*175mm 東鋼 未稅出廠價(美元/公噸)</c:v>
                </c:pt>
              </c:strCache>
            </c:strRef>
          </c:tx>
          <c:marker>
            <c:symbol val="none"/>
          </c:marker>
          <c:cat>
            <c:numRef>
              <c:f>CRU、廢鋼、小鋼胚、平板鋼類、長條鋼類!$O$216:$O$539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CRU、廢鋼、小鋼胚、平板鋼類、長條鋼類!$AB$216:$AB$539</c:f>
              <c:numCache>
                <c:formatCode>General</c:formatCode>
                <c:ptCount val="324"/>
                <c:pt idx="0">
                  <c:v>723.3333333333336</c:v>
                </c:pt>
                <c:pt idx="1">
                  <c:v>723.3333333333336</c:v>
                </c:pt>
                <c:pt idx="2">
                  <c:v>723.3333333333336</c:v>
                </c:pt>
                <c:pt idx="3">
                  <c:v>723.3333333333336</c:v>
                </c:pt>
                <c:pt idx="4">
                  <c:v>723.3333333333336</c:v>
                </c:pt>
                <c:pt idx="5">
                  <c:v>723.3333333333336</c:v>
                </c:pt>
                <c:pt idx="6">
                  <c:v>723.3333333333336</c:v>
                </c:pt>
                <c:pt idx="7">
                  <c:v>723.3333333333336</c:v>
                </c:pt>
                <c:pt idx="8">
                  <c:v>723.3333333333336</c:v>
                </c:pt>
                <c:pt idx="9">
                  <c:v>723.3333333333336</c:v>
                </c:pt>
                <c:pt idx="10">
                  <c:v>723.3333333333336</c:v>
                </c:pt>
                <c:pt idx="11">
                  <c:v>723.3333333333336</c:v>
                </c:pt>
                <c:pt idx="12">
                  <c:v>723.3333333333336</c:v>
                </c:pt>
                <c:pt idx="13">
                  <c:v>723.3333333333336</c:v>
                </c:pt>
                <c:pt idx="14">
                  <c:v>723.3333333333336</c:v>
                </c:pt>
                <c:pt idx="15">
                  <c:v>723.3333333333336</c:v>
                </c:pt>
                <c:pt idx="16">
                  <c:v>723.3333333333336</c:v>
                </c:pt>
                <c:pt idx="17">
                  <c:v>723.3333333333336</c:v>
                </c:pt>
                <c:pt idx="18">
                  <c:v>723.3333333333336</c:v>
                </c:pt>
                <c:pt idx="19">
                  <c:v>723.3333333333336</c:v>
                </c:pt>
                <c:pt idx="20">
                  <c:v>723.3333333333336</c:v>
                </c:pt>
                <c:pt idx="21">
                  <c:v>723.3333333333336</c:v>
                </c:pt>
                <c:pt idx="22">
                  <c:v>723.3333333333336</c:v>
                </c:pt>
                <c:pt idx="23">
                  <c:v>723.3333333333336</c:v>
                </c:pt>
                <c:pt idx="24">
                  <c:v>723.3333333333336</c:v>
                </c:pt>
                <c:pt idx="25">
                  <c:v>723.3333333333336</c:v>
                </c:pt>
                <c:pt idx="26">
                  <c:v>723.3333333333336</c:v>
                </c:pt>
                <c:pt idx="27">
                  <c:v>723.3333333333336</c:v>
                </c:pt>
                <c:pt idx="28">
                  <c:v>723.3333333333336</c:v>
                </c:pt>
                <c:pt idx="29">
                  <c:v>723.3333333333336</c:v>
                </c:pt>
                <c:pt idx="30">
                  <c:v>723.3333333333336</c:v>
                </c:pt>
                <c:pt idx="31">
                  <c:v>723.3333333333336</c:v>
                </c:pt>
                <c:pt idx="32">
                  <c:v>723.3333333333336</c:v>
                </c:pt>
                <c:pt idx="33">
                  <c:v>723.3333333333336</c:v>
                </c:pt>
                <c:pt idx="34">
                  <c:v>723.3333333333336</c:v>
                </c:pt>
                <c:pt idx="35">
                  <c:v>723.3333333333336</c:v>
                </c:pt>
                <c:pt idx="36">
                  <c:v>723.3333333333336</c:v>
                </c:pt>
                <c:pt idx="37">
                  <c:v>723.3333333333336</c:v>
                </c:pt>
                <c:pt idx="38">
                  <c:v>723.3333333333336</c:v>
                </c:pt>
                <c:pt idx="39">
                  <c:v>723.3333333333336</c:v>
                </c:pt>
                <c:pt idx="40">
                  <c:v>723.3333333333336</c:v>
                </c:pt>
                <c:pt idx="41">
                  <c:v>723.3333333333336</c:v>
                </c:pt>
                <c:pt idx="42">
                  <c:v>723.3333333333336</c:v>
                </c:pt>
                <c:pt idx="43">
                  <c:v>723.3333333333336</c:v>
                </c:pt>
                <c:pt idx="44">
                  <c:v>723.3333333333336</c:v>
                </c:pt>
                <c:pt idx="45">
                  <c:v>723.3333333333336</c:v>
                </c:pt>
                <c:pt idx="46">
                  <c:v>723.3333333333336</c:v>
                </c:pt>
                <c:pt idx="47">
                  <c:v>723.3333333333336</c:v>
                </c:pt>
                <c:pt idx="48">
                  <c:v>723.3333333333336</c:v>
                </c:pt>
                <c:pt idx="49">
                  <c:v>723.3333333333336</c:v>
                </c:pt>
                <c:pt idx="50">
                  <c:v>723.3333333333336</c:v>
                </c:pt>
                <c:pt idx="51">
                  <c:v>723.3333333333336</c:v>
                </c:pt>
                <c:pt idx="52">
                  <c:v>723.3333333333336</c:v>
                </c:pt>
                <c:pt idx="53">
                  <c:v>723.3333333333336</c:v>
                </c:pt>
                <c:pt idx="54">
                  <c:v>723.3333333333336</c:v>
                </c:pt>
                <c:pt idx="55">
                  <c:v>723.3333333333336</c:v>
                </c:pt>
                <c:pt idx="56">
                  <c:v>723.3333333333336</c:v>
                </c:pt>
                <c:pt idx="57">
                  <c:v>723.3333333333336</c:v>
                </c:pt>
                <c:pt idx="58">
                  <c:v>723.3333333333336</c:v>
                </c:pt>
                <c:pt idx="59">
                  <c:v>716.66666666666663</c:v>
                </c:pt>
                <c:pt idx="60">
                  <c:v>716.66666666666663</c:v>
                </c:pt>
                <c:pt idx="61">
                  <c:v>716.66666666666663</c:v>
                </c:pt>
                <c:pt idx="62">
                  <c:v>716.66666666666663</c:v>
                </c:pt>
                <c:pt idx="63">
                  <c:v>716.66666666666663</c:v>
                </c:pt>
                <c:pt idx="64">
                  <c:v>716.66666666666663</c:v>
                </c:pt>
                <c:pt idx="65">
                  <c:v>716.66666666666663</c:v>
                </c:pt>
                <c:pt idx="66">
                  <c:v>716.66666666666663</c:v>
                </c:pt>
                <c:pt idx="67">
                  <c:v>716.66666666666663</c:v>
                </c:pt>
                <c:pt idx="68">
                  <c:v>716.66666666666663</c:v>
                </c:pt>
                <c:pt idx="69">
                  <c:v>716.66666666666663</c:v>
                </c:pt>
                <c:pt idx="70">
                  <c:v>716.66666666666663</c:v>
                </c:pt>
                <c:pt idx="71">
                  <c:v>716.66666666666663</c:v>
                </c:pt>
                <c:pt idx="72">
                  <c:v>716.66666666666663</c:v>
                </c:pt>
                <c:pt idx="73">
                  <c:v>716.66666666666663</c:v>
                </c:pt>
                <c:pt idx="74">
                  <c:v>716.66666666666663</c:v>
                </c:pt>
                <c:pt idx="75">
                  <c:v>716.66666666666663</c:v>
                </c:pt>
                <c:pt idx="76">
                  <c:v>716.66666666666663</c:v>
                </c:pt>
                <c:pt idx="77">
                  <c:v>716.66666666666663</c:v>
                </c:pt>
                <c:pt idx="78">
                  <c:v>716.66666666666663</c:v>
                </c:pt>
                <c:pt idx="79">
                  <c:v>716.66666666666663</c:v>
                </c:pt>
                <c:pt idx="80">
                  <c:v>716.66666666666663</c:v>
                </c:pt>
                <c:pt idx="81">
                  <c:v>716.66666666666663</c:v>
                </c:pt>
                <c:pt idx="82">
                  <c:v>716.66666666666663</c:v>
                </c:pt>
                <c:pt idx="83">
                  <c:v>716.66666666666663</c:v>
                </c:pt>
                <c:pt idx="84">
                  <c:v>716.66666666666663</c:v>
                </c:pt>
                <c:pt idx="85">
                  <c:v>716.66666666666663</c:v>
                </c:pt>
                <c:pt idx="86">
                  <c:v>716.66666666666663</c:v>
                </c:pt>
                <c:pt idx="87">
                  <c:v>716.66666666666663</c:v>
                </c:pt>
                <c:pt idx="88">
                  <c:v>716.66666666666663</c:v>
                </c:pt>
                <c:pt idx="89">
                  <c:v>716.66666666666663</c:v>
                </c:pt>
                <c:pt idx="90">
                  <c:v>706.66666666666663</c:v>
                </c:pt>
                <c:pt idx="91">
                  <c:v>706.66666666666663</c:v>
                </c:pt>
                <c:pt idx="92">
                  <c:v>706.66666666666663</c:v>
                </c:pt>
                <c:pt idx="93">
                  <c:v>706.66666666666663</c:v>
                </c:pt>
                <c:pt idx="94">
                  <c:v>706.66666666666663</c:v>
                </c:pt>
                <c:pt idx="95">
                  <c:v>706.66666666666663</c:v>
                </c:pt>
                <c:pt idx="96">
                  <c:v>706.66666666666663</c:v>
                </c:pt>
                <c:pt idx="97">
                  <c:v>706.66666666666663</c:v>
                </c:pt>
                <c:pt idx="98">
                  <c:v>706.66666666666663</c:v>
                </c:pt>
                <c:pt idx="99">
                  <c:v>706.66666666666663</c:v>
                </c:pt>
                <c:pt idx="100">
                  <c:v>706.66666666666663</c:v>
                </c:pt>
                <c:pt idx="101">
                  <c:v>706.66666666666663</c:v>
                </c:pt>
                <c:pt idx="102">
                  <c:v>706.66666666666663</c:v>
                </c:pt>
                <c:pt idx="103">
                  <c:v>706.66666666666663</c:v>
                </c:pt>
                <c:pt idx="104">
                  <c:v>706.66666666666663</c:v>
                </c:pt>
                <c:pt idx="105">
                  <c:v>706.66666666666663</c:v>
                </c:pt>
                <c:pt idx="106">
                  <c:v>706.66666666666663</c:v>
                </c:pt>
                <c:pt idx="107">
                  <c:v>706.66666666666663</c:v>
                </c:pt>
                <c:pt idx="108">
                  <c:v>706.66666666666663</c:v>
                </c:pt>
                <c:pt idx="109">
                  <c:v>706.66666666666663</c:v>
                </c:pt>
                <c:pt idx="110">
                  <c:v>706.66666666666663</c:v>
                </c:pt>
                <c:pt idx="111">
                  <c:v>706.66666666666663</c:v>
                </c:pt>
                <c:pt idx="112">
                  <c:v>706.66666666666663</c:v>
                </c:pt>
                <c:pt idx="113">
                  <c:v>706.66666666666663</c:v>
                </c:pt>
                <c:pt idx="114">
                  <c:v>706.66666666666663</c:v>
                </c:pt>
                <c:pt idx="115">
                  <c:v>706.66666666666663</c:v>
                </c:pt>
                <c:pt idx="116">
                  <c:v>706.66666666666663</c:v>
                </c:pt>
                <c:pt idx="117">
                  <c:v>706.66666666666663</c:v>
                </c:pt>
                <c:pt idx="118">
                  <c:v>706.66666666666663</c:v>
                </c:pt>
                <c:pt idx="119">
                  <c:v>706.66666666666663</c:v>
                </c:pt>
                <c:pt idx="120">
                  <c:v>700</c:v>
                </c:pt>
                <c:pt idx="121">
                  <c:v>700</c:v>
                </c:pt>
                <c:pt idx="122">
                  <c:v>700</c:v>
                </c:pt>
                <c:pt idx="123">
                  <c:v>700</c:v>
                </c:pt>
                <c:pt idx="124">
                  <c:v>700</c:v>
                </c:pt>
                <c:pt idx="125">
                  <c:v>700</c:v>
                </c:pt>
                <c:pt idx="126">
                  <c:v>700</c:v>
                </c:pt>
                <c:pt idx="127">
                  <c:v>700</c:v>
                </c:pt>
                <c:pt idx="128">
                  <c:v>700</c:v>
                </c:pt>
                <c:pt idx="129">
                  <c:v>700</c:v>
                </c:pt>
                <c:pt idx="130">
                  <c:v>700</c:v>
                </c:pt>
                <c:pt idx="131">
                  <c:v>700</c:v>
                </c:pt>
                <c:pt idx="132">
                  <c:v>700</c:v>
                </c:pt>
                <c:pt idx="133">
                  <c:v>700</c:v>
                </c:pt>
                <c:pt idx="134">
                  <c:v>700</c:v>
                </c:pt>
                <c:pt idx="135">
                  <c:v>700</c:v>
                </c:pt>
                <c:pt idx="136">
                  <c:v>700</c:v>
                </c:pt>
                <c:pt idx="137">
                  <c:v>700</c:v>
                </c:pt>
                <c:pt idx="138">
                  <c:v>700</c:v>
                </c:pt>
                <c:pt idx="139">
                  <c:v>700</c:v>
                </c:pt>
                <c:pt idx="140">
                  <c:v>700</c:v>
                </c:pt>
                <c:pt idx="141">
                  <c:v>700</c:v>
                </c:pt>
                <c:pt idx="142">
                  <c:v>700</c:v>
                </c:pt>
                <c:pt idx="143">
                  <c:v>700</c:v>
                </c:pt>
                <c:pt idx="144">
                  <c:v>700</c:v>
                </c:pt>
                <c:pt idx="145">
                  <c:v>700</c:v>
                </c:pt>
                <c:pt idx="146">
                  <c:v>700</c:v>
                </c:pt>
                <c:pt idx="147">
                  <c:v>700</c:v>
                </c:pt>
                <c:pt idx="148">
                  <c:v>700</c:v>
                </c:pt>
                <c:pt idx="149">
                  <c:v>700</c:v>
                </c:pt>
                <c:pt idx="150">
                  <c:v>700</c:v>
                </c:pt>
                <c:pt idx="151">
                  <c:v>690</c:v>
                </c:pt>
                <c:pt idx="152">
                  <c:v>690</c:v>
                </c:pt>
                <c:pt idx="153">
                  <c:v>690</c:v>
                </c:pt>
                <c:pt idx="154">
                  <c:v>690</c:v>
                </c:pt>
                <c:pt idx="155">
                  <c:v>690</c:v>
                </c:pt>
                <c:pt idx="156">
                  <c:v>690</c:v>
                </c:pt>
                <c:pt idx="157">
                  <c:v>690</c:v>
                </c:pt>
                <c:pt idx="158">
                  <c:v>690</c:v>
                </c:pt>
                <c:pt idx="159">
                  <c:v>690</c:v>
                </c:pt>
                <c:pt idx="160">
                  <c:v>690</c:v>
                </c:pt>
                <c:pt idx="161">
                  <c:v>690</c:v>
                </c:pt>
                <c:pt idx="162">
                  <c:v>690</c:v>
                </c:pt>
                <c:pt idx="163">
                  <c:v>690</c:v>
                </c:pt>
                <c:pt idx="164">
                  <c:v>690</c:v>
                </c:pt>
                <c:pt idx="165">
                  <c:v>690</c:v>
                </c:pt>
                <c:pt idx="166">
                  <c:v>690</c:v>
                </c:pt>
                <c:pt idx="167">
                  <c:v>690</c:v>
                </c:pt>
                <c:pt idx="168">
                  <c:v>690</c:v>
                </c:pt>
                <c:pt idx="169">
                  <c:v>690</c:v>
                </c:pt>
                <c:pt idx="170">
                  <c:v>690</c:v>
                </c:pt>
                <c:pt idx="171">
                  <c:v>690</c:v>
                </c:pt>
                <c:pt idx="172">
                  <c:v>690</c:v>
                </c:pt>
                <c:pt idx="173">
                  <c:v>690</c:v>
                </c:pt>
                <c:pt idx="174">
                  <c:v>690</c:v>
                </c:pt>
                <c:pt idx="175">
                  <c:v>690</c:v>
                </c:pt>
                <c:pt idx="176">
                  <c:v>690</c:v>
                </c:pt>
                <c:pt idx="177">
                  <c:v>690</c:v>
                </c:pt>
                <c:pt idx="178">
                  <c:v>690</c:v>
                </c:pt>
                <c:pt idx="179">
                  <c:v>690</c:v>
                </c:pt>
                <c:pt idx="180">
                  <c:v>690</c:v>
                </c:pt>
                <c:pt idx="181">
                  <c:v>673.3333333333336</c:v>
                </c:pt>
                <c:pt idx="182">
                  <c:v>673.3333333333336</c:v>
                </c:pt>
                <c:pt idx="183">
                  <c:v>673.3333333333336</c:v>
                </c:pt>
                <c:pt idx="184">
                  <c:v>673.3333333333336</c:v>
                </c:pt>
                <c:pt idx="185">
                  <c:v>673.3333333333336</c:v>
                </c:pt>
                <c:pt idx="186">
                  <c:v>673.3333333333336</c:v>
                </c:pt>
                <c:pt idx="187">
                  <c:v>673.3333333333336</c:v>
                </c:pt>
                <c:pt idx="188">
                  <c:v>673.3333333333336</c:v>
                </c:pt>
                <c:pt idx="189">
                  <c:v>673.3333333333336</c:v>
                </c:pt>
                <c:pt idx="190">
                  <c:v>673.3333333333336</c:v>
                </c:pt>
                <c:pt idx="191">
                  <c:v>673.3333333333336</c:v>
                </c:pt>
                <c:pt idx="192">
                  <c:v>673.3333333333336</c:v>
                </c:pt>
                <c:pt idx="193">
                  <c:v>673.3333333333336</c:v>
                </c:pt>
                <c:pt idx="194">
                  <c:v>673.3333333333336</c:v>
                </c:pt>
                <c:pt idx="195">
                  <c:v>673.3333333333336</c:v>
                </c:pt>
                <c:pt idx="196">
                  <c:v>673.3333333333336</c:v>
                </c:pt>
                <c:pt idx="197">
                  <c:v>673.3333333333336</c:v>
                </c:pt>
                <c:pt idx="198">
                  <c:v>673.3333333333336</c:v>
                </c:pt>
                <c:pt idx="199">
                  <c:v>673.3333333333336</c:v>
                </c:pt>
                <c:pt idx="200">
                  <c:v>673.3333333333336</c:v>
                </c:pt>
                <c:pt idx="201">
                  <c:v>673.3333333333336</c:v>
                </c:pt>
                <c:pt idx="202">
                  <c:v>673.3333333333336</c:v>
                </c:pt>
                <c:pt idx="203">
                  <c:v>673.3333333333336</c:v>
                </c:pt>
                <c:pt idx="204">
                  <c:v>673.3333333333336</c:v>
                </c:pt>
                <c:pt idx="205">
                  <c:v>673.3333333333336</c:v>
                </c:pt>
                <c:pt idx="206">
                  <c:v>673.3333333333336</c:v>
                </c:pt>
                <c:pt idx="207">
                  <c:v>673.3333333333336</c:v>
                </c:pt>
                <c:pt idx="208">
                  <c:v>673.3333333333336</c:v>
                </c:pt>
                <c:pt idx="209">
                  <c:v>673.3333333333336</c:v>
                </c:pt>
                <c:pt idx="210">
                  <c:v>673.3333333333336</c:v>
                </c:pt>
                <c:pt idx="211">
                  <c:v>673.3333333333336</c:v>
                </c:pt>
                <c:pt idx="212">
                  <c:v>656.66666666666663</c:v>
                </c:pt>
                <c:pt idx="213">
                  <c:v>656.66666666666663</c:v>
                </c:pt>
                <c:pt idx="214">
                  <c:v>656.66666666666663</c:v>
                </c:pt>
                <c:pt idx="215">
                  <c:v>656.66666666666663</c:v>
                </c:pt>
                <c:pt idx="216">
                  <c:v>656.66666666666663</c:v>
                </c:pt>
                <c:pt idx="217">
                  <c:v>656.66666666666663</c:v>
                </c:pt>
                <c:pt idx="218">
                  <c:v>656.66666666666663</c:v>
                </c:pt>
                <c:pt idx="219">
                  <c:v>656.66666666666663</c:v>
                </c:pt>
                <c:pt idx="220">
                  <c:v>656.66666666666663</c:v>
                </c:pt>
                <c:pt idx="221">
                  <c:v>656.66666666666663</c:v>
                </c:pt>
                <c:pt idx="222">
                  <c:v>656.66666666666663</c:v>
                </c:pt>
                <c:pt idx="223">
                  <c:v>656.66666666666663</c:v>
                </c:pt>
                <c:pt idx="224">
                  <c:v>656.66666666666663</c:v>
                </c:pt>
                <c:pt idx="225">
                  <c:v>656.66666666666663</c:v>
                </c:pt>
                <c:pt idx="226">
                  <c:v>656.66666666666663</c:v>
                </c:pt>
                <c:pt idx="227">
                  <c:v>656.66666666666663</c:v>
                </c:pt>
                <c:pt idx="228">
                  <c:v>656.66666666666663</c:v>
                </c:pt>
                <c:pt idx="229">
                  <c:v>656.66666666666663</c:v>
                </c:pt>
                <c:pt idx="230">
                  <c:v>656.66666666666663</c:v>
                </c:pt>
                <c:pt idx="231">
                  <c:v>656.66666666666663</c:v>
                </c:pt>
                <c:pt idx="232">
                  <c:v>656.66666666666663</c:v>
                </c:pt>
                <c:pt idx="233">
                  <c:v>656.66666666666663</c:v>
                </c:pt>
                <c:pt idx="234">
                  <c:v>656.66666666666663</c:v>
                </c:pt>
                <c:pt idx="235">
                  <c:v>656.66666666666663</c:v>
                </c:pt>
                <c:pt idx="236">
                  <c:v>656.66666666666663</c:v>
                </c:pt>
                <c:pt idx="237">
                  <c:v>656.66666666666663</c:v>
                </c:pt>
                <c:pt idx="238">
                  <c:v>656.66666666666663</c:v>
                </c:pt>
                <c:pt idx="239">
                  <c:v>656.66666666666663</c:v>
                </c:pt>
                <c:pt idx="240">
                  <c:v>656.66666666666663</c:v>
                </c:pt>
                <c:pt idx="241">
                  <c:v>656.66666666666663</c:v>
                </c:pt>
                <c:pt idx="242">
                  <c:v>656.66666666666663</c:v>
                </c:pt>
                <c:pt idx="243">
                  <c:v>636.66666666666663</c:v>
                </c:pt>
                <c:pt idx="244">
                  <c:v>636.66666666666663</c:v>
                </c:pt>
                <c:pt idx="245">
                  <c:v>636.66666666666663</c:v>
                </c:pt>
                <c:pt idx="246">
                  <c:v>636.66666666666663</c:v>
                </c:pt>
                <c:pt idx="247">
                  <c:v>636.66666666666663</c:v>
                </c:pt>
                <c:pt idx="248">
                  <c:v>636.66666666666663</c:v>
                </c:pt>
                <c:pt idx="249">
                  <c:v>636.66666666666663</c:v>
                </c:pt>
                <c:pt idx="250">
                  <c:v>636.66666666666663</c:v>
                </c:pt>
                <c:pt idx="251">
                  <c:v>636.66666666666663</c:v>
                </c:pt>
                <c:pt idx="252">
                  <c:v>636.66666666666663</c:v>
                </c:pt>
                <c:pt idx="253">
                  <c:v>636.66666666666663</c:v>
                </c:pt>
                <c:pt idx="254">
                  <c:v>636.66666666666663</c:v>
                </c:pt>
                <c:pt idx="255">
                  <c:v>636.66666666666663</c:v>
                </c:pt>
                <c:pt idx="256">
                  <c:v>636.66666666666663</c:v>
                </c:pt>
                <c:pt idx="257">
                  <c:v>636.66666666666663</c:v>
                </c:pt>
                <c:pt idx="258">
                  <c:v>636.66666666666663</c:v>
                </c:pt>
                <c:pt idx="259">
                  <c:v>636.66666666666663</c:v>
                </c:pt>
                <c:pt idx="260">
                  <c:v>636.66666666666663</c:v>
                </c:pt>
                <c:pt idx="261">
                  <c:v>636.66666666666663</c:v>
                </c:pt>
                <c:pt idx="262">
                  <c:v>636.66666666666663</c:v>
                </c:pt>
                <c:pt idx="263">
                  <c:v>636.66666666666663</c:v>
                </c:pt>
                <c:pt idx="264">
                  <c:v>636.66666666666663</c:v>
                </c:pt>
                <c:pt idx="265">
                  <c:v>636.66666666666663</c:v>
                </c:pt>
                <c:pt idx="266">
                  <c:v>636.66666666666663</c:v>
                </c:pt>
                <c:pt idx="267">
                  <c:v>636.66666666666663</c:v>
                </c:pt>
                <c:pt idx="268">
                  <c:v>636.66666666666663</c:v>
                </c:pt>
                <c:pt idx="269">
                  <c:v>636.66666666666663</c:v>
                </c:pt>
                <c:pt idx="270">
                  <c:v>636.66666666666663</c:v>
                </c:pt>
                <c:pt idx="271">
                  <c:v>636.66666666666663</c:v>
                </c:pt>
                <c:pt idx="272">
                  <c:v>636.66666666666663</c:v>
                </c:pt>
                <c:pt idx="273">
                  <c:v>620</c:v>
                </c:pt>
                <c:pt idx="274">
                  <c:v>620</c:v>
                </c:pt>
                <c:pt idx="275">
                  <c:v>620</c:v>
                </c:pt>
                <c:pt idx="276">
                  <c:v>620</c:v>
                </c:pt>
                <c:pt idx="277">
                  <c:v>620</c:v>
                </c:pt>
                <c:pt idx="278">
                  <c:v>620</c:v>
                </c:pt>
                <c:pt idx="279">
                  <c:v>620</c:v>
                </c:pt>
                <c:pt idx="280">
                  <c:v>620</c:v>
                </c:pt>
                <c:pt idx="281">
                  <c:v>620</c:v>
                </c:pt>
                <c:pt idx="282">
                  <c:v>620</c:v>
                </c:pt>
                <c:pt idx="283">
                  <c:v>620</c:v>
                </c:pt>
                <c:pt idx="284">
                  <c:v>620</c:v>
                </c:pt>
                <c:pt idx="285">
                  <c:v>620</c:v>
                </c:pt>
                <c:pt idx="286">
                  <c:v>620</c:v>
                </c:pt>
                <c:pt idx="287">
                  <c:v>620</c:v>
                </c:pt>
                <c:pt idx="288">
                  <c:v>620</c:v>
                </c:pt>
                <c:pt idx="289">
                  <c:v>620</c:v>
                </c:pt>
                <c:pt idx="290">
                  <c:v>620</c:v>
                </c:pt>
                <c:pt idx="291">
                  <c:v>620</c:v>
                </c:pt>
                <c:pt idx="292">
                  <c:v>620</c:v>
                </c:pt>
                <c:pt idx="293">
                  <c:v>620</c:v>
                </c:pt>
                <c:pt idx="294">
                  <c:v>620</c:v>
                </c:pt>
                <c:pt idx="295">
                  <c:v>620</c:v>
                </c:pt>
                <c:pt idx="296">
                  <c:v>620</c:v>
                </c:pt>
                <c:pt idx="297">
                  <c:v>620</c:v>
                </c:pt>
                <c:pt idx="298">
                  <c:v>620</c:v>
                </c:pt>
                <c:pt idx="299">
                  <c:v>620</c:v>
                </c:pt>
                <c:pt idx="300">
                  <c:v>620</c:v>
                </c:pt>
                <c:pt idx="301">
                  <c:v>620</c:v>
                </c:pt>
                <c:pt idx="302">
                  <c:v>620</c:v>
                </c:pt>
                <c:pt idx="303">
                  <c:v>620</c:v>
                </c:pt>
                <c:pt idx="304">
                  <c:v>603.3333333333336</c:v>
                </c:pt>
                <c:pt idx="305">
                  <c:v>603.3333333333336</c:v>
                </c:pt>
                <c:pt idx="306">
                  <c:v>603.3333333333336</c:v>
                </c:pt>
                <c:pt idx="307">
                  <c:v>603.3333333333336</c:v>
                </c:pt>
                <c:pt idx="308">
                  <c:v>603.3333333333336</c:v>
                </c:pt>
                <c:pt idx="309">
                  <c:v>603.3333333333336</c:v>
                </c:pt>
                <c:pt idx="310">
                  <c:v>603.3333333333336</c:v>
                </c:pt>
                <c:pt idx="311">
                  <c:v>603.3333333333336</c:v>
                </c:pt>
                <c:pt idx="312">
                  <c:v>603.3333333333336</c:v>
                </c:pt>
                <c:pt idx="313">
                  <c:v>603.3333333333336</c:v>
                </c:pt>
                <c:pt idx="314">
                  <c:v>603.3333333333336</c:v>
                </c:pt>
                <c:pt idx="315">
                  <c:v>603.3333333333336</c:v>
                </c:pt>
                <c:pt idx="316">
                  <c:v>603.3333333333336</c:v>
                </c:pt>
                <c:pt idx="317">
                  <c:v>603.3333333333336</c:v>
                </c:pt>
                <c:pt idx="318">
                  <c:v>603.3333333333336</c:v>
                </c:pt>
                <c:pt idx="319">
                  <c:v>603.3333333333336</c:v>
                </c:pt>
                <c:pt idx="320">
                  <c:v>603.3333333333336</c:v>
                </c:pt>
                <c:pt idx="321">
                  <c:v>603.3333333333336</c:v>
                </c:pt>
                <c:pt idx="322">
                  <c:v>603.3333333333336</c:v>
                </c:pt>
                <c:pt idx="323">
                  <c:v>603.3333333333336</c:v>
                </c:pt>
              </c:numCache>
            </c:numRef>
          </c:val>
          <c:smooth val="0"/>
        </c:ser>
        <c:dLbls>
          <c:showLegendKey val="0"/>
          <c:showVal val="0"/>
          <c:showCatName val="0"/>
          <c:showSerName val="0"/>
          <c:showPercent val="0"/>
          <c:showBubbleSize val="0"/>
        </c:dLbls>
        <c:marker val="1"/>
        <c:smooth val="0"/>
        <c:axId val="263490560"/>
        <c:axId val="263508736"/>
      </c:lineChart>
      <c:dateAx>
        <c:axId val="263490560"/>
        <c:scaling>
          <c:orientation val="minMax"/>
          <c:max val="42328"/>
          <c:min val="42005"/>
        </c:scaling>
        <c:delete val="0"/>
        <c:axPos val="b"/>
        <c:numFmt formatCode="m/d/yyyy" sourceLinked="1"/>
        <c:majorTickMark val="out"/>
        <c:minorTickMark val="none"/>
        <c:tickLblPos val="nextTo"/>
        <c:crossAx val="263508736"/>
        <c:crosses val="autoZero"/>
        <c:auto val="1"/>
        <c:lblOffset val="100"/>
        <c:baseTimeUnit val="days"/>
        <c:majorUnit val="1"/>
        <c:majorTimeUnit val="months"/>
        <c:minorUnit val="1"/>
        <c:minorTimeUnit val="months"/>
      </c:dateAx>
      <c:valAx>
        <c:axId val="263508736"/>
        <c:scaling>
          <c:orientation val="minMax"/>
        </c:scaling>
        <c:delete val="0"/>
        <c:axPos val="l"/>
        <c:majorGridlines/>
        <c:numFmt formatCode="General" sourceLinked="1"/>
        <c:majorTickMark val="out"/>
        <c:minorTickMark val="none"/>
        <c:tickLblPos val="nextTo"/>
        <c:crossAx val="263490560"/>
        <c:crosses val="autoZero"/>
        <c:crossBetween val="between"/>
      </c:valAx>
    </c:plotArea>
    <c:legend>
      <c:legendPos val="b"/>
      <c:layout>
        <c:manualLayout>
          <c:xMode val="edge"/>
          <c:yMode val="edge"/>
          <c:x val="8.9796093214530512E-2"/>
          <c:y val="0.92800320524978785"/>
          <c:w val="0.82040781357093895"/>
          <c:h val="7.1996794750212173E-2"/>
        </c:manualLayout>
      </c:layout>
      <c:overlay val="0"/>
    </c:legend>
    <c:plotVisOnly val="1"/>
    <c:dispBlanksAs val="gap"/>
    <c:showDLblsOverMax val="0"/>
  </c:chart>
  <c:externalData r:id="rId1">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0199365323237025E-2"/>
          <c:y val="4.2174813618383156E-2"/>
          <c:w val="0.8840515057569005"/>
          <c:h val="0.65500474833808409"/>
        </c:manualLayout>
      </c:layout>
      <c:lineChart>
        <c:grouping val="standard"/>
        <c:varyColors val="0"/>
        <c:ser>
          <c:idx val="0"/>
          <c:order val="0"/>
          <c:tx>
            <c:strRef>
              <c:f>原油!$B$1</c:f>
              <c:strCache>
                <c:ptCount val="1"/>
                <c:pt idx="0">
                  <c:v>原油 西德州 庫欣 現貨價(美元/桶)</c:v>
                </c:pt>
              </c:strCache>
            </c:strRef>
          </c:tx>
          <c:spPr>
            <a:ln>
              <a:prstDash val="sysDash"/>
            </a:ln>
          </c:spPr>
          <c:marker>
            <c:symbol val="none"/>
          </c:marker>
          <c:cat>
            <c:numRef>
              <c:f>原油!$A$216:$A$539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原油!$B$216:$B$539</c:f>
              <c:numCache>
                <c:formatCode>General</c:formatCode>
                <c:ptCount val="324"/>
                <c:pt idx="0">
                  <c:v>53.45</c:v>
                </c:pt>
                <c:pt idx="1">
                  <c:v>52.720000000000013</c:v>
                </c:pt>
                <c:pt idx="2">
                  <c:v>52.720000000000013</c:v>
                </c:pt>
                <c:pt idx="3">
                  <c:v>52.720000000000013</c:v>
                </c:pt>
                <c:pt idx="4">
                  <c:v>50.05</c:v>
                </c:pt>
                <c:pt idx="5">
                  <c:v>47.98</c:v>
                </c:pt>
                <c:pt idx="6">
                  <c:v>48.690000000000012</c:v>
                </c:pt>
                <c:pt idx="7">
                  <c:v>48.8</c:v>
                </c:pt>
                <c:pt idx="8">
                  <c:v>48.35</c:v>
                </c:pt>
                <c:pt idx="9">
                  <c:v>48.35</c:v>
                </c:pt>
                <c:pt idx="10">
                  <c:v>48.35</c:v>
                </c:pt>
                <c:pt idx="11">
                  <c:v>46.06</c:v>
                </c:pt>
                <c:pt idx="12">
                  <c:v>45.92</c:v>
                </c:pt>
                <c:pt idx="13">
                  <c:v>48.49</c:v>
                </c:pt>
                <c:pt idx="14">
                  <c:v>46.37</c:v>
                </c:pt>
                <c:pt idx="15">
                  <c:v>48.49</c:v>
                </c:pt>
                <c:pt idx="16">
                  <c:v>48.49</c:v>
                </c:pt>
                <c:pt idx="17">
                  <c:v>48.49</c:v>
                </c:pt>
                <c:pt idx="18">
                  <c:v>48.49</c:v>
                </c:pt>
                <c:pt idx="19">
                  <c:v>46.13</c:v>
                </c:pt>
                <c:pt idx="20">
                  <c:v>47.85</c:v>
                </c:pt>
                <c:pt idx="21">
                  <c:v>45.93</c:v>
                </c:pt>
                <c:pt idx="22">
                  <c:v>45.260000000000012</c:v>
                </c:pt>
                <c:pt idx="23">
                  <c:v>45.260000000000012</c:v>
                </c:pt>
                <c:pt idx="24">
                  <c:v>45.260000000000012</c:v>
                </c:pt>
                <c:pt idx="25">
                  <c:v>44.8</c:v>
                </c:pt>
                <c:pt idx="26">
                  <c:v>45.84</c:v>
                </c:pt>
                <c:pt idx="27">
                  <c:v>44.08</c:v>
                </c:pt>
                <c:pt idx="28">
                  <c:v>44.120000000000012</c:v>
                </c:pt>
                <c:pt idx="29">
                  <c:v>47.790000000000013</c:v>
                </c:pt>
                <c:pt idx="30">
                  <c:v>47.790000000000013</c:v>
                </c:pt>
                <c:pt idx="31">
                  <c:v>47.790000000000013</c:v>
                </c:pt>
                <c:pt idx="32">
                  <c:v>49.25</c:v>
                </c:pt>
                <c:pt idx="33">
                  <c:v>53.04</c:v>
                </c:pt>
                <c:pt idx="34">
                  <c:v>48.45</c:v>
                </c:pt>
                <c:pt idx="35">
                  <c:v>50.48</c:v>
                </c:pt>
                <c:pt idx="36">
                  <c:v>51.660000000000011</c:v>
                </c:pt>
                <c:pt idx="37">
                  <c:v>51.660000000000011</c:v>
                </c:pt>
                <c:pt idx="38">
                  <c:v>51.660000000000011</c:v>
                </c:pt>
                <c:pt idx="39">
                  <c:v>52.99</c:v>
                </c:pt>
                <c:pt idx="40">
                  <c:v>50.06</c:v>
                </c:pt>
                <c:pt idx="41">
                  <c:v>48.8</c:v>
                </c:pt>
                <c:pt idx="42">
                  <c:v>51.17</c:v>
                </c:pt>
                <c:pt idx="43">
                  <c:v>52.660000000000011</c:v>
                </c:pt>
                <c:pt idx="44">
                  <c:v>52.660000000000011</c:v>
                </c:pt>
                <c:pt idx="45">
                  <c:v>52.660000000000011</c:v>
                </c:pt>
                <c:pt idx="46">
                  <c:v>52.660000000000011</c:v>
                </c:pt>
                <c:pt idx="47">
                  <c:v>53.56</c:v>
                </c:pt>
                <c:pt idx="48">
                  <c:v>52.13</c:v>
                </c:pt>
                <c:pt idx="49">
                  <c:v>51.120000000000012</c:v>
                </c:pt>
                <c:pt idx="50">
                  <c:v>49.95</c:v>
                </c:pt>
                <c:pt idx="51">
                  <c:v>49.95</c:v>
                </c:pt>
                <c:pt idx="52">
                  <c:v>49.95</c:v>
                </c:pt>
                <c:pt idx="53">
                  <c:v>49.56</c:v>
                </c:pt>
                <c:pt idx="54">
                  <c:v>48.48</c:v>
                </c:pt>
                <c:pt idx="55">
                  <c:v>50.25</c:v>
                </c:pt>
                <c:pt idx="56">
                  <c:v>47.65</c:v>
                </c:pt>
                <c:pt idx="57">
                  <c:v>49.84</c:v>
                </c:pt>
                <c:pt idx="58">
                  <c:v>49.84</c:v>
                </c:pt>
                <c:pt idx="59">
                  <c:v>49.84</c:v>
                </c:pt>
                <c:pt idx="60">
                  <c:v>49.59</c:v>
                </c:pt>
                <c:pt idx="61">
                  <c:v>50.43</c:v>
                </c:pt>
                <c:pt idx="62">
                  <c:v>51.53</c:v>
                </c:pt>
                <c:pt idx="63">
                  <c:v>50.760000000000012</c:v>
                </c:pt>
                <c:pt idx="64">
                  <c:v>49.61</c:v>
                </c:pt>
                <c:pt idx="65">
                  <c:v>49.61</c:v>
                </c:pt>
                <c:pt idx="66">
                  <c:v>49.61</c:v>
                </c:pt>
                <c:pt idx="67">
                  <c:v>49.95</c:v>
                </c:pt>
                <c:pt idx="68">
                  <c:v>48.42</c:v>
                </c:pt>
                <c:pt idx="69">
                  <c:v>48.06</c:v>
                </c:pt>
                <c:pt idx="70">
                  <c:v>47.120000000000012</c:v>
                </c:pt>
                <c:pt idx="71">
                  <c:v>44.88</c:v>
                </c:pt>
                <c:pt idx="72">
                  <c:v>44.88</c:v>
                </c:pt>
                <c:pt idx="73">
                  <c:v>44.88</c:v>
                </c:pt>
                <c:pt idx="74">
                  <c:v>43.93</c:v>
                </c:pt>
                <c:pt idx="75">
                  <c:v>43.39</c:v>
                </c:pt>
                <c:pt idx="76">
                  <c:v>44.63</c:v>
                </c:pt>
                <c:pt idx="77">
                  <c:v>44.02</c:v>
                </c:pt>
                <c:pt idx="78">
                  <c:v>46</c:v>
                </c:pt>
                <c:pt idx="79">
                  <c:v>46</c:v>
                </c:pt>
                <c:pt idx="80">
                  <c:v>46</c:v>
                </c:pt>
                <c:pt idx="81">
                  <c:v>47.4</c:v>
                </c:pt>
                <c:pt idx="82">
                  <c:v>47.03</c:v>
                </c:pt>
                <c:pt idx="83">
                  <c:v>48.75</c:v>
                </c:pt>
                <c:pt idx="84">
                  <c:v>51.41</c:v>
                </c:pt>
                <c:pt idx="85">
                  <c:v>48.83</c:v>
                </c:pt>
                <c:pt idx="86">
                  <c:v>48.83</c:v>
                </c:pt>
                <c:pt idx="87">
                  <c:v>48.83</c:v>
                </c:pt>
                <c:pt idx="88">
                  <c:v>48.660000000000011</c:v>
                </c:pt>
                <c:pt idx="89">
                  <c:v>47.720000000000013</c:v>
                </c:pt>
                <c:pt idx="90">
                  <c:v>50.120000000000012</c:v>
                </c:pt>
                <c:pt idx="91">
                  <c:v>49.13</c:v>
                </c:pt>
                <c:pt idx="92">
                  <c:v>49.13</c:v>
                </c:pt>
                <c:pt idx="93">
                  <c:v>49.13</c:v>
                </c:pt>
                <c:pt idx="94">
                  <c:v>49.13</c:v>
                </c:pt>
                <c:pt idx="95">
                  <c:v>52.08</c:v>
                </c:pt>
                <c:pt idx="96">
                  <c:v>53.95</c:v>
                </c:pt>
                <c:pt idx="97">
                  <c:v>50.44</c:v>
                </c:pt>
                <c:pt idx="98">
                  <c:v>50.790000000000013</c:v>
                </c:pt>
                <c:pt idx="99">
                  <c:v>51.63</c:v>
                </c:pt>
                <c:pt idx="100">
                  <c:v>51.63</c:v>
                </c:pt>
                <c:pt idx="101">
                  <c:v>51.63</c:v>
                </c:pt>
                <c:pt idx="102">
                  <c:v>51.95</c:v>
                </c:pt>
                <c:pt idx="103">
                  <c:v>53.3</c:v>
                </c:pt>
                <c:pt idx="104">
                  <c:v>56.25</c:v>
                </c:pt>
                <c:pt idx="105">
                  <c:v>56.690000000000012</c:v>
                </c:pt>
                <c:pt idx="106">
                  <c:v>55.71</c:v>
                </c:pt>
                <c:pt idx="107">
                  <c:v>55.71</c:v>
                </c:pt>
                <c:pt idx="108">
                  <c:v>55.71</c:v>
                </c:pt>
                <c:pt idx="109">
                  <c:v>56.37</c:v>
                </c:pt>
                <c:pt idx="110">
                  <c:v>55.58</c:v>
                </c:pt>
                <c:pt idx="111">
                  <c:v>56.17</c:v>
                </c:pt>
                <c:pt idx="112">
                  <c:v>56.59</c:v>
                </c:pt>
                <c:pt idx="113">
                  <c:v>55.98</c:v>
                </c:pt>
                <c:pt idx="114">
                  <c:v>55.98</c:v>
                </c:pt>
                <c:pt idx="115">
                  <c:v>55.98</c:v>
                </c:pt>
                <c:pt idx="116">
                  <c:v>55.56</c:v>
                </c:pt>
                <c:pt idx="117">
                  <c:v>57.05</c:v>
                </c:pt>
                <c:pt idx="118">
                  <c:v>58.55</c:v>
                </c:pt>
                <c:pt idx="119">
                  <c:v>59.620000000000012</c:v>
                </c:pt>
                <c:pt idx="120">
                  <c:v>59.1</c:v>
                </c:pt>
                <c:pt idx="121">
                  <c:v>59.1</c:v>
                </c:pt>
                <c:pt idx="122">
                  <c:v>59.1</c:v>
                </c:pt>
                <c:pt idx="123">
                  <c:v>58.92</c:v>
                </c:pt>
                <c:pt idx="124">
                  <c:v>60.38</c:v>
                </c:pt>
                <c:pt idx="125">
                  <c:v>60.93</c:v>
                </c:pt>
                <c:pt idx="126">
                  <c:v>58.99</c:v>
                </c:pt>
                <c:pt idx="127">
                  <c:v>59.41</c:v>
                </c:pt>
                <c:pt idx="128">
                  <c:v>59.41</c:v>
                </c:pt>
                <c:pt idx="129">
                  <c:v>59.41</c:v>
                </c:pt>
                <c:pt idx="130">
                  <c:v>59.230000000000011</c:v>
                </c:pt>
                <c:pt idx="131">
                  <c:v>60.720000000000013</c:v>
                </c:pt>
                <c:pt idx="132">
                  <c:v>60.5</c:v>
                </c:pt>
                <c:pt idx="133">
                  <c:v>59.89</c:v>
                </c:pt>
                <c:pt idx="134">
                  <c:v>59.730000000000011</c:v>
                </c:pt>
                <c:pt idx="135">
                  <c:v>59.730000000000011</c:v>
                </c:pt>
                <c:pt idx="136">
                  <c:v>59.730000000000011</c:v>
                </c:pt>
                <c:pt idx="137">
                  <c:v>59.44</c:v>
                </c:pt>
                <c:pt idx="138">
                  <c:v>57.3</c:v>
                </c:pt>
                <c:pt idx="139">
                  <c:v>58.96</c:v>
                </c:pt>
                <c:pt idx="140">
                  <c:v>60.18</c:v>
                </c:pt>
                <c:pt idx="141">
                  <c:v>58.88</c:v>
                </c:pt>
                <c:pt idx="142">
                  <c:v>58.88</c:v>
                </c:pt>
                <c:pt idx="143">
                  <c:v>58.88</c:v>
                </c:pt>
                <c:pt idx="144">
                  <c:v>58.88</c:v>
                </c:pt>
                <c:pt idx="145">
                  <c:v>57.290000000000013</c:v>
                </c:pt>
                <c:pt idx="146">
                  <c:v>57.51</c:v>
                </c:pt>
                <c:pt idx="147">
                  <c:v>57.690000000000012</c:v>
                </c:pt>
                <c:pt idx="148">
                  <c:v>60.25</c:v>
                </c:pt>
                <c:pt idx="149">
                  <c:v>60.25</c:v>
                </c:pt>
                <c:pt idx="150">
                  <c:v>60.25</c:v>
                </c:pt>
                <c:pt idx="151">
                  <c:v>60.24</c:v>
                </c:pt>
                <c:pt idx="152">
                  <c:v>61.3</c:v>
                </c:pt>
                <c:pt idx="153">
                  <c:v>59.67</c:v>
                </c:pt>
                <c:pt idx="154">
                  <c:v>58</c:v>
                </c:pt>
                <c:pt idx="155">
                  <c:v>59.11</c:v>
                </c:pt>
                <c:pt idx="156">
                  <c:v>59.11</c:v>
                </c:pt>
                <c:pt idx="157">
                  <c:v>59.11</c:v>
                </c:pt>
                <c:pt idx="158">
                  <c:v>58.15</c:v>
                </c:pt>
                <c:pt idx="159">
                  <c:v>60.15</c:v>
                </c:pt>
                <c:pt idx="160">
                  <c:v>61.36</c:v>
                </c:pt>
                <c:pt idx="161">
                  <c:v>60.74</c:v>
                </c:pt>
                <c:pt idx="162">
                  <c:v>59.96</c:v>
                </c:pt>
                <c:pt idx="163">
                  <c:v>59.96</c:v>
                </c:pt>
                <c:pt idx="164">
                  <c:v>59.96</c:v>
                </c:pt>
                <c:pt idx="165">
                  <c:v>59.53</c:v>
                </c:pt>
                <c:pt idx="166">
                  <c:v>60.01</c:v>
                </c:pt>
                <c:pt idx="167">
                  <c:v>59.89</c:v>
                </c:pt>
                <c:pt idx="168">
                  <c:v>60.41</c:v>
                </c:pt>
                <c:pt idx="169">
                  <c:v>59.620000000000012</c:v>
                </c:pt>
                <c:pt idx="170">
                  <c:v>59.620000000000012</c:v>
                </c:pt>
                <c:pt idx="171">
                  <c:v>59.620000000000012</c:v>
                </c:pt>
                <c:pt idx="172">
                  <c:v>60.01</c:v>
                </c:pt>
                <c:pt idx="173">
                  <c:v>61.05</c:v>
                </c:pt>
                <c:pt idx="174">
                  <c:v>60.01</c:v>
                </c:pt>
                <c:pt idx="175">
                  <c:v>59.59</c:v>
                </c:pt>
                <c:pt idx="176">
                  <c:v>59.41</c:v>
                </c:pt>
                <c:pt idx="177">
                  <c:v>59.41</c:v>
                </c:pt>
                <c:pt idx="178">
                  <c:v>59.41</c:v>
                </c:pt>
                <c:pt idx="179">
                  <c:v>58.34</c:v>
                </c:pt>
                <c:pt idx="180">
                  <c:v>59.48</c:v>
                </c:pt>
                <c:pt idx="181">
                  <c:v>56.94</c:v>
                </c:pt>
                <c:pt idx="182">
                  <c:v>56.93</c:v>
                </c:pt>
                <c:pt idx="183">
                  <c:v>56.93</c:v>
                </c:pt>
                <c:pt idx="184">
                  <c:v>56.93</c:v>
                </c:pt>
                <c:pt idx="185">
                  <c:v>56.93</c:v>
                </c:pt>
                <c:pt idx="186">
                  <c:v>52.48</c:v>
                </c:pt>
                <c:pt idx="187">
                  <c:v>52.33</c:v>
                </c:pt>
                <c:pt idx="188">
                  <c:v>51.61</c:v>
                </c:pt>
                <c:pt idx="189">
                  <c:v>52.760000000000012</c:v>
                </c:pt>
                <c:pt idx="190">
                  <c:v>52.74</c:v>
                </c:pt>
                <c:pt idx="191">
                  <c:v>52.74</c:v>
                </c:pt>
                <c:pt idx="192">
                  <c:v>52.74</c:v>
                </c:pt>
                <c:pt idx="193">
                  <c:v>52.190000000000012</c:v>
                </c:pt>
                <c:pt idx="194">
                  <c:v>53.05</c:v>
                </c:pt>
                <c:pt idx="195">
                  <c:v>51.4</c:v>
                </c:pt>
                <c:pt idx="196">
                  <c:v>50.9</c:v>
                </c:pt>
                <c:pt idx="197">
                  <c:v>50.88</c:v>
                </c:pt>
                <c:pt idx="198">
                  <c:v>50.88</c:v>
                </c:pt>
                <c:pt idx="199">
                  <c:v>50.88</c:v>
                </c:pt>
                <c:pt idx="200">
                  <c:v>50.11</c:v>
                </c:pt>
                <c:pt idx="201">
                  <c:v>50.59</c:v>
                </c:pt>
                <c:pt idx="202">
                  <c:v>49.27</c:v>
                </c:pt>
                <c:pt idx="203">
                  <c:v>48.11</c:v>
                </c:pt>
                <c:pt idx="204">
                  <c:v>47.98</c:v>
                </c:pt>
                <c:pt idx="205">
                  <c:v>47.98</c:v>
                </c:pt>
                <c:pt idx="206">
                  <c:v>47.98</c:v>
                </c:pt>
                <c:pt idx="207">
                  <c:v>47.17</c:v>
                </c:pt>
                <c:pt idx="208">
                  <c:v>47.97</c:v>
                </c:pt>
                <c:pt idx="209">
                  <c:v>48.77</c:v>
                </c:pt>
                <c:pt idx="210">
                  <c:v>48.53</c:v>
                </c:pt>
                <c:pt idx="211">
                  <c:v>47.11</c:v>
                </c:pt>
                <c:pt idx="212">
                  <c:v>47.11</c:v>
                </c:pt>
                <c:pt idx="213">
                  <c:v>47.11</c:v>
                </c:pt>
                <c:pt idx="214">
                  <c:v>45.25</c:v>
                </c:pt>
                <c:pt idx="215">
                  <c:v>45.75</c:v>
                </c:pt>
                <c:pt idx="216">
                  <c:v>45.13</c:v>
                </c:pt>
                <c:pt idx="217">
                  <c:v>44.690000000000012</c:v>
                </c:pt>
                <c:pt idx="218">
                  <c:v>43.87</c:v>
                </c:pt>
                <c:pt idx="219">
                  <c:v>43.87</c:v>
                </c:pt>
                <c:pt idx="220">
                  <c:v>43.87</c:v>
                </c:pt>
                <c:pt idx="221">
                  <c:v>44.94</c:v>
                </c:pt>
                <c:pt idx="222">
                  <c:v>43.11</c:v>
                </c:pt>
                <c:pt idx="223">
                  <c:v>43.220000000000013</c:v>
                </c:pt>
                <c:pt idx="224">
                  <c:v>42.27</c:v>
                </c:pt>
                <c:pt idx="225">
                  <c:v>42.45</c:v>
                </c:pt>
                <c:pt idx="226">
                  <c:v>42.45</c:v>
                </c:pt>
                <c:pt idx="227">
                  <c:v>42.45</c:v>
                </c:pt>
                <c:pt idx="228">
                  <c:v>41.93</c:v>
                </c:pt>
                <c:pt idx="229">
                  <c:v>42.58</c:v>
                </c:pt>
                <c:pt idx="230">
                  <c:v>40.75</c:v>
                </c:pt>
                <c:pt idx="231">
                  <c:v>41</c:v>
                </c:pt>
                <c:pt idx="232">
                  <c:v>40.450000000000003</c:v>
                </c:pt>
                <c:pt idx="233">
                  <c:v>40.450000000000003</c:v>
                </c:pt>
                <c:pt idx="234">
                  <c:v>40.450000000000003</c:v>
                </c:pt>
                <c:pt idx="235">
                  <c:v>38.220000000000013</c:v>
                </c:pt>
                <c:pt idx="236">
                  <c:v>39.15</c:v>
                </c:pt>
                <c:pt idx="237">
                  <c:v>38.5</c:v>
                </c:pt>
                <c:pt idx="238">
                  <c:v>42.47</c:v>
                </c:pt>
                <c:pt idx="239">
                  <c:v>45.290000000000013</c:v>
                </c:pt>
                <c:pt idx="240">
                  <c:v>45.290000000000013</c:v>
                </c:pt>
                <c:pt idx="241">
                  <c:v>45.290000000000013</c:v>
                </c:pt>
                <c:pt idx="242">
                  <c:v>49.2</c:v>
                </c:pt>
                <c:pt idx="243">
                  <c:v>45.38</c:v>
                </c:pt>
                <c:pt idx="244">
                  <c:v>46.3</c:v>
                </c:pt>
                <c:pt idx="245">
                  <c:v>46.75</c:v>
                </c:pt>
                <c:pt idx="246">
                  <c:v>46.02</c:v>
                </c:pt>
                <c:pt idx="247">
                  <c:v>46.02</c:v>
                </c:pt>
                <c:pt idx="248">
                  <c:v>46.02</c:v>
                </c:pt>
                <c:pt idx="249">
                  <c:v>46.02</c:v>
                </c:pt>
                <c:pt idx="250">
                  <c:v>45.92</c:v>
                </c:pt>
                <c:pt idx="251">
                  <c:v>44.13</c:v>
                </c:pt>
                <c:pt idx="252">
                  <c:v>45.85</c:v>
                </c:pt>
                <c:pt idx="253">
                  <c:v>44.75</c:v>
                </c:pt>
                <c:pt idx="254">
                  <c:v>44.75</c:v>
                </c:pt>
                <c:pt idx="255">
                  <c:v>44.75</c:v>
                </c:pt>
                <c:pt idx="256">
                  <c:v>44.07</c:v>
                </c:pt>
                <c:pt idx="257">
                  <c:v>44.58</c:v>
                </c:pt>
                <c:pt idx="258">
                  <c:v>47.120000000000012</c:v>
                </c:pt>
                <c:pt idx="259">
                  <c:v>46.93</c:v>
                </c:pt>
                <c:pt idx="260">
                  <c:v>44.71</c:v>
                </c:pt>
                <c:pt idx="261">
                  <c:v>44.71</c:v>
                </c:pt>
                <c:pt idx="262">
                  <c:v>44.71</c:v>
                </c:pt>
                <c:pt idx="263">
                  <c:v>46.67</c:v>
                </c:pt>
                <c:pt idx="264">
                  <c:v>46.17</c:v>
                </c:pt>
                <c:pt idx="265">
                  <c:v>44.53</c:v>
                </c:pt>
                <c:pt idx="266">
                  <c:v>44.94</c:v>
                </c:pt>
                <c:pt idx="267">
                  <c:v>45.55</c:v>
                </c:pt>
                <c:pt idx="268">
                  <c:v>45.55</c:v>
                </c:pt>
                <c:pt idx="269">
                  <c:v>45.55</c:v>
                </c:pt>
                <c:pt idx="270">
                  <c:v>44.4</c:v>
                </c:pt>
                <c:pt idx="271">
                  <c:v>45.24</c:v>
                </c:pt>
                <c:pt idx="272">
                  <c:v>45.06</c:v>
                </c:pt>
                <c:pt idx="273">
                  <c:v>44.75</c:v>
                </c:pt>
                <c:pt idx="274">
                  <c:v>45.54</c:v>
                </c:pt>
                <c:pt idx="275">
                  <c:v>45.54</c:v>
                </c:pt>
                <c:pt idx="276">
                  <c:v>45.54</c:v>
                </c:pt>
                <c:pt idx="277">
                  <c:v>46.28</c:v>
                </c:pt>
                <c:pt idx="278">
                  <c:v>48.53</c:v>
                </c:pt>
                <c:pt idx="279">
                  <c:v>47.86</c:v>
                </c:pt>
                <c:pt idx="280">
                  <c:v>49.46</c:v>
                </c:pt>
                <c:pt idx="281">
                  <c:v>49.67</c:v>
                </c:pt>
                <c:pt idx="282">
                  <c:v>49.67</c:v>
                </c:pt>
                <c:pt idx="283">
                  <c:v>49.67</c:v>
                </c:pt>
                <c:pt idx="284">
                  <c:v>47.09</c:v>
                </c:pt>
                <c:pt idx="285">
                  <c:v>46.7</c:v>
                </c:pt>
                <c:pt idx="286">
                  <c:v>46.63</c:v>
                </c:pt>
                <c:pt idx="287">
                  <c:v>46.38</c:v>
                </c:pt>
                <c:pt idx="288">
                  <c:v>47.3</c:v>
                </c:pt>
                <c:pt idx="289">
                  <c:v>47.3</c:v>
                </c:pt>
                <c:pt idx="290">
                  <c:v>47.3</c:v>
                </c:pt>
                <c:pt idx="291">
                  <c:v>45.91</c:v>
                </c:pt>
                <c:pt idx="292">
                  <c:v>45.84</c:v>
                </c:pt>
                <c:pt idx="293">
                  <c:v>45.220000000000013</c:v>
                </c:pt>
                <c:pt idx="294">
                  <c:v>44.9</c:v>
                </c:pt>
                <c:pt idx="295">
                  <c:v>43.91</c:v>
                </c:pt>
                <c:pt idx="296">
                  <c:v>43.91</c:v>
                </c:pt>
                <c:pt idx="297">
                  <c:v>43.91</c:v>
                </c:pt>
                <c:pt idx="298">
                  <c:v>43.190000000000012</c:v>
                </c:pt>
                <c:pt idx="299">
                  <c:v>43.21</c:v>
                </c:pt>
                <c:pt idx="300">
                  <c:v>45.93</c:v>
                </c:pt>
                <c:pt idx="301">
                  <c:v>46.02</c:v>
                </c:pt>
                <c:pt idx="302">
                  <c:v>46.6</c:v>
                </c:pt>
                <c:pt idx="303">
                  <c:v>46.6</c:v>
                </c:pt>
                <c:pt idx="304">
                  <c:v>46.6</c:v>
                </c:pt>
                <c:pt idx="305">
                  <c:v>46.120000000000012</c:v>
                </c:pt>
                <c:pt idx="306">
                  <c:v>47.88</c:v>
                </c:pt>
                <c:pt idx="307">
                  <c:v>46.32</c:v>
                </c:pt>
                <c:pt idx="308">
                  <c:v>45.27</c:v>
                </c:pt>
                <c:pt idx="309">
                  <c:v>44.32</c:v>
                </c:pt>
                <c:pt idx="310">
                  <c:v>44.32</c:v>
                </c:pt>
                <c:pt idx="311">
                  <c:v>44.32</c:v>
                </c:pt>
                <c:pt idx="312">
                  <c:v>43.87</c:v>
                </c:pt>
                <c:pt idx="313">
                  <c:v>44.230000000000011</c:v>
                </c:pt>
                <c:pt idx="314">
                  <c:v>42.95</c:v>
                </c:pt>
                <c:pt idx="315">
                  <c:v>41.74</c:v>
                </c:pt>
                <c:pt idx="316">
                  <c:v>40.690000000000012</c:v>
                </c:pt>
                <c:pt idx="317">
                  <c:v>40.690000000000012</c:v>
                </c:pt>
                <c:pt idx="318">
                  <c:v>40.690000000000012</c:v>
                </c:pt>
                <c:pt idx="319">
                  <c:v>41.68</c:v>
                </c:pt>
                <c:pt idx="320">
                  <c:v>40.730000000000011</c:v>
                </c:pt>
                <c:pt idx="321">
                  <c:v>40.75</c:v>
                </c:pt>
                <c:pt idx="322">
                  <c:v>40.550000000000004</c:v>
                </c:pt>
                <c:pt idx="323">
                  <c:v>39.39</c:v>
                </c:pt>
              </c:numCache>
            </c:numRef>
          </c:val>
          <c:smooth val="0"/>
        </c:ser>
        <c:ser>
          <c:idx val="1"/>
          <c:order val="1"/>
          <c:tx>
            <c:strRef>
              <c:f>原油!$C$1</c:f>
              <c:strCache>
                <c:ptCount val="1"/>
                <c:pt idx="0">
                  <c:v>原油 布蘭特 北海 現貨價(美元/桶)</c:v>
                </c:pt>
              </c:strCache>
            </c:strRef>
          </c:tx>
          <c:marker>
            <c:symbol val="none"/>
          </c:marker>
          <c:cat>
            <c:numRef>
              <c:f>原油!$A$216:$A$539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原油!$C$216:$C$539</c:f>
              <c:numCache>
                <c:formatCode>General</c:formatCode>
                <c:ptCount val="324"/>
                <c:pt idx="0">
                  <c:v>56.08</c:v>
                </c:pt>
                <c:pt idx="1">
                  <c:v>55.58</c:v>
                </c:pt>
                <c:pt idx="2">
                  <c:v>55.58</c:v>
                </c:pt>
                <c:pt idx="3">
                  <c:v>55.58</c:v>
                </c:pt>
                <c:pt idx="4">
                  <c:v>51.28</c:v>
                </c:pt>
                <c:pt idx="5">
                  <c:v>50.32</c:v>
                </c:pt>
                <c:pt idx="6">
                  <c:v>49.260000000000012</c:v>
                </c:pt>
                <c:pt idx="7">
                  <c:v>49.58</c:v>
                </c:pt>
                <c:pt idx="8">
                  <c:v>47.790000000000013</c:v>
                </c:pt>
                <c:pt idx="9">
                  <c:v>47.790000000000013</c:v>
                </c:pt>
                <c:pt idx="10">
                  <c:v>47.790000000000013</c:v>
                </c:pt>
                <c:pt idx="11">
                  <c:v>47.05</c:v>
                </c:pt>
                <c:pt idx="12">
                  <c:v>45.08</c:v>
                </c:pt>
                <c:pt idx="13">
                  <c:v>45.77</c:v>
                </c:pt>
                <c:pt idx="14">
                  <c:v>47.61</c:v>
                </c:pt>
                <c:pt idx="15">
                  <c:v>47.03</c:v>
                </c:pt>
                <c:pt idx="16">
                  <c:v>47.03</c:v>
                </c:pt>
                <c:pt idx="17">
                  <c:v>47.03</c:v>
                </c:pt>
                <c:pt idx="18">
                  <c:v>46.08</c:v>
                </c:pt>
                <c:pt idx="19">
                  <c:v>45.89</c:v>
                </c:pt>
                <c:pt idx="20">
                  <c:v>45.9</c:v>
                </c:pt>
                <c:pt idx="21">
                  <c:v>45.49</c:v>
                </c:pt>
                <c:pt idx="22">
                  <c:v>46.09</c:v>
                </c:pt>
                <c:pt idx="23">
                  <c:v>46.09</c:v>
                </c:pt>
                <c:pt idx="24">
                  <c:v>46.09</c:v>
                </c:pt>
                <c:pt idx="25">
                  <c:v>45.47</c:v>
                </c:pt>
                <c:pt idx="26">
                  <c:v>45.95</c:v>
                </c:pt>
                <c:pt idx="27">
                  <c:v>46.47</c:v>
                </c:pt>
                <c:pt idx="28">
                  <c:v>46.01</c:v>
                </c:pt>
                <c:pt idx="29">
                  <c:v>46.92</c:v>
                </c:pt>
                <c:pt idx="30">
                  <c:v>46.92</c:v>
                </c:pt>
                <c:pt idx="31">
                  <c:v>46.92</c:v>
                </c:pt>
                <c:pt idx="32">
                  <c:v>51.14</c:v>
                </c:pt>
                <c:pt idx="33">
                  <c:v>53.81</c:v>
                </c:pt>
                <c:pt idx="34">
                  <c:v>54.47</c:v>
                </c:pt>
                <c:pt idx="35">
                  <c:v>55.43</c:v>
                </c:pt>
                <c:pt idx="36">
                  <c:v>55.33</c:v>
                </c:pt>
                <c:pt idx="37">
                  <c:v>55.33</c:v>
                </c:pt>
                <c:pt idx="38">
                  <c:v>55.33</c:v>
                </c:pt>
                <c:pt idx="39">
                  <c:v>56.45</c:v>
                </c:pt>
                <c:pt idx="40">
                  <c:v>55.24</c:v>
                </c:pt>
                <c:pt idx="41">
                  <c:v>52.93</c:v>
                </c:pt>
                <c:pt idx="42">
                  <c:v>55.83</c:v>
                </c:pt>
                <c:pt idx="43">
                  <c:v>59.93</c:v>
                </c:pt>
                <c:pt idx="44">
                  <c:v>59.93</c:v>
                </c:pt>
                <c:pt idx="45">
                  <c:v>59.93</c:v>
                </c:pt>
                <c:pt idx="46">
                  <c:v>61.57</c:v>
                </c:pt>
                <c:pt idx="47">
                  <c:v>60.78</c:v>
                </c:pt>
                <c:pt idx="48">
                  <c:v>60.720000000000013</c:v>
                </c:pt>
                <c:pt idx="49">
                  <c:v>58.78</c:v>
                </c:pt>
                <c:pt idx="50">
                  <c:v>60.99</c:v>
                </c:pt>
                <c:pt idx="51">
                  <c:v>60.99</c:v>
                </c:pt>
                <c:pt idx="52">
                  <c:v>60.99</c:v>
                </c:pt>
                <c:pt idx="53">
                  <c:v>59.78</c:v>
                </c:pt>
                <c:pt idx="54">
                  <c:v>60.98</c:v>
                </c:pt>
                <c:pt idx="55">
                  <c:v>60.42</c:v>
                </c:pt>
                <c:pt idx="56">
                  <c:v>62.04</c:v>
                </c:pt>
                <c:pt idx="57">
                  <c:v>62.54</c:v>
                </c:pt>
                <c:pt idx="58">
                  <c:v>62.54</c:v>
                </c:pt>
                <c:pt idx="59">
                  <c:v>62.54</c:v>
                </c:pt>
                <c:pt idx="60">
                  <c:v>61.4</c:v>
                </c:pt>
                <c:pt idx="61">
                  <c:v>61.83</c:v>
                </c:pt>
                <c:pt idx="62">
                  <c:v>59.83</c:v>
                </c:pt>
                <c:pt idx="63">
                  <c:v>60.98</c:v>
                </c:pt>
                <c:pt idx="64">
                  <c:v>59.8</c:v>
                </c:pt>
                <c:pt idx="65">
                  <c:v>59.8</c:v>
                </c:pt>
                <c:pt idx="66">
                  <c:v>59.8</c:v>
                </c:pt>
                <c:pt idx="67">
                  <c:v>59.32</c:v>
                </c:pt>
                <c:pt idx="68">
                  <c:v>56.6</c:v>
                </c:pt>
                <c:pt idx="69">
                  <c:v>57.11</c:v>
                </c:pt>
                <c:pt idx="70">
                  <c:v>57.31</c:v>
                </c:pt>
                <c:pt idx="71">
                  <c:v>55.45</c:v>
                </c:pt>
                <c:pt idx="72">
                  <c:v>55.45</c:v>
                </c:pt>
                <c:pt idx="73">
                  <c:v>55.45</c:v>
                </c:pt>
                <c:pt idx="74">
                  <c:v>52.65</c:v>
                </c:pt>
                <c:pt idx="75">
                  <c:v>52.82</c:v>
                </c:pt>
                <c:pt idx="76">
                  <c:v>53.24</c:v>
                </c:pt>
                <c:pt idx="77">
                  <c:v>53.61</c:v>
                </c:pt>
                <c:pt idx="78">
                  <c:v>54.53</c:v>
                </c:pt>
                <c:pt idx="79">
                  <c:v>54.53</c:v>
                </c:pt>
                <c:pt idx="80">
                  <c:v>54.53</c:v>
                </c:pt>
                <c:pt idx="81">
                  <c:v>53.92</c:v>
                </c:pt>
                <c:pt idx="82">
                  <c:v>53.71</c:v>
                </c:pt>
                <c:pt idx="83">
                  <c:v>54.28</c:v>
                </c:pt>
                <c:pt idx="84">
                  <c:v>56.92</c:v>
                </c:pt>
                <c:pt idx="85">
                  <c:v>56.34</c:v>
                </c:pt>
                <c:pt idx="86">
                  <c:v>56.34</c:v>
                </c:pt>
                <c:pt idx="87">
                  <c:v>56.34</c:v>
                </c:pt>
                <c:pt idx="88">
                  <c:v>53.64</c:v>
                </c:pt>
                <c:pt idx="89">
                  <c:v>53.290000000000013</c:v>
                </c:pt>
                <c:pt idx="90">
                  <c:v>55.48</c:v>
                </c:pt>
                <c:pt idx="91">
                  <c:v>53.71</c:v>
                </c:pt>
                <c:pt idx="92">
                  <c:v>53.71</c:v>
                </c:pt>
                <c:pt idx="93">
                  <c:v>53.71</c:v>
                </c:pt>
                <c:pt idx="94">
                  <c:v>53.71</c:v>
                </c:pt>
                <c:pt idx="95">
                  <c:v>56.660000000000011</c:v>
                </c:pt>
                <c:pt idx="96">
                  <c:v>57.3</c:v>
                </c:pt>
                <c:pt idx="97">
                  <c:v>56.220000000000013</c:v>
                </c:pt>
                <c:pt idx="98">
                  <c:v>55.790000000000013</c:v>
                </c:pt>
                <c:pt idx="99">
                  <c:v>56.67</c:v>
                </c:pt>
                <c:pt idx="100">
                  <c:v>56.67</c:v>
                </c:pt>
                <c:pt idx="101">
                  <c:v>56.67</c:v>
                </c:pt>
                <c:pt idx="102">
                  <c:v>56.99</c:v>
                </c:pt>
                <c:pt idx="103">
                  <c:v>57.54</c:v>
                </c:pt>
                <c:pt idx="104">
                  <c:v>59.17</c:v>
                </c:pt>
                <c:pt idx="105">
                  <c:v>59.98</c:v>
                </c:pt>
                <c:pt idx="106">
                  <c:v>61.160000000000011</c:v>
                </c:pt>
                <c:pt idx="107">
                  <c:v>61.160000000000011</c:v>
                </c:pt>
                <c:pt idx="108">
                  <c:v>61.160000000000011</c:v>
                </c:pt>
                <c:pt idx="109">
                  <c:v>61.05</c:v>
                </c:pt>
                <c:pt idx="110">
                  <c:v>59.97</c:v>
                </c:pt>
                <c:pt idx="111">
                  <c:v>59.97</c:v>
                </c:pt>
                <c:pt idx="112">
                  <c:v>62.51</c:v>
                </c:pt>
                <c:pt idx="113">
                  <c:v>62.81</c:v>
                </c:pt>
                <c:pt idx="114">
                  <c:v>62.81</c:v>
                </c:pt>
                <c:pt idx="115">
                  <c:v>62.81</c:v>
                </c:pt>
                <c:pt idx="116">
                  <c:v>62.71</c:v>
                </c:pt>
                <c:pt idx="117">
                  <c:v>62.46</c:v>
                </c:pt>
                <c:pt idx="118">
                  <c:v>63.82</c:v>
                </c:pt>
                <c:pt idx="119">
                  <c:v>63.75</c:v>
                </c:pt>
                <c:pt idx="120">
                  <c:v>63.98</c:v>
                </c:pt>
                <c:pt idx="121">
                  <c:v>63.98</c:v>
                </c:pt>
                <c:pt idx="122">
                  <c:v>63.98</c:v>
                </c:pt>
                <c:pt idx="123">
                  <c:v>64.47</c:v>
                </c:pt>
                <c:pt idx="124">
                  <c:v>65.290000000000006</c:v>
                </c:pt>
                <c:pt idx="125">
                  <c:v>66.069999999999993</c:v>
                </c:pt>
                <c:pt idx="126">
                  <c:v>64.73</c:v>
                </c:pt>
                <c:pt idx="127">
                  <c:v>63.52</c:v>
                </c:pt>
                <c:pt idx="128">
                  <c:v>63.52</c:v>
                </c:pt>
                <c:pt idx="129">
                  <c:v>63.52</c:v>
                </c:pt>
                <c:pt idx="130">
                  <c:v>62.52</c:v>
                </c:pt>
                <c:pt idx="131">
                  <c:v>64.790000000000006</c:v>
                </c:pt>
                <c:pt idx="132">
                  <c:v>66.03</c:v>
                </c:pt>
                <c:pt idx="133">
                  <c:v>65.28</c:v>
                </c:pt>
                <c:pt idx="134">
                  <c:v>64.39</c:v>
                </c:pt>
                <c:pt idx="135">
                  <c:v>64.39</c:v>
                </c:pt>
                <c:pt idx="136">
                  <c:v>64.39</c:v>
                </c:pt>
                <c:pt idx="137">
                  <c:v>64.849999999999994</c:v>
                </c:pt>
                <c:pt idx="138">
                  <c:v>63.18</c:v>
                </c:pt>
                <c:pt idx="139">
                  <c:v>63.220000000000013</c:v>
                </c:pt>
                <c:pt idx="140">
                  <c:v>64.400000000000006</c:v>
                </c:pt>
                <c:pt idx="141">
                  <c:v>63.260000000000012</c:v>
                </c:pt>
                <c:pt idx="142">
                  <c:v>63.260000000000012</c:v>
                </c:pt>
                <c:pt idx="143">
                  <c:v>63.260000000000012</c:v>
                </c:pt>
                <c:pt idx="144">
                  <c:v>63.82</c:v>
                </c:pt>
                <c:pt idx="145">
                  <c:v>61.35</c:v>
                </c:pt>
                <c:pt idx="146">
                  <c:v>61.05</c:v>
                </c:pt>
                <c:pt idx="147">
                  <c:v>59.82</c:v>
                </c:pt>
                <c:pt idx="148">
                  <c:v>62.86</c:v>
                </c:pt>
                <c:pt idx="149">
                  <c:v>62.86</c:v>
                </c:pt>
                <c:pt idx="150">
                  <c:v>62.86</c:v>
                </c:pt>
                <c:pt idx="151">
                  <c:v>62.57</c:v>
                </c:pt>
                <c:pt idx="152">
                  <c:v>62.84</c:v>
                </c:pt>
                <c:pt idx="153">
                  <c:v>62.33</c:v>
                </c:pt>
                <c:pt idx="154">
                  <c:v>59.84</c:v>
                </c:pt>
                <c:pt idx="155">
                  <c:v>59.96</c:v>
                </c:pt>
                <c:pt idx="156">
                  <c:v>59.96</c:v>
                </c:pt>
                <c:pt idx="157">
                  <c:v>59.96</c:v>
                </c:pt>
                <c:pt idx="158">
                  <c:v>60.93</c:v>
                </c:pt>
                <c:pt idx="159">
                  <c:v>62.88</c:v>
                </c:pt>
                <c:pt idx="160">
                  <c:v>64.33</c:v>
                </c:pt>
                <c:pt idx="161">
                  <c:v>63.41</c:v>
                </c:pt>
                <c:pt idx="162">
                  <c:v>62.84</c:v>
                </c:pt>
                <c:pt idx="163">
                  <c:v>62.84</c:v>
                </c:pt>
                <c:pt idx="164">
                  <c:v>62.84</c:v>
                </c:pt>
                <c:pt idx="165">
                  <c:v>59.94</c:v>
                </c:pt>
                <c:pt idx="166">
                  <c:v>59.3</c:v>
                </c:pt>
                <c:pt idx="167">
                  <c:v>59.3</c:v>
                </c:pt>
                <c:pt idx="168">
                  <c:v>59.92</c:v>
                </c:pt>
                <c:pt idx="169">
                  <c:v>57.96</c:v>
                </c:pt>
                <c:pt idx="170">
                  <c:v>57.96</c:v>
                </c:pt>
                <c:pt idx="171">
                  <c:v>57.96</c:v>
                </c:pt>
                <c:pt idx="172">
                  <c:v>59.09</c:v>
                </c:pt>
                <c:pt idx="173">
                  <c:v>60.220000000000013</c:v>
                </c:pt>
                <c:pt idx="174">
                  <c:v>60.18</c:v>
                </c:pt>
                <c:pt idx="175">
                  <c:v>58.790000000000013</c:v>
                </c:pt>
                <c:pt idx="176">
                  <c:v>58.690000000000012</c:v>
                </c:pt>
                <c:pt idx="177">
                  <c:v>58.690000000000012</c:v>
                </c:pt>
                <c:pt idx="178">
                  <c:v>58.690000000000012</c:v>
                </c:pt>
                <c:pt idx="179">
                  <c:v>57.58</c:v>
                </c:pt>
                <c:pt idx="180">
                  <c:v>58.86</c:v>
                </c:pt>
                <c:pt idx="181">
                  <c:v>60.2</c:v>
                </c:pt>
                <c:pt idx="182">
                  <c:v>60.28</c:v>
                </c:pt>
                <c:pt idx="183">
                  <c:v>58.660000000000011</c:v>
                </c:pt>
                <c:pt idx="184">
                  <c:v>58.660000000000011</c:v>
                </c:pt>
                <c:pt idx="185">
                  <c:v>58.660000000000011</c:v>
                </c:pt>
                <c:pt idx="186">
                  <c:v>56.790000000000013</c:v>
                </c:pt>
                <c:pt idx="187">
                  <c:v>54.32</c:v>
                </c:pt>
                <c:pt idx="188">
                  <c:v>55.3</c:v>
                </c:pt>
                <c:pt idx="189">
                  <c:v>57.43</c:v>
                </c:pt>
                <c:pt idx="190">
                  <c:v>57.32</c:v>
                </c:pt>
                <c:pt idx="191">
                  <c:v>57.32</c:v>
                </c:pt>
                <c:pt idx="192">
                  <c:v>57.32</c:v>
                </c:pt>
                <c:pt idx="193">
                  <c:v>57.53</c:v>
                </c:pt>
                <c:pt idx="194">
                  <c:v>57.1</c:v>
                </c:pt>
                <c:pt idx="195">
                  <c:v>57.39</c:v>
                </c:pt>
                <c:pt idx="196">
                  <c:v>57.36</c:v>
                </c:pt>
                <c:pt idx="197">
                  <c:v>56.43</c:v>
                </c:pt>
                <c:pt idx="198">
                  <c:v>56.43</c:v>
                </c:pt>
                <c:pt idx="199">
                  <c:v>56.43</c:v>
                </c:pt>
                <c:pt idx="200">
                  <c:v>56.47</c:v>
                </c:pt>
                <c:pt idx="201">
                  <c:v>55.690000000000012</c:v>
                </c:pt>
                <c:pt idx="202">
                  <c:v>56.46</c:v>
                </c:pt>
                <c:pt idx="203">
                  <c:v>55.86</c:v>
                </c:pt>
                <c:pt idx="204">
                  <c:v>54.39</c:v>
                </c:pt>
                <c:pt idx="205">
                  <c:v>54.39</c:v>
                </c:pt>
                <c:pt idx="206">
                  <c:v>54.39</c:v>
                </c:pt>
                <c:pt idx="207">
                  <c:v>54.77</c:v>
                </c:pt>
                <c:pt idx="208">
                  <c:v>55.3</c:v>
                </c:pt>
                <c:pt idx="209">
                  <c:v>55.43</c:v>
                </c:pt>
                <c:pt idx="210">
                  <c:v>54.92</c:v>
                </c:pt>
                <c:pt idx="211">
                  <c:v>53.64</c:v>
                </c:pt>
                <c:pt idx="212">
                  <c:v>53.64</c:v>
                </c:pt>
                <c:pt idx="213">
                  <c:v>53.64</c:v>
                </c:pt>
                <c:pt idx="214">
                  <c:v>49.84</c:v>
                </c:pt>
                <c:pt idx="215">
                  <c:v>49.43</c:v>
                </c:pt>
                <c:pt idx="216">
                  <c:v>49.39</c:v>
                </c:pt>
                <c:pt idx="217">
                  <c:v>48.15</c:v>
                </c:pt>
                <c:pt idx="218">
                  <c:v>47.74</c:v>
                </c:pt>
                <c:pt idx="219">
                  <c:v>47.74</c:v>
                </c:pt>
                <c:pt idx="220">
                  <c:v>47.74</c:v>
                </c:pt>
                <c:pt idx="221">
                  <c:v>47.8</c:v>
                </c:pt>
                <c:pt idx="222">
                  <c:v>46.83</c:v>
                </c:pt>
                <c:pt idx="223">
                  <c:v>47.790000000000013</c:v>
                </c:pt>
                <c:pt idx="224">
                  <c:v>47.51</c:v>
                </c:pt>
                <c:pt idx="225">
                  <c:v>47.49</c:v>
                </c:pt>
                <c:pt idx="226">
                  <c:v>47.49</c:v>
                </c:pt>
                <c:pt idx="227">
                  <c:v>47.49</c:v>
                </c:pt>
                <c:pt idx="228">
                  <c:v>47.47</c:v>
                </c:pt>
                <c:pt idx="229">
                  <c:v>46.7</c:v>
                </c:pt>
                <c:pt idx="230">
                  <c:v>45.45</c:v>
                </c:pt>
                <c:pt idx="231">
                  <c:v>45.33</c:v>
                </c:pt>
                <c:pt idx="232">
                  <c:v>43.96</c:v>
                </c:pt>
                <c:pt idx="233">
                  <c:v>43.96</c:v>
                </c:pt>
                <c:pt idx="234">
                  <c:v>43.96</c:v>
                </c:pt>
                <c:pt idx="235">
                  <c:v>41.290000000000013</c:v>
                </c:pt>
                <c:pt idx="236">
                  <c:v>41.56</c:v>
                </c:pt>
                <c:pt idx="237">
                  <c:v>41.46</c:v>
                </c:pt>
                <c:pt idx="238">
                  <c:v>44.160000000000011</c:v>
                </c:pt>
                <c:pt idx="239">
                  <c:v>47.67</c:v>
                </c:pt>
                <c:pt idx="240">
                  <c:v>47.67</c:v>
                </c:pt>
                <c:pt idx="241">
                  <c:v>47.67</c:v>
                </c:pt>
                <c:pt idx="242">
                  <c:v>48.51</c:v>
                </c:pt>
                <c:pt idx="243">
                  <c:v>48.5</c:v>
                </c:pt>
                <c:pt idx="244">
                  <c:v>47.37</c:v>
                </c:pt>
                <c:pt idx="245">
                  <c:v>49.86</c:v>
                </c:pt>
                <c:pt idx="246">
                  <c:v>48.04</c:v>
                </c:pt>
                <c:pt idx="247">
                  <c:v>48.04</c:v>
                </c:pt>
                <c:pt idx="248">
                  <c:v>48.04</c:v>
                </c:pt>
                <c:pt idx="249">
                  <c:v>45.87</c:v>
                </c:pt>
                <c:pt idx="250">
                  <c:v>48.33</c:v>
                </c:pt>
                <c:pt idx="251">
                  <c:v>47.49</c:v>
                </c:pt>
                <c:pt idx="252">
                  <c:v>47.220000000000013</c:v>
                </c:pt>
                <c:pt idx="253">
                  <c:v>46.32</c:v>
                </c:pt>
                <c:pt idx="254">
                  <c:v>46.32</c:v>
                </c:pt>
                <c:pt idx="255">
                  <c:v>46.32</c:v>
                </c:pt>
                <c:pt idx="256">
                  <c:v>45.87</c:v>
                </c:pt>
                <c:pt idx="257">
                  <c:v>45.91</c:v>
                </c:pt>
                <c:pt idx="258">
                  <c:v>49.35</c:v>
                </c:pt>
                <c:pt idx="259">
                  <c:v>48.27</c:v>
                </c:pt>
                <c:pt idx="260">
                  <c:v>47.28</c:v>
                </c:pt>
                <c:pt idx="261">
                  <c:v>47.28</c:v>
                </c:pt>
                <c:pt idx="262">
                  <c:v>47.28</c:v>
                </c:pt>
                <c:pt idx="263">
                  <c:v>47.64</c:v>
                </c:pt>
                <c:pt idx="264">
                  <c:v>46.790000000000013</c:v>
                </c:pt>
                <c:pt idx="265">
                  <c:v>48.1</c:v>
                </c:pt>
                <c:pt idx="266">
                  <c:v>47.160000000000011</c:v>
                </c:pt>
                <c:pt idx="267">
                  <c:v>47.08</c:v>
                </c:pt>
                <c:pt idx="268">
                  <c:v>47.08</c:v>
                </c:pt>
                <c:pt idx="269">
                  <c:v>47.08</c:v>
                </c:pt>
                <c:pt idx="270">
                  <c:v>45.99</c:v>
                </c:pt>
                <c:pt idx="271">
                  <c:v>47.53</c:v>
                </c:pt>
                <c:pt idx="272">
                  <c:v>47.04</c:v>
                </c:pt>
                <c:pt idx="273">
                  <c:v>47.38</c:v>
                </c:pt>
                <c:pt idx="274">
                  <c:v>46.5</c:v>
                </c:pt>
                <c:pt idx="275">
                  <c:v>46.5</c:v>
                </c:pt>
                <c:pt idx="276">
                  <c:v>46.5</c:v>
                </c:pt>
                <c:pt idx="277">
                  <c:v>49.4</c:v>
                </c:pt>
                <c:pt idx="278">
                  <c:v>51.290000000000013</c:v>
                </c:pt>
                <c:pt idx="279">
                  <c:v>51.61</c:v>
                </c:pt>
                <c:pt idx="280">
                  <c:v>52.28</c:v>
                </c:pt>
                <c:pt idx="281">
                  <c:v>52.230000000000011</c:v>
                </c:pt>
                <c:pt idx="282">
                  <c:v>52.230000000000011</c:v>
                </c:pt>
                <c:pt idx="283">
                  <c:v>52.230000000000011</c:v>
                </c:pt>
                <c:pt idx="284">
                  <c:v>51.1</c:v>
                </c:pt>
                <c:pt idx="285">
                  <c:v>48.84</c:v>
                </c:pt>
                <c:pt idx="286">
                  <c:v>48.15</c:v>
                </c:pt>
                <c:pt idx="287">
                  <c:v>47.77</c:v>
                </c:pt>
                <c:pt idx="288">
                  <c:v>49.01</c:v>
                </c:pt>
                <c:pt idx="289">
                  <c:v>49.01</c:v>
                </c:pt>
                <c:pt idx="290">
                  <c:v>49.01</c:v>
                </c:pt>
                <c:pt idx="291">
                  <c:v>47.21</c:v>
                </c:pt>
                <c:pt idx="292">
                  <c:v>46.58</c:v>
                </c:pt>
                <c:pt idx="293">
                  <c:v>46.37</c:v>
                </c:pt>
                <c:pt idx="294">
                  <c:v>46.55</c:v>
                </c:pt>
                <c:pt idx="295">
                  <c:v>46.05</c:v>
                </c:pt>
                <c:pt idx="296">
                  <c:v>46.05</c:v>
                </c:pt>
                <c:pt idx="297">
                  <c:v>46.05</c:v>
                </c:pt>
                <c:pt idx="298">
                  <c:v>46.49</c:v>
                </c:pt>
                <c:pt idx="299">
                  <c:v>45.54</c:v>
                </c:pt>
                <c:pt idx="300">
                  <c:v>47.6</c:v>
                </c:pt>
                <c:pt idx="301">
                  <c:v>48.04</c:v>
                </c:pt>
                <c:pt idx="302">
                  <c:v>48</c:v>
                </c:pt>
                <c:pt idx="303">
                  <c:v>48</c:v>
                </c:pt>
                <c:pt idx="304">
                  <c:v>48</c:v>
                </c:pt>
                <c:pt idx="305">
                  <c:v>47.51</c:v>
                </c:pt>
                <c:pt idx="306">
                  <c:v>47.1</c:v>
                </c:pt>
                <c:pt idx="307">
                  <c:v>46.06</c:v>
                </c:pt>
                <c:pt idx="308">
                  <c:v>46.690000000000012</c:v>
                </c:pt>
                <c:pt idx="309">
                  <c:v>45.59</c:v>
                </c:pt>
                <c:pt idx="310">
                  <c:v>45.59</c:v>
                </c:pt>
                <c:pt idx="311">
                  <c:v>45.59</c:v>
                </c:pt>
                <c:pt idx="312">
                  <c:v>44.88</c:v>
                </c:pt>
                <c:pt idx="313">
                  <c:v>45.94</c:v>
                </c:pt>
                <c:pt idx="314">
                  <c:v>44.63</c:v>
                </c:pt>
                <c:pt idx="315">
                  <c:v>43.290000000000013</c:v>
                </c:pt>
                <c:pt idx="316">
                  <c:v>41.63</c:v>
                </c:pt>
                <c:pt idx="317">
                  <c:v>41.63</c:v>
                </c:pt>
                <c:pt idx="318">
                  <c:v>41.63</c:v>
                </c:pt>
                <c:pt idx="319">
                  <c:v>39.93</c:v>
                </c:pt>
                <c:pt idx="320">
                  <c:v>40.93</c:v>
                </c:pt>
                <c:pt idx="321">
                  <c:v>41.1</c:v>
                </c:pt>
                <c:pt idx="322">
                  <c:v>41.67</c:v>
                </c:pt>
                <c:pt idx="323">
                  <c:v>41.94</c:v>
                </c:pt>
              </c:numCache>
            </c:numRef>
          </c:val>
          <c:smooth val="0"/>
        </c:ser>
        <c:ser>
          <c:idx val="2"/>
          <c:order val="2"/>
          <c:tx>
            <c:strRef>
              <c:f>原油!$D$1</c:f>
              <c:strCache>
                <c:ptCount val="1"/>
                <c:pt idx="0">
                  <c:v>原油 杜拜 現貨價(美元/桶)</c:v>
                </c:pt>
              </c:strCache>
            </c:strRef>
          </c:tx>
          <c:spPr>
            <a:ln>
              <a:prstDash val="sysDot"/>
            </a:ln>
          </c:spPr>
          <c:marker>
            <c:symbol val="none"/>
          </c:marker>
          <c:cat>
            <c:numRef>
              <c:f>原油!$A$216:$A$539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原油!$D$216:$D$539</c:f>
              <c:numCache>
                <c:formatCode>General</c:formatCode>
                <c:ptCount val="324"/>
                <c:pt idx="0">
                  <c:v>53.54</c:v>
                </c:pt>
                <c:pt idx="1">
                  <c:v>53.4</c:v>
                </c:pt>
                <c:pt idx="2">
                  <c:v>53.4</c:v>
                </c:pt>
                <c:pt idx="3">
                  <c:v>53.4</c:v>
                </c:pt>
                <c:pt idx="4">
                  <c:v>53.4</c:v>
                </c:pt>
                <c:pt idx="5">
                  <c:v>47.720000000000013</c:v>
                </c:pt>
                <c:pt idx="6">
                  <c:v>47.55</c:v>
                </c:pt>
                <c:pt idx="7">
                  <c:v>47.5</c:v>
                </c:pt>
                <c:pt idx="8">
                  <c:v>46.91</c:v>
                </c:pt>
                <c:pt idx="9">
                  <c:v>46.91</c:v>
                </c:pt>
                <c:pt idx="10">
                  <c:v>46.91</c:v>
                </c:pt>
                <c:pt idx="11">
                  <c:v>44.02</c:v>
                </c:pt>
                <c:pt idx="12">
                  <c:v>43.730000000000011</c:v>
                </c:pt>
                <c:pt idx="13">
                  <c:v>45.58</c:v>
                </c:pt>
                <c:pt idx="14">
                  <c:v>45.58</c:v>
                </c:pt>
                <c:pt idx="15">
                  <c:v>45</c:v>
                </c:pt>
                <c:pt idx="16">
                  <c:v>45</c:v>
                </c:pt>
                <c:pt idx="17">
                  <c:v>45</c:v>
                </c:pt>
                <c:pt idx="18">
                  <c:v>44.290000000000013</c:v>
                </c:pt>
                <c:pt idx="19">
                  <c:v>43.64</c:v>
                </c:pt>
                <c:pt idx="20">
                  <c:v>44.120000000000012</c:v>
                </c:pt>
                <c:pt idx="21">
                  <c:v>44.18</c:v>
                </c:pt>
                <c:pt idx="22">
                  <c:v>44.28</c:v>
                </c:pt>
                <c:pt idx="23">
                  <c:v>44.28</c:v>
                </c:pt>
                <c:pt idx="24">
                  <c:v>44.28</c:v>
                </c:pt>
                <c:pt idx="25">
                  <c:v>43.89</c:v>
                </c:pt>
                <c:pt idx="26">
                  <c:v>45.04</c:v>
                </c:pt>
                <c:pt idx="27">
                  <c:v>44.190000000000012</c:v>
                </c:pt>
                <c:pt idx="28">
                  <c:v>45.28</c:v>
                </c:pt>
                <c:pt idx="29">
                  <c:v>49.07</c:v>
                </c:pt>
                <c:pt idx="30">
                  <c:v>49.07</c:v>
                </c:pt>
                <c:pt idx="31">
                  <c:v>49.07</c:v>
                </c:pt>
                <c:pt idx="32">
                  <c:v>52.39</c:v>
                </c:pt>
                <c:pt idx="33">
                  <c:v>54.25</c:v>
                </c:pt>
                <c:pt idx="34">
                  <c:v>51.96</c:v>
                </c:pt>
                <c:pt idx="35">
                  <c:v>54.44</c:v>
                </c:pt>
                <c:pt idx="36">
                  <c:v>55.120000000000012</c:v>
                </c:pt>
                <c:pt idx="37">
                  <c:v>55.120000000000012</c:v>
                </c:pt>
                <c:pt idx="38">
                  <c:v>55.120000000000012</c:v>
                </c:pt>
                <c:pt idx="39">
                  <c:v>55.160000000000011</c:v>
                </c:pt>
                <c:pt idx="40">
                  <c:v>55.05</c:v>
                </c:pt>
                <c:pt idx="41">
                  <c:v>53.290000000000013</c:v>
                </c:pt>
                <c:pt idx="42">
                  <c:v>55.660000000000011</c:v>
                </c:pt>
                <c:pt idx="43">
                  <c:v>58.13</c:v>
                </c:pt>
                <c:pt idx="44">
                  <c:v>58.13</c:v>
                </c:pt>
                <c:pt idx="45">
                  <c:v>58.13</c:v>
                </c:pt>
                <c:pt idx="46">
                  <c:v>58.34</c:v>
                </c:pt>
                <c:pt idx="47">
                  <c:v>59.13</c:v>
                </c:pt>
                <c:pt idx="48">
                  <c:v>55.160000000000011</c:v>
                </c:pt>
                <c:pt idx="49">
                  <c:v>57.77</c:v>
                </c:pt>
                <c:pt idx="50">
                  <c:v>57.15</c:v>
                </c:pt>
                <c:pt idx="51">
                  <c:v>57.15</c:v>
                </c:pt>
                <c:pt idx="52">
                  <c:v>57.15</c:v>
                </c:pt>
                <c:pt idx="53">
                  <c:v>55.220000000000013</c:v>
                </c:pt>
                <c:pt idx="54">
                  <c:v>55.36</c:v>
                </c:pt>
                <c:pt idx="55">
                  <c:v>58.33</c:v>
                </c:pt>
                <c:pt idx="56">
                  <c:v>57.32</c:v>
                </c:pt>
                <c:pt idx="57">
                  <c:v>59.13</c:v>
                </c:pt>
                <c:pt idx="58">
                  <c:v>59.13</c:v>
                </c:pt>
                <c:pt idx="59">
                  <c:v>59.13</c:v>
                </c:pt>
                <c:pt idx="60">
                  <c:v>57.190000000000012</c:v>
                </c:pt>
                <c:pt idx="61">
                  <c:v>58.790000000000013</c:v>
                </c:pt>
                <c:pt idx="62">
                  <c:v>58.190000000000012</c:v>
                </c:pt>
                <c:pt idx="63">
                  <c:v>57.77</c:v>
                </c:pt>
                <c:pt idx="64">
                  <c:v>57.230000000000011</c:v>
                </c:pt>
                <c:pt idx="65">
                  <c:v>57.230000000000011</c:v>
                </c:pt>
                <c:pt idx="66">
                  <c:v>57.230000000000011</c:v>
                </c:pt>
                <c:pt idx="67">
                  <c:v>55.88</c:v>
                </c:pt>
                <c:pt idx="68">
                  <c:v>54.120000000000012</c:v>
                </c:pt>
                <c:pt idx="69">
                  <c:v>55.32</c:v>
                </c:pt>
                <c:pt idx="70">
                  <c:v>54.47</c:v>
                </c:pt>
                <c:pt idx="71">
                  <c:v>51.790000000000013</c:v>
                </c:pt>
                <c:pt idx="72">
                  <c:v>51.790000000000013</c:v>
                </c:pt>
                <c:pt idx="73">
                  <c:v>51.790000000000013</c:v>
                </c:pt>
                <c:pt idx="74">
                  <c:v>51.34</c:v>
                </c:pt>
                <c:pt idx="75">
                  <c:v>50.42</c:v>
                </c:pt>
                <c:pt idx="76">
                  <c:v>52.86</c:v>
                </c:pt>
                <c:pt idx="77">
                  <c:v>51.660000000000011</c:v>
                </c:pt>
                <c:pt idx="78">
                  <c:v>52.64</c:v>
                </c:pt>
                <c:pt idx="79">
                  <c:v>52.64</c:v>
                </c:pt>
                <c:pt idx="80">
                  <c:v>52.64</c:v>
                </c:pt>
                <c:pt idx="81">
                  <c:v>53.36</c:v>
                </c:pt>
                <c:pt idx="82">
                  <c:v>52.58</c:v>
                </c:pt>
                <c:pt idx="83">
                  <c:v>53.51</c:v>
                </c:pt>
                <c:pt idx="84">
                  <c:v>56.36</c:v>
                </c:pt>
                <c:pt idx="85">
                  <c:v>53.18</c:v>
                </c:pt>
                <c:pt idx="86">
                  <c:v>53.18</c:v>
                </c:pt>
                <c:pt idx="87">
                  <c:v>53.18</c:v>
                </c:pt>
                <c:pt idx="88">
                  <c:v>53.05</c:v>
                </c:pt>
                <c:pt idx="89">
                  <c:v>53.14</c:v>
                </c:pt>
                <c:pt idx="90">
                  <c:v>54.99</c:v>
                </c:pt>
                <c:pt idx="91">
                  <c:v>53.13</c:v>
                </c:pt>
                <c:pt idx="92">
                  <c:v>53.13</c:v>
                </c:pt>
                <c:pt idx="93">
                  <c:v>53.13</c:v>
                </c:pt>
                <c:pt idx="94">
                  <c:v>53.13</c:v>
                </c:pt>
                <c:pt idx="95">
                  <c:v>56.42</c:v>
                </c:pt>
                <c:pt idx="96">
                  <c:v>56.08</c:v>
                </c:pt>
                <c:pt idx="97">
                  <c:v>54.09</c:v>
                </c:pt>
                <c:pt idx="98">
                  <c:v>54.730000000000011</c:v>
                </c:pt>
                <c:pt idx="99">
                  <c:v>56.260000000000012</c:v>
                </c:pt>
                <c:pt idx="100">
                  <c:v>56.260000000000012</c:v>
                </c:pt>
                <c:pt idx="101">
                  <c:v>56.260000000000012</c:v>
                </c:pt>
                <c:pt idx="102">
                  <c:v>56.620000000000012</c:v>
                </c:pt>
                <c:pt idx="103">
                  <c:v>57.68</c:v>
                </c:pt>
                <c:pt idx="104">
                  <c:v>59.120000000000012</c:v>
                </c:pt>
                <c:pt idx="105">
                  <c:v>60.92</c:v>
                </c:pt>
                <c:pt idx="106">
                  <c:v>60.24</c:v>
                </c:pt>
                <c:pt idx="107">
                  <c:v>60.24</c:v>
                </c:pt>
                <c:pt idx="108">
                  <c:v>60.24</c:v>
                </c:pt>
                <c:pt idx="109">
                  <c:v>60.5</c:v>
                </c:pt>
                <c:pt idx="110">
                  <c:v>58.790000000000013</c:v>
                </c:pt>
                <c:pt idx="111">
                  <c:v>59.75</c:v>
                </c:pt>
                <c:pt idx="112">
                  <c:v>61.3</c:v>
                </c:pt>
                <c:pt idx="113">
                  <c:v>61.77</c:v>
                </c:pt>
                <c:pt idx="114">
                  <c:v>61.77</c:v>
                </c:pt>
                <c:pt idx="115">
                  <c:v>61.77</c:v>
                </c:pt>
                <c:pt idx="116">
                  <c:v>61.15</c:v>
                </c:pt>
                <c:pt idx="117">
                  <c:v>61.06</c:v>
                </c:pt>
                <c:pt idx="118">
                  <c:v>62.44</c:v>
                </c:pt>
                <c:pt idx="119">
                  <c:v>63.48</c:v>
                </c:pt>
                <c:pt idx="120">
                  <c:v>63.93</c:v>
                </c:pt>
                <c:pt idx="121">
                  <c:v>63.93</c:v>
                </c:pt>
                <c:pt idx="122">
                  <c:v>63.93</c:v>
                </c:pt>
                <c:pt idx="123">
                  <c:v>64.11</c:v>
                </c:pt>
                <c:pt idx="124">
                  <c:v>65.86</c:v>
                </c:pt>
                <c:pt idx="125">
                  <c:v>65.58</c:v>
                </c:pt>
                <c:pt idx="126">
                  <c:v>63.56</c:v>
                </c:pt>
                <c:pt idx="127">
                  <c:v>63.53</c:v>
                </c:pt>
                <c:pt idx="128">
                  <c:v>63.53</c:v>
                </c:pt>
                <c:pt idx="129">
                  <c:v>63.53</c:v>
                </c:pt>
                <c:pt idx="130">
                  <c:v>63.13</c:v>
                </c:pt>
                <c:pt idx="131">
                  <c:v>65.39</c:v>
                </c:pt>
                <c:pt idx="132">
                  <c:v>64.489999999999995</c:v>
                </c:pt>
                <c:pt idx="133">
                  <c:v>64.27</c:v>
                </c:pt>
                <c:pt idx="134">
                  <c:v>64.440000000000026</c:v>
                </c:pt>
                <c:pt idx="135">
                  <c:v>64.440000000000026</c:v>
                </c:pt>
                <c:pt idx="136">
                  <c:v>64.440000000000026</c:v>
                </c:pt>
                <c:pt idx="137">
                  <c:v>63.47</c:v>
                </c:pt>
                <c:pt idx="138">
                  <c:v>61.88</c:v>
                </c:pt>
                <c:pt idx="139">
                  <c:v>61.88</c:v>
                </c:pt>
                <c:pt idx="140">
                  <c:v>63.35</c:v>
                </c:pt>
                <c:pt idx="141">
                  <c:v>62.43</c:v>
                </c:pt>
                <c:pt idx="142">
                  <c:v>62.43</c:v>
                </c:pt>
                <c:pt idx="143">
                  <c:v>62.43</c:v>
                </c:pt>
                <c:pt idx="144">
                  <c:v>62.94</c:v>
                </c:pt>
                <c:pt idx="145">
                  <c:v>61.07</c:v>
                </c:pt>
                <c:pt idx="146">
                  <c:v>58.98</c:v>
                </c:pt>
                <c:pt idx="147">
                  <c:v>59.77</c:v>
                </c:pt>
                <c:pt idx="148">
                  <c:v>63.38</c:v>
                </c:pt>
                <c:pt idx="149">
                  <c:v>63.38</c:v>
                </c:pt>
                <c:pt idx="150">
                  <c:v>63.38</c:v>
                </c:pt>
                <c:pt idx="151">
                  <c:v>63.02</c:v>
                </c:pt>
                <c:pt idx="152">
                  <c:v>63.34</c:v>
                </c:pt>
                <c:pt idx="153">
                  <c:v>61.88</c:v>
                </c:pt>
                <c:pt idx="154">
                  <c:v>60.2</c:v>
                </c:pt>
                <c:pt idx="155">
                  <c:v>61.49</c:v>
                </c:pt>
                <c:pt idx="156">
                  <c:v>61.49</c:v>
                </c:pt>
                <c:pt idx="157">
                  <c:v>61.49</c:v>
                </c:pt>
                <c:pt idx="158">
                  <c:v>60.71</c:v>
                </c:pt>
                <c:pt idx="159">
                  <c:v>63.120000000000012</c:v>
                </c:pt>
                <c:pt idx="160">
                  <c:v>63.36</c:v>
                </c:pt>
                <c:pt idx="161">
                  <c:v>63.13</c:v>
                </c:pt>
                <c:pt idx="162">
                  <c:v>62.08</c:v>
                </c:pt>
                <c:pt idx="163">
                  <c:v>62.08</c:v>
                </c:pt>
                <c:pt idx="164">
                  <c:v>62.08</c:v>
                </c:pt>
                <c:pt idx="165">
                  <c:v>61.59</c:v>
                </c:pt>
                <c:pt idx="166">
                  <c:v>61.36</c:v>
                </c:pt>
                <c:pt idx="167">
                  <c:v>61.37</c:v>
                </c:pt>
                <c:pt idx="168">
                  <c:v>62.24</c:v>
                </c:pt>
                <c:pt idx="169">
                  <c:v>61.190000000000012</c:v>
                </c:pt>
                <c:pt idx="170">
                  <c:v>61.190000000000012</c:v>
                </c:pt>
                <c:pt idx="171">
                  <c:v>61.190000000000012</c:v>
                </c:pt>
                <c:pt idx="172">
                  <c:v>61.45</c:v>
                </c:pt>
                <c:pt idx="173">
                  <c:v>62.32</c:v>
                </c:pt>
                <c:pt idx="174">
                  <c:v>61.1</c:v>
                </c:pt>
                <c:pt idx="175">
                  <c:v>60.84</c:v>
                </c:pt>
                <c:pt idx="176">
                  <c:v>61.17</c:v>
                </c:pt>
                <c:pt idx="177">
                  <c:v>61.17</c:v>
                </c:pt>
                <c:pt idx="178">
                  <c:v>61.17</c:v>
                </c:pt>
                <c:pt idx="179">
                  <c:v>59.88</c:v>
                </c:pt>
                <c:pt idx="180">
                  <c:v>61.63</c:v>
                </c:pt>
                <c:pt idx="181">
                  <c:v>60.96</c:v>
                </c:pt>
                <c:pt idx="182">
                  <c:v>61.05</c:v>
                </c:pt>
                <c:pt idx="183">
                  <c:v>59.3</c:v>
                </c:pt>
                <c:pt idx="184">
                  <c:v>59.3</c:v>
                </c:pt>
                <c:pt idx="185">
                  <c:v>59.3</c:v>
                </c:pt>
                <c:pt idx="186">
                  <c:v>55.52</c:v>
                </c:pt>
                <c:pt idx="187">
                  <c:v>56.65</c:v>
                </c:pt>
                <c:pt idx="188">
                  <c:v>56.48</c:v>
                </c:pt>
                <c:pt idx="189">
                  <c:v>57.75</c:v>
                </c:pt>
                <c:pt idx="190">
                  <c:v>58.17</c:v>
                </c:pt>
                <c:pt idx="191">
                  <c:v>58.17</c:v>
                </c:pt>
                <c:pt idx="192">
                  <c:v>58.17</c:v>
                </c:pt>
                <c:pt idx="193">
                  <c:v>57.18</c:v>
                </c:pt>
                <c:pt idx="194">
                  <c:v>57.89</c:v>
                </c:pt>
                <c:pt idx="195">
                  <c:v>56.09</c:v>
                </c:pt>
                <c:pt idx="196">
                  <c:v>55.92</c:v>
                </c:pt>
                <c:pt idx="197">
                  <c:v>55.89</c:v>
                </c:pt>
                <c:pt idx="198">
                  <c:v>55.89</c:v>
                </c:pt>
                <c:pt idx="199">
                  <c:v>55.89</c:v>
                </c:pt>
                <c:pt idx="200">
                  <c:v>55.32</c:v>
                </c:pt>
                <c:pt idx="201">
                  <c:v>56.05</c:v>
                </c:pt>
                <c:pt idx="202">
                  <c:v>55.31</c:v>
                </c:pt>
                <c:pt idx="203">
                  <c:v>54.51</c:v>
                </c:pt>
                <c:pt idx="204">
                  <c:v>53.8</c:v>
                </c:pt>
                <c:pt idx="205">
                  <c:v>53.8</c:v>
                </c:pt>
                <c:pt idx="206">
                  <c:v>53.8</c:v>
                </c:pt>
                <c:pt idx="207">
                  <c:v>52.35</c:v>
                </c:pt>
                <c:pt idx="208">
                  <c:v>52.54</c:v>
                </c:pt>
                <c:pt idx="209">
                  <c:v>53.41</c:v>
                </c:pt>
                <c:pt idx="210">
                  <c:v>53.41</c:v>
                </c:pt>
                <c:pt idx="211">
                  <c:v>52.35</c:v>
                </c:pt>
                <c:pt idx="212">
                  <c:v>52.35</c:v>
                </c:pt>
                <c:pt idx="213">
                  <c:v>52.35</c:v>
                </c:pt>
                <c:pt idx="214">
                  <c:v>49.91</c:v>
                </c:pt>
                <c:pt idx="215">
                  <c:v>50.33</c:v>
                </c:pt>
                <c:pt idx="216">
                  <c:v>49.760000000000012</c:v>
                </c:pt>
                <c:pt idx="217">
                  <c:v>49.790000000000013</c:v>
                </c:pt>
                <c:pt idx="218">
                  <c:v>49.02</c:v>
                </c:pt>
                <c:pt idx="219">
                  <c:v>49.02</c:v>
                </c:pt>
                <c:pt idx="220">
                  <c:v>49.02</c:v>
                </c:pt>
                <c:pt idx="221">
                  <c:v>50.690000000000012</c:v>
                </c:pt>
                <c:pt idx="222">
                  <c:v>49.43</c:v>
                </c:pt>
                <c:pt idx="223">
                  <c:v>50.02</c:v>
                </c:pt>
                <c:pt idx="224">
                  <c:v>49.58</c:v>
                </c:pt>
                <c:pt idx="225">
                  <c:v>49.32</c:v>
                </c:pt>
                <c:pt idx="226">
                  <c:v>49.32</c:v>
                </c:pt>
                <c:pt idx="227">
                  <c:v>49.32</c:v>
                </c:pt>
                <c:pt idx="228">
                  <c:v>48.43</c:v>
                </c:pt>
                <c:pt idx="229">
                  <c:v>48.45</c:v>
                </c:pt>
                <c:pt idx="230">
                  <c:v>46.45</c:v>
                </c:pt>
                <c:pt idx="231">
                  <c:v>45.57</c:v>
                </c:pt>
                <c:pt idx="232">
                  <c:v>44.61</c:v>
                </c:pt>
                <c:pt idx="233">
                  <c:v>44.61</c:v>
                </c:pt>
                <c:pt idx="234">
                  <c:v>44.61</c:v>
                </c:pt>
                <c:pt idx="235">
                  <c:v>41.64</c:v>
                </c:pt>
                <c:pt idx="236">
                  <c:v>42.94</c:v>
                </c:pt>
                <c:pt idx="237">
                  <c:v>42.190000000000012</c:v>
                </c:pt>
                <c:pt idx="238">
                  <c:v>46.93</c:v>
                </c:pt>
                <c:pt idx="239">
                  <c:v>49.06</c:v>
                </c:pt>
                <c:pt idx="240">
                  <c:v>49.06</c:v>
                </c:pt>
                <c:pt idx="241">
                  <c:v>49.06</c:v>
                </c:pt>
                <c:pt idx="242">
                  <c:v>52.14</c:v>
                </c:pt>
                <c:pt idx="243">
                  <c:v>47.290000000000013</c:v>
                </c:pt>
                <c:pt idx="244">
                  <c:v>48.06</c:v>
                </c:pt>
                <c:pt idx="245">
                  <c:v>48.43</c:v>
                </c:pt>
                <c:pt idx="246">
                  <c:v>47.290000000000013</c:v>
                </c:pt>
                <c:pt idx="247">
                  <c:v>47.290000000000013</c:v>
                </c:pt>
                <c:pt idx="248">
                  <c:v>47.290000000000013</c:v>
                </c:pt>
                <c:pt idx="249">
                  <c:v>43.57</c:v>
                </c:pt>
                <c:pt idx="250">
                  <c:v>46.98</c:v>
                </c:pt>
                <c:pt idx="251">
                  <c:v>45.120000000000012</c:v>
                </c:pt>
                <c:pt idx="252">
                  <c:v>46.730000000000011</c:v>
                </c:pt>
                <c:pt idx="253">
                  <c:v>45.89</c:v>
                </c:pt>
                <c:pt idx="254">
                  <c:v>45.89</c:v>
                </c:pt>
                <c:pt idx="255">
                  <c:v>45.89</c:v>
                </c:pt>
                <c:pt idx="256">
                  <c:v>43.67</c:v>
                </c:pt>
                <c:pt idx="257">
                  <c:v>43.09</c:v>
                </c:pt>
                <c:pt idx="258">
                  <c:v>45.56</c:v>
                </c:pt>
                <c:pt idx="259">
                  <c:v>44.99</c:v>
                </c:pt>
                <c:pt idx="260">
                  <c:v>43.35</c:v>
                </c:pt>
                <c:pt idx="261">
                  <c:v>43.35</c:v>
                </c:pt>
                <c:pt idx="262">
                  <c:v>43.35</c:v>
                </c:pt>
                <c:pt idx="263">
                  <c:v>45.03</c:v>
                </c:pt>
                <c:pt idx="264">
                  <c:v>45.32</c:v>
                </c:pt>
                <c:pt idx="265">
                  <c:v>43.82</c:v>
                </c:pt>
                <c:pt idx="266">
                  <c:v>44.05</c:v>
                </c:pt>
                <c:pt idx="267">
                  <c:v>44.160000000000011</c:v>
                </c:pt>
                <c:pt idx="268">
                  <c:v>44.160000000000011</c:v>
                </c:pt>
                <c:pt idx="269">
                  <c:v>44.160000000000011</c:v>
                </c:pt>
                <c:pt idx="270">
                  <c:v>42.760000000000012</c:v>
                </c:pt>
                <c:pt idx="271">
                  <c:v>43.5</c:v>
                </c:pt>
                <c:pt idx="272">
                  <c:v>43.87</c:v>
                </c:pt>
                <c:pt idx="273">
                  <c:v>45.2</c:v>
                </c:pt>
                <c:pt idx="274">
                  <c:v>45.42</c:v>
                </c:pt>
                <c:pt idx="275">
                  <c:v>45.42</c:v>
                </c:pt>
                <c:pt idx="276">
                  <c:v>45.42</c:v>
                </c:pt>
                <c:pt idx="277">
                  <c:v>46.48</c:v>
                </c:pt>
                <c:pt idx="278">
                  <c:v>49.760000000000012</c:v>
                </c:pt>
                <c:pt idx="279">
                  <c:v>48.75</c:v>
                </c:pt>
                <c:pt idx="280">
                  <c:v>50.290000000000013</c:v>
                </c:pt>
                <c:pt idx="281">
                  <c:v>49.44</c:v>
                </c:pt>
                <c:pt idx="282">
                  <c:v>49.44</c:v>
                </c:pt>
                <c:pt idx="283">
                  <c:v>49.44</c:v>
                </c:pt>
                <c:pt idx="284">
                  <c:v>47.08</c:v>
                </c:pt>
                <c:pt idx="285">
                  <c:v>46.18</c:v>
                </c:pt>
                <c:pt idx="286">
                  <c:v>45.83</c:v>
                </c:pt>
                <c:pt idx="287">
                  <c:v>46.42</c:v>
                </c:pt>
                <c:pt idx="288">
                  <c:v>46.77</c:v>
                </c:pt>
                <c:pt idx="289">
                  <c:v>46.77</c:v>
                </c:pt>
                <c:pt idx="290">
                  <c:v>46.77</c:v>
                </c:pt>
                <c:pt idx="291">
                  <c:v>44.8</c:v>
                </c:pt>
                <c:pt idx="292">
                  <c:v>44.5</c:v>
                </c:pt>
                <c:pt idx="293">
                  <c:v>43.96</c:v>
                </c:pt>
                <c:pt idx="294">
                  <c:v>43.97</c:v>
                </c:pt>
                <c:pt idx="295">
                  <c:v>43.85</c:v>
                </c:pt>
                <c:pt idx="296">
                  <c:v>43.85</c:v>
                </c:pt>
                <c:pt idx="297">
                  <c:v>43.85</c:v>
                </c:pt>
                <c:pt idx="298">
                  <c:v>43.2</c:v>
                </c:pt>
                <c:pt idx="299">
                  <c:v>43.34</c:v>
                </c:pt>
                <c:pt idx="300">
                  <c:v>45.6</c:v>
                </c:pt>
                <c:pt idx="301">
                  <c:v>44.660000000000011</c:v>
                </c:pt>
                <c:pt idx="302">
                  <c:v>45.48</c:v>
                </c:pt>
                <c:pt idx="303">
                  <c:v>45.48</c:v>
                </c:pt>
                <c:pt idx="304">
                  <c:v>45.48</c:v>
                </c:pt>
                <c:pt idx="305">
                  <c:v>45.36</c:v>
                </c:pt>
                <c:pt idx="306">
                  <c:v>46.91</c:v>
                </c:pt>
                <c:pt idx="307">
                  <c:v>45.13</c:v>
                </c:pt>
                <c:pt idx="308">
                  <c:v>44.58</c:v>
                </c:pt>
                <c:pt idx="309">
                  <c:v>43.93</c:v>
                </c:pt>
                <c:pt idx="310">
                  <c:v>43.93</c:v>
                </c:pt>
                <c:pt idx="311">
                  <c:v>43.93</c:v>
                </c:pt>
                <c:pt idx="312">
                  <c:v>43.81</c:v>
                </c:pt>
                <c:pt idx="313">
                  <c:v>43.21</c:v>
                </c:pt>
                <c:pt idx="314">
                  <c:v>42.120000000000012</c:v>
                </c:pt>
                <c:pt idx="315">
                  <c:v>40.57</c:v>
                </c:pt>
                <c:pt idx="316">
                  <c:v>39.83</c:v>
                </c:pt>
                <c:pt idx="317">
                  <c:v>39.83</c:v>
                </c:pt>
                <c:pt idx="318">
                  <c:v>39.83</c:v>
                </c:pt>
                <c:pt idx="319">
                  <c:v>39.720000000000013</c:v>
                </c:pt>
                <c:pt idx="320">
                  <c:v>38.94</c:v>
                </c:pt>
                <c:pt idx="321">
                  <c:v>39.4</c:v>
                </c:pt>
                <c:pt idx="322">
                  <c:v>39.56</c:v>
                </c:pt>
                <c:pt idx="323">
                  <c:v>39.75</c:v>
                </c:pt>
              </c:numCache>
            </c:numRef>
          </c:val>
          <c:smooth val="0"/>
        </c:ser>
        <c:dLbls>
          <c:showLegendKey val="0"/>
          <c:showVal val="0"/>
          <c:showCatName val="0"/>
          <c:showSerName val="0"/>
          <c:showPercent val="0"/>
          <c:showBubbleSize val="0"/>
        </c:dLbls>
        <c:marker val="1"/>
        <c:smooth val="0"/>
        <c:axId val="263726976"/>
        <c:axId val="263728512"/>
      </c:lineChart>
      <c:dateAx>
        <c:axId val="263726976"/>
        <c:scaling>
          <c:orientation val="minMax"/>
          <c:max val="42328"/>
          <c:min val="42005"/>
        </c:scaling>
        <c:delete val="0"/>
        <c:axPos val="b"/>
        <c:numFmt formatCode="m/d/yyyy" sourceLinked="1"/>
        <c:majorTickMark val="out"/>
        <c:minorTickMark val="none"/>
        <c:tickLblPos val="nextTo"/>
        <c:crossAx val="263728512"/>
        <c:crosses val="autoZero"/>
        <c:auto val="1"/>
        <c:lblOffset val="100"/>
        <c:baseTimeUnit val="days"/>
        <c:majorUnit val="1"/>
        <c:majorTimeUnit val="months"/>
        <c:minorUnit val="1"/>
        <c:minorTimeUnit val="months"/>
      </c:dateAx>
      <c:valAx>
        <c:axId val="263728512"/>
        <c:scaling>
          <c:orientation val="minMax"/>
          <c:min val="35"/>
        </c:scaling>
        <c:delete val="0"/>
        <c:axPos val="l"/>
        <c:majorGridlines/>
        <c:numFmt formatCode="General" sourceLinked="1"/>
        <c:majorTickMark val="out"/>
        <c:minorTickMark val="none"/>
        <c:tickLblPos val="nextTo"/>
        <c:crossAx val="263726976"/>
        <c:crosses val="autoZero"/>
        <c:crossBetween val="between"/>
      </c:valAx>
    </c:plotArea>
    <c:legend>
      <c:legendPos val="b"/>
      <c:layout>
        <c:manualLayout>
          <c:xMode val="edge"/>
          <c:yMode val="edge"/>
          <c:x val="0.17084794029929981"/>
          <c:y val="0.80549232996360942"/>
          <c:w val="0.7256678281068526"/>
          <c:h val="0.19246277975936771"/>
        </c:manualLayout>
      </c:layout>
      <c:overlay val="0"/>
    </c:legend>
    <c:plotVisOnly val="1"/>
    <c:dispBlanksAs val="gap"/>
    <c:showDLblsOverMax val="0"/>
  </c:chart>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15507436570428"/>
          <c:y val="5.5651727744558274E-2"/>
          <c:w val="0.83873381452318829"/>
          <c:h val="0.6451423183752516"/>
        </c:manualLayout>
      </c:layout>
      <c:lineChart>
        <c:grouping val="standard"/>
        <c:varyColors val="0"/>
        <c:ser>
          <c:idx val="0"/>
          <c:order val="0"/>
          <c:tx>
            <c:strRef>
              <c:f>石化!$Y$1</c:f>
              <c:strCache>
                <c:ptCount val="1"/>
                <c:pt idx="0">
                  <c:v>乙烯 中油 散裝 牌價(美元/公噸)</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石化!$Y$216:$Y$539</c:f>
              <c:numCache>
                <c:formatCode>General</c:formatCode>
                <c:ptCount val="324"/>
                <c:pt idx="0">
                  <c:v>1433.3333333333326</c:v>
                </c:pt>
                <c:pt idx="1">
                  <c:v>1433.3333333333326</c:v>
                </c:pt>
                <c:pt idx="2">
                  <c:v>1433.3333333333326</c:v>
                </c:pt>
                <c:pt idx="3">
                  <c:v>1433.3333333333326</c:v>
                </c:pt>
                <c:pt idx="4">
                  <c:v>1433.3333333333326</c:v>
                </c:pt>
                <c:pt idx="5">
                  <c:v>1433.3333333333326</c:v>
                </c:pt>
                <c:pt idx="6">
                  <c:v>1433.3333333333326</c:v>
                </c:pt>
                <c:pt idx="7">
                  <c:v>1433.3333333333326</c:v>
                </c:pt>
                <c:pt idx="8">
                  <c:v>1433.3333333333326</c:v>
                </c:pt>
                <c:pt idx="9">
                  <c:v>1433.3333333333326</c:v>
                </c:pt>
                <c:pt idx="10">
                  <c:v>1433.3333333333326</c:v>
                </c:pt>
                <c:pt idx="11">
                  <c:v>1433.3333333333326</c:v>
                </c:pt>
                <c:pt idx="12">
                  <c:v>1433.3333333333326</c:v>
                </c:pt>
                <c:pt idx="13">
                  <c:v>1433.3333333333326</c:v>
                </c:pt>
                <c:pt idx="14">
                  <c:v>1433.3333333333326</c:v>
                </c:pt>
                <c:pt idx="15">
                  <c:v>1433.3333333333326</c:v>
                </c:pt>
                <c:pt idx="16">
                  <c:v>1433.3333333333326</c:v>
                </c:pt>
                <c:pt idx="17">
                  <c:v>1433.3333333333326</c:v>
                </c:pt>
                <c:pt idx="18">
                  <c:v>1433.3333333333326</c:v>
                </c:pt>
                <c:pt idx="19">
                  <c:v>1433.3333333333326</c:v>
                </c:pt>
                <c:pt idx="20">
                  <c:v>1433.3333333333326</c:v>
                </c:pt>
                <c:pt idx="21">
                  <c:v>1433.3333333333326</c:v>
                </c:pt>
                <c:pt idx="22">
                  <c:v>1433.3333333333326</c:v>
                </c:pt>
                <c:pt idx="23">
                  <c:v>1433.3333333333326</c:v>
                </c:pt>
                <c:pt idx="24">
                  <c:v>1433.3333333333326</c:v>
                </c:pt>
                <c:pt idx="25">
                  <c:v>1433.3333333333326</c:v>
                </c:pt>
                <c:pt idx="26">
                  <c:v>1433.3333333333326</c:v>
                </c:pt>
                <c:pt idx="27">
                  <c:v>1433.3333333333326</c:v>
                </c:pt>
                <c:pt idx="28">
                  <c:v>1433.3333333333326</c:v>
                </c:pt>
                <c:pt idx="29">
                  <c:v>1433.3333333333326</c:v>
                </c:pt>
                <c:pt idx="30">
                  <c:v>1433.3333333333326</c:v>
                </c:pt>
                <c:pt idx="31">
                  <c:v>1300</c:v>
                </c:pt>
                <c:pt idx="32">
                  <c:v>1300</c:v>
                </c:pt>
                <c:pt idx="33">
                  <c:v>1300</c:v>
                </c:pt>
                <c:pt idx="34">
                  <c:v>1300</c:v>
                </c:pt>
                <c:pt idx="35">
                  <c:v>1300</c:v>
                </c:pt>
                <c:pt idx="36">
                  <c:v>1300</c:v>
                </c:pt>
                <c:pt idx="37">
                  <c:v>1300</c:v>
                </c:pt>
                <c:pt idx="38">
                  <c:v>1300</c:v>
                </c:pt>
                <c:pt idx="39">
                  <c:v>1300</c:v>
                </c:pt>
                <c:pt idx="40">
                  <c:v>1300</c:v>
                </c:pt>
                <c:pt idx="41">
                  <c:v>1300</c:v>
                </c:pt>
                <c:pt idx="42">
                  <c:v>1300</c:v>
                </c:pt>
                <c:pt idx="43">
                  <c:v>1300</c:v>
                </c:pt>
                <c:pt idx="44">
                  <c:v>1300</c:v>
                </c:pt>
                <c:pt idx="45">
                  <c:v>1300</c:v>
                </c:pt>
                <c:pt idx="46">
                  <c:v>1300</c:v>
                </c:pt>
                <c:pt idx="47">
                  <c:v>1300</c:v>
                </c:pt>
                <c:pt idx="48">
                  <c:v>1300</c:v>
                </c:pt>
                <c:pt idx="49">
                  <c:v>1300</c:v>
                </c:pt>
                <c:pt idx="50">
                  <c:v>1300</c:v>
                </c:pt>
                <c:pt idx="51">
                  <c:v>1300</c:v>
                </c:pt>
                <c:pt idx="52">
                  <c:v>1300</c:v>
                </c:pt>
                <c:pt idx="53">
                  <c:v>1300</c:v>
                </c:pt>
                <c:pt idx="54">
                  <c:v>1300</c:v>
                </c:pt>
                <c:pt idx="55">
                  <c:v>1300</c:v>
                </c:pt>
                <c:pt idx="56">
                  <c:v>1300</c:v>
                </c:pt>
                <c:pt idx="57">
                  <c:v>1300</c:v>
                </c:pt>
                <c:pt idx="58">
                  <c:v>1300</c:v>
                </c:pt>
                <c:pt idx="59">
                  <c:v>1300</c:v>
                </c:pt>
                <c:pt idx="60">
                  <c:v>1300</c:v>
                </c:pt>
                <c:pt idx="61">
                  <c:v>1300</c:v>
                </c:pt>
                <c:pt idx="62">
                  <c:v>1300</c:v>
                </c:pt>
                <c:pt idx="63">
                  <c:v>1300</c:v>
                </c:pt>
                <c:pt idx="64">
                  <c:v>1300</c:v>
                </c:pt>
                <c:pt idx="65">
                  <c:v>1300</c:v>
                </c:pt>
                <c:pt idx="66">
                  <c:v>1300</c:v>
                </c:pt>
                <c:pt idx="67">
                  <c:v>1300</c:v>
                </c:pt>
                <c:pt idx="68">
                  <c:v>1300</c:v>
                </c:pt>
                <c:pt idx="69">
                  <c:v>1300</c:v>
                </c:pt>
                <c:pt idx="70">
                  <c:v>1300</c:v>
                </c:pt>
                <c:pt idx="71">
                  <c:v>1300</c:v>
                </c:pt>
                <c:pt idx="72">
                  <c:v>1300</c:v>
                </c:pt>
                <c:pt idx="73">
                  <c:v>1300</c:v>
                </c:pt>
                <c:pt idx="74">
                  <c:v>1300</c:v>
                </c:pt>
                <c:pt idx="75">
                  <c:v>1300</c:v>
                </c:pt>
                <c:pt idx="76">
                  <c:v>1300</c:v>
                </c:pt>
                <c:pt idx="77">
                  <c:v>1300</c:v>
                </c:pt>
                <c:pt idx="78">
                  <c:v>1300</c:v>
                </c:pt>
                <c:pt idx="79">
                  <c:v>1300</c:v>
                </c:pt>
                <c:pt idx="80">
                  <c:v>1300</c:v>
                </c:pt>
                <c:pt idx="81">
                  <c:v>1300</c:v>
                </c:pt>
                <c:pt idx="82">
                  <c:v>1300</c:v>
                </c:pt>
                <c:pt idx="83">
                  <c:v>1300</c:v>
                </c:pt>
                <c:pt idx="84">
                  <c:v>1300</c:v>
                </c:pt>
                <c:pt idx="85">
                  <c:v>1300</c:v>
                </c:pt>
                <c:pt idx="86">
                  <c:v>1300</c:v>
                </c:pt>
                <c:pt idx="87">
                  <c:v>1300</c:v>
                </c:pt>
                <c:pt idx="88">
                  <c:v>1300</c:v>
                </c:pt>
                <c:pt idx="89">
                  <c:v>1300</c:v>
                </c:pt>
                <c:pt idx="90">
                  <c:v>1500</c:v>
                </c:pt>
                <c:pt idx="91">
                  <c:v>1500</c:v>
                </c:pt>
                <c:pt idx="92">
                  <c:v>1500</c:v>
                </c:pt>
                <c:pt idx="93">
                  <c:v>1500</c:v>
                </c:pt>
                <c:pt idx="94">
                  <c:v>1500</c:v>
                </c:pt>
                <c:pt idx="95">
                  <c:v>1500</c:v>
                </c:pt>
                <c:pt idx="96">
                  <c:v>1500</c:v>
                </c:pt>
                <c:pt idx="97">
                  <c:v>1500</c:v>
                </c:pt>
                <c:pt idx="98">
                  <c:v>1500</c:v>
                </c:pt>
                <c:pt idx="99">
                  <c:v>1500</c:v>
                </c:pt>
                <c:pt idx="100">
                  <c:v>1500</c:v>
                </c:pt>
                <c:pt idx="101">
                  <c:v>1500</c:v>
                </c:pt>
                <c:pt idx="102">
                  <c:v>1500</c:v>
                </c:pt>
                <c:pt idx="103">
                  <c:v>1500</c:v>
                </c:pt>
                <c:pt idx="104">
                  <c:v>1500</c:v>
                </c:pt>
                <c:pt idx="105">
                  <c:v>1500</c:v>
                </c:pt>
                <c:pt idx="106">
                  <c:v>1500</c:v>
                </c:pt>
                <c:pt idx="107">
                  <c:v>1500</c:v>
                </c:pt>
                <c:pt idx="108">
                  <c:v>1500</c:v>
                </c:pt>
                <c:pt idx="109">
                  <c:v>1500</c:v>
                </c:pt>
                <c:pt idx="110">
                  <c:v>1500</c:v>
                </c:pt>
                <c:pt idx="111">
                  <c:v>1500</c:v>
                </c:pt>
                <c:pt idx="112">
                  <c:v>1500</c:v>
                </c:pt>
                <c:pt idx="113">
                  <c:v>1500</c:v>
                </c:pt>
                <c:pt idx="114">
                  <c:v>1500</c:v>
                </c:pt>
                <c:pt idx="115">
                  <c:v>1500</c:v>
                </c:pt>
                <c:pt idx="116">
                  <c:v>1500</c:v>
                </c:pt>
                <c:pt idx="117">
                  <c:v>1500</c:v>
                </c:pt>
                <c:pt idx="118">
                  <c:v>1500</c:v>
                </c:pt>
                <c:pt idx="119">
                  <c:v>1500</c:v>
                </c:pt>
                <c:pt idx="120">
                  <c:v>1800</c:v>
                </c:pt>
                <c:pt idx="121">
                  <c:v>1800</c:v>
                </c:pt>
                <c:pt idx="122">
                  <c:v>1800</c:v>
                </c:pt>
                <c:pt idx="123">
                  <c:v>1800</c:v>
                </c:pt>
                <c:pt idx="124">
                  <c:v>1800</c:v>
                </c:pt>
                <c:pt idx="125">
                  <c:v>1800</c:v>
                </c:pt>
                <c:pt idx="126">
                  <c:v>1800</c:v>
                </c:pt>
                <c:pt idx="127">
                  <c:v>1800</c:v>
                </c:pt>
                <c:pt idx="128">
                  <c:v>1800</c:v>
                </c:pt>
                <c:pt idx="129">
                  <c:v>1800</c:v>
                </c:pt>
                <c:pt idx="130">
                  <c:v>1800</c:v>
                </c:pt>
                <c:pt idx="131">
                  <c:v>1800</c:v>
                </c:pt>
                <c:pt idx="132">
                  <c:v>1800</c:v>
                </c:pt>
                <c:pt idx="133">
                  <c:v>1800</c:v>
                </c:pt>
                <c:pt idx="134">
                  <c:v>1800</c:v>
                </c:pt>
                <c:pt idx="135">
                  <c:v>1800</c:v>
                </c:pt>
                <c:pt idx="136">
                  <c:v>1800</c:v>
                </c:pt>
                <c:pt idx="137">
                  <c:v>1800</c:v>
                </c:pt>
                <c:pt idx="138">
                  <c:v>1800</c:v>
                </c:pt>
                <c:pt idx="139">
                  <c:v>1800</c:v>
                </c:pt>
                <c:pt idx="140">
                  <c:v>1800</c:v>
                </c:pt>
                <c:pt idx="141">
                  <c:v>1800</c:v>
                </c:pt>
                <c:pt idx="142">
                  <c:v>1800</c:v>
                </c:pt>
                <c:pt idx="143">
                  <c:v>1800</c:v>
                </c:pt>
                <c:pt idx="144">
                  <c:v>1800</c:v>
                </c:pt>
                <c:pt idx="145">
                  <c:v>1800</c:v>
                </c:pt>
                <c:pt idx="146">
                  <c:v>1800</c:v>
                </c:pt>
                <c:pt idx="147">
                  <c:v>1800</c:v>
                </c:pt>
                <c:pt idx="148">
                  <c:v>1800</c:v>
                </c:pt>
                <c:pt idx="149">
                  <c:v>1800</c:v>
                </c:pt>
                <c:pt idx="150">
                  <c:v>1800</c:v>
                </c:pt>
                <c:pt idx="151">
                  <c:v>1833.3333333333326</c:v>
                </c:pt>
                <c:pt idx="152">
                  <c:v>1833.3333333333326</c:v>
                </c:pt>
                <c:pt idx="153">
                  <c:v>1833.3333333333326</c:v>
                </c:pt>
                <c:pt idx="154">
                  <c:v>1833.3333333333326</c:v>
                </c:pt>
                <c:pt idx="155">
                  <c:v>1833.3333333333326</c:v>
                </c:pt>
                <c:pt idx="156">
                  <c:v>1833.3333333333326</c:v>
                </c:pt>
                <c:pt idx="157">
                  <c:v>1833.3333333333326</c:v>
                </c:pt>
                <c:pt idx="158">
                  <c:v>1833.3333333333326</c:v>
                </c:pt>
                <c:pt idx="159">
                  <c:v>1833.3333333333326</c:v>
                </c:pt>
                <c:pt idx="160">
                  <c:v>1833.3333333333326</c:v>
                </c:pt>
                <c:pt idx="161">
                  <c:v>1833.3333333333326</c:v>
                </c:pt>
                <c:pt idx="162">
                  <c:v>1833.3333333333326</c:v>
                </c:pt>
                <c:pt idx="163">
                  <c:v>1833.3333333333326</c:v>
                </c:pt>
                <c:pt idx="164">
                  <c:v>1833.3333333333326</c:v>
                </c:pt>
                <c:pt idx="165">
                  <c:v>1833.3333333333326</c:v>
                </c:pt>
                <c:pt idx="166">
                  <c:v>1833.3333333333326</c:v>
                </c:pt>
                <c:pt idx="167">
                  <c:v>1833.3333333333326</c:v>
                </c:pt>
                <c:pt idx="168">
                  <c:v>1833.3333333333326</c:v>
                </c:pt>
                <c:pt idx="169">
                  <c:v>1833.3333333333326</c:v>
                </c:pt>
                <c:pt idx="170">
                  <c:v>1833.3333333333326</c:v>
                </c:pt>
                <c:pt idx="171">
                  <c:v>1833.3333333333326</c:v>
                </c:pt>
                <c:pt idx="172">
                  <c:v>1833.3333333333326</c:v>
                </c:pt>
                <c:pt idx="173">
                  <c:v>1833.3333333333326</c:v>
                </c:pt>
                <c:pt idx="174">
                  <c:v>1833.3333333333326</c:v>
                </c:pt>
                <c:pt idx="175">
                  <c:v>1833.3333333333326</c:v>
                </c:pt>
                <c:pt idx="176">
                  <c:v>1833.3333333333326</c:v>
                </c:pt>
                <c:pt idx="177">
                  <c:v>1833.3333333333326</c:v>
                </c:pt>
                <c:pt idx="178">
                  <c:v>1833.3333333333326</c:v>
                </c:pt>
                <c:pt idx="179">
                  <c:v>1833.3333333333326</c:v>
                </c:pt>
                <c:pt idx="180">
                  <c:v>1833.3333333333326</c:v>
                </c:pt>
                <c:pt idx="181">
                  <c:v>1900</c:v>
                </c:pt>
                <c:pt idx="182">
                  <c:v>1900</c:v>
                </c:pt>
                <c:pt idx="183">
                  <c:v>1900</c:v>
                </c:pt>
                <c:pt idx="184">
                  <c:v>1900</c:v>
                </c:pt>
                <c:pt idx="185">
                  <c:v>1900</c:v>
                </c:pt>
                <c:pt idx="186">
                  <c:v>1900</c:v>
                </c:pt>
                <c:pt idx="187">
                  <c:v>1900</c:v>
                </c:pt>
                <c:pt idx="188">
                  <c:v>1900</c:v>
                </c:pt>
                <c:pt idx="189">
                  <c:v>1900</c:v>
                </c:pt>
                <c:pt idx="190">
                  <c:v>1900</c:v>
                </c:pt>
                <c:pt idx="191">
                  <c:v>1900</c:v>
                </c:pt>
                <c:pt idx="192">
                  <c:v>1900</c:v>
                </c:pt>
                <c:pt idx="193">
                  <c:v>1900</c:v>
                </c:pt>
                <c:pt idx="194">
                  <c:v>1900</c:v>
                </c:pt>
                <c:pt idx="195">
                  <c:v>1900</c:v>
                </c:pt>
                <c:pt idx="196">
                  <c:v>1900</c:v>
                </c:pt>
                <c:pt idx="197">
                  <c:v>1900</c:v>
                </c:pt>
                <c:pt idx="198">
                  <c:v>1900</c:v>
                </c:pt>
                <c:pt idx="199">
                  <c:v>1900</c:v>
                </c:pt>
                <c:pt idx="200">
                  <c:v>1900</c:v>
                </c:pt>
                <c:pt idx="201">
                  <c:v>1900</c:v>
                </c:pt>
                <c:pt idx="202">
                  <c:v>1900</c:v>
                </c:pt>
                <c:pt idx="203">
                  <c:v>1900</c:v>
                </c:pt>
                <c:pt idx="204">
                  <c:v>1900</c:v>
                </c:pt>
                <c:pt idx="205">
                  <c:v>1900</c:v>
                </c:pt>
                <c:pt idx="206">
                  <c:v>1900</c:v>
                </c:pt>
                <c:pt idx="207">
                  <c:v>1900</c:v>
                </c:pt>
                <c:pt idx="208">
                  <c:v>1900</c:v>
                </c:pt>
                <c:pt idx="209">
                  <c:v>1900</c:v>
                </c:pt>
                <c:pt idx="210">
                  <c:v>1900</c:v>
                </c:pt>
                <c:pt idx="211">
                  <c:v>1900</c:v>
                </c:pt>
                <c:pt idx="212">
                  <c:v>1700</c:v>
                </c:pt>
                <c:pt idx="213">
                  <c:v>1700</c:v>
                </c:pt>
                <c:pt idx="214">
                  <c:v>1700</c:v>
                </c:pt>
                <c:pt idx="215">
                  <c:v>1700</c:v>
                </c:pt>
                <c:pt idx="216">
                  <c:v>1700</c:v>
                </c:pt>
                <c:pt idx="217">
                  <c:v>1700</c:v>
                </c:pt>
                <c:pt idx="218">
                  <c:v>1700</c:v>
                </c:pt>
                <c:pt idx="219">
                  <c:v>1700</c:v>
                </c:pt>
                <c:pt idx="220">
                  <c:v>1700</c:v>
                </c:pt>
                <c:pt idx="221">
                  <c:v>1700</c:v>
                </c:pt>
                <c:pt idx="222">
                  <c:v>1700</c:v>
                </c:pt>
                <c:pt idx="223">
                  <c:v>1700</c:v>
                </c:pt>
                <c:pt idx="224">
                  <c:v>1700</c:v>
                </c:pt>
                <c:pt idx="225">
                  <c:v>1700</c:v>
                </c:pt>
                <c:pt idx="226">
                  <c:v>1700</c:v>
                </c:pt>
                <c:pt idx="227">
                  <c:v>1700</c:v>
                </c:pt>
                <c:pt idx="228">
                  <c:v>1700</c:v>
                </c:pt>
                <c:pt idx="229">
                  <c:v>1700</c:v>
                </c:pt>
                <c:pt idx="230">
                  <c:v>1700</c:v>
                </c:pt>
                <c:pt idx="231">
                  <c:v>1700</c:v>
                </c:pt>
                <c:pt idx="232">
                  <c:v>1700</c:v>
                </c:pt>
                <c:pt idx="233">
                  <c:v>1700</c:v>
                </c:pt>
                <c:pt idx="234">
                  <c:v>1700</c:v>
                </c:pt>
                <c:pt idx="235">
                  <c:v>1700</c:v>
                </c:pt>
                <c:pt idx="236">
                  <c:v>1700</c:v>
                </c:pt>
                <c:pt idx="237">
                  <c:v>1700</c:v>
                </c:pt>
                <c:pt idx="238">
                  <c:v>1700</c:v>
                </c:pt>
                <c:pt idx="239">
                  <c:v>1700</c:v>
                </c:pt>
                <c:pt idx="240">
                  <c:v>1700</c:v>
                </c:pt>
                <c:pt idx="241">
                  <c:v>1700</c:v>
                </c:pt>
                <c:pt idx="242">
                  <c:v>1700</c:v>
                </c:pt>
                <c:pt idx="243">
                  <c:v>1466.6666666666667</c:v>
                </c:pt>
                <c:pt idx="244">
                  <c:v>1466.6666666666667</c:v>
                </c:pt>
                <c:pt idx="245">
                  <c:v>1466.6666666666667</c:v>
                </c:pt>
                <c:pt idx="246">
                  <c:v>1466.6666666666667</c:v>
                </c:pt>
                <c:pt idx="247">
                  <c:v>1466.6666666666667</c:v>
                </c:pt>
                <c:pt idx="248">
                  <c:v>1466.6666666666667</c:v>
                </c:pt>
                <c:pt idx="249">
                  <c:v>1466.6666666666667</c:v>
                </c:pt>
                <c:pt idx="250">
                  <c:v>1466.6666666666667</c:v>
                </c:pt>
                <c:pt idx="251">
                  <c:v>1466.6666666666667</c:v>
                </c:pt>
                <c:pt idx="252">
                  <c:v>1466.6666666666667</c:v>
                </c:pt>
                <c:pt idx="253">
                  <c:v>1466.6666666666667</c:v>
                </c:pt>
                <c:pt idx="254">
                  <c:v>1466.6666666666667</c:v>
                </c:pt>
                <c:pt idx="255">
                  <c:v>1466.6666666666667</c:v>
                </c:pt>
                <c:pt idx="256">
                  <c:v>1466.6666666666667</c:v>
                </c:pt>
                <c:pt idx="257">
                  <c:v>1466.6666666666667</c:v>
                </c:pt>
                <c:pt idx="258">
                  <c:v>1466.6666666666667</c:v>
                </c:pt>
                <c:pt idx="259">
                  <c:v>1466.6666666666667</c:v>
                </c:pt>
                <c:pt idx="260">
                  <c:v>1466.6666666666667</c:v>
                </c:pt>
                <c:pt idx="261">
                  <c:v>1466.6666666666667</c:v>
                </c:pt>
                <c:pt idx="262">
                  <c:v>1466.6666666666667</c:v>
                </c:pt>
                <c:pt idx="263">
                  <c:v>1466.6666666666667</c:v>
                </c:pt>
                <c:pt idx="264">
                  <c:v>1466.6666666666667</c:v>
                </c:pt>
                <c:pt idx="265">
                  <c:v>1466.6666666666667</c:v>
                </c:pt>
                <c:pt idx="266">
                  <c:v>1466.6666666666667</c:v>
                </c:pt>
                <c:pt idx="267">
                  <c:v>1466.6666666666667</c:v>
                </c:pt>
                <c:pt idx="268">
                  <c:v>1466.6666666666667</c:v>
                </c:pt>
                <c:pt idx="269">
                  <c:v>1466.6666666666667</c:v>
                </c:pt>
                <c:pt idx="270">
                  <c:v>1466.6666666666667</c:v>
                </c:pt>
                <c:pt idx="271">
                  <c:v>1466.6666666666667</c:v>
                </c:pt>
                <c:pt idx="272">
                  <c:v>1466.6666666666667</c:v>
                </c:pt>
                <c:pt idx="273">
                  <c:v>1233.3333333333326</c:v>
                </c:pt>
                <c:pt idx="274">
                  <c:v>1233.3333333333326</c:v>
                </c:pt>
                <c:pt idx="275">
                  <c:v>1233.3333333333326</c:v>
                </c:pt>
                <c:pt idx="276">
                  <c:v>1233.3333333333326</c:v>
                </c:pt>
                <c:pt idx="277">
                  <c:v>1233.3333333333326</c:v>
                </c:pt>
                <c:pt idx="278">
                  <c:v>1233.3333333333326</c:v>
                </c:pt>
                <c:pt idx="279">
                  <c:v>1233.3333333333326</c:v>
                </c:pt>
                <c:pt idx="280">
                  <c:v>1233.3333333333326</c:v>
                </c:pt>
                <c:pt idx="281">
                  <c:v>1233.3333333333326</c:v>
                </c:pt>
                <c:pt idx="282">
                  <c:v>1233.3333333333326</c:v>
                </c:pt>
                <c:pt idx="283">
                  <c:v>1233.3333333333326</c:v>
                </c:pt>
                <c:pt idx="284">
                  <c:v>1233.3333333333326</c:v>
                </c:pt>
                <c:pt idx="285">
                  <c:v>1233.3333333333326</c:v>
                </c:pt>
                <c:pt idx="286">
                  <c:v>1233.3333333333326</c:v>
                </c:pt>
                <c:pt idx="287">
                  <c:v>1233.3333333333326</c:v>
                </c:pt>
                <c:pt idx="288">
                  <c:v>1233.3333333333326</c:v>
                </c:pt>
                <c:pt idx="289">
                  <c:v>1233.3333333333326</c:v>
                </c:pt>
                <c:pt idx="290">
                  <c:v>1233.3333333333326</c:v>
                </c:pt>
                <c:pt idx="291">
                  <c:v>1233.3333333333326</c:v>
                </c:pt>
                <c:pt idx="292">
                  <c:v>1233.3333333333326</c:v>
                </c:pt>
                <c:pt idx="293">
                  <c:v>1233.3333333333326</c:v>
                </c:pt>
                <c:pt idx="294">
                  <c:v>1233.3333333333326</c:v>
                </c:pt>
                <c:pt idx="295">
                  <c:v>1233.3333333333326</c:v>
                </c:pt>
                <c:pt idx="296">
                  <c:v>1233.3333333333326</c:v>
                </c:pt>
                <c:pt idx="297">
                  <c:v>1233.3333333333326</c:v>
                </c:pt>
                <c:pt idx="298">
                  <c:v>1233.3333333333326</c:v>
                </c:pt>
                <c:pt idx="299">
                  <c:v>1233.3333333333326</c:v>
                </c:pt>
                <c:pt idx="300">
                  <c:v>1233.3333333333326</c:v>
                </c:pt>
                <c:pt idx="301">
                  <c:v>1233.3333333333326</c:v>
                </c:pt>
                <c:pt idx="302">
                  <c:v>1233.3333333333326</c:v>
                </c:pt>
                <c:pt idx="303">
                  <c:v>1233.3333333333326</c:v>
                </c:pt>
                <c:pt idx="304">
                  <c:v>1366.6666666666667</c:v>
                </c:pt>
                <c:pt idx="305">
                  <c:v>1366.6666666666667</c:v>
                </c:pt>
                <c:pt idx="306">
                  <c:v>1366.6666666666667</c:v>
                </c:pt>
                <c:pt idx="307">
                  <c:v>1366.6666666666667</c:v>
                </c:pt>
                <c:pt idx="308">
                  <c:v>1366.6666666666667</c:v>
                </c:pt>
                <c:pt idx="309">
                  <c:v>1366.6666666666667</c:v>
                </c:pt>
                <c:pt idx="310">
                  <c:v>1366.6666666666667</c:v>
                </c:pt>
                <c:pt idx="311">
                  <c:v>1366.6666666666667</c:v>
                </c:pt>
                <c:pt idx="312">
                  <c:v>1366.6666666666667</c:v>
                </c:pt>
                <c:pt idx="313">
                  <c:v>1366.6666666666667</c:v>
                </c:pt>
                <c:pt idx="314">
                  <c:v>1366.6666666666667</c:v>
                </c:pt>
                <c:pt idx="315">
                  <c:v>1366.6666666666667</c:v>
                </c:pt>
                <c:pt idx="316">
                  <c:v>1366.6666666666667</c:v>
                </c:pt>
                <c:pt idx="317">
                  <c:v>1366.6666666666667</c:v>
                </c:pt>
                <c:pt idx="318">
                  <c:v>1366.6666666666667</c:v>
                </c:pt>
                <c:pt idx="319">
                  <c:v>1366.6666666666667</c:v>
                </c:pt>
                <c:pt idx="320">
                  <c:v>1366.6666666666667</c:v>
                </c:pt>
                <c:pt idx="321">
                  <c:v>1366.6666666666667</c:v>
                </c:pt>
                <c:pt idx="322">
                  <c:v>1366.6666666666667</c:v>
                </c:pt>
                <c:pt idx="323">
                  <c:v>1366.6666666666667</c:v>
                </c:pt>
              </c:numCache>
            </c:numRef>
          </c:val>
          <c:smooth val="0"/>
        </c:ser>
        <c:ser>
          <c:idx val="1"/>
          <c:order val="1"/>
          <c:tx>
            <c:strRef>
              <c:f>石化!$Z$1</c:f>
              <c:strCache>
                <c:ptCount val="1"/>
                <c:pt idx="0">
                  <c:v>乙烯 美國海灣 現貨價(美元/公噸)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石化!$Z$216:$Z$539</c:f>
              <c:numCache>
                <c:formatCode>General</c:formatCode>
                <c:ptCount val="324"/>
                <c:pt idx="0">
                  <c:v>947.98659999999961</c:v>
                </c:pt>
                <c:pt idx="1">
                  <c:v>953.49815000000001</c:v>
                </c:pt>
                <c:pt idx="2">
                  <c:v>953.49815000000001</c:v>
                </c:pt>
                <c:pt idx="3">
                  <c:v>953.49815000000001</c:v>
                </c:pt>
                <c:pt idx="4">
                  <c:v>931.45194999999967</c:v>
                </c:pt>
                <c:pt idx="5">
                  <c:v>887.35954999999979</c:v>
                </c:pt>
                <c:pt idx="6">
                  <c:v>859.80179999999996</c:v>
                </c:pt>
                <c:pt idx="7">
                  <c:v>865.3133499999999</c:v>
                </c:pt>
                <c:pt idx="8">
                  <c:v>832.24405000000002</c:v>
                </c:pt>
                <c:pt idx="9">
                  <c:v>832.24405000000002</c:v>
                </c:pt>
                <c:pt idx="10">
                  <c:v>832.24405000000002</c:v>
                </c:pt>
                <c:pt idx="11">
                  <c:v>810.1978499999999</c:v>
                </c:pt>
                <c:pt idx="12">
                  <c:v>799.17475000000013</c:v>
                </c:pt>
                <c:pt idx="13">
                  <c:v>821.22095000000002</c:v>
                </c:pt>
                <c:pt idx="14">
                  <c:v>821.22095000000002</c:v>
                </c:pt>
                <c:pt idx="15">
                  <c:v>815.7094000000003</c:v>
                </c:pt>
                <c:pt idx="16">
                  <c:v>815.7094000000003</c:v>
                </c:pt>
                <c:pt idx="17">
                  <c:v>815.7094000000003</c:v>
                </c:pt>
                <c:pt idx="18">
                  <c:v>815.7094000000003</c:v>
                </c:pt>
                <c:pt idx="19">
                  <c:v>788.15164999999968</c:v>
                </c:pt>
                <c:pt idx="20">
                  <c:v>793.66319999999996</c:v>
                </c:pt>
                <c:pt idx="21">
                  <c:v>799.17475000000013</c:v>
                </c:pt>
                <c:pt idx="22">
                  <c:v>810.1978499999999</c:v>
                </c:pt>
                <c:pt idx="23">
                  <c:v>810.1978499999999</c:v>
                </c:pt>
                <c:pt idx="24">
                  <c:v>810.1978499999999</c:v>
                </c:pt>
                <c:pt idx="25">
                  <c:v>793.66319999999996</c:v>
                </c:pt>
                <c:pt idx="26">
                  <c:v>788.15164999999968</c:v>
                </c:pt>
                <c:pt idx="27">
                  <c:v>782.64009999999996</c:v>
                </c:pt>
                <c:pt idx="28">
                  <c:v>782.64009999999996</c:v>
                </c:pt>
                <c:pt idx="29">
                  <c:v>782.64009999999996</c:v>
                </c:pt>
                <c:pt idx="30">
                  <c:v>782.64009999999996</c:v>
                </c:pt>
                <c:pt idx="31">
                  <c:v>782.64009999999996</c:v>
                </c:pt>
                <c:pt idx="32">
                  <c:v>777.1285499999999</c:v>
                </c:pt>
                <c:pt idx="33">
                  <c:v>777.1285499999999</c:v>
                </c:pt>
                <c:pt idx="34">
                  <c:v>810.1978499999999</c:v>
                </c:pt>
                <c:pt idx="35">
                  <c:v>821.22095000000002</c:v>
                </c:pt>
                <c:pt idx="36">
                  <c:v>821.22095000000002</c:v>
                </c:pt>
                <c:pt idx="37">
                  <c:v>821.22095000000002</c:v>
                </c:pt>
                <c:pt idx="38">
                  <c:v>821.22095000000002</c:v>
                </c:pt>
                <c:pt idx="39">
                  <c:v>799.17475000000013</c:v>
                </c:pt>
                <c:pt idx="40">
                  <c:v>771.61699999999996</c:v>
                </c:pt>
                <c:pt idx="41">
                  <c:v>771.61699999999996</c:v>
                </c:pt>
                <c:pt idx="42">
                  <c:v>766.10545000000002</c:v>
                </c:pt>
                <c:pt idx="43">
                  <c:v>788.15164999999968</c:v>
                </c:pt>
                <c:pt idx="44">
                  <c:v>788.15164999999968</c:v>
                </c:pt>
                <c:pt idx="45">
                  <c:v>788.15164999999968</c:v>
                </c:pt>
                <c:pt idx="46">
                  <c:v>788.15164999999968</c:v>
                </c:pt>
                <c:pt idx="47">
                  <c:v>766.10545000000002</c:v>
                </c:pt>
                <c:pt idx="48">
                  <c:v>766.10545000000002</c:v>
                </c:pt>
                <c:pt idx="49">
                  <c:v>766.10545000000002</c:v>
                </c:pt>
                <c:pt idx="50">
                  <c:v>766.10545000000002</c:v>
                </c:pt>
                <c:pt idx="51">
                  <c:v>766.10545000000002</c:v>
                </c:pt>
                <c:pt idx="52">
                  <c:v>766.10545000000002</c:v>
                </c:pt>
                <c:pt idx="53">
                  <c:v>777.1285499999999</c:v>
                </c:pt>
                <c:pt idx="54">
                  <c:v>777.1285499999999</c:v>
                </c:pt>
                <c:pt idx="55">
                  <c:v>777.1285499999999</c:v>
                </c:pt>
                <c:pt idx="56">
                  <c:v>771.61699999999996</c:v>
                </c:pt>
                <c:pt idx="57">
                  <c:v>766.10545000000002</c:v>
                </c:pt>
                <c:pt idx="58">
                  <c:v>766.10545000000002</c:v>
                </c:pt>
                <c:pt idx="59">
                  <c:v>766.10545000000002</c:v>
                </c:pt>
                <c:pt idx="60">
                  <c:v>755.08235000000002</c:v>
                </c:pt>
                <c:pt idx="61">
                  <c:v>749.57080000000019</c:v>
                </c:pt>
                <c:pt idx="62">
                  <c:v>744.05924999999979</c:v>
                </c:pt>
                <c:pt idx="63">
                  <c:v>749.57080000000019</c:v>
                </c:pt>
                <c:pt idx="64">
                  <c:v>766.10545000000002</c:v>
                </c:pt>
                <c:pt idx="65">
                  <c:v>766.10545000000002</c:v>
                </c:pt>
                <c:pt idx="66">
                  <c:v>766.10545000000002</c:v>
                </c:pt>
                <c:pt idx="67">
                  <c:v>744.05924999999979</c:v>
                </c:pt>
                <c:pt idx="68">
                  <c:v>744.05924999999979</c:v>
                </c:pt>
                <c:pt idx="69">
                  <c:v>755.08235000000002</c:v>
                </c:pt>
                <c:pt idx="70">
                  <c:v>766.10545000000002</c:v>
                </c:pt>
                <c:pt idx="71">
                  <c:v>749.57080000000019</c:v>
                </c:pt>
                <c:pt idx="72">
                  <c:v>749.57080000000019</c:v>
                </c:pt>
                <c:pt idx="73">
                  <c:v>749.57080000000019</c:v>
                </c:pt>
                <c:pt idx="74">
                  <c:v>744.05924999999979</c:v>
                </c:pt>
                <c:pt idx="75">
                  <c:v>744.05924999999979</c:v>
                </c:pt>
                <c:pt idx="76">
                  <c:v>777.1285499999999</c:v>
                </c:pt>
                <c:pt idx="77">
                  <c:v>755.08235000000002</c:v>
                </c:pt>
                <c:pt idx="78">
                  <c:v>766.10545000000002</c:v>
                </c:pt>
                <c:pt idx="79">
                  <c:v>766.10545000000002</c:v>
                </c:pt>
                <c:pt idx="80">
                  <c:v>766.10545000000002</c:v>
                </c:pt>
                <c:pt idx="81">
                  <c:v>760.59390000000019</c:v>
                </c:pt>
                <c:pt idx="82">
                  <c:v>755.08235000000002</c:v>
                </c:pt>
                <c:pt idx="83">
                  <c:v>749.57080000000019</c:v>
                </c:pt>
                <c:pt idx="84">
                  <c:v>752.32657499999982</c:v>
                </c:pt>
                <c:pt idx="85">
                  <c:v>755.08235000000002</c:v>
                </c:pt>
                <c:pt idx="86">
                  <c:v>755.08235000000002</c:v>
                </c:pt>
                <c:pt idx="87">
                  <c:v>755.08235000000002</c:v>
                </c:pt>
                <c:pt idx="88">
                  <c:v>777.1285499999999</c:v>
                </c:pt>
                <c:pt idx="89">
                  <c:v>771.61699999999996</c:v>
                </c:pt>
                <c:pt idx="90">
                  <c:v>771.61699999999996</c:v>
                </c:pt>
                <c:pt idx="91">
                  <c:v>777.1285499999999</c:v>
                </c:pt>
                <c:pt idx="92">
                  <c:v>777.1285499999999</c:v>
                </c:pt>
                <c:pt idx="93">
                  <c:v>777.1285499999999</c:v>
                </c:pt>
                <c:pt idx="94">
                  <c:v>777.1285499999999</c:v>
                </c:pt>
                <c:pt idx="95">
                  <c:v>777.1285499999999</c:v>
                </c:pt>
                <c:pt idx="96">
                  <c:v>777.1285499999999</c:v>
                </c:pt>
                <c:pt idx="97">
                  <c:v>766.10545000000002</c:v>
                </c:pt>
                <c:pt idx="98">
                  <c:v>766.10545000000002</c:v>
                </c:pt>
                <c:pt idx="99">
                  <c:v>760.59390000000019</c:v>
                </c:pt>
                <c:pt idx="100">
                  <c:v>760.59390000000019</c:v>
                </c:pt>
                <c:pt idx="101">
                  <c:v>760.59390000000019</c:v>
                </c:pt>
                <c:pt idx="102">
                  <c:v>760.59390000000019</c:v>
                </c:pt>
                <c:pt idx="103">
                  <c:v>749.57080000000019</c:v>
                </c:pt>
                <c:pt idx="104">
                  <c:v>766.10545000000002</c:v>
                </c:pt>
                <c:pt idx="105">
                  <c:v>777.1285499999999</c:v>
                </c:pt>
                <c:pt idx="106">
                  <c:v>766.10545000000002</c:v>
                </c:pt>
                <c:pt idx="107">
                  <c:v>766.10545000000002</c:v>
                </c:pt>
                <c:pt idx="108">
                  <c:v>766.10545000000002</c:v>
                </c:pt>
                <c:pt idx="109">
                  <c:v>777.1285499999999</c:v>
                </c:pt>
                <c:pt idx="110">
                  <c:v>788.15164999999968</c:v>
                </c:pt>
                <c:pt idx="111">
                  <c:v>788.15164999999968</c:v>
                </c:pt>
                <c:pt idx="112">
                  <c:v>799.17475000000013</c:v>
                </c:pt>
                <c:pt idx="113">
                  <c:v>788.15164999999968</c:v>
                </c:pt>
                <c:pt idx="114">
                  <c:v>788.15164999999968</c:v>
                </c:pt>
                <c:pt idx="115">
                  <c:v>788.15164999999968</c:v>
                </c:pt>
                <c:pt idx="116">
                  <c:v>788.15164999999968</c:v>
                </c:pt>
                <c:pt idx="117">
                  <c:v>788.15164999999968</c:v>
                </c:pt>
                <c:pt idx="118">
                  <c:v>799.17475000000013</c:v>
                </c:pt>
                <c:pt idx="119">
                  <c:v>799.17475000000013</c:v>
                </c:pt>
                <c:pt idx="120">
                  <c:v>799.17475000000013</c:v>
                </c:pt>
                <c:pt idx="121">
                  <c:v>799.17475000000013</c:v>
                </c:pt>
                <c:pt idx="122">
                  <c:v>799.17475000000013</c:v>
                </c:pt>
                <c:pt idx="123">
                  <c:v>799.17475000000013</c:v>
                </c:pt>
                <c:pt idx="124">
                  <c:v>804.68629999999962</c:v>
                </c:pt>
                <c:pt idx="125">
                  <c:v>810.1978499999999</c:v>
                </c:pt>
                <c:pt idx="126">
                  <c:v>799.17475000000013</c:v>
                </c:pt>
                <c:pt idx="127">
                  <c:v>799.17475000000013</c:v>
                </c:pt>
                <c:pt idx="128">
                  <c:v>799.17475000000013</c:v>
                </c:pt>
                <c:pt idx="129">
                  <c:v>799.17475000000013</c:v>
                </c:pt>
                <c:pt idx="130">
                  <c:v>799.17475000000013</c:v>
                </c:pt>
                <c:pt idx="131">
                  <c:v>799.17475000000013</c:v>
                </c:pt>
                <c:pt idx="132">
                  <c:v>799.17475000000013</c:v>
                </c:pt>
                <c:pt idx="133">
                  <c:v>799.17475000000013</c:v>
                </c:pt>
                <c:pt idx="134">
                  <c:v>793.66319999999996</c:v>
                </c:pt>
                <c:pt idx="135">
                  <c:v>793.66319999999996</c:v>
                </c:pt>
                <c:pt idx="136">
                  <c:v>793.66319999999996</c:v>
                </c:pt>
                <c:pt idx="137">
                  <c:v>804.68629999999962</c:v>
                </c:pt>
                <c:pt idx="138">
                  <c:v>799.17475000000013</c:v>
                </c:pt>
                <c:pt idx="139">
                  <c:v>793.66319999999996</c:v>
                </c:pt>
                <c:pt idx="140">
                  <c:v>799.17475000000013</c:v>
                </c:pt>
                <c:pt idx="141">
                  <c:v>793.66319999999996</c:v>
                </c:pt>
                <c:pt idx="142">
                  <c:v>793.66319999999996</c:v>
                </c:pt>
                <c:pt idx="143">
                  <c:v>793.66319999999996</c:v>
                </c:pt>
                <c:pt idx="144">
                  <c:v>793.66319999999996</c:v>
                </c:pt>
                <c:pt idx="145">
                  <c:v>793.66319999999996</c:v>
                </c:pt>
                <c:pt idx="146">
                  <c:v>793.66319999999996</c:v>
                </c:pt>
                <c:pt idx="147">
                  <c:v>793.66319999999996</c:v>
                </c:pt>
                <c:pt idx="148">
                  <c:v>810.1978499999999</c:v>
                </c:pt>
                <c:pt idx="149">
                  <c:v>810.1978499999999</c:v>
                </c:pt>
                <c:pt idx="150">
                  <c:v>810.1978499999999</c:v>
                </c:pt>
                <c:pt idx="151">
                  <c:v>804.68629999999962</c:v>
                </c:pt>
                <c:pt idx="152">
                  <c:v>799.17475000000013</c:v>
                </c:pt>
                <c:pt idx="153">
                  <c:v>799.17475000000013</c:v>
                </c:pt>
                <c:pt idx="154">
                  <c:v>807.4420749999997</c:v>
                </c:pt>
                <c:pt idx="155">
                  <c:v>793.66319999999996</c:v>
                </c:pt>
                <c:pt idx="156">
                  <c:v>793.66319999999996</c:v>
                </c:pt>
                <c:pt idx="157">
                  <c:v>793.66319999999996</c:v>
                </c:pt>
                <c:pt idx="158">
                  <c:v>796.41897499999993</c:v>
                </c:pt>
                <c:pt idx="159">
                  <c:v>793.66319999999996</c:v>
                </c:pt>
                <c:pt idx="160">
                  <c:v>790.90742499999965</c:v>
                </c:pt>
                <c:pt idx="161">
                  <c:v>788.15164999999968</c:v>
                </c:pt>
                <c:pt idx="162">
                  <c:v>788.15164999999968</c:v>
                </c:pt>
                <c:pt idx="163">
                  <c:v>788.15164999999968</c:v>
                </c:pt>
                <c:pt idx="164">
                  <c:v>788.15164999999968</c:v>
                </c:pt>
                <c:pt idx="165">
                  <c:v>785.39587499999993</c:v>
                </c:pt>
                <c:pt idx="166">
                  <c:v>788.15164999999968</c:v>
                </c:pt>
                <c:pt idx="167">
                  <c:v>793.66319999999996</c:v>
                </c:pt>
                <c:pt idx="168">
                  <c:v>788.15164999999968</c:v>
                </c:pt>
                <c:pt idx="169">
                  <c:v>799.17475000000013</c:v>
                </c:pt>
                <c:pt idx="170">
                  <c:v>799.17475000000013</c:v>
                </c:pt>
                <c:pt idx="171">
                  <c:v>799.17475000000013</c:v>
                </c:pt>
                <c:pt idx="172">
                  <c:v>799.17475000000013</c:v>
                </c:pt>
                <c:pt idx="173">
                  <c:v>796.41897499999993</c:v>
                </c:pt>
                <c:pt idx="174">
                  <c:v>788.15164999999968</c:v>
                </c:pt>
                <c:pt idx="175">
                  <c:v>788.15164999999968</c:v>
                </c:pt>
                <c:pt idx="176">
                  <c:v>782.64009999999996</c:v>
                </c:pt>
                <c:pt idx="177">
                  <c:v>782.64009999999996</c:v>
                </c:pt>
                <c:pt idx="178">
                  <c:v>782.64009999999996</c:v>
                </c:pt>
                <c:pt idx="179">
                  <c:v>788.15164999999968</c:v>
                </c:pt>
                <c:pt idx="180">
                  <c:v>788.15164999999968</c:v>
                </c:pt>
                <c:pt idx="181">
                  <c:v>777.1285499999999</c:v>
                </c:pt>
                <c:pt idx="182">
                  <c:v>777.1285499999999</c:v>
                </c:pt>
                <c:pt idx="183">
                  <c:v>777.1285499999999</c:v>
                </c:pt>
                <c:pt idx="184">
                  <c:v>777.1285499999999</c:v>
                </c:pt>
                <c:pt idx="185">
                  <c:v>777.1285499999999</c:v>
                </c:pt>
                <c:pt idx="186">
                  <c:v>771.61699999999996</c:v>
                </c:pt>
                <c:pt idx="187">
                  <c:v>771.61699999999996</c:v>
                </c:pt>
                <c:pt idx="188">
                  <c:v>771.61699999999996</c:v>
                </c:pt>
                <c:pt idx="189">
                  <c:v>788.15164999999968</c:v>
                </c:pt>
                <c:pt idx="190">
                  <c:v>782.64009999999996</c:v>
                </c:pt>
                <c:pt idx="191">
                  <c:v>782.64009999999996</c:v>
                </c:pt>
                <c:pt idx="192">
                  <c:v>782.64009999999996</c:v>
                </c:pt>
                <c:pt idx="193">
                  <c:v>766.10545000000002</c:v>
                </c:pt>
                <c:pt idx="194">
                  <c:v>771.61699999999996</c:v>
                </c:pt>
                <c:pt idx="195">
                  <c:v>771.61699999999996</c:v>
                </c:pt>
                <c:pt idx="196">
                  <c:v>777.1285499999999</c:v>
                </c:pt>
                <c:pt idx="197">
                  <c:v>777.1285499999999</c:v>
                </c:pt>
                <c:pt idx="198">
                  <c:v>777.1285499999999</c:v>
                </c:pt>
                <c:pt idx="199">
                  <c:v>777.1285499999999</c:v>
                </c:pt>
                <c:pt idx="200">
                  <c:v>771.61699999999996</c:v>
                </c:pt>
                <c:pt idx="201">
                  <c:v>771.61699999999996</c:v>
                </c:pt>
                <c:pt idx="202">
                  <c:v>768.86122499999954</c:v>
                </c:pt>
                <c:pt idx="203">
                  <c:v>766.10545000000002</c:v>
                </c:pt>
                <c:pt idx="204">
                  <c:v>755.08235000000002</c:v>
                </c:pt>
                <c:pt idx="205">
                  <c:v>755.08235000000002</c:v>
                </c:pt>
                <c:pt idx="206">
                  <c:v>755.08235000000002</c:v>
                </c:pt>
                <c:pt idx="207">
                  <c:v>749.57080000000019</c:v>
                </c:pt>
                <c:pt idx="208">
                  <c:v>749.57080000000019</c:v>
                </c:pt>
                <c:pt idx="209">
                  <c:v>749.57080000000019</c:v>
                </c:pt>
                <c:pt idx="210">
                  <c:v>746.81502499999976</c:v>
                </c:pt>
                <c:pt idx="211">
                  <c:v>746.81502499999976</c:v>
                </c:pt>
                <c:pt idx="212">
                  <c:v>746.81502499999976</c:v>
                </c:pt>
                <c:pt idx="213">
                  <c:v>746.81502499999976</c:v>
                </c:pt>
                <c:pt idx="214">
                  <c:v>744.05924999999979</c:v>
                </c:pt>
                <c:pt idx="215">
                  <c:v>744.05924999999979</c:v>
                </c:pt>
                <c:pt idx="216">
                  <c:v>727.52459999999996</c:v>
                </c:pt>
                <c:pt idx="217">
                  <c:v>677.9206499999998</c:v>
                </c:pt>
                <c:pt idx="218">
                  <c:v>655.87444999999991</c:v>
                </c:pt>
                <c:pt idx="219">
                  <c:v>655.87444999999991</c:v>
                </c:pt>
                <c:pt idx="220">
                  <c:v>655.87444999999991</c:v>
                </c:pt>
                <c:pt idx="221">
                  <c:v>644.85134999999968</c:v>
                </c:pt>
                <c:pt idx="222">
                  <c:v>617.2936000000002</c:v>
                </c:pt>
                <c:pt idx="223">
                  <c:v>578.71274999999991</c:v>
                </c:pt>
                <c:pt idx="224">
                  <c:v>534.62034999999992</c:v>
                </c:pt>
                <c:pt idx="225">
                  <c:v>518.08569999999997</c:v>
                </c:pt>
                <c:pt idx="226">
                  <c:v>518.08569999999997</c:v>
                </c:pt>
                <c:pt idx="227">
                  <c:v>518.08569999999997</c:v>
                </c:pt>
                <c:pt idx="228">
                  <c:v>490.52794999999986</c:v>
                </c:pt>
                <c:pt idx="229">
                  <c:v>507.06259999999986</c:v>
                </c:pt>
                <c:pt idx="230">
                  <c:v>512.57415000000003</c:v>
                </c:pt>
                <c:pt idx="231">
                  <c:v>545.64344999999992</c:v>
                </c:pt>
                <c:pt idx="232">
                  <c:v>512.57415000000003</c:v>
                </c:pt>
                <c:pt idx="233">
                  <c:v>512.57415000000003</c:v>
                </c:pt>
                <c:pt idx="234">
                  <c:v>512.57415000000003</c:v>
                </c:pt>
                <c:pt idx="235">
                  <c:v>501.55104999999986</c:v>
                </c:pt>
                <c:pt idx="236">
                  <c:v>512.57415000000003</c:v>
                </c:pt>
                <c:pt idx="237">
                  <c:v>578.71274999999991</c:v>
                </c:pt>
                <c:pt idx="238">
                  <c:v>589.73585000000003</c:v>
                </c:pt>
                <c:pt idx="239">
                  <c:v>562.1781000000002</c:v>
                </c:pt>
                <c:pt idx="240">
                  <c:v>562.1781000000002</c:v>
                </c:pt>
                <c:pt idx="241">
                  <c:v>562.1781000000002</c:v>
                </c:pt>
                <c:pt idx="242">
                  <c:v>573.20119999999997</c:v>
                </c:pt>
                <c:pt idx="243">
                  <c:v>556.6665499999998</c:v>
                </c:pt>
                <c:pt idx="244">
                  <c:v>556.6665499999998</c:v>
                </c:pt>
                <c:pt idx="245">
                  <c:v>512.57415000000003</c:v>
                </c:pt>
                <c:pt idx="246">
                  <c:v>507.06259999999986</c:v>
                </c:pt>
                <c:pt idx="247">
                  <c:v>556.6665499999998</c:v>
                </c:pt>
                <c:pt idx="248">
                  <c:v>556.6665499999998</c:v>
                </c:pt>
                <c:pt idx="249">
                  <c:v>556.6665499999998</c:v>
                </c:pt>
                <c:pt idx="250">
                  <c:v>496.03949999999986</c:v>
                </c:pt>
                <c:pt idx="251">
                  <c:v>523.5972499999998</c:v>
                </c:pt>
                <c:pt idx="252">
                  <c:v>507.06259999999986</c:v>
                </c:pt>
                <c:pt idx="253">
                  <c:v>507.06259999999986</c:v>
                </c:pt>
                <c:pt idx="254">
                  <c:v>507.06259999999986</c:v>
                </c:pt>
                <c:pt idx="255">
                  <c:v>507.06259999999986</c:v>
                </c:pt>
                <c:pt idx="256">
                  <c:v>512.57415000000003</c:v>
                </c:pt>
                <c:pt idx="257">
                  <c:v>504.30682499999995</c:v>
                </c:pt>
                <c:pt idx="258">
                  <c:v>509.81837499999983</c:v>
                </c:pt>
                <c:pt idx="259">
                  <c:v>501.55104999999986</c:v>
                </c:pt>
                <c:pt idx="260">
                  <c:v>523.5972499999998</c:v>
                </c:pt>
                <c:pt idx="261">
                  <c:v>523.5972499999998</c:v>
                </c:pt>
                <c:pt idx="262">
                  <c:v>523.5972499999998</c:v>
                </c:pt>
                <c:pt idx="263">
                  <c:v>490.52794999999986</c:v>
                </c:pt>
                <c:pt idx="264">
                  <c:v>479.50485000000015</c:v>
                </c:pt>
                <c:pt idx="265">
                  <c:v>435.41244999999986</c:v>
                </c:pt>
                <c:pt idx="266">
                  <c:v>435.41244999999986</c:v>
                </c:pt>
                <c:pt idx="267">
                  <c:v>435.41244999999986</c:v>
                </c:pt>
                <c:pt idx="268">
                  <c:v>435.41244999999986</c:v>
                </c:pt>
                <c:pt idx="269">
                  <c:v>435.41244999999986</c:v>
                </c:pt>
                <c:pt idx="270">
                  <c:v>451.94709999999986</c:v>
                </c:pt>
                <c:pt idx="271">
                  <c:v>454.81310599999983</c:v>
                </c:pt>
                <c:pt idx="272">
                  <c:v>454.81310599999983</c:v>
                </c:pt>
                <c:pt idx="273">
                  <c:v>440.92399999999969</c:v>
                </c:pt>
                <c:pt idx="274">
                  <c:v>446.43554999999975</c:v>
                </c:pt>
                <c:pt idx="275">
                  <c:v>446.43554999999975</c:v>
                </c:pt>
                <c:pt idx="276">
                  <c:v>446.43554999999975</c:v>
                </c:pt>
                <c:pt idx="277">
                  <c:v>440.92399999999969</c:v>
                </c:pt>
                <c:pt idx="278">
                  <c:v>413.36624999999987</c:v>
                </c:pt>
                <c:pt idx="279">
                  <c:v>421.74380599999995</c:v>
                </c:pt>
                <c:pt idx="280">
                  <c:v>418.87779999999987</c:v>
                </c:pt>
                <c:pt idx="281">
                  <c:v>429.90089999999987</c:v>
                </c:pt>
                <c:pt idx="282">
                  <c:v>429.90089999999987</c:v>
                </c:pt>
                <c:pt idx="283">
                  <c:v>429.90089999999987</c:v>
                </c:pt>
                <c:pt idx="284">
                  <c:v>462.97019999999975</c:v>
                </c:pt>
                <c:pt idx="285">
                  <c:v>482.370856</c:v>
                </c:pt>
                <c:pt idx="286">
                  <c:v>540.13189999999997</c:v>
                </c:pt>
                <c:pt idx="287">
                  <c:v>529.1088000000002</c:v>
                </c:pt>
                <c:pt idx="288">
                  <c:v>526.46325599999977</c:v>
                </c:pt>
                <c:pt idx="289">
                  <c:v>526.46325599999977</c:v>
                </c:pt>
                <c:pt idx="290">
                  <c:v>526.46325599999977</c:v>
                </c:pt>
                <c:pt idx="291">
                  <c:v>523.5972499999998</c:v>
                </c:pt>
                <c:pt idx="292">
                  <c:v>490.52794999999986</c:v>
                </c:pt>
                <c:pt idx="293">
                  <c:v>490.52794999999986</c:v>
                </c:pt>
                <c:pt idx="294">
                  <c:v>512.57415000000003</c:v>
                </c:pt>
                <c:pt idx="295">
                  <c:v>518.08569999999997</c:v>
                </c:pt>
                <c:pt idx="296">
                  <c:v>518.08569999999997</c:v>
                </c:pt>
                <c:pt idx="297">
                  <c:v>518.08569999999997</c:v>
                </c:pt>
                <c:pt idx="298">
                  <c:v>540.13189999999997</c:v>
                </c:pt>
                <c:pt idx="299">
                  <c:v>529.1088000000002</c:v>
                </c:pt>
                <c:pt idx="300">
                  <c:v>526.46325599999977</c:v>
                </c:pt>
                <c:pt idx="301">
                  <c:v>551.15499999999997</c:v>
                </c:pt>
                <c:pt idx="302">
                  <c:v>551.15499999999997</c:v>
                </c:pt>
                <c:pt idx="303">
                  <c:v>551.15499999999997</c:v>
                </c:pt>
                <c:pt idx="304">
                  <c:v>551.15499999999997</c:v>
                </c:pt>
                <c:pt idx="305">
                  <c:v>545.64344999999992</c:v>
                </c:pt>
                <c:pt idx="306">
                  <c:v>551.15499999999997</c:v>
                </c:pt>
                <c:pt idx="307">
                  <c:v>534.62034999999992</c:v>
                </c:pt>
                <c:pt idx="308">
                  <c:v>501.55104999999986</c:v>
                </c:pt>
                <c:pt idx="309">
                  <c:v>512.57415000000003</c:v>
                </c:pt>
                <c:pt idx="310">
                  <c:v>512.57415000000003</c:v>
                </c:pt>
                <c:pt idx="311">
                  <c:v>512.57415000000003</c:v>
                </c:pt>
                <c:pt idx="312">
                  <c:v>518.08569999999997</c:v>
                </c:pt>
                <c:pt idx="313">
                  <c:v>523.5972499999998</c:v>
                </c:pt>
                <c:pt idx="314">
                  <c:v>507.06259999999986</c:v>
                </c:pt>
                <c:pt idx="315">
                  <c:v>507.06259999999986</c:v>
                </c:pt>
                <c:pt idx="316">
                  <c:v>490.52794999999986</c:v>
                </c:pt>
                <c:pt idx="317">
                  <c:v>490.52794999999986</c:v>
                </c:pt>
                <c:pt idx="318">
                  <c:v>490.52794999999986</c:v>
                </c:pt>
                <c:pt idx="319">
                  <c:v>479.50485000000015</c:v>
                </c:pt>
                <c:pt idx="320">
                  <c:v>479.50485000000015</c:v>
                </c:pt>
                <c:pt idx="321">
                  <c:v>473.99329999999969</c:v>
                </c:pt>
                <c:pt idx="322">
                  <c:v>485.01639999999975</c:v>
                </c:pt>
                <c:pt idx="323">
                  <c:v>485.01639999999975</c:v>
                </c:pt>
              </c:numCache>
            </c:numRef>
          </c:val>
          <c:smooth val="0"/>
        </c:ser>
        <c:dLbls>
          <c:showLegendKey val="0"/>
          <c:showVal val="0"/>
          <c:showCatName val="0"/>
          <c:showSerName val="0"/>
          <c:showPercent val="0"/>
          <c:showBubbleSize val="0"/>
        </c:dLbls>
        <c:marker val="1"/>
        <c:smooth val="0"/>
        <c:axId val="263770112"/>
        <c:axId val="263771648"/>
      </c:lineChart>
      <c:dateAx>
        <c:axId val="263770112"/>
        <c:scaling>
          <c:orientation val="minMax"/>
          <c:max val="42328"/>
          <c:min val="42005"/>
        </c:scaling>
        <c:delete val="0"/>
        <c:axPos val="b"/>
        <c:numFmt formatCode="m/d/yyyy" sourceLinked="1"/>
        <c:majorTickMark val="out"/>
        <c:minorTickMark val="none"/>
        <c:tickLblPos val="nextTo"/>
        <c:crossAx val="263771648"/>
        <c:crosses val="autoZero"/>
        <c:auto val="1"/>
        <c:lblOffset val="100"/>
        <c:baseTimeUnit val="days"/>
        <c:majorUnit val="1"/>
        <c:majorTimeUnit val="months"/>
        <c:minorUnit val="1"/>
        <c:minorTimeUnit val="months"/>
      </c:dateAx>
      <c:valAx>
        <c:axId val="263771648"/>
        <c:scaling>
          <c:orientation val="minMax"/>
          <c:min val="350"/>
        </c:scaling>
        <c:delete val="0"/>
        <c:axPos val="l"/>
        <c:majorGridlines/>
        <c:numFmt formatCode="General" sourceLinked="1"/>
        <c:majorTickMark val="out"/>
        <c:minorTickMark val="none"/>
        <c:tickLblPos val="nextTo"/>
        <c:crossAx val="263770112"/>
        <c:crosses val="autoZero"/>
        <c:crossBetween val="between"/>
      </c:valAx>
    </c:plotArea>
    <c:legend>
      <c:legendPos val="b"/>
      <c:layout>
        <c:manualLayout>
          <c:xMode val="edge"/>
          <c:yMode val="edge"/>
          <c:x val="0.1207071053232808"/>
          <c:y val="0.8466164310382448"/>
          <c:w val="0.75353535353535361"/>
          <c:h val="0.15138258203161498"/>
        </c:manualLayout>
      </c:layout>
      <c:overlay val="0"/>
    </c:legend>
    <c:plotVisOnly val="1"/>
    <c:dispBlanksAs val="gap"/>
    <c:showDLblsOverMax val="0"/>
  </c:chart>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742670017515805"/>
          <c:y val="2.6195322042230032E-2"/>
          <c:w val="0.8358311461067367"/>
          <c:h val="0.66440734824531578"/>
        </c:manualLayout>
      </c:layout>
      <c:lineChart>
        <c:grouping val="standard"/>
        <c:varyColors val="0"/>
        <c:ser>
          <c:idx val="0"/>
          <c:order val="0"/>
          <c:tx>
            <c:strRef>
              <c:f>石化!$AA$1</c:f>
              <c:strCache>
                <c:ptCount val="1"/>
                <c:pt idx="0">
                  <c:v>丙烯 台灣 CFR(美元/公噸)</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石化!$AA$216:$AA$539</c:f>
              <c:numCache>
                <c:formatCode>General</c:formatCode>
                <c:ptCount val="324"/>
                <c:pt idx="0">
                  <c:v>541</c:v>
                </c:pt>
                <c:pt idx="1">
                  <c:v>541</c:v>
                </c:pt>
                <c:pt idx="2">
                  <c:v>541</c:v>
                </c:pt>
                <c:pt idx="3">
                  <c:v>541</c:v>
                </c:pt>
                <c:pt idx="4">
                  <c:v>541</c:v>
                </c:pt>
                <c:pt idx="5">
                  <c:v>541</c:v>
                </c:pt>
                <c:pt idx="6">
                  <c:v>541</c:v>
                </c:pt>
                <c:pt idx="7">
                  <c:v>541</c:v>
                </c:pt>
                <c:pt idx="8">
                  <c:v>661</c:v>
                </c:pt>
                <c:pt idx="9">
                  <c:v>661</c:v>
                </c:pt>
                <c:pt idx="10">
                  <c:v>661</c:v>
                </c:pt>
                <c:pt idx="11">
                  <c:v>661</c:v>
                </c:pt>
                <c:pt idx="12">
                  <c:v>661</c:v>
                </c:pt>
                <c:pt idx="13">
                  <c:v>661</c:v>
                </c:pt>
                <c:pt idx="14">
                  <c:v>661</c:v>
                </c:pt>
                <c:pt idx="15">
                  <c:v>763</c:v>
                </c:pt>
                <c:pt idx="16">
                  <c:v>763</c:v>
                </c:pt>
                <c:pt idx="17">
                  <c:v>763</c:v>
                </c:pt>
                <c:pt idx="18">
                  <c:v>763</c:v>
                </c:pt>
                <c:pt idx="19">
                  <c:v>763</c:v>
                </c:pt>
                <c:pt idx="20">
                  <c:v>763</c:v>
                </c:pt>
                <c:pt idx="21">
                  <c:v>763</c:v>
                </c:pt>
                <c:pt idx="22">
                  <c:v>831</c:v>
                </c:pt>
                <c:pt idx="23">
                  <c:v>831</c:v>
                </c:pt>
                <c:pt idx="24">
                  <c:v>831</c:v>
                </c:pt>
                <c:pt idx="25">
                  <c:v>831</c:v>
                </c:pt>
                <c:pt idx="26">
                  <c:v>831</c:v>
                </c:pt>
                <c:pt idx="27">
                  <c:v>831</c:v>
                </c:pt>
                <c:pt idx="28">
                  <c:v>831</c:v>
                </c:pt>
                <c:pt idx="29">
                  <c:v>801</c:v>
                </c:pt>
                <c:pt idx="30">
                  <c:v>801</c:v>
                </c:pt>
                <c:pt idx="31">
                  <c:v>801</c:v>
                </c:pt>
                <c:pt idx="32">
                  <c:v>801</c:v>
                </c:pt>
                <c:pt idx="33">
                  <c:v>801</c:v>
                </c:pt>
                <c:pt idx="34">
                  <c:v>801</c:v>
                </c:pt>
                <c:pt idx="35">
                  <c:v>801</c:v>
                </c:pt>
                <c:pt idx="36">
                  <c:v>821</c:v>
                </c:pt>
                <c:pt idx="37">
                  <c:v>821</c:v>
                </c:pt>
                <c:pt idx="38">
                  <c:v>821</c:v>
                </c:pt>
                <c:pt idx="39">
                  <c:v>821</c:v>
                </c:pt>
                <c:pt idx="40">
                  <c:v>821</c:v>
                </c:pt>
                <c:pt idx="41">
                  <c:v>821</c:v>
                </c:pt>
                <c:pt idx="42">
                  <c:v>821</c:v>
                </c:pt>
                <c:pt idx="43">
                  <c:v>851</c:v>
                </c:pt>
                <c:pt idx="44">
                  <c:v>851</c:v>
                </c:pt>
                <c:pt idx="45">
                  <c:v>851</c:v>
                </c:pt>
                <c:pt idx="46">
                  <c:v>851</c:v>
                </c:pt>
                <c:pt idx="47">
                  <c:v>851</c:v>
                </c:pt>
                <c:pt idx="48">
                  <c:v>851</c:v>
                </c:pt>
                <c:pt idx="49">
                  <c:v>851</c:v>
                </c:pt>
                <c:pt idx="50">
                  <c:v>856</c:v>
                </c:pt>
                <c:pt idx="51">
                  <c:v>856</c:v>
                </c:pt>
                <c:pt idx="52">
                  <c:v>856</c:v>
                </c:pt>
                <c:pt idx="53">
                  <c:v>856</c:v>
                </c:pt>
                <c:pt idx="54">
                  <c:v>856</c:v>
                </c:pt>
                <c:pt idx="55">
                  <c:v>856</c:v>
                </c:pt>
                <c:pt idx="56">
                  <c:v>856</c:v>
                </c:pt>
                <c:pt idx="57">
                  <c:v>916</c:v>
                </c:pt>
                <c:pt idx="58">
                  <c:v>916</c:v>
                </c:pt>
                <c:pt idx="59">
                  <c:v>916</c:v>
                </c:pt>
                <c:pt idx="60">
                  <c:v>916</c:v>
                </c:pt>
                <c:pt idx="61">
                  <c:v>916</c:v>
                </c:pt>
                <c:pt idx="62">
                  <c:v>916</c:v>
                </c:pt>
                <c:pt idx="63">
                  <c:v>916</c:v>
                </c:pt>
                <c:pt idx="64">
                  <c:v>1001</c:v>
                </c:pt>
                <c:pt idx="65">
                  <c:v>1001</c:v>
                </c:pt>
                <c:pt idx="66">
                  <c:v>1001</c:v>
                </c:pt>
                <c:pt idx="67">
                  <c:v>1001</c:v>
                </c:pt>
                <c:pt idx="68">
                  <c:v>1001</c:v>
                </c:pt>
                <c:pt idx="69">
                  <c:v>1001</c:v>
                </c:pt>
                <c:pt idx="70">
                  <c:v>1001</c:v>
                </c:pt>
                <c:pt idx="71">
                  <c:v>1051</c:v>
                </c:pt>
                <c:pt idx="72">
                  <c:v>1051</c:v>
                </c:pt>
                <c:pt idx="73">
                  <c:v>1051</c:v>
                </c:pt>
                <c:pt idx="74">
                  <c:v>1051</c:v>
                </c:pt>
                <c:pt idx="75">
                  <c:v>1051</c:v>
                </c:pt>
                <c:pt idx="76">
                  <c:v>1051</c:v>
                </c:pt>
                <c:pt idx="77">
                  <c:v>1051</c:v>
                </c:pt>
                <c:pt idx="78">
                  <c:v>991</c:v>
                </c:pt>
                <c:pt idx="79">
                  <c:v>991</c:v>
                </c:pt>
                <c:pt idx="80">
                  <c:v>991</c:v>
                </c:pt>
                <c:pt idx="81">
                  <c:v>991</c:v>
                </c:pt>
                <c:pt idx="82">
                  <c:v>991</c:v>
                </c:pt>
                <c:pt idx="83">
                  <c:v>991</c:v>
                </c:pt>
                <c:pt idx="84">
                  <c:v>991</c:v>
                </c:pt>
                <c:pt idx="85">
                  <c:v>1041</c:v>
                </c:pt>
                <c:pt idx="86">
                  <c:v>1041</c:v>
                </c:pt>
                <c:pt idx="87">
                  <c:v>1041</c:v>
                </c:pt>
                <c:pt idx="88">
                  <c:v>1041</c:v>
                </c:pt>
                <c:pt idx="89">
                  <c:v>1041</c:v>
                </c:pt>
                <c:pt idx="90">
                  <c:v>1041</c:v>
                </c:pt>
                <c:pt idx="91">
                  <c:v>1041</c:v>
                </c:pt>
                <c:pt idx="92">
                  <c:v>1041</c:v>
                </c:pt>
                <c:pt idx="93">
                  <c:v>1041</c:v>
                </c:pt>
                <c:pt idx="94">
                  <c:v>1041</c:v>
                </c:pt>
                <c:pt idx="95">
                  <c:v>1041</c:v>
                </c:pt>
                <c:pt idx="96">
                  <c:v>1041</c:v>
                </c:pt>
                <c:pt idx="97">
                  <c:v>1041</c:v>
                </c:pt>
                <c:pt idx="98">
                  <c:v>1041</c:v>
                </c:pt>
                <c:pt idx="99">
                  <c:v>1061</c:v>
                </c:pt>
                <c:pt idx="100">
                  <c:v>1061</c:v>
                </c:pt>
                <c:pt idx="101">
                  <c:v>1061</c:v>
                </c:pt>
                <c:pt idx="102">
                  <c:v>1061</c:v>
                </c:pt>
                <c:pt idx="103">
                  <c:v>1061</c:v>
                </c:pt>
                <c:pt idx="104">
                  <c:v>1061</c:v>
                </c:pt>
                <c:pt idx="105">
                  <c:v>1061</c:v>
                </c:pt>
                <c:pt idx="106">
                  <c:v>1071</c:v>
                </c:pt>
                <c:pt idx="107">
                  <c:v>1071</c:v>
                </c:pt>
                <c:pt idx="108">
                  <c:v>1071</c:v>
                </c:pt>
                <c:pt idx="109">
                  <c:v>1071</c:v>
                </c:pt>
                <c:pt idx="110">
                  <c:v>1071</c:v>
                </c:pt>
                <c:pt idx="111">
                  <c:v>1071</c:v>
                </c:pt>
                <c:pt idx="112">
                  <c:v>1071</c:v>
                </c:pt>
                <c:pt idx="113">
                  <c:v>1046</c:v>
                </c:pt>
                <c:pt idx="114">
                  <c:v>1046</c:v>
                </c:pt>
                <c:pt idx="115">
                  <c:v>1046</c:v>
                </c:pt>
                <c:pt idx="116">
                  <c:v>1046</c:v>
                </c:pt>
                <c:pt idx="117">
                  <c:v>1046</c:v>
                </c:pt>
                <c:pt idx="118">
                  <c:v>1046</c:v>
                </c:pt>
                <c:pt idx="119">
                  <c:v>1046</c:v>
                </c:pt>
                <c:pt idx="120">
                  <c:v>1041</c:v>
                </c:pt>
                <c:pt idx="121">
                  <c:v>1041</c:v>
                </c:pt>
                <c:pt idx="122">
                  <c:v>1041</c:v>
                </c:pt>
                <c:pt idx="123">
                  <c:v>1041</c:v>
                </c:pt>
                <c:pt idx="124">
                  <c:v>1041</c:v>
                </c:pt>
                <c:pt idx="125">
                  <c:v>1041</c:v>
                </c:pt>
                <c:pt idx="126">
                  <c:v>1041</c:v>
                </c:pt>
                <c:pt idx="127">
                  <c:v>1041</c:v>
                </c:pt>
                <c:pt idx="128">
                  <c:v>1041</c:v>
                </c:pt>
                <c:pt idx="129">
                  <c:v>1041</c:v>
                </c:pt>
                <c:pt idx="130">
                  <c:v>1041</c:v>
                </c:pt>
                <c:pt idx="131">
                  <c:v>1041</c:v>
                </c:pt>
                <c:pt idx="132">
                  <c:v>1041</c:v>
                </c:pt>
                <c:pt idx="133">
                  <c:v>1041</c:v>
                </c:pt>
                <c:pt idx="134">
                  <c:v>1021</c:v>
                </c:pt>
                <c:pt idx="135">
                  <c:v>1021</c:v>
                </c:pt>
                <c:pt idx="136">
                  <c:v>1021</c:v>
                </c:pt>
                <c:pt idx="137">
                  <c:v>1021</c:v>
                </c:pt>
                <c:pt idx="138">
                  <c:v>1021</c:v>
                </c:pt>
                <c:pt idx="139">
                  <c:v>1021</c:v>
                </c:pt>
                <c:pt idx="140">
                  <c:v>1021</c:v>
                </c:pt>
                <c:pt idx="141">
                  <c:v>996</c:v>
                </c:pt>
                <c:pt idx="142">
                  <c:v>996</c:v>
                </c:pt>
                <c:pt idx="143">
                  <c:v>996</c:v>
                </c:pt>
                <c:pt idx="144">
                  <c:v>996</c:v>
                </c:pt>
                <c:pt idx="145">
                  <c:v>996</c:v>
                </c:pt>
                <c:pt idx="146">
                  <c:v>996</c:v>
                </c:pt>
                <c:pt idx="147">
                  <c:v>996</c:v>
                </c:pt>
                <c:pt idx="148">
                  <c:v>981</c:v>
                </c:pt>
                <c:pt idx="149">
                  <c:v>981</c:v>
                </c:pt>
                <c:pt idx="150">
                  <c:v>981</c:v>
                </c:pt>
                <c:pt idx="151">
                  <c:v>981</c:v>
                </c:pt>
                <c:pt idx="152">
                  <c:v>981</c:v>
                </c:pt>
                <c:pt idx="153">
                  <c:v>981</c:v>
                </c:pt>
                <c:pt idx="154">
                  <c:v>981</c:v>
                </c:pt>
                <c:pt idx="155">
                  <c:v>996</c:v>
                </c:pt>
                <c:pt idx="156">
                  <c:v>996</c:v>
                </c:pt>
                <c:pt idx="157">
                  <c:v>996</c:v>
                </c:pt>
                <c:pt idx="158">
                  <c:v>996</c:v>
                </c:pt>
                <c:pt idx="159">
                  <c:v>996</c:v>
                </c:pt>
                <c:pt idx="160">
                  <c:v>996</c:v>
                </c:pt>
                <c:pt idx="161">
                  <c:v>996</c:v>
                </c:pt>
                <c:pt idx="162">
                  <c:v>1003</c:v>
                </c:pt>
                <c:pt idx="163">
                  <c:v>1003</c:v>
                </c:pt>
                <c:pt idx="164">
                  <c:v>1003</c:v>
                </c:pt>
                <c:pt idx="165">
                  <c:v>1003</c:v>
                </c:pt>
                <c:pt idx="166">
                  <c:v>1003</c:v>
                </c:pt>
                <c:pt idx="167">
                  <c:v>1003</c:v>
                </c:pt>
                <c:pt idx="168">
                  <c:v>1003</c:v>
                </c:pt>
                <c:pt idx="169">
                  <c:v>1016</c:v>
                </c:pt>
                <c:pt idx="170">
                  <c:v>1016</c:v>
                </c:pt>
                <c:pt idx="171">
                  <c:v>1016</c:v>
                </c:pt>
                <c:pt idx="172">
                  <c:v>1016</c:v>
                </c:pt>
                <c:pt idx="173">
                  <c:v>1016</c:v>
                </c:pt>
                <c:pt idx="174">
                  <c:v>1016</c:v>
                </c:pt>
                <c:pt idx="175">
                  <c:v>1016</c:v>
                </c:pt>
                <c:pt idx="176">
                  <c:v>1021</c:v>
                </c:pt>
                <c:pt idx="177">
                  <c:v>1021</c:v>
                </c:pt>
                <c:pt idx="178">
                  <c:v>1021</c:v>
                </c:pt>
                <c:pt idx="179">
                  <c:v>1021</c:v>
                </c:pt>
                <c:pt idx="180">
                  <c:v>1021</c:v>
                </c:pt>
                <c:pt idx="181">
                  <c:v>1021</c:v>
                </c:pt>
                <c:pt idx="182">
                  <c:v>1021</c:v>
                </c:pt>
                <c:pt idx="183">
                  <c:v>962</c:v>
                </c:pt>
                <c:pt idx="184">
                  <c:v>962</c:v>
                </c:pt>
                <c:pt idx="185">
                  <c:v>962</c:v>
                </c:pt>
                <c:pt idx="186">
                  <c:v>962</c:v>
                </c:pt>
                <c:pt idx="187">
                  <c:v>962</c:v>
                </c:pt>
                <c:pt idx="188">
                  <c:v>962</c:v>
                </c:pt>
                <c:pt idx="189">
                  <c:v>962</c:v>
                </c:pt>
                <c:pt idx="190">
                  <c:v>906</c:v>
                </c:pt>
                <c:pt idx="191">
                  <c:v>906</c:v>
                </c:pt>
                <c:pt idx="192">
                  <c:v>906</c:v>
                </c:pt>
                <c:pt idx="193">
                  <c:v>906</c:v>
                </c:pt>
                <c:pt idx="194">
                  <c:v>906</c:v>
                </c:pt>
                <c:pt idx="195">
                  <c:v>906</c:v>
                </c:pt>
                <c:pt idx="196">
                  <c:v>906</c:v>
                </c:pt>
                <c:pt idx="197">
                  <c:v>906</c:v>
                </c:pt>
                <c:pt idx="198">
                  <c:v>906</c:v>
                </c:pt>
                <c:pt idx="199">
                  <c:v>906</c:v>
                </c:pt>
                <c:pt idx="200">
                  <c:v>906</c:v>
                </c:pt>
                <c:pt idx="201">
                  <c:v>906</c:v>
                </c:pt>
                <c:pt idx="202">
                  <c:v>906</c:v>
                </c:pt>
                <c:pt idx="203">
                  <c:v>906</c:v>
                </c:pt>
                <c:pt idx="204">
                  <c:v>889</c:v>
                </c:pt>
                <c:pt idx="205">
                  <c:v>889</c:v>
                </c:pt>
                <c:pt idx="206">
                  <c:v>889</c:v>
                </c:pt>
                <c:pt idx="207">
                  <c:v>889</c:v>
                </c:pt>
                <c:pt idx="208">
                  <c:v>889</c:v>
                </c:pt>
                <c:pt idx="209">
                  <c:v>889</c:v>
                </c:pt>
                <c:pt idx="210">
                  <c:v>889</c:v>
                </c:pt>
                <c:pt idx="211">
                  <c:v>891</c:v>
                </c:pt>
                <c:pt idx="212">
                  <c:v>891</c:v>
                </c:pt>
                <c:pt idx="213">
                  <c:v>891</c:v>
                </c:pt>
                <c:pt idx="214">
                  <c:v>891</c:v>
                </c:pt>
                <c:pt idx="215">
                  <c:v>891</c:v>
                </c:pt>
                <c:pt idx="216">
                  <c:v>891</c:v>
                </c:pt>
                <c:pt idx="217">
                  <c:v>891</c:v>
                </c:pt>
                <c:pt idx="218">
                  <c:v>875</c:v>
                </c:pt>
                <c:pt idx="219">
                  <c:v>875</c:v>
                </c:pt>
                <c:pt idx="220">
                  <c:v>875</c:v>
                </c:pt>
                <c:pt idx="221">
                  <c:v>875</c:v>
                </c:pt>
                <c:pt idx="222">
                  <c:v>875</c:v>
                </c:pt>
                <c:pt idx="223">
                  <c:v>875</c:v>
                </c:pt>
                <c:pt idx="224">
                  <c:v>875</c:v>
                </c:pt>
                <c:pt idx="225">
                  <c:v>857</c:v>
                </c:pt>
                <c:pt idx="226">
                  <c:v>857</c:v>
                </c:pt>
                <c:pt idx="227">
                  <c:v>857</c:v>
                </c:pt>
                <c:pt idx="228">
                  <c:v>857</c:v>
                </c:pt>
                <c:pt idx="229">
                  <c:v>857</c:v>
                </c:pt>
                <c:pt idx="230">
                  <c:v>857</c:v>
                </c:pt>
                <c:pt idx="231">
                  <c:v>857</c:v>
                </c:pt>
                <c:pt idx="232">
                  <c:v>836</c:v>
                </c:pt>
                <c:pt idx="233">
                  <c:v>836</c:v>
                </c:pt>
                <c:pt idx="234">
                  <c:v>836</c:v>
                </c:pt>
                <c:pt idx="235">
                  <c:v>836</c:v>
                </c:pt>
                <c:pt idx="236">
                  <c:v>836</c:v>
                </c:pt>
                <c:pt idx="237">
                  <c:v>836</c:v>
                </c:pt>
                <c:pt idx="238">
                  <c:v>836</c:v>
                </c:pt>
                <c:pt idx="239">
                  <c:v>733</c:v>
                </c:pt>
                <c:pt idx="240">
                  <c:v>733</c:v>
                </c:pt>
                <c:pt idx="241">
                  <c:v>733</c:v>
                </c:pt>
                <c:pt idx="242">
                  <c:v>733</c:v>
                </c:pt>
                <c:pt idx="243">
                  <c:v>733</c:v>
                </c:pt>
                <c:pt idx="244">
                  <c:v>733</c:v>
                </c:pt>
                <c:pt idx="245">
                  <c:v>733</c:v>
                </c:pt>
                <c:pt idx="246">
                  <c:v>748</c:v>
                </c:pt>
                <c:pt idx="247">
                  <c:v>748</c:v>
                </c:pt>
                <c:pt idx="248">
                  <c:v>748</c:v>
                </c:pt>
                <c:pt idx="249">
                  <c:v>748</c:v>
                </c:pt>
                <c:pt idx="250">
                  <c:v>748</c:v>
                </c:pt>
                <c:pt idx="251">
                  <c:v>748</c:v>
                </c:pt>
                <c:pt idx="252">
                  <c:v>748</c:v>
                </c:pt>
                <c:pt idx="253">
                  <c:v>693</c:v>
                </c:pt>
                <c:pt idx="254">
                  <c:v>693</c:v>
                </c:pt>
                <c:pt idx="255">
                  <c:v>693</c:v>
                </c:pt>
                <c:pt idx="256">
                  <c:v>693</c:v>
                </c:pt>
                <c:pt idx="257">
                  <c:v>693</c:v>
                </c:pt>
                <c:pt idx="258">
                  <c:v>693</c:v>
                </c:pt>
                <c:pt idx="259">
                  <c:v>693</c:v>
                </c:pt>
                <c:pt idx="260">
                  <c:v>643</c:v>
                </c:pt>
                <c:pt idx="261">
                  <c:v>643</c:v>
                </c:pt>
                <c:pt idx="262">
                  <c:v>643</c:v>
                </c:pt>
                <c:pt idx="263">
                  <c:v>643</c:v>
                </c:pt>
                <c:pt idx="264">
                  <c:v>643</c:v>
                </c:pt>
                <c:pt idx="265">
                  <c:v>643</c:v>
                </c:pt>
                <c:pt idx="266">
                  <c:v>643</c:v>
                </c:pt>
                <c:pt idx="267">
                  <c:v>558</c:v>
                </c:pt>
                <c:pt idx="268">
                  <c:v>558</c:v>
                </c:pt>
                <c:pt idx="269">
                  <c:v>558</c:v>
                </c:pt>
                <c:pt idx="270">
                  <c:v>558</c:v>
                </c:pt>
                <c:pt idx="271">
                  <c:v>558</c:v>
                </c:pt>
                <c:pt idx="272">
                  <c:v>558</c:v>
                </c:pt>
                <c:pt idx="273">
                  <c:v>558</c:v>
                </c:pt>
                <c:pt idx="274">
                  <c:v>553</c:v>
                </c:pt>
                <c:pt idx="275">
                  <c:v>553</c:v>
                </c:pt>
                <c:pt idx="276">
                  <c:v>553</c:v>
                </c:pt>
                <c:pt idx="277">
                  <c:v>553</c:v>
                </c:pt>
                <c:pt idx="278">
                  <c:v>553</c:v>
                </c:pt>
                <c:pt idx="279">
                  <c:v>553</c:v>
                </c:pt>
                <c:pt idx="280">
                  <c:v>553</c:v>
                </c:pt>
                <c:pt idx="281">
                  <c:v>543</c:v>
                </c:pt>
                <c:pt idx="282">
                  <c:v>543</c:v>
                </c:pt>
                <c:pt idx="283">
                  <c:v>543</c:v>
                </c:pt>
                <c:pt idx="284">
                  <c:v>543</c:v>
                </c:pt>
                <c:pt idx="285">
                  <c:v>543</c:v>
                </c:pt>
                <c:pt idx="286">
                  <c:v>543</c:v>
                </c:pt>
                <c:pt idx="287">
                  <c:v>543</c:v>
                </c:pt>
                <c:pt idx="288">
                  <c:v>596</c:v>
                </c:pt>
                <c:pt idx="289">
                  <c:v>596</c:v>
                </c:pt>
                <c:pt idx="290">
                  <c:v>596</c:v>
                </c:pt>
                <c:pt idx="291">
                  <c:v>596</c:v>
                </c:pt>
                <c:pt idx="292">
                  <c:v>596</c:v>
                </c:pt>
                <c:pt idx="293">
                  <c:v>596</c:v>
                </c:pt>
                <c:pt idx="294">
                  <c:v>596</c:v>
                </c:pt>
                <c:pt idx="295">
                  <c:v>616</c:v>
                </c:pt>
                <c:pt idx="296">
                  <c:v>616</c:v>
                </c:pt>
                <c:pt idx="297">
                  <c:v>616</c:v>
                </c:pt>
                <c:pt idx="298">
                  <c:v>616</c:v>
                </c:pt>
                <c:pt idx="299">
                  <c:v>616</c:v>
                </c:pt>
                <c:pt idx="300">
                  <c:v>616</c:v>
                </c:pt>
                <c:pt idx="301">
                  <c:v>616</c:v>
                </c:pt>
                <c:pt idx="302">
                  <c:v>611</c:v>
                </c:pt>
                <c:pt idx="303">
                  <c:v>611</c:v>
                </c:pt>
                <c:pt idx="304">
                  <c:v>611</c:v>
                </c:pt>
                <c:pt idx="305">
                  <c:v>611</c:v>
                </c:pt>
                <c:pt idx="306">
                  <c:v>611</c:v>
                </c:pt>
                <c:pt idx="307">
                  <c:v>611</c:v>
                </c:pt>
                <c:pt idx="308">
                  <c:v>611</c:v>
                </c:pt>
                <c:pt idx="309">
                  <c:v>613</c:v>
                </c:pt>
                <c:pt idx="310">
                  <c:v>613</c:v>
                </c:pt>
                <c:pt idx="311">
                  <c:v>613</c:v>
                </c:pt>
                <c:pt idx="312">
                  <c:v>613</c:v>
                </c:pt>
                <c:pt idx="313">
                  <c:v>613</c:v>
                </c:pt>
                <c:pt idx="314">
                  <c:v>613</c:v>
                </c:pt>
                <c:pt idx="315">
                  <c:v>613</c:v>
                </c:pt>
                <c:pt idx="316">
                  <c:v>615</c:v>
                </c:pt>
                <c:pt idx="317">
                  <c:v>615</c:v>
                </c:pt>
                <c:pt idx="318">
                  <c:v>615</c:v>
                </c:pt>
                <c:pt idx="319">
                  <c:v>615</c:v>
                </c:pt>
                <c:pt idx="320">
                  <c:v>615</c:v>
                </c:pt>
                <c:pt idx="321">
                  <c:v>615</c:v>
                </c:pt>
                <c:pt idx="322">
                  <c:v>615</c:v>
                </c:pt>
                <c:pt idx="323">
                  <c:v>617</c:v>
                </c:pt>
              </c:numCache>
            </c:numRef>
          </c:val>
          <c:smooth val="0"/>
        </c:ser>
        <c:ser>
          <c:idx val="1"/>
          <c:order val="1"/>
          <c:tx>
            <c:strRef>
              <c:f>石化!$AB$1</c:f>
              <c:strCache>
                <c:ptCount val="1"/>
                <c:pt idx="0">
                  <c:v>丙烯 東南亞 CFR(美元/公噸)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石化!$AB$216:$AB$539</c:f>
              <c:numCache>
                <c:formatCode>General</c:formatCode>
                <c:ptCount val="324"/>
                <c:pt idx="0">
                  <c:v>591</c:v>
                </c:pt>
                <c:pt idx="1">
                  <c:v>591</c:v>
                </c:pt>
                <c:pt idx="2">
                  <c:v>591</c:v>
                </c:pt>
                <c:pt idx="3">
                  <c:v>591</c:v>
                </c:pt>
                <c:pt idx="4">
                  <c:v>591</c:v>
                </c:pt>
                <c:pt idx="5">
                  <c:v>591</c:v>
                </c:pt>
                <c:pt idx="6">
                  <c:v>591</c:v>
                </c:pt>
                <c:pt idx="7">
                  <c:v>591</c:v>
                </c:pt>
                <c:pt idx="8">
                  <c:v>681</c:v>
                </c:pt>
                <c:pt idx="9">
                  <c:v>681</c:v>
                </c:pt>
                <c:pt idx="10">
                  <c:v>681</c:v>
                </c:pt>
                <c:pt idx="11">
                  <c:v>681</c:v>
                </c:pt>
                <c:pt idx="12">
                  <c:v>681</c:v>
                </c:pt>
                <c:pt idx="13">
                  <c:v>681</c:v>
                </c:pt>
                <c:pt idx="14">
                  <c:v>681</c:v>
                </c:pt>
                <c:pt idx="15">
                  <c:v>701</c:v>
                </c:pt>
                <c:pt idx="16">
                  <c:v>701</c:v>
                </c:pt>
                <c:pt idx="17">
                  <c:v>701</c:v>
                </c:pt>
                <c:pt idx="18">
                  <c:v>701</c:v>
                </c:pt>
                <c:pt idx="19">
                  <c:v>701</c:v>
                </c:pt>
                <c:pt idx="20">
                  <c:v>701</c:v>
                </c:pt>
                <c:pt idx="21">
                  <c:v>701</c:v>
                </c:pt>
                <c:pt idx="22">
                  <c:v>771</c:v>
                </c:pt>
                <c:pt idx="23">
                  <c:v>771</c:v>
                </c:pt>
                <c:pt idx="24">
                  <c:v>771</c:v>
                </c:pt>
                <c:pt idx="25">
                  <c:v>771</c:v>
                </c:pt>
                <c:pt idx="26">
                  <c:v>771</c:v>
                </c:pt>
                <c:pt idx="27">
                  <c:v>771</c:v>
                </c:pt>
                <c:pt idx="28">
                  <c:v>771</c:v>
                </c:pt>
                <c:pt idx="29">
                  <c:v>786</c:v>
                </c:pt>
                <c:pt idx="30">
                  <c:v>786</c:v>
                </c:pt>
                <c:pt idx="31">
                  <c:v>786</c:v>
                </c:pt>
                <c:pt idx="32">
                  <c:v>786</c:v>
                </c:pt>
                <c:pt idx="33">
                  <c:v>786</c:v>
                </c:pt>
                <c:pt idx="34">
                  <c:v>786</c:v>
                </c:pt>
                <c:pt idx="35">
                  <c:v>786</c:v>
                </c:pt>
                <c:pt idx="36">
                  <c:v>801</c:v>
                </c:pt>
                <c:pt idx="37">
                  <c:v>801</c:v>
                </c:pt>
                <c:pt idx="38">
                  <c:v>801</c:v>
                </c:pt>
                <c:pt idx="39">
                  <c:v>801</c:v>
                </c:pt>
                <c:pt idx="40">
                  <c:v>801</c:v>
                </c:pt>
                <c:pt idx="41">
                  <c:v>801</c:v>
                </c:pt>
                <c:pt idx="42">
                  <c:v>801</c:v>
                </c:pt>
                <c:pt idx="43">
                  <c:v>846</c:v>
                </c:pt>
                <c:pt idx="44">
                  <c:v>846</c:v>
                </c:pt>
                <c:pt idx="45">
                  <c:v>846</c:v>
                </c:pt>
                <c:pt idx="46">
                  <c:v>846</c:v>
                </c:pt>
                <c:pt idx="47">
                  <c:v>846</c:v>
                </c:pt>
                <c:pt idx="48">
                  <c:v>846</c:v>
                </c:pt>
                <c:pt idx="49">
                  <c:v>846</c:v>
                </c:pt>
                <c:pt idx="50">
                  <c:v>851</c:v>
                </c:pt>
                <c:pt idx="51">
                  <c:v>851</c:v>
                </c:pt>
                <c:pt idx="52">
                  <c:v>851</c:v>
                </c:pt>
                <c:pt idx="53">
                  <c:v>851</c:v>
                </c:pt>
                <c:pt idx="54">
                  <c:v>851</c:v>
                </c:pt>
                <c:pt idx="55">
                  <c:v>851</c:v>
                </c:pt>
                <c:pt idx="56">
                  <c:v>851</c:v>
                </c:pt>
                <c:pt idx="57">
                  <c:v>901</c:v>
                </c:pt>
                <c:pt idx="58">
                  <c:v>901</c:v>
                </c:pt>
                <c:pt idx="59">
                  <c:v>901</c:v>
                </c:pt>
                <c:pt idx="60">
                  <c:v>901</c:v>
                </c:pt>
                <c:pt idx="61">
                  <c:v>901</c:v>
                </c:pt>
                <c:pt idx="62">
                  <c:v>901</c:v>
                </c:pt>
                <c:pt idx="63">
                  <c:v>901</c:v>
                </c:pt>
                <c:pt idx="64">
                  <c:v>1011</c:v>
                </c:pt>
                <c:pt idx="65">
                  <c:v>1011</c:v>
                </c:pt>
                <c:pt idx="66">
                  <c:v>1011</c:v>
                </c:pt>
                <c:pt idx="67">
                  <c:v>1011</c:v>
                </c:pt>
                <c:pt idx="68">
                  <c:v>1011</c:v>
                </c:pt>
                <c:pt idx="69">
                  <c:v>1011</c:v>
                </c:pt>
                <c:pt idx="70">
                  <c:v>1011</c:v>
                </c:pt>
                <c:pt idx="71">
                  <c:v>999</c:v>
                </c:pt>
                <c:pt idx="72">
                  <c:v>999</c:v>
                </c:pt>
                <c:pt idx="73">
                  <c:v>999</c:v>
                </c:pt>
                <c:pt idx="74">
                  <c:v>999</c:v>
                </c:pt>
                <c:pt idx="75">
                  <c:v>999</c:v>
                </c:pt>
                <c:pt idx="76">
                  <c:v>999</c:v>
                </c:pt>
                <c:pt idx="77">
                  <c:v>999</c:v>
                </c:pt>
                <c:pt idx="78">
                  <c:v>941</c:v>
                </c:pt>
                <c:pt idx="79">
                  <c:v>941</c:v>
                </c:pt>
                <c:pt idx="80">
                  <c:v>941</c:v>
                </c:pt>
                <c:pt idx="81">
                  <c:v>941</c:v>
                </c:pt>
                <c:pt idx="82">
                  <c:v>941</c:v>
                </c:pt>
                <c:pt idx="83">
                  <c:v>941</c:v>
                </c:pt>
                <c:pt idx="84">
                  <c:v>941</c:v>
                </c:pt>
                <c:pt idx="85">
                  <c:v>991</c:v>
                </c:pt>
                <c:pt idx="86">
                  <c:v>991</c:v>
                </c:pt>
                <c:pt idx="87">
                  <c:v>991</c:v>
                </c:pt>
                <c:pt idx="88">
                  <c:v>991</c:v>
                </c:pt>
                <c:pt idx="89">
                  <c:v>991</c:v>
                </c:pt>
                <c:pt idx="90">
                  <c:v>991</c:v>
                </c:pt>
                <c:pt idx="91">
                  <c:v>991</c:v>
                </c:pt>
                <c:pt idx="92">
                  <c:v>991</c:v>
                </c:pt>
                <c:pt idx="93">
                  <c:v>991</c:v>
                </c:pt>
                <c:pt idx="94">
                  <c:v>991</c:v>
                </c:pt>
                <c:pt idx="95">
                  <c:v>991</c:v>
                </c:pt>
                <c:pt idx="96">
                  <c:v>991</c:v>
                </c:pt>
                <c:pt idx="97">
                  <c:v>991</c:v>
                </c:pt>
                <c:pt idx="98">
                  <c:v>991</c:v>
                </c:pt>
                <c:pt idx="99">
                  <c:v>1031</c:v>
                </c:pt>
                <c:pt idx="100">
                  <c:v>1031</c:v>
                </c:pt>
                <c:pt idx="101">
                  <c:v>1031</c:v>
                </c:pt>
                <c:pt idx="102">
                  <c:v>1031</c:v>
                </c:pt>
                <c:pt idx="103">
                  <c:v>1031</c:v>
                </c:pt>
                <c:pt idx="104">
                  <c:v>1031</c:v>
                </c:pt>
                <c:pt idx="105">
                  <c:v>1031</c:v>
                </c:pt>
                <c:pt idx="106">
                  <c:v>1041</c:v>
                </c:pt>
                <c:pt idx="107">
                  <c:v>1041</c:v>
                </c:pt>
                <c:pt idx="108">
                  <c:v>1041</c:v>
                </c:pt>
                <c:pt idx="109">
                  <c:v>1041</c:v>
                </c:pt>
                <c:pt idx="110">
                  <c:v>1041</c:v>
                </c:pt>
                <c:pt idx="111">
                  <c:v>1041</c:v>
                </c:pt>
                <c:pt idx="112">
                  <c:v>1041</c:v>
                </c:pt>
                <c:pt idx="113">
                  <c:v>1016</c:v>
                </c:pt>
                <c:pt idx="114">
                  <c:v>1016</c:v>
                </c:pt>
                <c:pt idx="115">
                  <c:v>1016</c:v>
                </c:pt>
                <c:pt idx="116">
                  <c:v>1016</c:v>
                </c:pt>
                <c:pt idx="117">
                  <c:v>1016</c:v>
                </c:pt>
                <c:pt idx="118">
                  <c:v>1016</c:v>
                </c:pt>
                <c:pt idx="119">
                  <c:v>1016</c:v>
                </c:pt>
                <c:pt idx="120">
                  <c:v>1011</c:v>
                </c:pt>
                <c:pt idx="121">
                  <c:v>1011</c:v>
                </c:pt>
                <c:pt idx="122">
                  <c:v>1011</c:v>
                </c:pt>
                <c:pt idx="123">
                  <c:v>1011</c:v>
                </c:pt>
                <c:pt idx="124">
                  <c:v>1011</c:v>
                </c:pt>
                <c:pt idx="125">
                  <c:v>1011</c:v>
                </c:pt>
                <c:pt idx="126">
                  <c:v>1011</c:v>
                </c:pt>
                <c:pt idx="127">
                  <c:v>1011</c:v>
                </c:pt>
                <c:pt idx="128">
                  <c:v>1011</c:v>
                </c:pt>
                <c:pt idx="129">
                  <c:v>1011</c:v>
                </c:pt>
                <c:pt idx="130">
                  <c:v>1011</c:v>
                </c:pt>
                <c:pt idx="131">
                  <c:v>1011</c:v>
                </c:pt>
                <c:pt idx="132">
                  <c:v>1011</c:v>
                </c:pt>
                <c:pt idx="133">
                  <c:v>1011</c:v>
                </c:pt>
                <c:pt idx="134">
                  <c:v>971</c:v>
                </c:pt>
                <c:pt idx="135">
                  <c:v>971</c:v>
                </c:pt>
                <c:pt idx="136">
                  <c:v>971</c:v>
                </c:pt>
                <c:pt idx="137">
                  <c:v>971</c:v>
                </c:pt>
                <c:pt idx="138">
                  <c:v>971</c:v>
                </c:pt>
                <c:pt idx="139">
                  <c:v>971</c:v>
                </c:pt>
                <c:pt idx="140">
                  <c:v>971</c:v>
                </c:pt>
                <c:pt idx="141">
                  <c:v>941</c:v>
                </c:pt>
                <c:pt idx="142">
                  <c:v>941</c:v>
                </c:pt>
                <c:pt idx="143">
                  <c:v>941</c:v>
                </c:pt>
                <c:pt idx="144">
                  <c:v>941</c:v>
                </c:pt>
                <c:pt idx="145">
                  <c:v>941</c:v>
                </c:pt>
                <c:pt idx="146">
                  <c:v>941</c:v>
                </c:pt>
                <c:pt idx="147">
                  <c:v>941</c:v>
                </c:pt>
                <c:pt idx="148">
                  <c:v>921</c:v>
                </c:pt>
                <c:pt idx="149">
                  <c:v>921</c:v>
                </c:pt>
                <c:pt idx="150">
                  <c:v>921</c:v>
                </c:pt>
                <c:pt idx="151">
                  <c:v>921</c:v>
                </c:pt>
                <c:pt idx="152">
                  <c:v>921</c:v>
                </c:pt>
                <c:pt idx="153">
                  <c:v>921</c:v>
                </c:pt>
                <c:pt idx="154">
                  <c:v>921</c:v>
                </c:pt>
                <c:pt idx="155">
                  <c:v>941</c:v>
                </c:pt>
                <c:pt idx="156">
                  <c:v>941</c:v>
                </c:pt>
                <c:pt idx="157">
                  <c:v>941</c:v>
                </c:pt>
                <c:pt idx="158">
                  <c:v>941</c:v>
                </c:pt>
                <c:pt idx="159">
                  <c:v>941</c:v>
                </c:pt>
                <c:pt idx="160">
                  <c:v>941</c:v>
                </c:pt>
                <c:pt idx="161">
                  <c:v>941</c:v>
                </c:pt>
                <c:pt idx="162">
                  <c:v>948</c:v>
                </c:pt>
                <c:pt idx="163">
                  <c:v>948</c:v>
                </c:pt>
                <c:pt idx="164">
                  <c:v>948</c:v>
                </c:pt>
                <c:pt idx="165">
                  <c:v>948</c:v>
                </c:pt>
                <c:pt idx="166">
                  <c:v>948</c:v>
                </c:pt>
                <c:pt idx="167">
                  <c:v>948</c:v>
                </c:pt>
                <c:pt idx="168">
                  <c:v>948</c:v>
                </c:pt>
                <c:pt idx="169">
                  <c:v>946</c:v>
                </c:pt>
                <c:pt idx="170">
                  <c:v>946</c:v>
                </c:pt>
                <c:pt idx="171">
                  <c:v>946</c:v>
                </c:pt>
                <c:pt idx="172">
                  <c:v>946</c:v>
                </c:pt>
                <c:pt idx="173">
                  <c:v>946</c:v>
                </c:pt>
                <c:pt idx="174">
                  <c:v>946</c:v>
                </c:pt>
                <c:pt idx="175">
                  <c:v>946</c:v>
                </c:pt>
                <c:pt idx="176">
                  <c:v>956</c:v>
                </c:pt>
                <c:pt idx="177">
                  <c:v>956</c:v>
                </c:pt>
                <c:pt idx="178">
                  <c:v>956</c:v>
                </c:pt>
                <c:pt idx="179">
                  <c:v>956</c:v>
                </c:pt>
                <c:pt idx="180">
                  <c:v>956</c:v>
                </c:pt>
                <c:pt idx="181">
                  <c:v>956</c:v>
                </c:pt>
                <c:pt idx="182">
                  <c:v>956</c:v>
                </c:pt>
                <c:pt idx="183">
                  <c:v>911</c:v>
                </c:pt>
                <c:pt idx="184">
                  <c:v>911</c:v>
                </c:pt>
                <c:pt idx="185">
                  <c:v>911</c:v>
                </c:pt>
                <c:pt idx="186">
                  <c:v>911</c:v>
                </c:pt>
                <c:pt idx="187">
                  <c:v>911</c:v>
                </c:pt>
                <c:pt idx="188">
                  <c:v>911</c:v>
                </c:pt>
                <c:pt idx="189">
                  <c:v>911</c:v>
                </c:pt>
                <c:pt idx="190">
                  <c:v>856</c:v>
                </c:pt>
                <c:pt idx="191">
                  <c:v>856</c:v>
                </c:pt>
                <c:pt idx="192">
                  <c:v>856</c:v>
                </c:pt>
                <c:pt idx="193">
                  <c:v>856</c:v>
                </c:pt>
                <c:pt idx="194">
                  <c:v>856</c:v>
                </c:pt>
                <c:pt idx="195">
                  <c:v>856</c:v>
                </c:pt>
                <c:pt idx="196">
                  <c:v>856</c:v>
                </c:pt>
                <c:pt idx="197">
                  <c:v>856</c:v>
                </c:pt>
                <c:pt idx="198">
                  <c:v>856</c:v>
                </c:pt>
                <c:pt idx="199">
                  <c:v>856</c:v>
                </c:pt>
                <c:pt idx="200">
                  <c:v>856</c:v>
                </c:pt>
                <c:pt idx="201">
                  <c:v>856</c:v>
                </c:pt>
                <c:pt idx="202">
                  <c:v>856</c:v>
                </c:pt>
                <c:pt idx="203">
                  <c:v>856</c:v>
                </c:pt>
                <c:pt idx="204">
                  <c:v>841</c:v>
                </c:pt>
                <c:pt idx="205">
                  <c:v>841</c:v>
                </c:pt>
                <c:pt idx="206">
                  <c:v>841</c:v>
                </c:pt>
                <c:pt idx="207">
                  <c:v>841</c:v>
                </c:pt>
                <c:pt idx="208">
                  <c:v>841</c:v>
                </c:pt>
                <c:pt idx="209">
                  <c:v>841</c:v>
                </c:pt>
                <c:pt idx="210">
                  <c:v>841</c:v>
                </c:pt>
                <c:pt idx="211">
                  <c:v>841</c:v>
                </c:pt>
                <c:pt idx="212">
                  <c:v>841</c:v>
                </c:pt>
                <c:pt idx="213">
                  <c:v>841</c:v>
                </c:pt>
                <c:pt idx="214">
                  <c:v>841</c:v>
                </c:pt>
                <c:pt idx="215">
                  <c:v>841</c:v>
                </c:pt>
                <c:pt idx="216">
                  <c:v>841</c:v>
                </c:pt>
                <c:pt idx="217">
                  <c:v>841</c:v>
                </c:pt>
                <c:pt idx="218">
                  <c:v>821</c:v>
                </c:pt>
                <c:pt idx="219">
                  <c:v>821</c:v>
                </c:pt>
                <c:pt idx="220">
                  <c:v>821</c:v>
                </c:pt>
                <c:pt idx="221">
                  <c:v>821</c:v>
                </c:pt>
                <c:pt idx="222">
                  <c:v>821</c:v>
                </c:pt>
                <c:pt idx="223">
                  <c:v>821</c:v>
                </c:pt>
                <c:pt idx="224">
                  <c:v>821</c:v>
                </c:pt>
                <c:pt idx="225">
                  <c:v>805</c:v>
                </c:pt>
                <c:pt idx="226">
                  <c:v>805</c:v>
                </c:pt>
                <c:pt idx="227">
                  <c:v>805</c:v>
                </c:pt>
                <c:pt idx="228">
                  <c:v>805</c:v>
                </c:pt>
                <c:pt idx="229">
                  <c:v>805</c:v>
                </c:pt>
                <c:pt idx="230">
                  <c:v>805</c:v>
                </c:pt>
                <c:pt idx="231">
                  <c:v>805</c:v>
                </c:pt>
                <c:pt idx="232">
                  <c:v>784</c:v>
                </c:pt>
                <c:pt idx="233">
                  <c:v>784</c:v>
                </c:pt>
                <c:pt idx="234">
                  <c:v>784</c:v>
                </c:pt>
                <c:pt idx="235">
                  <c:v>784</c:v>
                </c:pt>
                <c:pt idx="236">
                  <c:v>784</c:v>
                </c:pt>
                <c:pt idx="237">
                  <c:v>784</c:v>
                </c:pt>
                <c:pt idx="238">
                  <c:v>784</c:v>
                </c:pt>
                <c:pt idx="239">
                  <c:v>696</c:v>
                </c:pt>
                <c:pt idx="240">
                  <c:v>696</c:v>
                </c:pt>
                <c:pt idx="241">
                  <c:v>696</c:v>
                </c:pt>
                <c:pt idx="242">
                  <c:v>696</c:v>
                </c:pt>
                <c:pt idx="243">
                  <c:v>696</c:v>
                </c:pt>
                <c:pt idx="244">
                  <c:v>696</c:v>
                </c:pt>
                <c:pt idx="245">
                  <c:v>696</c:v>
                </c:pt>
                <c:pt idx="246">
                  <c:v>702</c:v>
                </c:pt>
                <c:pt idx="247">
                  <c:v>702</c:v>
                </c:pt>
                <c:pt idx="248">
                  <c:v>702</c:v>
                </c:pt>
                <c:pt idx="249">
                  <c:v>702</c:v>
                </c:pt>
                <c:pt idx="250">
                  <c:v>702</c:v>
                </c:pt>
                <c:pt idx="251">
                  <c:v>702</c:v>
                </c:pt>
                <c:pt idx="252">
                  <c:v>702</c:v>
                </c:pt>
                <c:pt idx="253">
                  <c:v>646</c:v>
                </c:pt>
                <c:pt idx="254">
                  <c:v>646</c:v>
                </c:pt>
                <c:pt idx="255">
                  <c:v>646</c:v>
                </c:pt>
                <c:pt idx="256">
                  <c:v>646</c:v>
                </c:pt>
                <c:pt idx="257">
                  <c:v>646</c:v>
                </c:pt>
                <c:pt idx="258">
                  <c:v>646</c:v>
                </c:pt>
                <c:pt idx="259">
                  <c:v>646</c:v>
                </c:pt>
                <c:pt idx="260">
                  <c:v>596</c:v>
                </c:pt>
                <c:pt idx="261">
                  <c:v>596</c:v>
                </c:pt>
                <c:pt idx="262">
                  <c:v>596</c:v>
                </c:pt>
                <c:pt idx="263">
                  <c:v>596</c:v>
                </c:pt>
                <c:pt idx="264">
                  <c:v>596</c:v>
                </c:pt>
                <c:pt idx="265">
                  <c:v>596</c:v>
                </c:pt>
                <c:pt idx="266">
                  <c:v>596</c:v>
                </c:pt>
                <c:pt idx="267">
                  <c:v>511</c:v>
                </c:pt>
                <c:pt idx="268">
                  <c:v>511</c:v>
                </c:pt>
                <c:pt idx="269">
                  <c:v>511</c:v>
                </c:pt>
                <c:pt idx="270">
                  <c:v>511</c:v>
                </c:pt>
                <c:pt idx="271">
                  <c:v>511</c:v>
                </c:pt>
                <c:pt idx="272">
                  <c:v>511</c:v>
                </c:pt>
                <c:pt idx="273">
                  <c:v>511</c:v>
                </c:pt>
                <c:pt idx="274">
                  <c:v>506</c:v>
                </c:pt>
                <c:pt idx="275">
                  <c:v>506</c:v>
                </c:pt>
                <c:pt idx="276">
                  <c:v>506</c:v>
                </c:pt>
                <c:pt idx="277">
                  <c:v>506</c:v>
                </c:pt>
                <c:pt idx="278">
                  <c:v>506</c:v>
                </c:pt>
                <c:pt idx="279">
                  <c:v>506</c:v>
                </c:pt>
                <c:pt idx="280">
                  <c:v>506</c:v>
                </c:pt>
                <c:pt idx="281">
                  <c:v>496</c:v>
                </c:pt>
                <c:pt idx="282">
                  <c:v>496</c:v>
                </c:pt>
                <c:pt idx="283">
                  <c:v>496</c:v>
                </c:pt>
                <c:pt idx="284">
                  <c:v>496</c:v>
                </c:pt>
                <c:pt idx="285">
                  <c:v>496</c:v>
                </c:pt>
                <c:pt idx="286">
                  <c:v>496</c:v>
                </c:pt>
                <c:pt idx="287">
                  <c:v>496</c:v>
                </c:pt>
                <c:pt idx="288">
                  <c:v>521</c:v>
                </c:pt>
                <c:pt idx="289">
                  <c:v>521</c:v>
                </c:pt>
                <c:pt idx="290">
                  <c:v>521</c:v>
                </c:pt>
                <c:pt idx="291">
                  <c:v>521</c:v>
                </c:pt>
                <c:pt idx="292">
                  <c:v>521</c:v>
                </c:pt>
                <c:pt idx="293">
                  <c:v>521</c:v>
                </c:pt>
                <c:pt idx="294">
                  <c:v>521</c:v>
                </c:pt>
                <c:pt idx="295">
                  <c:v>541</c:v>
                </c:pt>
                <c:pt idx="296">
                  <c:v>541</c:v>
                </c:pt>
                <c:pt idx="297">
                  <c:v>541</c:v>
                </c:pt>
                <c:pt idx="298">
                  <c:v>541</c:v>
                </c:pt>
                <c:pt idx="299">
                  <c:v>541</c:v>
                </c:pt>
                <c:pt idx="300">
                  <c:v>541</c:v>
                </c:pt>
                <c:pt idx="301">
                  <c:v>541</c:v>
                </c:pt>
                <c:pt idx="302">
                  <c:v>536</c:v>
                </c:pt>
                <c:pt idx="303">
                  <c:v>536</c:v>
                </c:pt>
                <c:pt idx="304">
                  <c:v>536</c:v>
                </c:pt>
                <c:pt idx="305">
                  <c:v>536</c:v>
                </c:pt>
                <c:pt idx="306">
                  <c:v>536</c:v>
                </c:pt>
                <c:pt idx="307">
                  <c:v>536</c:v>
                </c:pt>
                <c:pt idx="308">
                  <c:v>536</c:v>
                </c:pt>
                <c:pt idx="309">
                  <c:v>538</c:v>
                </c:pt>
                <c:pt idx="310">
                  <c:v>538</c:v>
                </c:pt>
                <c:pt idx="311">
                  <c:v>538</c:v>
                </c:pt>
                <c:pt idx="312">
                  <c:v>538</c:v>
                </c:pt>
                <c:pt idx="313">
                  <c:v>538</c:v>
                </c:pt>
                <c:pt idx="314">
                  <c:v>538</c:v>
                </c:pt>
                <c:pt idx="315">
                  <c:v>538</c:v>
                </c:pt>
                <c:pt idx="316">
                  <c:v>540</c:v>
                </c:pt>
                <c:pt idx="317">
                  <c:v>540</c:v>
                </c:pt>
                <c:pt idx="318">
                  <c:v>540</c:v>
                </c:pt>
                <c:pt idx="319">
                  <c:v>540</c:v>
                </c:pt>
                <c:pt idx="320">
                  <c:v>540</c:v>
                </c:pt>
                <c:pt idx="321">
                  <c:v>540</c:v>
                </c:pt>
                <c:pt idx="322">
                  <c:v>540</c:v>
                </c:pt>
                <c:pt idx="323">
                  <c:v>571</c:v>
                </c:pt>
              </c:numCache>
            </c:numRef>
          </c:val>
          <c:smooth val="0"/>
        </c:ser>
        <c:dLbls>
          <c:showLegendKey val="0"/>
          <c:showVal val="0"/>
          <c:showCatName val="0"/>
          <c:showSerName val="0"/>
          <c:showPercent val="0"/>
          <c:showBubbleSize val="0"/>
        </c:dLbls>
        <c:marker val="1"/>
        <c:smooth val="0"/>
        <c:axId val="263546752"/>
        <c:axId val="263548288"/>
      </c:lineChart>
      <c:dateAx>
        <c:axId val="263546752"/>
        <c:scaling>
          <c:orientation val="minMax"/>
          <c:max val="42328"/>
          <c:min val="42005"/>
        </c:scaling>
        <c:delete val="0"/>
        <c:axPos val="b"/>
        <c:numFmt formatCode="m/d/yyyy" sourceLinked="1"/>
        <c:majorTickMark val="out"/>
        <c:minorTickMark val="none"/>
        <c:tickLblPos val="nextTo"/>
        <c:crossAx val="263548288"/>
        <c:crosses val="autoZero"/>
        <c:auto val="1"/>
        <c:lblOffset val="100"/>
        <c:baseTimeUnit val="days"/>
        <c:majorUnit val="1"/>
        <c:majorTimeUnit val="months"/>
        <c:minorUnit val="1"/>
        <c:minorTimeUnit val="months"/>
      </c:dateAx>
      <c:valAx>
        <c:axId val="263548288"/>
        <c:scaling>
          <c:orientation val="minMax"/>
          <c:min val="450"/>
        </c:scaling>
        <c:delete val="0"/>
        <c:axPos val="l"/>
        <c:majorGridlines/>
        <c:numFmt formatCode="General" sourceLinked="1"/>
        <c:majorTickMark val="out"/>
        <c:minorTickMark val="none"/>
        <c:tickLblPos val="nextTo"/>
        <c:crossAx val="263546752"/>
        <c:crosses val="autoZero"/>
        <c:crossBetween val="between"/>
        <c:majorUnit val="100"/>
      </c:valAx>
    </c:plotArea>
    <c:legend>
      <c:legendPos val="b"/>
      <c:layout>
        <c:manualLayout>
          <c:xMode val="edge"/>
          <c:yMode val="edge"/>
          <c:x val="0.22316464854161908"/>
          <c:y val="0.85008815688162898"/>
          <c:w val="0.55319585051868814"/>
          <c:h val="0.14706758742535841"/>
        </c:manualLayout>
      </c:layout>
      <c:overlay val="0"/>
    </c:legend>
    <c:plotVisOnly val="1"/>
    <c:dispBlanksAs val="gap"/>
    <c:showDLblsOverMax val="0"/>
  </c:chart>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2136100614478944E-2"/>
          <c:y val="2.2950884502665872E-2"/>
          <c:w val="0.88414780679621818"/>
          <c:h val="0.65542541949281419"/>
        </c:manualLayout>
      </c:layout>
      <c:lineChart>
        <c:grouping val="standard"/>
        <c:varyColors val="0"/>
        <c:ser>
          <c:idx val="0"/>
          <c:order val="0"/>
          <c:tx>
            <c:strRef>
              <c:f>石化!$AC$1</c:f>
              <c:strCache>
                <c:ptCount val="1"/>
                <c:pt idx="0">
                  <c:v>苯 台灣 CFR(美元/公噸)</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石化!$AC$216:$AC$539</c:f>
              <c:numCache>
                <c:formatCode>General</c:formatCode>
                <c:ptCount val="324"/>
                <c:pt idx="0">
                  <c:v>639</c:v>
                </c:pt>
                <c:pt idx="1">
                  <c:v>639</c:v>
                </c:pt>
                <c:pt idx="2">
                  <c:v>639</c:v>
                </c:pt>
                <c:pt idx="3">
                  <c:v>639</c:v>
                </c:pt>
                <c:pt idx="4">
                  <c:v>639</c:v>
                </c:pt>
                <c:pt idx="5">
                  <c:v>639</c:v>
                </c:pt>
                <c:pt idx="6">
                  <c:v>639</c:v>
                </c:pt>
                <c:pt idx="7">
                  <c:v>639</c:v>
                </c:pt>
                <c:pt idx="8">
                  <c:v>591</c:v>
                </c:pt>
                <c:pt idx="9">
                  <c:v>591</c:v>
                </c:pt>
                <c:pt idx="10">
                  <c:v>591</c:v>
                </c:pt>
                <c:pt idx="11">
                  <c:v>591</c:v>
                </c:pt>
                <c:pt idx="12">
                  <c:v>591</c:v>
                </c:pt>
                <c:pt idx="13">
                  <c:v>591</c:v>
                </c:pt>
                <c:pt idx="14">
                  <c:v>591</c:v>
                </c:pt>
                <c:pt idx="15">
                  <c:v>576</c:v>
                </c:pt>
                <c:pt idx="16">
                  <c:v>576</c:v>
                </c:pt>
                <c:pt idx="17">
                  <c:v>576</c:v>
                </c:pt>
                <c:pt idx="18">
                  <c:v>576</c:v>
                </c:pt>
                <c:pt idx="19">
                  <c:v>576</c:v>
                </c:pt>
                <c:pt idx="20">
                  <c:v>576</c:v>
                </c:pt>
                <c:pt idx="21">
                  <c:v>576</c:v>
                </c:pt>
                <c:pt idx="22">
                  <c:v>690</c:v>
                </c:pt>
                <c:pt idx="23">
                  <c:v>690</c:v>
                </c:pt>
                <c:pt idx="24">
                  <c:v>690</c:v>
                </c:pt>
                <c:pt idx="25">
                  <c:v>690</c:v>
                </c:pt>
                <c:pt idx="26">
                  <c:v>690</c:v>
                </c:pt>
                <c:pt idx="27">
                  <c:v>690</c:v>
                </c:pt>
                <c:pt idx="28">
                  <c:v>690</c:v>
                </c:pt>
                <c:pt idx="29">
                  <c:v>603</c:v>
                </c:pt>
                <c:pt idx="30">
                  <c:v>603</c:v>
                </c:pt>
                <c:pt idx="31">
                  <c:v>603</c:v>
                </c:pt>
                <c:pt idx="32">
                  <c:v>603</c:v>
                </c:pt>
                <c:pt idx="33">
                  <c:v>603</c:v>
                </c:pt>
                <c:pt idx="34">
                  <c:v>603</c:v>
                </c:pt>
                <c:pt idx="35">
                  <c:v>603</c:v>
                </c:pt>
                <c:pt idx="36">
                  <c:v>664</c:v>
                </c:pt>
                <c:pt idx="37">
                  <c:v>664</c:v>
                </c:pt>
                <c:pt idx="38">
                  <c:v>664</c:v>
                </c:pt>
                <c:pt idx="39">
                  <c:v>664</c:v>
                </c:pt>
                <c:pt idx="40">
                  <c:v>664</c:v>
                </c:pt>
                <c:pt idx="41">
                  <c:v>664</c:v>
                </c:pt>
                <c:pt idx="42">
                  <c:v>664</c:v>
                </c:pt>
                <c:pt idx="43">
                  <c:v>665</c:v>
                </c:pt>
                <c:pt idx="44">
                  <c:v>665</c:v>
                </c:pt>
                <c:pt idx="45">
                  <c:v>665</c:v>
                </c:pt>
                <c:pt idx="46">
                  <c:v>665</c:v>
                </c:pt>
                <c:pt idx="47">
                  <c:v>665</c:v>
                </c:pt>
                <c:pt idx="48">
                  <c:v>665</c:v>
                </c:pt>
                <c:pt idx="49">
                  <c:v>665</c:v>
                </c:pt>
                <c:pt idx="50">
                  <c:v>665</c:v>
                </c:pt>
                <c:pt idx="51">
                  <c:v>665</c:v>
                </c:pt>
                <c:pt idx="52">
                  <c:v>665</c:v>
                </c:pt>
                <c:pt idx="53">
                  <c:v>665</c:v>
                </c:pt>
                <c:pt idx="54">
                  <c:v>665</c:v>
                </c:pt>
                <c:pt idx="55">
                  <c:v>665</c:v>
                </c:pt>
                <c:pt idx="56">
                  <c:v>665</c:v>
                </c:pt>
                <c:pt idx="57">
                  <c:v>697</c:v>
                </c:pt>
                <c:pt idx="58">
                  <c:v>697</c:v>
                </c:pt>
                <c:pt idx="59">
                  <c:v>697</c:v>
                </c:pt>
                <c:pt idx="60">
                  <c:v>697</c:v>
                </c:pt>
                <c:pt idx="61">
                  <c:v>697</c:v>
                </c:pt>
                <c:pt idx="62">
                  <c:v>697</c:v>
                </c:pt>
                <c:pt idx="63">
                  <c:v>697</c:v>
                </c:pt>
                <c:pt idx="64">
                  <c:v>791</c:v>
                </c:pt>
                <c:pt idx="65">
                  <c:v>791</c:v>
                </c:pt>
                <c:pt idx="66">
                  <c:v>791</c:v>
                </c:pt>
                <c:pt idx="67">
                  <c:v>791</c:v>
                </c:pt>
                <c:pt idx="68">
                  <c:v>791</c:v>
                </c:pt>
                <c:pt idx="69">
                  <c:v>791</c:v>
                </c:pt>
                <c:pt idx="70">
                  <c:v>791</c:v>
                </c:pt>
                <c:pt idx="71">
                  <c:v>773</c:v>
                </c:pt>
                <c:pt idx="72">
                  <c:v>773</c:v>
                </c:pt>
                <c:pt idx="73">
                  <c:v>773</c:v>
                </c:pt>
                <c:pt idx="74">
                  <c:v>773</c:v>
                </c:pt>
                <c:pt idx="75">
                  <c:v>773</c:v>
                </c:pt>
                <c:pt idx="76">
                  <c:v>773</c:v>
                </c:pt>
                <c:pt idx="77">
                  <c:v>773</c:v>
                </c:pt>
                <c:pt idx="78">
                  <c:v>726</c:v>
                </c:pt>
                <c:pt idx="79">
                  <c:v>726</c:v>
                </c:pt>
                <c:pt idx="80">
                  <c:v>726</c:v>
                </c:pt>
                <c:pt idx="81">
                  <c:v>726</c:v>
                </c:pt>
                <c:pt idx="82">
                  <c:v>726</c:v>
                </c:pt>
                <c:pt idx="83">
                  <c:v>726</c:v>
                </c:pt>
                <c:pt idx="84">
                  <c:v>726</c:v>
                </c:pt>
                <c:pt idx="85">
                  <c:v>781</c:v>
                </c:pt>
                <c:pt idx="86">
                  <c:v>781</c:v>
                </c:pt>
                <c:pt idx="87">
                  <c:v>781</c:v>
                </c:pt>
                <c:pt idx="88">
                  <c:v>781</c:v>
                </c:pt>
                <c:pt idx="89">
                  <c:v>781</c:v>
                </c:pt>
                <c:pt idx="90">
                  <c:v>781</c:v>
                </c:pt>
                <c:pt idx="91">
                  <c:v>781</c:v>
                </c:pt>
                <c:pt idx="92">
                  <c:v>781</c:v>
                </c:pt>
                <c:pt idx="93">
                  <c:v>781</c:v>
                </c:pt>
                <c:pt idx="94">
                  <c:v>781</c:v>
                </c:pt>
                <c:pt idx="95">
                  <c:v>781</c:v>
                </c:pt>
                <c:pt idx="96">
                  <c:v>781</c:v>
                </c:pt>
                <c:pt idx="97">
                  <c:v>781</c:v>
                </c:pt>
                <c:pt idx="98">
                  <c:v>781</c:v>
                </c:pt>
                <c:pt idx="99">
                  <c:v>805</c:v>
                </c:pt>
                <c:pt idx="100">
                  <c:v>805</c:v>
                </c:pt>
                <c:pt idx="101">
                  <c:v>805</c:v>
                </c:pt>
                <c:pt idx="102">
                  <c:v>805</c:v>
                </c:pt>
                <c:pt idx="103">
                  <c:v>805</c:v>
                </c:pt>
                <c:pt idx="104">
                  <c:v>805</c:v>
                </c:pt>
                <c:pt idx="105">
                  <c:v>805</c:v>
                </c:pt>
                <c:pt idx="106">
                  <c:v>868</c:v>
                </c:pt>
                <c:pt idx="107">
                  <c:v>868</c:v>
                </c:pt>
                <c:pt idx="108">
                  <c:v>868</c:v>
                </c:pt>
                <c:pt idx="109">
                  <c:v>868</c:v>
                </c:pt>
                <c:pt idx="110">
                  <c:v>868</c:v>
                </c:pt>
                <c:pt idx="111">
                  <c:v>868</c:v>
                </c:pt>
                <c:pt idx="112">
                  <c:v>868</c:v>
                </c:pt>
                <c:pt idx="113">
                  <c:v>883</c:v>
                </c:pt>
                <c:pt idx="114">
                  <c:v>883</c:v>
                </c:pt>
                <c:pt idx="115">
                  <c:v>883</c:v>
                </c:pt>
                <c:pt idx="116">
                  <c:v>883</c:v>
                </c:pt>
                <c:pt idx="117">
                  <c:v>883</c:v>
                </c:pt>
                <c:pt idx="118">
                  <c:v>883</c:v>
                </c:pt>
                <c:pt idx="119">
                  <c:v>883</c:v>
                </c:pt>
                <c:pt idx="120">
                  <c:v>840</c:v>
                </c:pt>
                <c:pt idx="121">
                  <c:v>840</c:v>
                </c:pt>
                <c:pt idx="122">
                  <c:v>840</c:v>
                </c:pt>
                <c:pt idx="123">
                  <c:v>840</c:v>
                </c:pt>
                <c:pt idx="124">
                  <c:v>840</c:v>
                </c:pt>
                <c:pt idx="125">
                  <c:v>840</c:v>
                </c:pt>
                <c:pt idx="126">
                  <c:v>840</c:v>
                </c:pt>
                <c:pt idx="127">
                  <c:v>853</c:v>
                </c:pt>
                <c:pt idx="128">
                  <c:v>853</c:v>
                </c:pt>
                <c:pt idx="129">
                  <c:v>853</c:v>
                </c:pt>
                <c:pt idx="130">
                  <c:v>853</c:v>
                </c:pt>
                <c:pt idx="131">
                  <c:v>853</c:v>
                </c:pt>
                <c:pt idx="132">
                  <c:v>853</c:v>
                </c:pt>
                <c:pt idx="133">
                  <c:v>853</c:v>
                </c:pt>
                <c:pt idx="134">
                  <c:v>763</c:v>
                </c:pt>
                <c:pt idx="135">
                  <c:v>763</c:v>
                </c:pt>
                <c:pt idx="136">
                  <c:v>763</c:v>
                </c:pt>
                <c:pt idx="137">
                  <c:v>763</c:v>
                </c:pt>
                <c:pt idx="138">
                  <c:v>763</c:v>
                </c:pt>
                <c:pt idx="139">
                  <c:v>763</c:v>
                </c:pt>
                <c:pt idx="140">
                  <c:v>763</c:v>
                </c:pt>
                <c:pt idx="141">
                  <c:v>745</c:v>
                </c:pt>
                <c:pt idx="142">
                  <c:v>745</c:v>
                </c:pt>
                <c:pt idx="143">
                  <c:v>745</c:v>
                </c:pt>
                <c:pt idx="144">
                  <c:v>745</c:v>
                </c:pt>
                <c:pt idx="145">
                  <c:v>745</c:v>
                </c:pt>
                <c:pt idx="146">
                  <c:v>745</c:v>
                </c:pt>
                <c:pt idx="147">
                  <c:v>745</c:v>
                </c:pt>
                <c:pt idx="148">
                  <c:v>785</c:v>
                </c:pt>
                <c:pt idx="149">
                  <c:v>785</c:v>
                </c:pt>
                <c:pt idx="150">
                  <c:v>785</c:v>
                </c:pt>
                <c:pt idx="151">
                  <c:v>785</c:v>
                </c:pt>
                <c:pt idx="152">
                  <c:v>785</c:v>
                </c:pt>
                <c:pt idx="153">
                  <c:v>785</c:v>
                </c:pt>
                <c:pt idx="154">
                  <c:v>785</c:v>
                </c:pt>
                <c:pt idx="155">
                  <c:v>776</c:v>
                </c:pt>
                <c:pt idx="156">
                  <c:v>776</c:v>
                </c:pt>
                <c:pt idx="157">
                  <c:v>776</c:v>
                </c:pt>
                <c:pt idx="158">
                  <c:v>776</c:v>
                </c:pt>
                <c:pt idx="159">
                  <c:v>776</c:v>
                </c:pt>
                <c:pt idx="160">
                  <c:v>776</c:v>
                </c:pt>
                <c:pt idx="161">
                  <c:v>776</c:v>
                </c:pt>
                <c:pt idx="162">
                  <c:v>841</c:v>
                </c:pt>
                <c:pt idx="163">
                  <c:v>841</c:v>
                </c:pt>
                <c:pt idx="164">
                  <c:v>841</c:v>
                </c:pt>
                <c:pt idx="165">
                  <c:v>841</c:v>
                </c:pt>
                <c:pt idx="166">
                  <c:v>841</c:v>
                </c:pt>
                <c:pt idx="167">
                  <c:v>841</c:v>
                </c:pt>
                <c:pt idx="168">
                  <c:v>841</c:v>
                </c:pt>
                <c:pt idx="169">
                  <c:v>826</c:v>
                </c:pt>
                <c:pt idx="170">
                  <c:v>826</c:v>
                </c:pt>
                <c:pt idx="171">
                  <c:v>826</c:v>
                </c:pt>
                <c:pt idx="172">
                  <c:v>826</c:v>
                </c:pt>
                <c:pt idx="173">
                  <c:v>826</c:v>
                </c:pt>
                <c:pt idx="174">
                  <c:v>826</c:v>
                </c:pt>
                <c:pt idx="175">
                  <c:v>826</c:v>
                </c:pt>
                <c:pt idx="176">
                  <c:v>841</c:v>
                </c:pt>
                <c:pt idx="177">
                  <c:v>841</c:v>
                </c:pt>
                <c:pt idx="178">
                  <c:v>841</c:v>
                </c:pt>
                <c:pt idx="179">
                  <c:v>841</c:v>
                </c:pt>
                <c:pt idx="180">
                  <c:v>841</c:v>
                </c:pt>
                <c:pt idx="181">
                  <c:v>841</c:v>
                </c:pt>
                <c:pt idx="182">
                  <c:v>841</c:v>
                </c:pt>
                <c:pt idx="183">
                  <c:v>806</c:v>
                </c:pt>
                <c:pt idx="184">
                  <c:v>806</c:v>
                </c:pt>
                <c:pt idx="185">
                  <c:v>806</c:v>
                </c:pt>
                <c:pt idx="186">
                  <c:v>806</c:v>
                </c:pt>
                <c:pt idx="187">
                  <c:v>806</c:v>
                </c:pt>
                <c:pt idx="188">
                  <c:v>806</c:v>
                </c:pt>
                <c:pt idx="189">
                  <c:v>806</c:v>
                </c:pt>
                <c:pt idx="190">
                  <c:v>783</c:v>
                </c:pt>
                <c:pt idx="191">
                  <c:v>783</c:v>
                </c:pt>
                <c:pt idx="192">
                  <c:v>783</c:v>
                </c:pt>
                <c:pt idx="193">
                  <c:v>783</c:v>
                </c:pt>
                <c:pt idx="194">
                  <c:v>783</c:v>
                </c:pt>
                <c:pt idx="195">
                  <c:v>783</c:v>
                </c:pt>
                <c:pt idx="196">
                  <c:v>783</c:v>
                </c:pt>
                <c:pt idx="197">
                  <c:v>783</c:v>
                </c:pt>
                <c:pt idx="198">
                  <c:v>783</c:v>
                </c:pt>
                <c:pt idx="199">
                  <c:v>783</c:v>
                </c:pt>
                <c:pt idx="200">
                  <c:v>783</c:v>
                </c:pt>
                <c:pt idx="201">
                  <c:v>783</c:v>
                </c:pt>
                <c:pt idx="202">
                  <c:v>783</c:v>
                </c:pt>
                <c:pt idx="203">
                  <c:v>783</c:v>
                </c:pt>
                <c:pt idx="204">
                  <c:v>781</c:v>
                </c:pt>
                <c:pt idx="205">
                  <c:v>781</c:v>
                </c:pt>
                <c:pt idx="206">
                  <c:v>781</c:v>
                </c:pt>
                <c:pt idx="207">
                  <c:v>781</c:v>
                </c:pt>
                <c:pt idx="208">
                  <c:v>781</c:v>
                </c:pt>
                <c:pt idx="209">
                  <c:v>781</c:v>
                </c:pt>
                <c:pt idx="210">
                  <c:v>781</c:v>
                </c:pt>
                <c:pt idx="211">
                  <c:v>756</c:v>
                </c:pt>
                <c:pt idx="212">
                  <c:v>756</c:v>
                </c:pt>
                <c:pt idx="213">
                  <c:v>756</c:v>
                </c:pt>
                <c:pt idx="214">
                  <c:v>756</c:v>
                </c:pt>
                <c:pt idx="215">
                  <c:v>756</c:v>
                </c:pt>
                <c:pt idx="216">
                  <c:v>756</c:v>
                </c:pt>
                <c:pt idx="217">
                  <c:v>756</c:v>
                </c:pt>
                <c:pt idx="218">
                  <c:v>705</c:v>
                </c:pt>
                <c:pt idx="219">
                  <c:v>705</c:v>
                </c:pt>
                <c:pt idx="220">
                  <c:v>705</c:v>
                </c:pt>
                <c:pt idx="221">
                  <c:v>705</c:v>
                </c:pt>
                <c:pt idx="222">
                  <c:v>705</c:v>
                </c:pt>
                <c:pt idx="223">
                  <c:v>705</c:v>
                </c:pt>
                <c:pt idx="224">
                  <c:v>705</c:v>
                </c:pt>
                <c:pt idx="225">
                  <c:v>640</c:v>
                </c:pt>
                <c:pt idx="226">
                  <c:v>640</c:v>
                </c:pt>
                <c:pt idx="227">
                  <c:v>640</c:v>
                </c:pt>
                <c:pt idx="228">
                  <c:v>640</c:v>
                </c:pt>
                <c:pt idx="229">
                  <c:v>640</c:v>
                </c:pt>
                <c:pt idx="230">
                  <c:v>640</c:v>
                </c:pt>
                <c:pt idx="231">
                  <c:v>640</c:v>
                </c:pt>
                <c:pt idx="232">
                  <c:v>597</c:v>
                </c:pt>
                <c:pt idx="233">
                  <c:v>597</c:v>
                </c:pt>
                <c:pt idx="234">
                  <c:v>597</c:v>
                </c:pt>
                <c:pt idx="235">
                  <c:v>597</c:v>
                </c:pt>
                <c:pt idx="236">
                  <c:v>597</c:v>
                </c:pt>
                <c:pt idx="237">
                  <c:v>597</c:v>
                </c:pt>
                <c:pt idx="238">
                  <c:v>597</c:v>
                </c:pt>
                <c:pt idx="239">
                  <c:v>577</c:v>
                </c:pt>
                <c:pt idx="240">
                  <c:v>577</c:v>
                </c:pt>
                <c:pt idx="241">
                  <c:v>577</c:v>
                </c:pt>
                <c:pt idx="242">
                  <c:v>577</c:v>
                </c:pt>
                <c:pt idx="243">
                  <c:v>577</c:v>
                </c:pt>
                <c:pt idx="244">
                  <c:v>577</c:v>
                </c:pt>
                <c:pt idx="245">
                  <c:v>577</c:v>
                </c:pt>
                <c:pt idx="246">
                  <c:v>583</c:v>
                </c:pt>
                <c:pt idx="247">
                  <c:v>583</c:v>
                </c:pt>
                <c:pt idx="248">
                  <c:v>583</c:v>
                </c:pt>
                <c:pt idx="249">
                  <c:v>583</c:v>
                </c:pt>
                <c:pt idx="250">
                  <c:v>583</c:v>
                </c:pt>
                <c:pt idx="251">
                  <c:v>583</c:v>
                </c:pt>
                <c:pt idx="252">
                  <c:v>583</c:v>
                </c:pt>
                <c:pt idx="253">
                  <c:v>591</c:v>
                </c:pt>
                <c:pt idx="254">
                  <c:v>591</c:v>
                </c:pt>
                <c:pt idx="255">
                  <c:v>591</c:v>
                </c:pt>
                <c:pt idx="256">
                  <c:v>591</c:v>
                </c:pt>
                <c:pt idx="257">
                  <c:v>591</c:v>
                </c:pt>
                <c:pt idx="258">
                  <c:v>591</c:v>
                </c:pt>
                <c:pt idx="259">
                  <c:v>591</c:v>
                </c:pt>
                <c:pt idx="260">
                  <c:v>576</c:v>
                </c:pt>
                <c:pt idx="261">
                  <c:v>576</c:v>
                </c:pt>
                <c:pt idx="262">
                  <c:v>576</c:v>
                </c:pt>
                <c:pt idx="263">
                  <c:v>576</c:v>
                </c:pt>
                <c:pt idx="264">
                  <c:v>576</c:v>
                </c:pt>
                <c:pt idx="265">
                  <c:v>576</c:v>
                </c:pt>
                <c:pt idx="266">
                  <c:v>576</c:v>
                </c:pt>
                <c:pt idx="267">
                  <c:v>591</c:v>
                </c:pt>
                <c:pt idx="268">
                  <c:v>591</c:v>
                </c:pt>
                <c:pt idx="269">
                  <c:v>591</c:v>
                </c:pt>
                <c:pt idx="270">
                  <c:v>591</c:v>
                </c:pt>
                <c:pt idx="271">
                  <c:v>591</c:v>
                </c:pt>
                <c:pt idx="272">
                  <c:v>591</c:v>
                </c:pt>
                <c:pt idx="273">
                  <c:v>591</c:v>
                </c:pt>
                <c:pt idx="274">
                  <c:v>577</c:v>
                </c:pt>
                <c:pt idx="275">
                  <c:v>577</c:v>
                </c:pt>
                <c:pt idx="276">
                  <c:v>577</c:v>
                </c:pt>
                <c:pt idx="277">
                  <c:v>577</c:v>
                </c:pt>
                <c:pt idx="278">
                  <c:v>577</c:v>
                </c:pt>
                <c:pt idx="279">
                  <c:v>577</c:v>
                </c:pt>
                <c:pt idx="280">
                  <c:v>577</c:v>
                </c:pt>
                <c:pt idx="281">
                  <c:v>612</c:v>
                </c:pt>
                <c:pt idx="282">
                  <c:v>612</c:v>
                </c:pt>
                <c:pt idx="283">
                  <c:v>612</c:v>
                </c:pt>
                <c:pt idx="284">
                  <c:v>612</c:v>
                </c:pt>
                <c:pt idx="285">
                  <c:v>612</c:v>
                </c:pt>
                <c:pt idx="286">
                  <c:v>612</c:v>
                </c:pt>
                <c:pt idx="287">
                  <c:v>612</c:v>
                </c:pt>
                <c:pt idx="288">
                  <c:v>618</c:v>
                </c:pt>
                <c:pt idx="289">
                  <c:v>618</c:v>
                </c:pt>
                <c:pt idx="290">
                  <c:v>618</c:v>
                </c:pt>
                <c:pt idx="291">
                  <c:v>618</c:v>
                </c:pt>
                <c:pt idx="292">
                  <c:v>618</c:v>
                </c:pt>
                <c:pt idx="293">
                  <c:v>618</c:v>
                </c:pt>
                <c:pt idx="294">
                  <c:v>618</c:v>
                </c:pt>
                <c:pt idx="295">
                  <c:v>609</c:v>
                </c:pt>
                <c:pt idx="296">
                  <c:v>609</c:v>
                </c:pt>
                <c:pt idx="297">
                  <c:v>609</c:v>
                </c:pt>
                <c:pt idx="298">
                  <c:v>609</c:v>
                </c:pt>
                <c:pt idx="299">
                  <c:v>609</c:v>
                </c:pt>
                <c:pt idx="300">
                  <c:v>609</c:v>
                </c:pt>
                <c:pt idx="301">
                  <c:v>609</c:v>
                </c:pt>
                <c:pt idx="302">
                  <c:v>606</c:v>
                </c:pt>
                <c:pt idx="303">
                  <c:v>606</c:v>
                </c:pt>
                <c:pt idx="304">
                  <c:v>606</c:v>
                </c:pt>
                <c:pt idx="305">
                  <c:v>606</c:v>
                </c:pt>
                <c:pt idx="306">
                  <c:v>606</c:v>
                </c:pt>
                <c:pt idx="307">
                  <c:v>606</c:v>
                </c:pt>
                <c:pt idx="308">
                  <c:v>606</c:v>
                </c:pt>
                <c:pt idx="309">
                  <c:v>630</c:v>
                </c:pt>
                <c:pt idx="310">
                  <c:v>630</c:v>
                </c:pt>
                <c:pt idx="311">
                  <c:v>630</c:v>
                </c:pt>
                <c:pt idx="312">
                  <c:v>630</c:v>
                </c:pt>
                <c:pt idx="313">
                  <c:v>630</c:v>
                </c:pt>
                <c:pt idx="314">
                  <c:v>630</c:v>
                </c:pt>
                <c:pt idx="315">
                  <c:v>630</c:v>
                </c:pt>
                <c:pt idx="316">
                  <c:v>627</c:v>
                </c:pt>
                <c:pt idx="317">
                  <c:v>627</c:v>
                </c:pt>
                <c:pt idx="318">
                  <c:v>627</c:v>
                </c:pt>
                <c:pt idx="319">
                  <c:v>627</c:v>
                </c:pt>
                <c:pt idx="320">
                  <c:v>627</c:v>
                </c:pt>
                <c:pt idx="321">
                  <c:v>627</c:v>
                </c:pt>
                <c:pt idx="322">
                  <c:v>627</c:v>
                </c:pt>
                <c:pt idx="323">
                  <c:v>644</c:v>
                </c:pt>
              </c:numCache>
            </c:numRef>
          </c:val>
          <c:smooth val="0"/>
        </c:ser>
        <c:ser>
          <c:idx val="1"/>
          <c:order val="1"/>
          <c:tx>
            <c:strRef>
              <c:f>石化!$AD$1</c:f>
              <c:strCache>
                <c:ptCount val="1"/>
                <c:pt idx="0">
                  <c:v>苯 東南亞 CFR(美元/公噸)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石化!$AD$216:$AD$539</c:f>
              <c:numCache>
                <c:formatCode>General</c:formatCode>
                <c:ptCount val="324"/>
                <c:pt idx="0">
                  <c:v>618.5</c:v>
                </c:pt>
                <c:pt idx="1">
                  <c:v>618.5</c:v>
                </c:pt>
                <c:pt idx="2">
                  <c:v>618.5</c:v>
                </c:pt>
                <c:pt idx="3">
                  <c:v>618.5</c:v>
                </c:pt>
                <c:pt idx="4">
                  <c:v>618.5</c:v>
                </c:pt>
                <c:pt idx="5">
                  <c:v>618.5</c:v>
                </c:pt>
                <c:pt idx="6">
                  <c:v>618.5</c:v>
                </c:pt>
                <c:pt idx="7">
                  <c:v>618.5</c:v>
                </c:pt>
                <c:pt idx="8">
                  <c:v>571.5</c:v>
                </c:pt>
                <c:pt idx="9">
                  <c:v>571.5</c:v>
                </c:pt>
                <c:pt idx="10">
                  <c:v>571.5</c:v>
                </c:pt>
                <c:pt idx="11">
                  <c:v>571.5</c:v>
                </c:pt>
                <c:pt idx="12">
                  <c:v>571.5</c:v>
                </c:pt>
                <c:pt idx="13">
                  <c:v>571.5</c:v>
                </c:pt>
                <c:pt idx="14">
                  <c:v>571.5</c:v>
                </c:pt>
                <c:pt idx="15">
                  <c:v>556.5</c:v>
                </c:pt>
                <c:pt idx="16">
                  <c:v>556.5</c:v>
                </c:pt>
                <c:pt idx="17">
                  <c:v>556.5</c:v>
                </c:pt>
                <c:pt idx="18">
                  <c:v>556.5</c:v>
                </c:pt>
                <c:pt idx="19">
                  <c:v>556.5</c:v>
                </c:pt>
                <c:pt idx="20">
                  <c:v>556.5</c:v>
                </c:pt>
                <c:pt idx="21">
                  <c:v>556.5</c:v>
                </c:pt>
                <c:pt idx="22">
                  <c:v>670.5</c:v>
                </c:pt>
                <c:pt idx="23">
                  <c:v>670.5</c:v>
                </c:pt>
                <c:pt idx="24">
                  <c:v>670.5</c:v>
                </c:pt>
                <c:pt idx="25">
                  <c:v>670.5</c:v>
                </c:pt>
                <c:pt idx="26">
                  <c:v>670.5</c:v>
                </c:pt>
                <c:pt idx="27">
                  <c:v>670.5</c:v>
                </c:pt>
                <c:pt idx="28">
                  <c:v>670.5</c:v>
                </c:pt>
                <c:pt idx="29">
                  <c:v>583.5</c:v>
                </c:pt>
                <c:pt idx="30">
                  <c:v>583.5</c:v>
                </c:pt>
                <c:pt idx="31">
                  <c:v>583.5</c:v>
                </c:pt>
                <c:pt idx="32">
                  <c:v>583.5</c:v>
                </c:pt>
                <c:pt idx="33">
                  <c:v>583.5</c:v>
                </c:pt>
                <c:pt idx="34">
                  <c:v>583.5</c:v>
                </c:pt>
                <c:pt idx="35">
                  <c:v>583.5</c:v>
                </c:pt>
                <c:pt idx="36">
                  <c:v>644.5</c:v>
                </c:pt>
                <c:pt idx="37">
                  <c:v>644.5</c:v>
                </c:pt>
                <c:pt idx="38">
                  <c:v>644.5</c:v>
                </c:pt>
                <c:pt idx="39">
                  <c:v>644.5</c:v>
                </c:pt>
                <c:pt idx="40">
                  <c:v>644.5</c:v>
                </c:pt>
                <c:pt idx="41">
                  <c:v>644.5</c:v>
                </c:pt>
                <c:pt idx="42">
                  <c:v>644.5</c:v>
                </c:pt>
                <c:pt idx="43">
                  <c:v>645.5</c:v>
                </c:pt>
                <c:pt idx="44">
                  <c:v>645.5</c:v>
                </c:pt>
                <c:pt idx="45">
                  <c:v>645.5</c:v>
                </c:pt>
                <c:pt idx="46">
                  <c:v>645.5</c:v>
                </c:pt>
                <c:pt idx="47">
                  <c:v>645.5</c:v>
                </c:pt>
                <c:pt idx="48">
                  <c:v>645.5</c:v>
                </c:pt>
                <c:pt idx="49">
                  <c:v>645.5</c:v>
                </c:pt>
                <c:pt idx="50">
                  <c:v>645.5</c:v>
                </c:pt>
                <c:pt idx="51">
                  <c:v>645.5</c:v>
                </c:pt>
                <c:pt idx="52">
                  <c:v>645.5</c:v>
                </c:pt>
                <c:pt idx="53">
                  <c:v>645.5</c:v>
                </c:pt>
                <c:pt idx="54">
                  <c:v>645.5</c:v>
                </c:pt>
                <c:pt idx="55">
                  <c:v>645.5</c:v>
                </c:pt>
                <c:pt idx="56">
                  <c:v>645.5</c:v>
                </c:pt>
                <c:pt idx="57">
                  <c:v>677.5</c:v>
                </c:pt>
                <c:pt idx="58">
                  <c:v>677.5</c:v>
                </c:pt>
                <c:pt idx="59">
                  <c:v>677.5</c:v>
                </c:pt>
                <c:pt idx="60">
                  <c:v>677.5</c:v>
                </c:pt>
                <c:pt idx="61">
                  <c:v>677.5</c:v>
                </c:pt>
                <c:pt idx="62">
                  <c:v>677.5</c:v>
                </c:pt>
                <c:pt idx="63">
                  <c:v>677.5</c:v>
                </c:pt>
                <c:pt idx="64">
                  <c:v>771</c:v>
                </c:pt>
                <c:pt idx="65">
                  <c:v>771</c:v>
                </c:pt>
                <c:pt idx="66">
                  <c:v>771</c:v>
                </c:pt>
                <c:pt idx="67">
                  <c:v>771</c:v>
                </c:pt>
                <c:pt idx="68">
                  <c:v>771</c:v>
                </c:pt>
                <c:pt idx="69">
                  <c:v>771</c:v>
                </c:pt>
                <c:pt idx="70">
                  <c:v>771</c:v>
                </c:pt>
                <c:pt idx="71">
                  <c:v>752</c:v>
                </c:pt>
                <c:pt idx="72">
                  <c:v>752</c:v>
                </c:pt>
                <c:pt idx="73">
                  <c:v>752</c:v>
                </c:pt>
                <c:pt idx="74">
                  <c:v>752</c:v>
                </c:pt>
                <c:pt idx="75">
                  <c:v>752</c:v>
                </c:pt>
                <c:pt idx="76">
                  <c:v>752</c:v>
                </c:pt>
                <c:pt idx="77">
                  <c:v>752</c:v>
                </c:pt>
                <c:pt idx="78">
                  <c:v>704.5</c:v>
                </c:pt>
                <c:pt idx="79">
                  <c:v>704.5</c:v>
                </c:pt>
                <c:pt idx="80">
                  <c:v>704.5</c:v>
                </c:pt>
                <c:pt idx="81">
                  <c:v>704.5</c:v>
                </c:pt>
                <c:pt idx="82">
                  <c:v>704.5</c:v>
                </c:pt>
                <c:pt idx="83">
                  <c:v>704.5</c:v>
                </c:pt>
                <c:pt idx="84">
                  <c:v>704.5</c:v>
                </c:pt>
                <c:pt idx="85">
                  <c:v>759</c:v>
                </c:pt>
                <c:pt idx="86">
                  <c:v>759</c:v>
                </c:pt>
                <c:pt idx="87">
                  <c:v>759</c:v>
                </c:pt>
                <c:pt idx="88">
                  <c:v>759</c:v>
                </c:pt>
                <c:pt idx="89">
                  <c:v>759</c:v>
                </c:pt>
                <c:pt idx="90">
                  <c:v>759</c:v>
                </c:pt>
                <c:pt idx="91">
                  <c:v>759</c:v>
                </c:pt>
                <c:pt idx="92">
                  <c:v>759</c:v>
                </c:pt>
                <c:pt idx="93">
                  <c:v>759</c:v>
                </c:pt>
                <c:pt idx="94">
                  <c:v>759</c:v>
                </c:pt>
                <c:pt idx="95">
                  <c:v>759</c:v>
                </c:pt>
                <c:pt idx="96">
                  <c:v>759</c:v>
                </c:pt>
                <c:pt idx="97">
                  <c:v>759</c:v>
                </c:pt>
                <c:pt idx="98">
                  <c:v>759</c:v>
                </c:pt>
                <c:pt idx="99">
                  <c:v>777.5</c:v>
                </c:pt>
                <c:pt idx="100">
                  <c:v>777.5</c:v>
                </c:pt>
                <c:pt idx="101">
                  <c:v>777.5</c:v>
                </c:pt>
                <c:pt idx="102">
                  <c:v>777.5</c:v>
                </c:pt>
                <c:pt idx="103">
                  <c:v>777.5</c:v>
                </c:pt>
                <c:pt idx="104">
                  <c:v>777.5</c:v>
                </c:pt>
                <c:pt idx="105">
                  <c:v>777.5</c:v>
                </c:pt>
                <c:pt idx="106">
                  <c:v>843.5</c:v>
                </c:pt>
                <c:pt idx="107">
                  <c:v>843.5</c:v>
                </c:pt>
                <c:pt idx="108">
                  <c:v>843.5</c:v>
                </c:pt>
                <c:pt idx="109">
                  <c:v>843.5</c:v>
                </c:pt>
                <c:pt idx="110">
                  <c:v>843.5</c:v>
                </c:pt>
                <c:pt idx="111">
                  <c:v>843.5</c:v>
                </c:pt>
                <c:pt idx="112">
                  <c:v>843.5</c:v>
                </c:pt>
                <c:pt idx="113">
                  <c:v>860</c:v>
                </c:pt>
                <c:pt idx="114">
                  <c:v>860</c:v>
                </c:pt>
                <c:pt idx="115">
                  <c:v>860</c:v>
                </c:pt>
                <c:pt idx="116">
                  <c:v>860</c:v>
                </c:pt>
                <c:pt idx="117">
                  <c:v>860</c:v>
                </c:pt>
                <c:pt idx="118">
                  <c:v>860</c:v>
                </c:pt>
                <c:pt idx="119">
                  <c:v>860</c:v>
                </c:pt>
                <c:pt idx="120">
                  <c:v>816.5</c:v>
                </c:pt>
                <c:pt idx="121">
                  <c:v>816.5</c:v>
                </c:pt>
                <c:pt idx="122">
                  <c:v>816.5</c:v>
                </c:pt>
                <c:pt idx="123">
                  <c:v>816.5</c:v>
                </c:pt>
                <c:pt idx="124">
                  <c:v>816.5</c:v>
                </c:pt>
                <c:pt idx="125">
                  <c:v>816.5</c:v>
                </c:pt>
                <c:pt idx="126">
                  <c:v>816.5</c:v>
                </c:pt>
                <c:pt idx="127">
                  <c:v>829.5</c:v>
                </c:pt>
                <c:pt idx="128">
                  <c:v>829.5</c:v>
                </c:pt>
                <c:pt idx="129">
                  <c:v>829.5</c:v>
                </c:pt>
                <c:pt idx="130">
                  <c:v>829.5</c:v>
                </c:pt>
                <c:pt idx="131">
                  <c:v>829.5</c:v>
                </c:pt>
                <c:pt idx="132">
                  <c:v>829.5</c:v>
                </c:pt>
                <c:pt idx="133">
                  <c:v>829.5</c:v>
                </c:pt>
                <c:pt idx="134">
                  <c:v>740</c:v>
                </c:pt>
                <c:pt idx="135">
                  <c:v>740</c:v>
                </c:pt>
                <c:pt idx="136">
                  <c:v>740</c:v>
                </c:pt>
                <c:pt idx="137">
                  <c:v>740</c:v>
                </c:pt>
                <c:pt idx="138">
                  <c:v>740</c:v>
                </c:pt>
                <c:pt idx="139">
                  <c:v>740</c:v>
                </c:pt>
                <c:pt idx="140">
                  <c:v>740</c:v>
                </c:pt>
                <c:pt idx="141">
                  <c:v>726</c:v>
                </c:pt>
                <c:pt idx="142">
                  <c:v>726</c:v>
                </c:pt>
                <c:pt idx="143">
                  <c:v>726</c:v>
                </c:pt>
                <c:pt idx="144">
                  <c:v>726</c:v>
                </c:pt>
                <c:pt idx="145">
                  <c:v>726</c:v>
                </c:pt>
                <c:pt idx="146">
                  <c:v>726</c:v>
                </c:pt>
                <c:pt idx="147">
                  <c:v>726</c:v>
                </c:pt>
                <c:pt idx="148">
                  <c:v>764.5</c:v>
                </c:pt>
                <c:pt idx="149">
                  <c:v>764.5</c:v>
                </c:pt>
                <c:pt idx="150">
                  <c:v>764.5</c:v>
                </c:pt>
                <c:pt idx="151">
                  <c:v>764.5</c:v>
                </c:pt>
                <c:pt idx="152">
                  <c:v>764.5</c:v>
                </c:pt>
                <c:pt idx="153">
                  <c:v>764.5</c:v>
                </c:pt>
                <c:pt idx="154">
                  <c:v>764.5</c:v>
                </c:pt>
                <c:pt idx="155">
                  <c:v>755.5</c:v>
                </c:pt>
                <c:pt idx="156">
                  <c:v>755.5</c:v>
                </c:pt>
                <c:pt idx="157">
                  <c:v>755.5</c:v>
                </c:pt>
                <c:pt idx="158">
                  <c:v>755.5</c:v>
                </c:pt>
                <c:pt idx="159">
                  <c:v>755.5</c:v>
                </c:pt>
                <c:pt idx="160">
                  <c:v>755.5</c:v>
                </c:pt>
                <c:pt idx="161">
                  <c:v>755.5</c:v>
                </c:pt>
                <c:pt idx="162">
                  <c:v>824</c:v>
                </c:pt>
                <c:pt idx="163">
                  <c:v>824</c:v>
                </c:pt>
                <c:pt idx="164">
                  <c:v>824</c:v>
                </c:pt>
                <c:pt idx="165">
                  <c:v>824</c:v>
                </c:pt>
                <c:pt idx="166">
                  <c:v>824</c:v>
                </c:pt>
                <c:pt idx="167">
                  <c:v>824</c:v>
                </c:pt>
                <c:pt idx="168">
                  <c:v>824</c:v>
                </c:pt>
                <c:pt idx="169">
                  <c:v>809</c:v>
                </c:pt>
                <c:pt idx="170">
                  <c:v>809</c:v>
                </c:pt>
                <c:pt idx="171">
                  <c:v>809</c:v>
                </c:pt>
                <c:pt idx="172">
                  <c:v>809</c:v>
                </c:pt>
                <c:pt idx="173">
                  <c:v>809</c:v>
                </c:pt>
                <c:pt idx="174">
                  <c:v>809</c:v>
                </c:pt>
                <c:pt idx="175">
                  <c:v>809</c:v>
                </c:pt>
                <c:pt idx="176">
                  <c:v>823</c:v>
                </c:pt>
                <c:pt idx="177">
                  <c:v>823</c:v>
                </c:pt>
                <c:pt idx="178">
                  <c:v>823</c:v>
                </c:pt>
                <c:pt idx="179">
                  <c:v>823</c:v>
                </c:pt>
                <c:pt idx="180">
                  <c:v>823</c:v>
                </c:pt>
                <c:pt idx="181">
                  <c:v>823</c:v>
                </c:pt>
                <c:pt idx="182">
                  <c:v>823</c:v>
                </c:pt>
                <c:pt idx="183">
                  <c:v>786.5</c:v>
                </c:pt>
                <c:pt idx="184">
                  <c:v>786.5</c:v>
                </c:pt>
                <c:pt idx="185">
                  <c:v>786.5</c:v>
                </c:pt>
                <c:pt idx="186">
                  <c:v>786.5</c:v>
                </c:pt>
                <c:pt idx="187">
                  <c:v>786.5</c:v>
                </c:pt>
                <c:pt idx="188">
                  <c:v>786.5</c:v>
                </c:pt>
                <c:pt idx="189">
                  <c:v>786.5</c:v>
                </c:pt>
                <c:pt idx="190">
                  <c:v>774.5</c:v>
                </c:pt>
                <c:pt idx="191">
                  <c:v>774.5</c:v>
                </c:pt>
                <c:pt idx="192">
                  <c:v>774.5</c:v>
                </c:pt>
                <c:pt idx="193">
                  <c:v>774.5</c:v>
                </c:pt>
                <c:pt idx="194">
                  <c:v>774.5</c:v>
                </c:pt>
                <c:pt idx="195">
                  <c:v>774.5</c:v>
                </c:pt>
                <c:pt idx="196">
                  <c:v>774.5</c:v>
                </c:pt>
                <c:pt idx="197">
                  <c:v>774.5</c:v>
                </c:pt>
                <c:pt idx="198">
                  <c:v>774.5</c:v>
                </c:pt>
                <c:pt idx="199">
                  <c:v>774.5</c:v>
                </c:pt>
                <c:pt idx="200">
                  <c:v>774.5</c:v>
                </c:pt>
                <c:pt idx="201">
                  <c:v>774.5</c:v>
                </c:pt>
                <c:pt idx="202">
                  <c:v>774.5</c:v>
                </c:pt>
                <c:pt idx="203">
                  <c:v>774.5</c:v>
                </c:pt>
                <c:pt idx="204">
                  <c:v>787.5</c:v>
                </c:pt>
                <c:pt idx="205">
                  <c:v>787.5</c:v>
                </c:pt>
                <c:pt idx="206">
                  <c:v>787.5</c:v>
                </c:pt>
                <c:pt idx="207">
                  <c:v>787.5</c:v>
                </c:pt>
                <c:pt idx="208">
                  <c:v>787.5</c:v>
                </c:pt>
                <c:pt idx="209">
                  <c:v>787.5</c:v>
                </c:pt>
                <c:pt idx="210">
                  <c:v>787.5</c:v>
                </c:pt>
                <c:pt idx="211">
                  <c:v>762.5</c:v>
                </c:pt>
                <c:pt idx="212">
                  <c:v>762.5</c:v>
                </c:pt>
                <c:pt idx="213">
                  <c:v>762.5</c:v>
                </c:pt>
                <c:pt idx="214">
                  <c:v>762.5</c:v>
                </c:pt>
                <c:pt idx="215">
                  <c:v>762.5</c:v>
                </c:pt>
                <c:pt idx="216">
                  <c:v>762.5</c:v>
                </c:pt>
                <c:pt idx="217">
                  <c:v>762.5</c:v>
                </c:pt>
                <c:pt idx="218">
                  <c:v>711.5</c:v>
                </c:pt>
                <c:pt idx="219">
                  <c:v>711.5</c:v>
                </c:pt>
                <c:pt idx="220">
                  <c:v>711.5</c:v>
                </c:pt>
                <c:pt idx="221">
                  <c:v>711.5</c:v>
                </c:pt>
                <c:pt idx="222">
                  <c:v>711.5</c:v>
                </c:pt>
                <c:pt idx="223">
                  <c:v>711.5</c:v>
                </c:pt>
                <c:pt idx="224">
                  <c:v>711.5</c:v>
                </c:pt>
                <c:pt idx="225">
                  <c:v>647</c:v>
                </c:pt>
                <c:pt idx="226">
                  <c:v>647</c:v>
                </c:pt>
                <c:pt idx="227">
                  <c:v>647</c:v>
                </c:pt>
                <c:pt idx="228">
                  <c:v>647</c:v>
                </c:pt>
                <c:pt idx="229">
                  <c:v>647</c:v>
                </c:pt>
                <c:pt idx="230">
                  <c:v>647</c:v>
                </c:pt>
                <c:pt idx="231">
                  <c:v>647</c:v>
                </c:pt>
                <c:pt idx="232">
                  <c:v>569.5</c:v>
                </c:pt>
                <c:pt idx="233">
                  <c:v>569.5</c:v>
                </c:pt>
                <c:pt idx="234">
                  <c:v>569.5</c:v>
                </c:pt>
                <c:pt idx="235">
                  <c:v>569.5</c:v>
                </c:pt>
                <c:pt idx="236">
                  <c:v>569.5</c:v>
                </c:pt>
                <c:pt idx="237">
                  <c:v>569.5</c:v>
                </c:pt>
                <c:pt idx="238">
                  <c:v>569.5</c:v>
                </c:pt>
                <c:pt idx="239">
                  <c:v>558.5</c:v>
                </c:pt>
                <c:pt idx="240">
                  <c:v>558.5</c:v>
                </c:pt>
                <c:pt idx="241">
                  <c:v>558.5</c:v>
                </c:pt>
                <c:pt idx="242">
                  <c:v>558.5</c:v>
                </c:pt>
                <c:pt idx="243">
                  <c:v>558.5</c:v>
                </c:pt>
                <c:pt idx="244">
                  <c:v>558.5</c:v>
                </c:pt>
                <c:pt idx="245">
                  <c:v>558.5</c:v>
                </c:pt>
                <c:pt idx="246">
                  <c:v>566.5</c:v>
                </c:pt>
                <c:pt idx="247">
                  <c:v>566.5</c:v>
                </c:pt>
                <c:pt idx="248">
                  <c:v>566.5</c:v>
                </c:pt>
                <c:pt idx="249">
                  <c:v>566.5</c:v>
                </c:pt>
                <c:pt idx="250">
                  <c:v>566.5</c:v>
                </c:pt>
                <c:pt idx="251">
                  <c:v>566.5</c:v>
                </c:pt>
                <c:pt idx="252">
                  <c:v>566.5</c:v>
                </c:pt>
                <c:pt idx="253">
                  <c:v>577.5</c:v>
                </c:pt>
                <c:pt idx="254">
                  <c:v>577.5</c:v>
                </c:pt>
                <c:pt idx="255">
                  <c:v>577.5</c:v>
                </c:pt>
                <c:pt idx="256">
                  <c:v>577.5</c:v>
                </c:pt>
                <c:pt idx="257">
                  <c:v>577.5</c:v>
                </c:pt>
                <c:pt idx="258">
                  <c:v>577.5</c:v>
                </c:pt>
                <c:pt idx="259">
                  <c:v>577.5</c:v>
                </c:pt>
                <c:pt idx="260">
                  <c:v>564.5</c:v>
                </c:pt>
                <c:pt idx="261">
                  <c:v>564.5</c:v>
                </c:pt>
                <c:pt idx="262">
                  <c:v>564.5</c:v>
                </c:pt>
                <c:pt idx="263">
                  <c:v>564.5</c:v>
                </c:pt>
                <c:pt idx="264">
                  <c:v>564.5</c:v>
                </c:pt>
                <c:pt idx="265">
                  <c:v>564.5</c:v>
                </c:pt>
                <c:pt idx="266">
                  <c:v>564.5</c:v>
                </c:pt>
                <c:pt idx="267">
                  <c:v>579.5</c:v>
                </c:pt>
                <c:pt idx="268">
                  <c:v>579.5</c:v>
                </c:pt>
                <c:pt idx="269">
                  <c:v>579.5</c:v>
                </c:pt>
                <c:pt idx="270">
                  <c:v>579.5</c:v>
                </c:pt>
                <c:pt idx="271">
                  <c:v>579.5</c:v>
                </c:pt>
                <c:pt idx="272">
                  <c:v>579.5</c:v>
                </c:pt>
                <c:pt idx="273">
                  <c:v>579.5</c:v>
                </c:pt>
                <c:pt idx="274">
                  <c:v>561</c:v>
                </c:pt>
                <c:pt idx="275">
                  <c:v>561</c:v>
                </c:pt>
                <c:pt idx="276">
                  <c:v>561</c:v>
                </c:pt>
                <c:pt idx="277">
                  <c:v>561</c:v>
                </c:pt>
                <c:pt idx="278">
                  <c:v>561</c:v>
                </c:pt>
                <c:pt idx="279">
                  <c:v>561</c:v>
                </c:pt>
                <c:pt idx="280">
                  <c:v>561</c:v>
                </c:pt>
                <c:pt idx="281">
                  <c:v>595.5</c:v>
                </c:pt>
                <c:pt idx="282">
                  <c:v>595.5</c:v>
                </c:pt>
                <c:pt idx="283">
                  <c:v>595.5</c:v>
                </c:pt>
                <c:pt idx="284">
                  <c:v>595.5</c:v>
                </c:pt>
                <c:pt idx="285">
                  <c:v>595.5</c:v>
                </c:pt>
                <c:pt idx="286">
                  <c:v>595.5</c:v>
                </c:pt>
                <c:pt idx="287">
                  <c:v>595.5</c:v>
                </c:pt>
                <c:pt idx="288">
                  <c:v>600</c:v>
                </c:pt>
                <c:pt idx="289">
                  <c:v>600</c:v>
                </c:pt>
                <c:pt idx="290">
                  <c:v>600</c:v>
                </c:pt>
                <c:pt idx="291">
                  <c:v>600</c:v>
                </c:pt>
                <c:pt idx="292">
                  <c:v>600</c:v>
                </c:pt>
                <c:pt idx="293">
                  <c:v>600</c:v>
                </c:pt>
                <c:pt idx="294">
                  <c:v>600</c:v>
                </c:pt>
                <c:pt idx="295">
                  <c:v>594</c:v>
                </c:pt>
                <c:pt idx="296">
                  <c:v>594</c:v>
                </c:pt>
                <c:pt idx="297">
                  <c:v>594</c:v>
                </c:pt>
                <c:pt idx="298">
                  <c:v>594</c:v>
                </c:pt>
                <c:pt idx="299">
                  <c:v>594</c:v>
                </c:pt>
                <c:pt idx="300">
                  <c:v>594</c:v>
                </c:pt>
                <c:pt idx="301">
                  <c:v>594</c:v>
                </c:pt>
                <c:pt idx="302">
                  <c:v>590.5</c:v>
                </c:pt>
                <c:pt idx="303">
                  <c:v>590.5</c:v>
                </c:pt>
                <c:pt idx="304">
                  <c:v>590.5</c:v>
                </c:pt>
                <c:pt idx="305">
                  <c:v>590.5</c:v>
                </c:pt>
                <c:pt idx="306">
                  <c:v>590.5</c:v>
                </c:pt>
                <c:pt idx="307">
                  <c:v>590.5</c:v>
                </c:pt>
                <c:pt idx="308">
                  <c:v>590.5</c:v>
                </c:pt>
                <c:pt idx="309">
                  <c:v>612.5</c:v>
                </c:pt>
                <c:pt idx="310">
                  <c:v>612.5</c:v>
                </c:pt>
                <c:pt idx="311">
                  <c:v>612.5</c:v>
                </c:pt>
                <c:pt idx="312">
                  <c:v>612.5</c:v>
                </c:pt>
                <c:pt idx="313">
                  <c:v>612.5</c:v>
                </c:pt>
                <c:pt idx="314">
                  <c:v>612.5</c:v>
                </c:pt>
                <c:pt idx="315">
                  <c:v>612.5</c:v>
                </c:pt>
                <c:pt idx="316">
                  <c:v>609.5</c:v>
                </c:pt>
                <c:pt idx="317">
                  <c:v>609.5</c:v>
                </c:pt>
                <c:pt idx="318">
                  <c:v>609.5</c:v>
                </c:pt>
                <c:pt idx="319">
                  <c:v>609.5</c:v>
                </c:pt>
                <c:pt idx="320">
                  <c:v>609.5</c:v>
                </c:pt>
                <c:pt idx="321">
                  <c:v>609.5</c:v>
                </c:pt>
                <c:pt idx="322">
                  <c:v>609.5</c:v>
                </c:pt>
                <c:pt idx="323">
                  <c:v>631</c:v>
                </c:pt>
              </c:numCache>
            </c:numRef>
          </c:val>
          <c:smooth val="0"/>
        </c:ser>
        <c:dLbls>
          <c:showLegendKey val="0"/>
          <c:showVal val="0"/>
          <c:showCatName val="0"/>
          <c:showSerName val="0"/>
          <c:showPercent val="0"/>
          <c:showBubbleSize val="0"/>
        </c:dLbls>
        <c:marker val="1"/>
        <c:smooth val="0"/>
        <c:axId val="263847936"/>
        <c:axId val="263849472"/>
      </c:lineChart>
      <c:dateAx>
        <c:axId val="263847936"/>
        <c:scaling>
          <c:orientation val="minMax"/>
          <c:max val="42328"/>
          <c:min val="42005"/>
        </c:scaling>
        <c:delete val="0"/>
        <c:axPos val="b"/>
        <c:numFmt formatCode="m/d/yyyy" sourceLinked="1"/>
        <c:majorTickMark val="out"/>
        <c:minorTickMark val="none"/>
        <c:tickLblPos val="nextTo"/>
        <c:crossAx val="263849472"/>
        <c:crosses val="autoZero"/>
        <c:auto val="1"/>
        <c:lblOffset val="100"/>
        <c:baseTimeUnit val="days"/>
        <c:majorUnit val="1"/>
        <c:majorTimeUnit val="months"/>
        <c:minorUnit val="1"/>
        <c:minorTimeUnit val="months"/>
      </c:dateAx>
      <c:valAx>
        <c:axId val="263849472"/>
        <c:scaling>
          <c:orientation val="minMax"/>
          <c:min val="500"/>
        </c:scaling>
        <c:delete val="0"/>
        <c:axPos val="l"/>
        <c:majorGridlines/>
        <c:numFmt formatCode="General" sourceLinked="1"/>
        <c:majorTickMark val="out"/>
        <c:minorTickMark val="none"/>
        <c:tickLblPos val="nextTo"/>
        <c:crossAx val="263847936"/>
        <c:crosses val="autoZero"/>
        <c:crossBetween val="between"/>
        <c:majorUnit val="50"/>
      </c:valAx>
    </c:plotArea>
    <c:legend>
      <c:legendPos val="b"/>
      <c:layout>
        <c:manualLayout>
          <c:xMode val="edge"/>
          <c:yMode val="edge"/>
          <c:x val="0.21224909241228879"/>
          <c:y val="0.85902903185352419"/>
          <c:w val="0.62056469581461349"/>
          <c:h val="0.13888707093431502"/>
        </c:manualLayout>
      </c:layout>
      <c:overlay val="0"/>
    </c:legend>
    <c:plotVisOnly val="1"/>
    <c:dispBlanksAs val="gap"/>
    <c:showDLblsOverMax val="0"/>
  </c:chart>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5385728428908689E-2"/>
          <c:y val="2.8155339197082668E-2"/>
          <c:w val="0.84376765404324461"/>
          <c:h val="0.66744588744589084"/>
        </c:manualLayout>
      </c:layout>
      <c:lineChart>
        <c:grouping val="standard"/>
        <c:varyColors val="0"/>
        <c:ser>
          <c:idx val="0"/>
          <c:order val="0"/>
          <c:tx>
            <c:strRef>
              <c:f>石化!$AE$1</c:f>
              <c:strCache>
                <c:ptCount val="1"/>
                <c:pt idx="0">
                  <c:v>聚氯乙烯PVC 太空包 台塑 牌價(美元/公噸)</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石化!$AE$216:$AE$539</c:f>
              <c:numCache>
                <c:formatCode>General</c:formatCode>
                <c:ptCount val="324"/>
                <c:pt idx="0">
                  <c:v>903.3333333333336</c:v>
                </c:pt>
                <c:pt idx="1">
                  <c:v>903.3333333333336</c:v>
                </c:pt>
                <c:pt idx="2">
                  <c:v>903.3333333333336</c:v>
                </c:pt>
                <c:pt idx="3">
                  <c:v>903.3333333333336</c:v>
                </c:pt>
                <c:pt idx="4">
                  <c:v>903.3333333333336</c:v>
                </c:pt>
                <c:pt idx="5">
                  <c:v>903.3333333333336</c:v>
                </c:pt>
                <c:pt idx="6">
                  <c:v>903.3333333333336</c:v>
                </c:pt>
                <c:pt idx="7">
                  <c:v>903.3333333333336</c:v>
                </c:pt>
                <c:pt idx="8">
                  <c:v>903.3333333333336</c:v>
                </c:pt>
                <c:pt idx="9">
                  <c:v>903.3333333333336</c:v>
                </c:pt>
                <c:pt idx="10">
                  <c:v>903.3333333333336</c:v>
                </c:pt>
                <c:pt idx="11">
                  <c:v>903.3333333333336</c:v>
                </c:pt>
                <c:pt idx="12">
                  <c:v>903.3333333333336</c:v>
                </c:pt>
                <c:pt idx="13">
                  <c:v>903.3333333333336</c:v>
                </c:pt>
                <c:pt idx="14">
                  <c:v>903.3333333333336</c:v>
                </c:pt>
                <c:pt idx="15">
                  <c:v>903.3333333333336</c:v>
                </c:pt>
                <c:pt idx="16">
                  <c:v>903.3333333333336</c:v>
                </c:pt>
                <c:pt idx="17">
                  <c:v>903.3333333333336</c:v>
                </c:pt>
                <c:pt idx="18">
                  <c:v>903.3333333333336</c:v>
                </c:pt>
                <c:pt idx="19">
                  <c:v>903.3333333333336</c:v>
                </c:pt>
                <c:pt idx="20">
                  <c:v>903.3333333333336</c:v>
                </c:pt>
                <c:pt idx="21">
                  <c:v>903.3333333333336</c:v>
                </c:pt>
                <c:pt idx="22">
                  <c:v>903.3333333333336</c:v>
                </c:pt>
                <c:pt idx="23">
                  <c:v>903.3333333333336</c:v>
                </c:pt>
                <c:pt idx="24">
                  <c:v>903.3333333333336</c:v>
                </c:pt>
                <c:pt idx="25">
                  <c:v>903.3333333333336</c:v>
                </c:pt>
                <c:pt idx="26">
                  <c:v>903.3333333333336</c:v>
                </c:pt>
                <c:pt idx="27">
                  <c:v>903.3333333333336</c:v>
                </c:pt>
                <c:pt idx="28">
                  <c:v>903.3333333333336</c:v>
                </c:pt>
                <c:pt idx="29">
                  <c:v>903.3333333333336</c:v>
                </c:pt>
                <c:pt idx="30">
                  <c:v>903.3333333333336</c:v>
                </c:pt>
                <c:pt idx="31">
                  <c:v>913.3333333333336</c:v>
                </c:pt>
                <c:pt idx="32">
                  <c:v>913.3333333333336</c:v>
                </c:pt>
                <c:pt idx="33">
                  <c:v>913.3333333333336</c:v>
                </c:pt>
                <c:pt idx="34">
                  <c:v>913.3333333333336</c:v>
                </c:pt>
                <c:pt idx="35">
                  <c:v>913.3333333333336</c:v>
                </c:pt>
                <c:pt idx="36">
                  <c:v>913.3333333333336</c:v>
                </c:pt>
                <c:pt idx="37">
                  <c:v>913.3333333333336</c:v>
                </c:pt>
                <c:pt idx="38">
                  <c:v>913.3333333333336</c:v>
                </c:pt>
                <c:pt idx="39">
                  <c:v>913.3333333333336</c:v>
                </c:pt>
                <c:pt idx="40">
                  <c:v>913.3333333333336</c:v>
                </c:pt>
                <c:pt idx="41">
                  <c:v>913.3333333333336</c:v>
                </c:pt>
                <c:pt idx="42">
                  <c:v>913.3333333333336</c:v>
                </c:pt>
                <c:pt idx="43">
                  <c:v>913.3333333333336</c:v>
                </c:pt>
                <c:pt idx="44">
                  <c:v>913.3333333333336</c:v>
                </c:pt>
                <c:pt idx="45">
                  <c:v>913.3333333333336</c:v>
                </c:pt>
                <c:pt idx="46">
                  <c:v>913.3333333333336</c:v>
                </c:pt>
                <c:pt idx="47">
                  <c:v>913.3333333333336</c:v>
                </c:pt>
                <c:pt idx="48">
                  <c:v>913.3333333333336</c:v>
                </c:pt>
                <c:pt idx="49">
                  <c:v>913.3333333333336</c:v>
                </c:pt>
                <c:pt idx="50">
                  <c:v>913.3333333333336</c:v>
                </c:pt>
                <c:pt idx="51">
                  <c:v>913.3333333333336</c:v>
                </c:pt>
                <c:pt idx="52">
                  <c:v>913.3333333333336</c:v>
                </c:pt>
                <c:pt idx="53">
                  <c:v>913.3333333333336</c:v>
                </c:pt>
                <c:pt idx="54">
                  <c:v>913.3333333333336</c:v>
                </c:pt>
                <c:pt idx="55">
                  <c:v>913.3333333333336</c:v>
                </c:pt>
                <c:pt idx="56">
                  <c:v>913.3333333333336</c:v>
                </c:pt>
                <c:pt idx="57">
                  <c:v>913.3333333333336</c:v>
                </c:pt>
                <c:pt idx="58">
                  <c:v>913.3333333333336</c:v>
                </c:pt>
                <c:pt idx="59">
                  <c:v>946.66666666666663</c:v>
                </c:pt>
                <c:pt idx="60">
                  <c:v>946.66666666666663</c:v>
                </c:pt>
                <c:pt idx="61">
                  <c:v>946.66666666666663</c:v>
                </c:pt>
                <c:pt idx="62">
                  <c:v>946.66666666666663</c:v>
                </c:pt>
                <c:pt idx="63">
                  <c:v>946.66666666666663</c:v>
                </c:pt>
                <c:pt idx="64">
                  <c:v>946.66666666666663</c:v>
                </c:pt>
                <c:pt idx="65">
                  <c:v>946.66666666666663</c:v>
                </c:pt>
                <c:pt idx="66">
                  <c:v>946.66666666666663</c:v>
                </c:pt>
                <c:pt idx="67">
                  <c:v>946.66666666666663</c:v>
                </c:pt>
                <c:pt idx="68">
                  <c:v>946.66666666666663</c:v>
                </c:pt>
                <c:pt idx="69">
                  <c:v>946.66666666666663</c:v>
                </c:pt>
                <c:pt idx="70">
                  <c:v>946.66666666666663</c:v>
                </c:pt>
                <c:pt idx="71">
                  <c:v>946.66666666666663</c:v>
                </c:pt>
                <c:pt idx="72">
                  <c:v>946.66666666666663</c:v>
                </c:pt>
                <c:pt idx="73">
                  <c:v>946.66666666666663</c:v>
                </c:pt>
                <c:pt idx="74">
                  <c:v>946.66666666666663</c:v>
                </c:pt>
                <c:pt idx="75">
                  <c:v>946.66666666666663</c:v>
                </c:pt>
                <c:pt idx="76">
                  <c:v>946.66666666666663</c:v>
                </c:pt>
                <c:pt idx="77">
                  <c:v>946.66666666666663</c:v>
                </c:pt>
                <c:pt idx="78">
                  <c:v>946.66666666666663</c:v>
                </c:pt>
                <c:pt idx="79">
                  <c:v>946.66666666666663</c:v>
                </c:pt>
                <c:pt idx="80">
                  <c:v>946.66666666666663</c:v>
                </c:pt>
                <c:pt idx="81">
                  <c:v>946.66666666666663</c:v>
                </c:pt>
                <c:pt idx="82">
                  <c:v>946.66666666666663</c:v>
                </c:pt>
                <c:pt idx="83">
                  <c:v>946.66666666666663</c:v>
                </c:pt>
                <c:pt idx="84">
                  <c:v>946.66666666666663</c:v>
                </c:pt>
                <c:pt idx="85">
                  <c:v>946.66666666666663</c:v>
                </c:pt>
                <c:pt idx="86">
                  <c:v>946.66666666666663</c:v>
                </c:pt>
                <c:pt idx="87">
                  <c:v>946.66666666666663</c:v>
                </c:pt>
                <c:pt idx="88">
                  <c:v>946.66666666666663</c:v>
                </c:pt>
                <c:pt idx="89">
                  <c:v>946.66666666666663</c:v>
                </c:pt>
                <c:pt idx="90">
                  <c:v>990</c:v>
                </c:pt>
                <c:pt idx="91">
                  <c:v>990</c:v>
                </c:pt>
                <c:pt idx="92">
                  <c:v>990</c:v>
                </c:pt>
                <c:pt idx="93">
                  <c:v>990</c:v>
                </c:pt>
                <c:pt idx="94">
                  <c:v>990</c:v>
                </c:pt>
                <c:pt idx="95">
                  <c:v>990</c:v>
                </c:pt>
                <c:pt idx="96">
                  <c:v>990</c:v>
                </c:pt>
                <c:pt idx="97">
                  <c:v>990</c:v>
                </c:pt>
                <c:pt idx="98">
                  <c:v>990</c:v>
                </c:pt>
                <c:pt idx="99">
                  <c:v>990</c:v>
                </c:pt>
                <c:pt idx="100">
                  <c:v>990</c:v>
                </c:pt>
                <c:pt idx="101">
                  <c:v>990</c:v>
                </c:pt>
                <c:pt idx="102">
                  <c:v>990</c:v>
                </c:pt>
                <c:pt idx="103">
                  <c:v>990</c:v>
                </c:pt>
                <c:pt idx="104">
                  <c:v>990</c:v>
                </c:pt>
                <c:pt idx="105">
                  <c:v>990</c:v>
                </c:pt>
                <c:pt idx="106">
                  <c:v>990</c:v>
                </c:pt>
                <c:pt idx="107">
                  <c:v>990</c:v>
                </c:pt>
                <c:pt idx="108">
                  <c:v>990</c:v>
                </c:pt>
                <c:pt idx="109">
                  <c:v>990</c:v>
                </c:pt>
                <c:pt idx="110">
                  <c:v>990</c:v>
                </c:pt>
                <c:pt idx="111">
                  <c:v>990</c:v>
                </c:pt>
                <c:pt idx="112">
                  <c:v>990</c:v>
                </c:pt>
                <c:pt idx="113">
                  <c:v>990</c:v>
                </c:pt>
                <c:pt idx="114">
                  <c:v>990</c:v>
                </c:pt>
                <c:pt idx="115">
                  <c:v>990</c:v>
                </c:pt>
                <c:pt idx="116">
                  <c:v>990</c:v>
                </c:pt>
                <c:pt idx="117">
                  <c:v>990</c:v>
                </c:pt>
                <c:pt idx="118">
                  <c:v>990</c:v>
                </c:pt>
                <c:pt idx="119">
                  <c:v>990</c:v>
                </c:pt>
                <c:pt idx="120">
                  <c:v>1006.6666666666666</c:v>
                </c:pt>
                <c:pt idx="121">
                  <c:v>1006.6666666666666</c:v>
                </c:pt>
                <c:pt idx="122">
                  <c:v>1006.6666666666666</c:v>
                </c:pt>
                <c:pt idx="123">
                  <c:v>1006.6666666666666</c:v>
                </c:pt>
                <c:pt idx="124">
                  <c:v>1006.6666666666666</c:v>
                </c:pt>
                <c:pt idx="125">
                  <c:v>1006.6666666666666</c:v>
                </c:pt>
                <c:pt idx="126">
                  <c:v>1006.6666666666666</c:v>
                </c:pt>
                <c:pt idx="127">
                  <c:v>1006.6666666666666</c:v>
                </c:pt>
                <c:pt idx="128">
                  <c:v>1006.6666666666666</c:v>
                </c:pt>
                <c:pt idx="129">
                  <c:v>1006.6666666666666</c:v>
                </c:pt>
                <c:pt idx="130">
                  <c:v>1006.6666666666666</c:v>
                </c:pt>
                <c:pt idx="131">
                  <c:v>1006.6666666666666</c:v>
                </c:pt>
                <c:pt idx="132">
                  <c:v>1006.6666666666666</c:v>
                </c:pt>
                <c:pt idx="133">
                  <c:v>1006.6666666666666</c:v>
                </c:pt>
                <c:pt idx="134">
                  <c:v>1006.6666666666666</c:v>
                </c:pt>
                <c:pt idx="135">
                  <c:v>1006.6666666666666</c:v>
                </c:pt>
                <c:pt idx="136">
                  <c:v>1006.6666666666666</c:v>
                </c:pt>
                <c:pt idx="137">
                  <c:v>1006.6666666666666</c:v>
                </c:pt>
                <c:pt idx="138">
                  <c:v>1006.6666666666666</c:v>
                </c:pt>
                <c:pt idx="139">
                  <c:v>1006.6666666666666</c:v>
                </c:pt>
                <c:pt idx="140">
                  <c:v>1006.6666666666666</c:v>
                </c:pt>
                <c:pt idx="141">
                  <c:v>1006.6666666666666</c:v>
                </c:pt>
                <c:pt idx="142">
                  <c:v>1006.6666666666666</c:v>
                </c:pt>
                <c:pt idx="143">
                  <c:v>1006.6666666666666</c:v>
                </c:pt>
                <c:pt idx="144">
                  <c:v>1006.6666666666666</c:v>
                </c:pt>
                <c:pt idx="145">
                  <c:v>1006.6666666666666</c:v>
                </c:pt>
                <c:pt idx="146">
                  <c:v>1006.6666666666666</c:v>
                </c:pt>
                <c:pt idx="147">
                  <c:v>1006.6666666666666</c:v>
                </c:pt>
                <c:pt idx="148">
                  <c:v>1006.6666666666666</c:v>
                </c:pt>
                <c:pt idx="149">
                  <c:v>1006.6666666666666</c:v>
                </c:pt>
                <c:pt idx="150">
                  <c:v>1006.6666666666666</c:v>
                </c:pt>
                <c:pt idx="151">
                  <c:v>986.66666666666663</c:v>
                </c:pt>
                <c:pt idx="152">
                  <c:v>986.66666666666663</c:v>
                </c:pt>
                <c:pt idx="153">
                  <c:v>986.66666666666663</c:v>
                </c:pt>
                <c:pt idx="154">
                  <c:v>986.66666666666663</c:v>
                </c:pt>
                <c:pt idx="155">
                  <c:v>986.66666666666663</c:v>
                </c:pt>
                <c:pt idx="156">
                  <c:v>986.66666666666663</c:v>
                </c:pt>
                <c:pt idx="157">
                  <c:v>986.66666666666663</c:v>
                </c:pt>
                <c:pt idx="158">
                  <c:v>986.66666666666663</c:v>
                </c:pt>
                <c:pt idx="159">
                  <c:v>986.66666666666663</c:v>
                </c:pt>
                <c:pt idx="160">
                  <c:v>986.66666666666663</c:v>
                </c:pt>
                <c:pt idx="161">
                  <c:v>986.66666666666663</c:v>
                </c:pt>
                <c:pt idx="162">
                  <c:v>986.66666666666663</c:v>
                </c:pt>
                <c:pt idx="163">
                  <c:v>986.66666666666663</c:v>
                </c:pt>
                <c:pt idx="164">
                  <c:v>986.66666666666663</c:v>
                </c:pt>
                <c:pt idx="165">
                  <c:v>986.66666666666663</c:v>
                </c:pt>
                <c:pt idx="166">
                  <c:v>986.66666666666663</c:v>
                </c:pt>
                <c:pt idx="167">
                  <c:v>986.66666666666663</c:v>
                </c:pt>
                <c:pt idx="168">
                  <c:v>986.66666666666663</c:v>
                </c:pt>
                <c:pt idx="169">
                  <c:v>986.66666666666663</c:v>
                </c:pt>
                <c:pt idx="170">
                  <c:v>986.66666666666663</c:v>
                </c:pt>
                <c:pt idx="171">
                  <c:v>986.66666666666663</c:v>
                </c:pt>
                <c:pt idx="172">
                  <c:v>986.66666666666663</c:v>
                </c:pt>
                <c:pt idx="173">
                  <c:v>986.66666666666663</c:v>
                </c:pt>
                <c:pt idx="174">
                  <c:v>986.66666666666663</c:v>
                </c:pt>
                <c:pt idx="175">
                  <c:v>986.66666666666663</c:v>
                </c:pt>
                <c:pt idx="176">
                  <c:v>986.66666666666663</c:v>
                </c:pt>
                <c:pt idx="177">
                  <c:v>986.66666666666663</c:v>
                </c:pt>
                <c:pt idx="178">
                  <c:v>986.66666666666663</c:v>
                </c:pt>
                <c:pt idx="179">
                  <c:v>986.66666666666663</c:v>
                </c:pt>
                <c:pt idx="180">
                  <c:v>986.66666666666663</c:v>
                </c:pt>
                <c:pt idx="181">
                  <c:v>966.66666666666663</c:v>
                </c:pt>
                <c:pt idx="182">
                  <c:v>966.66666666666663</c:v>
                </c:pt>
                <c:pt idx="183">
                  <c:v>966.66666666666663</c:v>
                </c:pt>
                <c:pt idx="184">
                  <c:v>966.66666666666663</c:v>
                </c:pt>
                <c:pt idx="185">
                  <c:v>966.66666666666663</c:v>
                </c:pt>
                <c:pt idx="186">
                  <c:v>966.66666666666663</c:v>
                </c:pt>
                <c:pt idx="187">
                  <c:v>966.66666666666663</c:v>
                </c:pt>
                <c:pt idx="188">
                  <c:v>966.66666666666663</c:v>
                </c:pt>
                <c:pt idx="189">
                  <c:v>966.66666666666663</c:v>
                </c:pt>
                <c:pt idx="190">
                  <c:v>966.66666666666663</c:v>
                </c:pt>
                <c:pt idx="191">
                  <c:v>966.66666666666663</c:v>
                </c:pt>
                <c:pt idx="192">
                  <c:v>966.66666666666663</c:v>
                </c:pt>
                <c:pt idx="193">
                  <c:v>966.66666666666663</c:v>
                </c:pt>
                <c:pt idx="194">
                  <c:v>966.66666666666663</c:v>
                </c:pt>
                <c:pt idx="195">
                  <c:v>966.66666666666663</c:v>
                </c:pt>
                <c:pt idx="196">
                  <c:v>966.66666666666663</c:v>
                </c:pt>
                <c:pt idx="197">
                  <c:v>966.66666666666663</c:v>
                </c:pt>
                <c:pt idx="198">
                  <c:v>966.66666666666663</c:v>
                </c:pt>
                <c:pt idx="199">
                  <c:v>966.66666666666663</c:v>
                </c:pt>
                <c:pt idx="200">
                  <c:v>966.66666666666663</c:v>
                </c:pt>
                <c:pt idx="201">
                  <c:v>966.66666666666663</c:v>
                </c:pt>
                <c:pt idx="202">
                  <c:v>966.66666666666663</c:v>
                </c:pt>
                <c:pt idx="203">
                  <c:v>966.66666666666663</c:v>
                </c:pt>
                <c:pt idx="204">
                  <c:v>966.66666666666663</c:v>
                </c:pt>
                <c:pt idx="205">
                  <c:v>966.66666666666663</c:v>
                </c:pt>
                <c:pt idx="206">
                  <c:v>966.66666666666663</c:v>
                </c:pt>
                <c:pt idx="207">
                  <c:v>966.66666666666663</c:v>
                </c:pt>
                <c:pt idx="208">
                  <c:v>966.66666666666663</c:v>
                </c:pt>
                <c:pt idx="209">
                  <c:v>966.66666666666663</c:v>
                </c:pt>
                <c:pt idx="210">
                  <c:v>966.66666666666663</c:v>
                </c:pt>
                <c:pt idx="211">
                  <c:v>966.66666666666663</c:v>
                </c:pt>
                <c:pt idx="212">
                  <c:v>966.66666666666663</c:v>
                </c:pt>
                <c:pt idx="213">
                  <c:v>966.66666666666663</c:v>
                </c:pt>
                <c:pt idx="214">
                  <c:v>966.66666666666663</c:v>
                </c:pt>
                <c:pt idx="215">
                  <c:v>966.66666666666663</c:v>
                </c:pt>
                <c:pt idx="216">
                  <c:v>966.66666666666663</c:v>
                </c:pt>
                <c:pt idx="217">
                  <c:v>966.66666666666663</c:v>
                </c:pt>
                <c:pt idx="218">
                  <c:v>966.66666666666663</c:v>
                </c:pt>
                <c:pt idx="219">
                  <c:v>966.66666666666663</c:v>
                </c:pt>
                <c:pt idx="220">
                  <c:v>966.66666666666663</c:v>
                </c:pt>
                <c:pt idx="221">
                  <c:v>966.66666666666663</c:v>
                </c:pt>
                <c:pt idx="222">
                  <c:v>966.66666666666663</c:v>
                </c:pt>
                <c:pt idx="223">
                  <c:v>966.66666666666663</c:v>
                </c:pt>
                <c:pt idx="224">
                  <c:v>966.66666666666663</c:v>
                </c:pt>
                <c:pt idx="225">
                  <c:v>966.66666666666663</c:v>
                </c:pt>
                <c:pt idx="226">
                  <c:v>966.66666666666663</c:v>
                </c:pt>
                <c:pt idx="227">
                  <c:v>966.66666666666663</c:v>
                </c:pt>
                <c:pt idx="228">
                  <c:v>966.66666666666663</c:v>
                </c:pt>
                <c:pt idx="229">
                  <c:v>966.66666666666663</c:v>
                </c:pt>
                <c:pt idx="230">
                  <c:v>966.66666666666663</c:v>
                </c:pt>
                <c:pt idx="231">
                  <c:v>966.66666666666663</c:v>
                </c:pt>
                <c:pt idx="232">
                  <c:v>966.66666666666663</c:v>
                </c:pt>
                <c:pt idx="233">
                  <c:v>966.66666666666663</c:v>
                </c:pt>
                <c:pt idx="234">
                  <c:v>966.66666666666663</c:v>
                </c:pt>
                <c:pt idx="235">
                  <c:v>966.66666666666663</c:v>
                </c:pt>
                <c:pt idx="236">
                  <c:v>966.66666666666663</c:v>
                </c:pt>
                <c:pt idx="237">
                  <c:v>966.66666666666663</c:v>
                </c:pt>
                <c:pt idx="238">
                  <c:v>966.66666666666663</c:v>
                </c:pt>
                <c:pt idx="239">
                  <c:v>966.66666666666663</c:v>
                </c:pt>
                <c:pt idx="240">
                  <c:v>966.66666666666663</c:v>
                </c:pt>
                <c:pt idx="241">
                  <c:v>966.66666666666663</c:v>
                </c:pt>
                <c:pt idx="242">
                  <c:v>966.66666666666663</c:v>
                </c:pt>
                <c:pt idx="243">
                  <c:v>946.66666666666663</c:v>
                </c:pt>
                <c:pt idx="244">
                  <c:v>946.66666666666663</c:v>
                </c:pt>
                <c:pt idx="245">
                  <c:v>946.66666666666663</c:v>
                </c:pt>
                <c:pt idx="246">
                  <c:v>946.66666666666663</c:v>
                </c:pt>
                <c:pt idx="247">
                  <c:v>946.66666666666663</c:v>
                </c:pt>
                <c:pt idx="248">
                  <c:v>946.66666666666663</c:v>
                </c:pt>
                <c:pt idx="249">
                  <c:v>946.66666666666663</c:v>
                </c:pt>
                <c:pt idx="250">
                  <c:v>946.66666666666663</c:v>
                </c:pt>
                <c:pt idx="251">
                  <c:v>946.66666666666663</c:v>
                </c:pt>
                <c:pt idx="252">
                  <c:v>946.66666666666663</c:v>
                </c:pt>
                <c:pt idx="253">
                  <c:v>946.66666666666663</c:v>
                </c:pt>
                <c:pt idx="254">
                  <c:v>946.66666666666663</c:v>
                </c:pt>
                <c:pt idx="255">
                  <c:v>946.66666666666663</c:v>
                </c:pt>
                <c:pt idx="256">
                  <c:v>946.66666666666663</c:v>
                </c:pt>
                <c:pt idx="257">
                  <c:v>946.66666666666663</c:v>
                </c:pt>
                <c:pt idx="258">
                  <c:v>946.66666666666663</c:v>
                </c:pt>
                <c:pt idx="259">
                  <c:v>946.66666666666663</c:v>
                </c:pt>
                <c:pt idx="260">
                  <c:v>946.66666666666663</c:v>
                </c:pt>
                <c:pt idx="261">
                  <c:v>946.66666666666663</c:v>
                </c:pt>
                <c:pt idx="262">
                  <c:v>946.66666666666663</c:v>
                </c:pt>
                <c:pt idx="263">
                  <c:v>946.66666666666663</c:v>
                </c:pt>
                <c:pt idx="264">
                  <c:v>946.66666666666663</c:v>
                </c:pt>
                <c:pt idx="265">
                  <c:v>946.66666666666663</c:v>
                </c:pt>
                <c:pt idx="266">
                  <c:v>946.66666666666663</c:v>
                </c:pt>
                <c:pt idx="267">
                  <c:v>946.66666666666663</c:v>
                </c:pt>
                <c:pt idx="268">
                  <c:v>946.66666666666663</c:v>
                </c:pt>
                <c:pt idx="269">
                  <c:v>946.66666666666663</c:v>
                </c:pt>
                <c:pt idx="270">
                  <c:v>946.66666666666663</c:v>
                </c:pt>
                <c:pt idx="271">
                  <c:v>946.66666666666663</c:v>
                </c:pt>
                <c:pt idx="272">
                  <c:v>946.66666666666663</c:v>
                </c:pt>
                <c:pt idx="273">
                  <c:v>946.66666666666663</c:v>
                </c:pt>
                <c:pt idx="274">
                  <c:v>946.66666666666663</c:v>
                </c:pt>
                <c:pt idx="275">
                  <c:v>946.66666666666663</c:v>
                </c:pt>
                <c:pt idx="276">
                  <c:v>946.66666666666663</c:v>
                </c:pt>
                <c:pt idx="277">
                  <c:v>946.66666666666663</c:v>
                </c:pt>
                <c:pt idx="278">
                  <c:v>946.66666666666663</c:v>
                </c:pt>
                <c:pt idx="279">
                  <c:v>946.66666666666663</c:v>
                </c:pt>
                <c:pt idx="280">
                  <c:v>946.66666666666663</c:v>
                </c:pt>
                <c:pt idx="281">
                  <c:v>946.66666666666663</c:v>
                </c:pt>
                <c:pt idx="282">
                  <c:v>946.66666666666663</c:v>
                </c:pt>
                <c:pt idx="283">
                  <c:v>946.66666666666663</c:v>
                </c:pt>
                <c:pt idx="284">
                  <c:v>946.66666666666663</c:v>
                </c:pt>
                <c:pt idx="285">
                  <c:v>946.66666666666663</c:v>
                </c:pt>
                <c:pt idx="286">
                  <c:v>946.66666666666663</c:v>
                </c:pt>
                <c:pt idx="287">
                  <c:v>946.66666666666663</c:v>
                </c:pt>
                <c:pt idx="288">
                  <c:v>946.66666666666663</c:v>
                </c:pt>
                <c:pt idx="289">
                  <c:v>946.66666666666663</c:v>
                </c:pt>
                <c:pt idx="290">
                  <c:v>946.66666666666663</c:v>
                </c:pt>
                <c:pt idx="291">
                  <c:v>946.66666666666663</c:v>
                </c:pt>
                <c:pt idx="292">
                  <c:v>946.66666666666663</c:v>
                </c:pt>
                <c:pt idx="293">
                  <c:v>946.66666666666663</c:v>
                </c:pt>
                <c:pt idx="294">
                  <c:v>946.66666666666663</c:v>
                </c:pt>
                <c:pt idx="295">
                  <c:v>946.66666666666663</c:v>
                </c:pt>
                <c:pt idx="296">
                  <c:v>946.66666666666663</c:v>
                </c:pt>
                <c:pt idx="297">
                  <c:v>946.66666666666663</c:v>
                </c:pt>
                <c:pt idx="298">
                  <c:v>946.66666666666663</c:v>
                </c:pt>
                <c:pt idx="299">
                  <c:v>946.66666666666663</c:v>
                </c:pt>
                <c:pt idx="300">
                  <c:v>946.66666666666663</c:v>
                </c:pt>
                <c:pt idx="301">
                  <c:v>946.66666666666663</c:v>
                </c:pt>
                <c:pt idx="302">
                  <c:v>946.66666666666663</c:v>
                </c:pt>
                <c:pt idx="303">
                  <c:v>946.66666666666663</c:v>
                </c:pt>
                <c:pt idx="304">
                  <c:v>946.66666666666663</c:v>
                </c:pt>
                <c:pt idx="305">
                  <c:v>946.66666666666663</c:v>
                </c:pt>
                <c:pt idx="306">
                  <c:v>946.66666666666663</c:v>
                </c:pt>
                <c:pt idx="307">
                  <c:v>946.66666666666663</c:v>
                </c:pt>
                <c:pt idx="308">
                  <c:v>946.66666666666663</c:v>
                </c:pt>
                <c:pt idx="309">
                  <c:v>946.66666666666663</c:v>
                </c:pt>
                <c:pt idx="310">
                  <c:v>946.66666666666663</c:v>
                </c:pt>
                <c:pt idx="311">
                  <c:v>946.66666666666663</c:v>
                </c:pt>
                <c:pt idx="312">
                  <c:v>946.66666666666663</c:v>
                </c:pt>
                <c:pt idx="313">
                  <c:v>946.66666666666663</c:v>
                </c:pt>
                <c:pt idx="314">
                  <c:v>946.66666666666663</c:v>
                </c:pt>
                <c:pt idx="315">
                  <c:v>946.66666666666663</c:v>
                </c:pt>
                <c:pt idx="316">
                  <c:v>946.66666666666663</c:v>
                </c:pt>
                <c:pt idx="317">
                  <c:v>946.66666666666663</c:v>
                </c:pt>
                <c:pt idx="318">
                  <c:v>946.66666666666663</c:v>
                </c:pt>
                <c:pt idx="319">
                  <c:v>946.66666666666663</c:v>
                </c:pt>
                <c:pt idx="320">
                  <c:v>946.66666666666663</c:v>
                </c:pt>
                <c:pt idx="321">
                  <c:v>946.66666666666663</c:v>
                </c:pt>
                <c:pt idx="322">
                  <c:v>946.66666666666663</c:v>
                </c:pt>
                <c:pt idx="323">
                  <c:v>946.66666666666663</c:v>
                </c:pt>
              </c:numCache>
            </c:numRef>
          </c:val>
          <c:smooth val="0"/>
        </c:ser>
        <c:ser>
          <c:idx val="1"/>
          <c:order val="1"/>
          <c:tx>
            <c:strRef>
              <c:f>石化!$AF$1</c:f>
              <c:strCache>
                <c:ptCount val="1"/>
                <c:pt idx="0">
                  <c:v>聚氯乙烯PVC 東南亞 CFR(美元/公噸)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石化!$AF$216:$AF$539</c:f>
              <c:numCache>
                <c:formatCode>General</c:formatCode>
                <c:ptCount val="324"/>
                <c:pt idx="0">
                  <c:v>796</c:v>
                </c:pt>
                <c:pt idx="1">
                  <c:v>796</c:v>
                </c:pt>
                <c:pt idx="2">
                  <c:v>796</c:v>
                </c:pt>
                <c:pt idx="3">
                  <c:v>796</c:v>
                </c:pt>
                <c:pt idx="4">
                  <c:v>796</c:v>
                </c:pt>
                <c:pt idx="5">
                  <c:v>796</c:v>
                </c:pt>
                <c:pt idx="6">
                  <c:v>796</c:v>
                </c:pt>
                <c:pt idx="7">
                  <c:v>796</c:v>
                </c:pt>
                <c:pt idx="8">
                  <c:v>796</c:v>
                </c:pt>
                <c:pt idx="9">
                  <c:v>796</c:v>
                </c:pt>
                <c:pt idx="10">
                  <c:v>796</c:v>
                </c:pt>
                <c:pt idx="11">
                  <c:v>796</c:v>
                </c:pt>
                <c:pt idx="12">
                  <c:v>796</c:v>
                </c:pt>
                <c:pt idx="13">
                  <c:v>796</c:v>
                </c:pt>
                <c:pt idx="14">
                  <c:v>796</c:v>
                </c:pt>
                <c:pt idx="15">
                  <c:v>796</c:v>
                </c:pt>
                <c:pt idx="16">
                  <c:v>796</c:v>
                </c:pt>
                <c:pt idx="17">
                  <c:v>796</c:v>
                </c:pt>
                <c:pt idx="18">
                  <c:v>796</c:v>
                </c:pt>
                <c:pt idx="19">
                  <c:v>796</c:v>
                </c:pt>
                <c:pt idx="20">
                  <c:v>816</c:v>
                </c:pt>
                <c:pt idx="21">
                  <c:v>816</c:v>
                </c:pt>
                <c:pt idx="22">
                  <c:v>816</c:v>
                </c:pt>
                <c:pt idx="23">
                  <c:v>816</c:v>
                </c:pt>
                <c:pt idx="24">
                  <c:v>816</c:v>
                </c:pt>
                <c:pt idx="25">
                  <c:v>816</c:v>
                </c:pt>
                <c:pt idx="26">
                  <c:v>816</c:v>
                </c:pt>
                <c:pt idx="27">
                  <c:v>816</c:v>
                </c:pt>
                <c:pt idx="28">
                  <c:v>816</c:v>
                </c:pt>
                <c:pt idx="29">
                  <c:v>816</c:v>
                </c:pt>
                <c:pt idx="30">
                  <c:v>816</c:v>
                </c:pt>
                <c:pt idx="31">
                  <c:v>816</c:v>
                </c:pt>
                <c:pt idx="32">
                  <c:v>816</c:v>
                </c:pt>
                <c:pt idx="33">
                  <c:v>816</c:v>
                </c:pt>
                <c:pt idx="34">
                  <c:v>901</c:v>
                </c:pt>
                <c:pt idx="35">
                  <c:v>901</c:v>
                </c:pt>
                <c:pt idx="36">
                  <c:v>901</c:v>
                </c:pt>
                <c:pt idx="37">
                  <c:v>901</c:v>
                </c:pt>
                <c:pt idx="38">
                  <c:v>901</c:v>
                </c:pt>
                <c:pt idx="39">
                  <c:v>901</c:v>
                </c:pt>
                <c:pt idx="40">
                  <c:v>901</c:v>
                </c:pt>
                <c:pt idx="41">
                  <c:v>816</c:v>
                </c:pt>
                <c:pt idx="42">
                  <c:v>816</c:v>
                </c:pt>
                <c:pt idx="43">
                  <c:v>816</c:v>
                </c:pt>
                <c:pt idx="44">
                  <c:v>816</c:v>
                </c:pt>
                <c:pt idx="45">
                  <c:v>816</c:v>
                </c:pt>
                <c:pt idx="46">
                  <c:v>816</c:v>
                </c:pt>
                <c:pt idx="47">
                  <c:v>816</c:v>
                </c:pt>
                <c:pt idx="48">
                  <c:v>826</c:v>
                </c:pt>
                <c:pt idx="49">
                  <c:v>826</c:v>
                </c:pt>
                <c:pt idx="50">
                  <c:v>826</c:v>
                </c:pt>
                <c:pt idx="51">
                  <c:v>826</c:v>
                </c:pt>
                <c:pt idx="52">
                  <c:v>826</c:v>
                </c:pt>
                <c:pt idx="53">
                  <c:v>826</c:v>
                </c:pt>
                <c:pt idx="54">
                  <c:v>826</c:v>
                </c:pt>
                <c:pt idx="55">
                  <c:v>826</c:v>
                </c:pt>
                <c:pt idx="56">
                  <c:v>826</c:v>
                </c:pt>
                <c:pt idx="57">
                  <c:v>826</c:v>
                </c:pt>
                <c:pt idx="58">
                  <c:v>826</c:v>
                </c:pt>
                <c:pt idx="59">
                  <c:v>826</c:v>
                </c:pt>
                <c:pt idx="60">
                  <c:v>826</c:v>
                </c:pt>
                <c:pt idx="61">
                  <c:v>826</c:v>
                </c:pt>
                <c:pt idx="62">
                  <c:v>826</c:v>
                </c:pt>
                <c:pt idx="63">
                  <c:v>826</c:v>
                </c:pt>
                <c:pt idx="64">
                  <c:v>826</c:v>
                </c:pt>
                <c:pt idx="65">
                  <c:v>826</c:v>
                </c:pt>
                <c:pt idx="66">
                  <c:v>826</c:v>
                </c:pt>
                <c:pt idx="67">
                  <c:v>826</c:v>
                </c:pt>
                <c:pt idx="68">
                  <c:v>826</c:v>
                </c:pt>
                <c:pt idx="69">
                  <c:v>831</c:v>
                </c:pt>
                <c:pt idx="70">
                  <c:v>831</c:v>
                </c:pt>
                <c:pt idx="71">
                  <c:v>831</c:v>
                </c:pt>
                <c:pt idx="72">
                  <c:v>831</c:v>
                </c:pt>
                <c:pt idx="73">
                  <c:v>831</c:v>
                </c:pt>
                <c:pt idx="74">
                  <c:v>831</c:v>
                </c:pt>
                <c:pt idx="75">
                  <c:v>831</c:v>
                </c:pt>
                <c:pt idx="76">
                  <c:v>851</c:v>
                </c:pt>
                <c:pt idx="77">
                  <c:v>851</c:v>
                </c:pt>
                <c:pt idx="78">
                  <c:v>851</c:v>
                </c:pt>
                <c:pt idx="79">
                  <c:v>851</c:v>
                </c:pt>
                <c:pt idx="80">
                  <c:v>851</c:v>
                </c:pt>
                <c:pt idx="81">
                  <c:v>851</c:v>
                </c:pt>
                <c:pt idx="82">
                  <c:v>851</c:v>
                </c:pt>
                <c:pt idx="83">
                  <c:v>871</c:v>
                </c:pt>
                <c:pt idx="84">
                  <c:v>871</c:v>
                </c:pt>
                <c:pt idx="85">
                  <c:v>871</c:v>
                </c:pt>
                <c:pt idx="86">
                  <c:v>871</c:v>
                </c:pt>
                <c:pt idx="87">
                  <c:v>871</c:v>
                </c:pt>
                <c:pt idx="88">
                  <c:v>871</c:v>
                </c:pt>
                <c:pt idx="89">
                  <c:v>871</c:v>
                </c:pt>
                <c:pt idx="90">
                  <c:v>876</c:v>
                </c:pt>
                <c:pt idx="91">
                  <c:v>876</c:v>
                </c:pt>
                <c:pt idx="92">
                  <c:v>876</c:v>
                </c:pt>
                <c:pt idx="93">
                  <c:v>876</c:v>
                </c:pt>
                <c:pt idx="94">
                  <c:v>876</c:v>
                </c:pt>
                <c:pt idx="95">
                  <c:v>876</c:v>
                </c:pt>
                <c:pt idx="96">
                  <c:v>876</c:v>
                </c:pt>
                <c:pt idx="97">
                  <c:v>881</c:v>
                </c:pt>
                <c:pt idx="98">
                  <c:v>881</c:v>
                </c:pt>
                <c:pt idx="99">
                  <c:v>881</c:v>
                </c:pt>
                <c:pt idx="100">
                  <c:v>881</c:v>
                </c:pt>
                <c:pt idx="101">
                  <c:v>881</c:v>
                </c:pt>
                <c:pt idx="102">
                  <c:v>881</c:v>
                </c:pt>
                <c:pt idx="103">
                  <c:v>881</c:v>
                </c:pt>
                <c:pt idx="104">
                  <c:v>886</c:v>
                </c:pt>
                <c:pt idx="105">
                  <c:v>886</c:v>
                </c:pt>
                <c:pt idx="106">
                  <c:v>886</c:v>
                </c:pt>
                <c:pt idx="107">
                  <c:v>886</c:v>
                </c:pt>
                <c:pt idx="108">
                  <c:v>886</c:v>
                </c:pt>
                <c:pt idx="109">
                  <c:v>886</c:v>
                </c:pt>
                <c:pt idx="110">
                  <c:v>886</c:v>
                </c:pt>
                <c:pt idx="111">
                  <c:v>886</c:v>
                </c:pt>
                <c:pt idx="112">
                  <c:v>886</c:v>
                </c:pt>
                <c:pt idx="113">
                  <c:v>886</c:v>
                </c:pt>
                <c:pt idx="114">
                  <c:v>886</c:v>
                </c:pt>
                <c:pt idx="115">
                  <c:v>886</c:v>
                </c:pt>
                <c:pt idx="116">
                  <c:v>886</c:v>
                </c:pt>
                <c:pt idx="117">
                  <c:v>886</c:v>
                </c:pt>
                <c:pt idx="118">
                  <c:v>886</c:v>
                </c:pt>
                <c:pt idx="119">
                  <c:v>886</c:v>
                </c:pt>
                <c:pt idx="120">
                  <c:v>886</c:v>
                </c:pt>
                <c:pt idx="121">
                  <c:v>886</c:v>
                </c:pt>
                <c:pt idx="122">
                  <c:v>886</c:v>
                </c:pt>
                <c:pt idx="123">
                  <c:v>886</c:v>
                </c:pt>
                <c:pt idx="124">
                  <c:v>886</c:v>
                </c:pt>
                <c:pt idx="125">
                  <c:v>886</c:v>
                </c:pt>
                <c:pt idx="126">
                  <c:v>886</c:v>
                </c:pt>
                <c:pt idx="127">
                  <c:v>886</c:v>
                </c:pt>
                <c:pt idx="128">
                  <c:v>886</c:v>
                </c:pt>
                <c:pt idx="129">
                  <c:v>886</c:v>
                </c:pt>
                <c:pt idx="130">
                  <c:v>886</c:v>
                </c:pt>
                <c:pt idx="131">
                  <c:v>886</c:v>
                </c:pt>
                <c:pt idx="132">
                  <c:v>886</c:v>
                </c:pt>
                <c:pt idx="133">
                  <c:v>886</c:v>
                </c:pt>
                <c:pt idx="134">
                  <c:v>886</c:v>
                </c:pt>
                <c:pt idx="135">
                  <c:v>886</c:v>
                </c:pt>
                <c:pt idx="136">
                  <c:v>886</c:v>
                </c:pt>
                <c:pt idx="137">
                  <c:v>886</c:v>
                </c:pt>
                <c:pt idx="138">
                  <c:v>886</c:v>
                </c:pt>
                <c:pt idx="139">
                  <c:v>861</c:v>
                </c:pt>
                <c:pt idx="140">
                  <c:v>861</c:v>
                </c:pt>
                <c:pt idx="141">
                  <c:v>861</c:v>
                </c:pt>
                <c:pt idx="142">
                  <c:v>861</c:v>
                </c:pt>
                <c:pt idx="143">
                  <c:v>861</c:v>
                </c:pt>
                <c:pt idx="144">
                  <c:v>861</c:v>
                </c:pt>
                <c:pt idx="145">
                  <c:v>861</c:v>
                </c:pt>
                <c:pt idx="146">
                  <c:v>856</c:v>
                </c:pt>
                <c:pt idx="147">
                  <c:v>856</c:v>
                </c:pt>
                <c:pt idx="148">
                  <c:v>856</c:v>
                </c:pt>
                <c:pt idx="149">
                  <c:v>856</c:v>
                </c:pt>
                <c:pt idx="150">
                  <c:v>856</c:v>
                </c:pt>
                <c:pt idx="151">
                  <c:v>856</c:v>
                </c:pt>
                <c:pt idx="152">
                  <c:v>856</c:v>
                </c:pt>
                <c:pt idx="153">
                  <c:v>851</c:v>
                </c:pt>
                <c:pt idx="154">
                  <c:v>851</c:v>
                </c:pt>
                <c:pt idx="155">
                  <c:v>851</c:v>
                </c:pt>
                <c:pt idx="156">
                  <c:v>851</c:v>
                </c:pt>
                <c:pt idx="157">
                  <c:v>851</c:v>
                </c:pt>
                <c:pt idx="158">
                  <c:v>851</c:v>
                </c:pt>
                <c:pt idx="159">
                  <c:v>851</c:v>
                </c:pt>
                <c:pt idx="160">
                  <c:v>851</c:v>
                </c:pt>
                <c:pt idx="161">
                  <c:v>851</c:v>
                </c:pt>
                <c:pt idx="162">
                  <c:v>851</c:v>
                </c:pt>
                <c:pt idx="163">
                  <c:v>851</c:v>
                </c:pt>
                <c:pt idx="164">
                  <c:v>851</c:v>
                </c:pt>
                <c:pt idx="165">
                  <c:v>851</c:v>
                </c:pt>
                <c:pt idx="166">
                  <c:v>851</c:v>
                </c:pt>
                <c:pt idx="167">
                  <c:v>856</c:v>
                </c:pt>
                <c:pt idx="168">
                  <c:v>856</c:v>
                </c:pt>
                <c:pt idx="169">
                  <c:v>856</c:v>
                </c:pt>
                <c:pt idx="170">
                  <c:v>856</c:v>
                </c:pt>
                <c:pt idx="171">
                  <c:v>856</c:v>
                </c:pt>
                <c:pt idx="172">
                  <c:v>856</c:v>
                </c:pt>
                <c:pt idx="173">
                  <c:v>856</c:v>
                </c:pt>
                <c:pt idx="174">
                  <c:v>851</c:v>
                </c:pt>
                <c:pt idx="175">
                  <c:v>851</c:v>
                </c:pt>
                <c:pt idx="176">
                  <c:v>851</c:v>
                </c:pt>
                <c:pt idx="177">
                  <c:v>851</c:v>
                </c:pt>
                <c:pt idx="178">
                  <c:v>851</c:v>
                </c:pt>
                <c:pt idx="179">
                  <c:v>851</c:v>
                </c:pt>
                <c:pt idx="180">
                  <c:v>851</c:v>
                </c:pt>
                <c:pt idx="181">
                  <c:v>851</c:v>
                </c:pt>
                <c:pt idx="182">
                  <c:v>851</c:v>
                </c:pt>
                <c:pt idx="183">
                  <c:v>851</c:v>
                </c:pt>
                <c:pt idx="184">
                  <c:v>851</c:v>
                </c:pt>
                <c:pt idx="185">
                  <c:v>851</c:v>
                </c:pt>
                <c:pt idx="186">
                  <c:v>851</c:v>
                </c:pt>
                <c:pt idx="187">
                  <c:v>851</c:v>
                </c:pt>
                <c:pt idx="188">
                  <c:v>851</c:v>
                </c:pt>
                <c:pt idx="189">
                  <c:v>851</c:v>
                </c:pt>
                <c:pt idx="190">
                  <c:v>851</c:v>
                </c:pt>
                <c:pt idx="191">
                  <c:v>851</c:v>
                </c:pt>
                <c:pt idx="192">
                  <c:v>851</c:v>
                </c:pt>
                <c:pt idx="193">
                  <c:v>851</c:v>
                </c:pt>
                <c:pt idx="194">
                  <c:v>851</c:v>
                </c:pt>
                <c:pt idx="195">
                  <c:v>851</c:v>
                </c:pt>
                <c:pt idx="196">
                  <c:v>851</c:v>
                </c:pt>
                <c:pt idx="197">
                  <c:v>851</c:v>
                </c:pt>
                <c:pt idx="198">
                  <c:v>851</c:v>
                </c:pt>
                <c:pt idx="199">
                  <c:v>851</c:v>
                </c:pt>
                <c:pt idx="200">
                  <c:v>851</c:v>
                </c:pt>
                <c:pt idx="201">
                  <c:v>851</c:v>
                </c:pt>
                <c:pt idx="202">
                  <c:v>851</c:v>
                </c:pt>
                <c:pt idx="203">
                  <c:v>851</c:v>
                </c:pt>
                <c:pt idx="204">
                  <c:v>851</c:v>
                </c:pt>
                <c:pt idx="205">
                  <c:v>851</c:v>
                </c:pt>
                <c:pt idx="206">
                  <c:v>851</c:v>
                </c:pt>
                <c:pt idx="207">
                  <c:v>851</c:v>
                </c:pt>
                <c:pt idx="208">
                  <c:v>851</c:v>
                </c:pt>
                <c:pt idx="209">
                  <c:v>846</c:v>
                </c:pt>
                <c:pt idx="210">
                  <c:v>846</c:v>
                </c:pt>
                <c:pt idx="211">
                  <c:v>846</c:v>
                </c:pt>
                <c:pt idx="212">
                  <c:v>846</c:v>
                </c:pt>
                <c:pt idx="213">
                  <c:v>846</c:v>
                </c:pt>
                <c:pt idx="214">
                  <c:v>846</c:v>
                </c:pt>
                <c:pt idx="215">
                  <c:v>846</c:v>
                </c:pt>
                <c:pt idx="216">
                  <c:v>831</c:v>
                </c:pt>
                <c:pt idx="217">
                  <c:v>831</c:v>
                </c:pt>
                <c:pt idx="218">
                  <c:v>831</c:v>
                </c:pt>
                <c:pt idx="219">
                  <c:v>831</c:v>
                </c:pt>
                <c:pt idx="220">
                  <c:v>831</c:v>
                </c:pt>
                <c:pt idx="221">
                  <c:v>831</c:v>
                </c:pt>
                <c:pt idx="222">
                  <c:v>831</c:v>
                </c:pt>
                <c:pt idx="223">
                  <c:v>816</c:v>
                </c:pt>
                <c:pt idx="224">
                  <c:v>816</c:v>
                </c:pt>
                <c:pt idx="225">
                  <c:v>816</c:v>
                </c:pt>
                <c:pt idx="226">
                  <c:v>816</c:v>
                </c:pt>
                <c:pt idx="227">
                  <c:v>816</c:v>
                </c:pt>
                <c:pt idx="228">
                  <c:v>816</c:v>
                </c:pt>
                <c:pt idx="229">
                  <c:v>816</c:v>
                </c:pt>
                <c:pt idx="230">
                  <c:v>831</c:v>
                </c:pt>
                <c:pt idx="231">
                  <c:v>831</c:v>
                </c:pt>
                <c:pt idx="232">
                  <c:v>831</c:v>
                </c:pt>
                <c:pt idx="233">
                  <c:v>831</c:v>
                </c:pt>
                <c:pt idx="234">
                  <c:v>831</c:v>
                </c:pt>
                <c:pt idx="235">
                  <c:v>831</c:v>
                </c:pt>
                <c:pt idx="236">
                  <c:v>831</c:v>
                </c:pt>
                <c:pt idx="237">
                  <c:v>801</c:v>
                </c:pt>
                <c:pt idx="238">
                  <c:v>801</c:v>
                </c:pt>
                <c:pt idx="239">
                  <c:v>801</c:v>
                </c:pt>
                <c:pt idx="240">
                  <c:v>801</c:v>
                </c:pt>
                <c:pt idx="241">
                  <c:v>801</c:v>
                </c:pt>
                <c:pt idx="242">
                  <c:v>801</c:v>
                </c:pt>
                <c:pt idx="243">
                  <c:v>801</c:v>
                </c:pt>
                <c:pt idx="244">
                  <c:v>811</c:v>
                </c:pt>
                <c:pt idx="245">
                  <c:v>811</c:v>
                </c:pt>
                <c:pt idx="246">
                  <c:v>811</c:v>
                </c:pt>
                <c:pt idx="247">
                  <c:v>811</c:v>
                </c:pt>
                <c:pt idx="248">
                  <c:v>811</c:v>
                </c:pt>
                <c:pt idx="249">
                  <c:v>811</c:v>
                </c:pt>
                <c:pt idx="250">
                  <c:v>811</c:v>
                </c:pt>
                <c:pt idx="251">
                  <c:v>816</c:v>
                </c:pt>
                <c:pt idx="252">
                  <c:v>816</c:v>
                </c:pt>
                <c:pt idx="253">
                  <c:v>816</c:v>
                </c:pt>
                <c:pt idx="254">
                  <c:v>816</c:v>
                </c:pt>
                <c:pt idx="255">
                  <c:v>816</c:v>
                </c:pt>
                <c:pt idx="256">
                  <c:v>816</c:v>
                </c:pt>
                <c:pt idx="257">
                  <c:v>816</c:v>
                </c:pt>
                <c:pt idx="258">
                  <c:v>801</c:v>
                </c:pt>
                <c:pt idx="259">
                  <c:v>801</c:v>
                </c:pt>
                <c:pt idx="260">
                  <c:v>801</c:v>
                </c:pt>
                <c:pt idx="261">
                  <c:v>801</c:v>
                </c:pt>
                <c:pt idx="262">
                  <c:v>801</c:v>
                </c:pt>
                <c:pt idx="263">
                  <c:v>801</c:v>
                </c:pt>
                <c:pt idx="264">
                  <c:v>801</c:v>
                </c:pt>
                <c:pt idx="265">
                  <c:v>791</c:v>
                </c:pt>
                <c:pt idx="266">
                  <c:v>791</c:v>
                </c:pt>
                <c:pt idx="267">
                  <c:v>791</c:v>
                </c:pt>
                <c:pt idx="268">
                  <c:v>791</c:v>
                </c:pt>
                <c:pt idx="269">
                  <c:v>791</c:v>
                </c:pt>
                <c:pt idx="270">
                  <c:v>791</c:v>
                </c:pt>
                <c:pt idx="271">
                  <c:v>791</c:v>
                </c:pt>
                <c:pt idx="272">
                  <c:v>791</c:v>
                </c:pt>
                <c:pt idx="273">
                  <c:v>791</c:v>
                </c:pt>
                <c:pt idx="274">
                  <c:v>791</c:v>
                </c:pt>
                <c:pt idx="275">
                  <c:v>791</c:v>
                </c:pt>
                <c:pt idx="276">
                  <c:v>791</c:v>
                </c:pt>
                <c:pt idx="277">
                  <c:v>791</c:v>
                </c:pt>
                <c:pt idx="278">
                  <c:v>791</c:v>
                </c:pt>
                <c:pt idx="279">
                  <c:v>801</c:v>
                </c:pt>
                <c:pt idx="280">
                  <c:v>801</c:v>
                </c:pt>
                <c:pt idx="281">
                  <c:v>801</c:v>
                </c:pt>
                <c:pt idx="282">
                  <c:v>801</c:v>
                </c:pt>
                <c:pt idx="283">
                  <c:v>801</c:v>
                </c:pt>
                <c:pt idx="284">
                  <c:v>801</c:v>
                </c:pt>
                <c:pt idx="285">
                  <c:v>801</c:v>
                </c:pt>
                <c:pt idx="286">
                  <c:v>796</c:v>
                </c:pt>
                <c:pt idx="287">
                  <c:v>796</c:v>
                </c:pt>
                <c:pt idx="288">
                  <c:v>796</c:v>
                </c:pt>
                <c:pt idx="289">
                  <c:v>796</c:v>
                </c:pt>
                <c:pt idx="290">
                  <c:v>796</c:v>
                </c:pt>
                <c:pt idx="291">
                  <c:v>796</c:v>
                </c:pt>
                <c:pt idx="292">
                  <c:v>796</c:v>
                </c:pt>
                <c:pt idx="293">
                  <c:v>781</c:v>
                </c:pt>
                <c:pt idx="294">
                  <c:v>781</c:v>
                </c:pt>
                <c:pt idx="295">
                  <c:v>781</c:v>
                </c:pt>
                <c:pt idx="296">
                  <c:v>781</c:v>
                </c:pt>
                <c:pt idx="297">
                  <c:v>781</c:v>
                </c:pt>
                <c:pt idx="298">
                  <c:v>781</c:v>
                </c:pt>
                <c:pt idx="299">
                  <c:v>781</c:v>
                </c:pt>
                <c:pt idx="300">
                  <c:v>771</c:v>
                </c:pt>
                <c:pt idx="301">
                  <c:v>771</c:v>
                </c:pt>
                <c:pt idx="302">
                  <c:v>771</c:v>
                </c:pt>
                <c:pt idx="303">
                  <c:v>771</c:v>
                </c:pt>
                <c:pt idx="304">
                  <c:v>771</c:v>
                </c:pt>
                <c:pt idx="305">
                  <c:v>771</c:v>
                </c:pt>
                <c:pt idx="306">
                  <c:v>771</c:v>
                </c:pt>
                <c:pt idx="307">
                  <c:v>771</c:v>
                </c:pt>
                <c:pt idx="308">
                  <c:v>771</c:v>
                </c:pt>
                <c:pt idx="309">
                  <c:v>771</c:v>
                </c:pt>
                <c:pt idx="310">
                  <c:v>771</c:v>
                </c:pt>
                <c:pt idx="311">
                  <c:v>771</c:v>
                </c:pt>
                <c:pt idx="312">
                  <c:v>771</c:v>
                </c:pt>
                <c:pt idx="313">
                  <c:v>771</c:v>
                </c:pt>
                <c:pt idx="314">
                  <c:v>771</c:v>
                </c:pt>
                <c:pt idx="315">
                  <c:v>771</c:v>
                </c:pt>
                <c:pt idx="316">
                  <c:v>771</c:v>
                </c:pt>
                <c:pt idx="317">
                  <c:v>771</c:v>
                </c:pt>
                <c:pt idx="318">
                  <c:v>771</c:v>
                </c:pt>
                <c:pt idx="319">
                  <c:v>771</c:v>
                </c:pt>
                <c:pt idx="320">
                  <c:v>771</c:v>
                </c:pt>
                <c:pt idx="321">
                  <c:v>731</c:v>
                </c:pt>
                <c:pt idx="322">
                  <c:v>731</c:v>
                </c:pt>
                <c:pt idx="323">
                  <c:v>731</c:v>
                </c:pt>
              </c:numCache>
            </c:numRef>
          </c:val>
          <c:smooth val="0"/>
        </c:ser>
        <c:dLbls>
          <c:showLegendKey val="0"/>
          <c:showVal val="0"/>
          <c:showCatName val="0"/>
          <c:showSerName val="0"/>
          <c:showPercent val="0"/>
          <c:showBubbleSize val="0"/>
        </c:dLbls>
        <c:marker val="1"/>
        <c:smooth val="0"/>
        <c:axId val="263890816"/>
        <c:axId val="263892352"/>
      </c:lineChart>
      <c:dateAx>
        <c:axId val="263890816"/>
        <c:scaling>
          <c:orientation val="minMax"/>
          <c:max val="42328"/>
          <c:min val="42005"/>
        </c:scaling>
        <c:delete val="0"/>
        <c:axPos val="b"/>
        <c:numFmt formatCode="m/d/yyyy" sourceLinked="1"/>
        <c:majorTickMark val="out"/>
        <c:minorTickMark val="none"/>
        <c:tickLblPos val="nextTo"/>
        <c:crossAx val="263892352"/>
        <c:crosses val="autoZero"/>
        <c:auto val="1"/>
        <c:lblOffset val="100"/>
        <c:baseTimeUnit val="days"/>
        <c:majorUnit val="1"/>
        <c:majorTimeUnit val="months"/>
        <c:minorUnit val="1"/>
        <c:minorTimeUnit val="months"/>
      </c:dateAx>
      <c:valAx>
        <c:axId val="263892352"/>
        <c:scaling>
          <c:orientation val="minMax"/>
          <c:min val="700"/>
        </c:scaling>
        <c:delete val="0"/>
        <c:axPos val="l"/>
        <c:majorGridlines/>
        <c:numFmt formatCode="General" sourceLinked="1"/>
        <c:majorTickMark val="out"/>
        <c:minorTickMark val="none"/>
        <c:tickLblPos val="nextTo"/>
        <c:crossAx val="263890816"/>
        <c:crosses val="autoZero"/>
        <c:crossBetween val="between"/>
      </c:valAx>
    </c:plotArea>
    <c:legend>
      <c:legendPos val="b"/>
      <c:layout>
        <c:manualLayout>
          <c:xMode val="edge"/>
          <c:yMode val="edge"/>
          <c:x val="0.24566864671388319"/>
          <c:y val="0.86197867681912943"/>
          <c:w val="0.53767782347117532"/>
          <c:h val="0.13802132318087088"/>
        </c:manualLayout>
      </c:layout>
      <c:overlay val="0"/>
    </c:legend>
    <c:plotVisOnly val="1"/>
    <c:dispBlanksAs val="gap"/>
    <c:showDLblsOverMax val="0"/>
  </c:chart>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604716077157045"/>
          <c:y val="0.13464294235947791"/>
          <c:w val="0.79856705411823459"/>
          <c:h val="0.56494535198025619"/>
        </c:manualLayout>
      </c:layout>
      <c:lineChart>
        <c:grouping val="standard"/>
        <c:varyColors val="0"/>
        <c:ser>
          <c:idx val="0"/>
          <c:order val="0"/>
          <c:tx>
            <c:strRef>
              <c:f>石化!$AG$1</c:f>
              <c:strCache>
                <c:ptCount val="1"/>
                <c:pt idx="0">
                  <c:v>低密度聚乙烯LDPE 射出級 亞聚 牌價(美元/公噸)</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石化!$AG$216:$AG$539</c:f>
              <c:numCache>
                <c:formatCode>General</c:formatCode>
                <c:ptCount val="324"/>
                <c:pt idx="0">
                  <c:v>2116.6666666666647</c:v>
                </c:pt>
                <c:pt idx="1">
                  <c:v>2116.6666666666647</c:v>
                </c:pt>
                <c:pt idx="2">
                  <c:v>2116.6666666666647</c:v>
                </c:pt>
                <c:pt idx="3">
                  <c:v>2116.6666666666647</c:v>
                </c:pt>
                <c:pt idx="4">
                  <c:v>2116.6666666666647</c:v>
                </c:pt>
                <c:pt idx="5">
                  <c:v>2116.6666666666647</c:v>
                </c:pt>
                <c:pt idx="6">
                  <c:v>2116.6666666666647</c:v>
                </c:pt>
                <c:pt idx="7">
                  <c:v>2116.6666666666647</c:v>
                </c:pt>
                <c:pt idx="8">
                  <c:v>2116.6666666666647</c:v>
                </c:pt>
                <c:pt idx="9">
                  <c:v>2116.6666666666647</c:v>
                </c:pt>
                <c:pt idx="10">
                  <c:v>2116.6666666666647</c:v>
                </c:pt>
                <c:pt idx="11">
                  <c:v>2116.6666666666647</c:v>
                </c:pt>
                <c:pt idx="12">
                  <c:v>2116.6666666666647</c:v>
                </c:pt>
                <c:pt idx="13">
                  <c:v>2116.6666666666647</c:v>
                </c:pt>
                <c:pt idx="14">
                  <c:v>2116.6666666666647</c:v>
                </c:pt>
                <c:pt idx="15">
                  <c:v>2116.6666666666647</c:v>
                </c:pt>
                <c:pt idx="16">
                  <c:v>2116.6666666666647</c:v>
                </c:pt>
                <c:pt idx="17">
                  <c:v>2116.6666666666647</c:v>
                </c:pt>
                <c:pt idx="18">
                  <c:v>2116.6666666666647</c:v>
                </c:pt>
                <c:pt idx="19">
                  <c:v>2116.6666666666647</c:v>
                </c:pt>
                <c:pt idx="20">
                  <c:v>2116.6666666666647</c:v>
                </c:pt>
                <c:pt idx="21">
                  <c:v>2116.6666666666647</c:v>
                </c:pt>
                <c:pt idx="22">
                  <c:v>2116.6666666666647</c:v>
                </c:pt>
                <c:pt idx="23">
                  <c:v>2116.6666666666647</c:v>
                </c:pt>
                <c:pt idx="24">
                  <c:v>2116.6666666666647</c:v>
                </c:pt>
                <c:pt idx="25">
                  <c:v>2116.6666666666647</c:v>
                </c:pt>
                <c:pt idx="26">
                  <c:v>2116.6666666666647</c:v>
                </c:pt>
                <c:pt idx="27">
                  <c:v>2116.6666666666647</c:v>
                </c:pt>
                <c:pt idx="28">
                  <c:v>2116.6666666666647</c:v>
                </c:pt>
                <c:pt idx="29">
                  <c:v>2116.6666666666647</c:v>
                </c:pt>
                <c:pt idx="30">
                  <c:v>2116.6666666666647</c:v>
                </c:pt>
                <c:pt idx="31">
                  <c:v>1966.6666666666667</c:v>
                </c:pt>
                <c:pt idx="32">
                  <c:v>1966.6666666666667</c:v>
                </c:pt>
                <c:pt idx="33">
                  <c:v>1966.6666666666667</c:v>
                </c:pt>
                <c:pt idx="34">
                  <c:v>1966.6666666666667</c:v>
                </c:pt>
                <c:pt idx="35">
                  <c:v>1966.6666666666667</c:v>
                </c:pt>
                <c:pt idx="36">
                  <c:v>1966.6666666666667</c:v>
                </c:pt>
                <c:pt idx="37">
                  <c:v>1966.6666666666667</c:v>
                </c:pt>
                <c:pt idx="38">
                  <c:v>1966.6666666666667</c:v>
                </c:pt>
                <c:pt idx="39">
                  <c:v>1966.6666666666667</c:v>
                </c:pt>
                <c:pt idx="40">
                  <c:v>1966.6666666666667</c:v>
                </c:pt>
                <c:pt idx="41">
                  <c:v>1966.6666666666667</c:v>
                </c:pt>
                <c:pt idx="42">
                  <c:v>1966.6666666666667</c:v>
                </c:pt>
                <c:pt idx="43">
                  <c:v>1966.6666666666667</c:v>
                </c:pt>
                <c:pt idx="44">
                  <c:v>1966.6666666666667</c:v>
                </c:pt>
                <c:pt idx="45">
                  <c:v>1966.6666666666667</c:v>
                </c:pt>
                <c:pt idx="46">
                  <c:v>1966.6666666666667</c:v>
                </c:pt>
                <c:pt idx="47">
                  <c:v>1966.6666666666667</c:v>
                </c:pt>
                <c:pt idx="48">
                  <c:v>1966.6666666666667</c:v>
                </c:pt>
                <c:pt idx="49">
                  <c:v>1966.6666666666667</c:v>
                </c:pt>
                <c:pt idx="50">
                  <c:v>1966.6666666666667</c:v>
                </c:pt>
                <c:pt idx="51">
                  <c:v>1966.6666666666667</c:v>
                </c:pt>
                <c:pt idx="52">
                  <c:v>1966.6666666666667</c:v>
                </c:pt>
                <c:pt idx="53">
                  <c:v>1966.6666666666667</c:v>
                </c:pt>
                <c:pt idx="54">
                  <c:v>1966.6666666666667</c:v>
                </c:pt>
                <c:pt idx="55">
                  <c:v>1966.6666666666667</c:v>
                </c:pt>
                <c:pt idx="56">
                  <c:v>1966.6666666666667</c:v>
                </c:pt>
                <c:pt idx="57">
                  <c:v>1966.6666666666667</c:v>
                </c:pt>
                <c:pt idx="58">
                  <c:v>1966.6666666666667</c:v>
                </c:pt>
                <c:pt idx="59">
                  <c:v>1933.3333333333326</c:v>
                </c:pt>
                <c:pt idx="60">
                  <c:v>1933.3333333333326</c:v>
                </c:pt>
                <c:pt idx="61">
                  <c:v>1933.3333333333326</c:v>
                </c:pt>
                <c:pt idx="62">
                  <c:v>1933.3333333333326</c:v>
                </c:pt>
                <c:pt idx="63">
                  <c:v>1933.3333333333326</c:v>
                </c:pt>
                <c:pt idx="64">
                  <c:v>1933.3333333333326</c:v>
                </c:pt>
                <c:pt idx="65">
                  <c:v>1933.3333333333326</c:v>
                </c:pt>
                <c:pt idx="66">
                  <c:v>1933.3333333333326</c:v>
                </c:pt>
                <c:pt idx="67">
                  <c:v>1933.3333333333326</c:v>
                </c:pt>
                <c:pt idx="68">
                  <c:v>1933.3333333333326</c:v>
                </c:pt>
                <c:pt idx="69">
                  <c:v>1933.3333333333326</c:v>
                </c:pt>
                <c:pt idx="70">
                  <c:v>1933.3333333333326</c:v>
                </c:pt>
                <c:pt idx="71">
                  <c:v>1933.3333333333326</c:v>
                </c:pt>
                <c:pt idx="72">
                  <c:v>1933.3333333333326</c:v>
                </c:pt>
                <c:pt idx="73">
                  <c:v>1933.3333333333326</c:v>
                </c:pt>
                <c:pt idx="74">
                  <c:v>1933.3333333333326</c:v>
                </c:pt>
                <c:pt idx="75">
                  <c:v>1933.3333333333326</c:v>
                </c:pt>
                <c:pt idx="76">
                  <c:v>1933.3333333333326</c:v>
                </c:pt>
                <c:pt idx="77">
                  <c:v>1933.3333333333326</c:v>
                </c:pt>
                <c:pt idx="78">
                  <c:v>1933.3333333333326</c:v>
                </c:pt>
                <c:pt idx="79">
                  <c:v>1933.3333333333326</c:v>
                </c:pt>
                <c:pt idx="80">
                  <c:v>1933.3333333333326</c:v>
                </c:pt>
                <c:pt idx="81">
                  <c:v>1933.3333333333326</c:v>
                </c:pt>
                <c:pt idx="82">
                  <c:v>1933.3333333333326</c:v>
                </c:pt>
                <c:pt idx="83">
                  <c:v>1933.3333333333326</c:v>
                </c:pt>
                <c:pt idx="84">
                  <c:v>1933.3333333333326</c:v>
                </c:pt>
                <c:pt idx="85">
                  <c:v>1933.3333333333326</c:v>
                </c:pt>
                <c:pt idx="86">
                  <c:v>1933.3333333333326</c:v>
                </c:pt>
                <c:pt idx="87">
                  <c:v>1933.3333333333326</c:v>
                </c:pt>
                <c:pt idx="88">
                  <c:v>1933.3333333333326</c:v>
                </c:pt>
                <c:pt idx="89">
                  <c:v>1933.3333333333326</c:v>
                </c:pt>
                <c:pt idx="90">
                  <c:v>2033.3333333333326</c:v>
                </c:pt>
                <c:pt idx="91">
                  <c:v>2033.3333333333326</c:v>
                </c:pt>
                <c:pt idx="92">
                  <c:v>2033.3333333333326</c:v>
                </c:pt>
                <c:pt idx="93">
                  <c:v>2033.3333333333326</c:v>
                </c:pt>
                <c:pt idx="94">
                  <c:v>2033.3333333333326</c:v>
                </c:pt>
                <c:pt idx="95">
                  <c:v>2033.3333333333326</c:v>
                </c:pt>
                <c:pt idx="96">
                  <c:v>2033.3333333333326</c:v>
                </c:pt>
                <c:pt idx="97">
                  <c:v>2033.3333333333326</c:v>
                </c:pt>
                <c:pt idx="98">
                  <c:v>2033.3333333333326</c:v>
                </c:pt>
                <c:pt idx="99">
                  <c:v>2033.3333333333326</c:v>
                </c:pt>
                <c:pt idx="100">
                  <c:v>2033.3333333333326</c:v>
                </c:pt>
                <c:pt idx="101">
                  <c:v>2033.3333333333326</c:v>
                </c:pt>
                <c:pt idx="102">
                  <c:v>2033.3333333333326</c:v>
                </c:pt>
                <c:pt idx="103">
                  <c:v>2033.3333333333326</c:v>
                </c:pt>
                <c:pt idx="104">
                  <c:v>2033.3333333333326</c:v>
                </c:pt>
                <c:pt idx="105">
                  <c:v>2033.3333333333326</c:v>
                </c:pt>
                <c:pt idx="106">
                  <c:v>2033.3333333333326</c:v>
                </c:pt>
                <c:pt idx="107">
                  <c:v>2033.3333333333326</c:v>
                </c:pt>
                <c:pt idx="108">
                  <c:v>2033.3333333333326</c:v>
                </c:pt>
                <c:pt idx="109">
                  <c:v>2033.3333333333326</c:v>
                </c:pt>
                <c:pt idx="110">
                  <c:v>2033.3333333333326</c:v>
                </c:pt>
                <c:pt idx="111">
                  <c:v>2033.3333333333326</c:v>
                </c:pt>
                <c:pt idx="112">
                  <c:v>2033.3333333333326</c:v>
                </c:pt>
                <c:pt idx="113">
                  <c:v>2033.3333333333326</c:v>
                </c:pt>
                <c:pt idx="114">
                  <c:v>2033.3333333333326</c:v>
                </c:pt>
                <c:pt idx="115">
                  <c:v>2033.3333333333326</c:v>
                </c:pt>
                <c:pt idx="116">
                  <c:v>2033.3333333333326</c:v>
                </c:pt>
                <c:pt idx="117">
                  <c:v>2033.3333333333326</c:v>
                </c:pt>
                <c:pt idx="118">
                  <c:v>2033.3333333333326</c:v>
                </c:pt>
                <c:pt idx="119">
                  <c:v>2033.3333333333326</c:v>
                </c:pt>
                <c:pt idx="120">
                  <c:v>2150</c:v>
                </c:pt>
                <c:pt idx="121">
                  <c:v>2150</c:v>
                </c:pt>
                <c:pt idx="122">
                  <c:v>2150</c:v>
                </c:pt>
                <c:pt idx="123">
                  <c:v>2150</c:v>
                </c:pt>
                <c:pt idx="124">
                  <c:v>2150</c:v>
                </c:pt>
                <c:pt idx="125">
                  <c:v>2150</c:v>
                </c:pt>
                <c:pt idx="126">
                  <c:v>2150</c:v>
                </c:pt>
                <c:pt idx="127">
                  <c:v>2150</c:v>
                </c:pt>
                <c:pt idx="128">
                  <c:v>2150</c:v>
                </c:pt>
                <c:pt idx="129">
                  <c:v>2150</c:v>
                </c:pt>
                <c:pt idx="130">
                  <c:v>2150</c:v>
                </c:pt>
                <c:pt idx="131">
                  <c:v>2150</c:v>
                </c:pt>
                <c:pt idx="132">
                  <c:v>2150</c:v>
                </c:pt>
                <c:pt idx="133">
                  <c:v>2150</c:v>
                </c:pt>
                <c:pt idx="134">
                  <c:v>2150</c:v>
                </c:pt>
                <c:pt idx="135">
                  <c:v>2150</c:v>
                </c:pt>
                <c:pt idx="136">
                  <c:v>2150</c:v>
                </c:pt>
                <c:pt idx="137">
                  <c:v>2150</c:v>
                </c:pt>
                <c:pt idx="138">
                  <c:v>2150</c:v>
                </c:pt>
                <c:pt idx="139">
                  <c:v>2150</c:v>
                </c:pt>
                <c:pt idx="140">
                  <c:v>2150</c:v>
                </c:pt>
                <c:pt idx="141">
                  <c:v>2150</c:v>
                </c:pt>
                <c:pt idx="142">
                  <c:v>2150</c:v>
                </c:pt>
                <c:pt idx="143">
                  <c:v>2150</c:v>
                </c:pt>
                <c:pt idx="144">
                  <c:v>2150</c:v>
                </c:pt>
                <c:pt idx="145">
                  <c:v>2150</c:v>
                </c:pt>
                <c:pt idx="146">
                  <c:v>2150</c:v>
                </c:pt>
                <c:pt idx="147">
                  <c:v>2150</c:v>
                </c:pt>
                <c:pt idx="148">
                  <c:v>2150</c:v>
                </c:pt>
                <c:pt idx="149">
                  <c:v>2150</c:v>
                </c:pt>
                <c:pt idx="150">
                  <c:v>2150</c:v>
                </c:pt>
                <c:pt idx="151">
                  <c:v>2150</c:v>
                </c:pt>
                <c:pt idx="152">
                  <c:v>2150</c:v>
                </c:pt>
                <c:pt idx="153">
                  <c:v>2150</c:v>
                </c:pt>
                <c:pt idx="154">
                  <c:v>2150</c:v>
                </c:pt>
                <c:pt idx="155">
                  <c:v>2150</c:v>
                </c:pt>
                <c:pt idx="156">
                  <c:v>2150</c:v>
                </c:pt>
                <c:pt idx="157">
                  <c:v>2150</c:v>
                </c:pt>
                <c:pt idx="158">
                  <c:v>2150</c:v>
                </c:pt>
                <c:pt idx="159">
                  <c:v>2150</c:v>
                </c:pt>
                <c:pt idx="160">
                  <c:v>2150</c:v>
                </c:pt>
                <c:pt idx="161">
                  <c:v>2150</c:v>
                </c:pt>
                <c:pt idx="162">
                  <c:v>2150</c:v>
                </c:pt>
                <c:pt idx="163">
                  <c:v>2150</c:v>
                </c:pt>
                <c:pt idx="164">
                  <c:v>2150</c:v>
                </c:pt>
                <c:pt idx="165">
                  <c:v>2150</c:v>
                </c:pt>
                <c:pt idx="166">
                  <c:v>2150</c:v>
                </c:pt>
                <c:pt idx="167">
                  <c:v>2150</c:v>
                </c:pt>
                <c:pt idx="168">
                  <c:v>2150</c:v>
                </c:pt>
                <c:pt idx="169">
                  <c:v>2150</c:v>
                </c:pt>
                <c:pt idx="170">
                  <c:v>2150</c:v>
                </c:pt>
                <c:pt idx="171">
                  <c:v>2150</c:v>
                </c:pt>
                <c:pt idx="172">
                  <c:v>2150</c:v>
                </c:pt>
                <c:pt idx="173">
                  <c:v>2150</c:v>
                </c:pt>
                <c:pt idx="174">
                  <c:v>2150</c:v>
                </c:pt>
                <c:pt idx="175">
                  <c:v>2150</c:v>
                </c:pt>
                <c:pt idx="176">
                  <c:v>2150</c:v>
                </c:pt>
                <c:pt idx="177">
                  <c:v>2150</c:v>
                </c:pt>
                <c:pt idx="178">
                  <c:v>2150</c:v>
                </c:pt>
                <c:pt idx="179">
                  <c:v>2150</c:v>
                </c:pt>
                <c:pt idx="180">
                  <c:v>2150</c:v>
                </c:pt>
                <c:pt idx="181">
                  <c:v>2150</c:v>
                </c:pt>
                <c:pt idx="182">
                  <c:v>2150</c:v>
                </c:pt>
                <c:pt idx="183">
                  <c:v>2150</c:v>
                </c:pt>
                <c:pt idx="184">
                  <c:v>2150</c:v>
                </c:pt>
                <c:pt idx="185">
                  <c:v>2150</c:v>
                </c:pt>
                <c:pt idx="186">
                  <c:v>2150</c:v>
                </c:pt>
                <c:pt idx="187">
                  <c:v>2150</c:v>
                </c:pt>
                <c:pt idx="188">
                  <c:v>2150</c:v>
                </c:pt>
                <c:pt idx="189">
                  <c:v>2150</c:v>
                </c:pt>
                <c:pt idx="190">
                  <c:v>2150</c:v>
                </c:pt>
                <c:pt idx="191">
                  <c:v>2150</c:v>
                </c:pt>
                <c:pt idx="192">
                  <c:v>2150</c:v>
                </c:pt>
                <c:pt idx="193">
                  <c:v>2150</c:v>
                </c:pt>
                <c:pt idx="194">
                  <c:v>2150</c:v>
                </c:pt>
                <c:pt idx="195">
                  <c:v>2150</c:v>
                </c:pt>
                <c:pt idx="196">
                  <c:v>2150</c:v>
                </c:pt>
                <c:pt idx="197">
                  <c:v>2150</c:v>
                </c:pt>
                <c:pt idx="198">
                  <c:v>2150</c:v>
                </c:pt>
                <c:pt idx="199">
                  <c:v>2150</c:v>
                </c:pt>
                <c:pt idx="200">
                  <c:v>2150</c:v>
                </c:pt>
                <c:pt idx="201">
                  <c:v>2150</c:v>
                </c:pt>
                <c:pt idx="202">
                  <c:v>2150</c:v>
                </c:pt>
                <c:pt idx="203">
                  <c:v>2150</c:v>
                </c:pt>
                <c:pt idx="204">
                  <c:v>2150</c:v>
                </c:pt>
                <c:pt idx="205">
                  <c:v>2150</c:v>
                </c:pt>
                <c:pt idx="206">
                  <c:v>2150</c:v>
                </c:pt>
                <c:pt idx="207">
                  <c:v>2150</c:v>
                </c:pt>
                <c:pt idx="208">
                  <c:v>2150</c:v>
                </c:pt>
                <c:pt idx="209">
                  <c:v>2150</c:v>
                </c:pt>
                <c:pt idx="210">
                  <c:v>2150</c:v>
                </c:pt>
                <c:pt idx="211">
                  <c:v>2150</c:v>
                </c:pt>
                <c:pt idx="212">
                  <c:v>2100</c:v>
                </c:pt>
                <c:pt idx="213">
                  <c:v>2100</c:v>
                </c:pt>
                <c:pt idx="214">
                  <c:v>2100</c:v>
                </c:pt>
                <c:pt idx="215">
                  <c:v>2100</c:v>
                </c:pt>
                <c:pt idx="216">
                  <c:v>2100</c:v>
                </c:pt>
                <c:pt idx="217">
                  <c:v>2100</c:v>
                </c:pt>
                <c:pt idx="218">
                  <c:v>2100</c:v>
                </c:pt>
                <c:pt idx="219">
                  <c:v>2100</c:v>
                </c:pt>
                <c:pt idx="220">
                  <c:v>2100</c:v>
                </c:pt>
                <c:pt idx="221">
                  <c:v>2100</c:v>
                </c:pt>
                <c:pt idx="222">
                  <c:v>2100</c:v>
                </c:pt>
                <c:pt idx="223">
                  <c:v>2100</c:v>
                </c:pt>
                <c:pt idx="224">
                  <c:v>2100</c:v>
                </c:pt>
                <c:pt idx="225">
                  <c:v>2100</c:v>
                </c:pt>
                <c:pt idx="226">
                  <c:v>2100</c:v>
                </c:pt>
                <c:pt idx="227">
                  <c:v>2100</c:v>
                </c:pt>
                <c:pt idx="228">
                  <c:v>2100</c:v>
                </c:pt>
                <c:pt idx="229">
                  <c:v>2100</c:v>
                </c:pt>
                <c:pt idx="230">
                  <c:v>2100</c:v>
                </c:pt>
                <c:pt idx="231">
                  <c:v>2100</c:v>
                </c:pt>
                <c:pt idx="232">
                  <c:v>2100</c:v>
                </c:pt>
                <c:pt idx="233">
                  <c:v>2100</c:v>
                </c:pt>
                <c:pt idx="234">
                  <c:v>2100</c:v>
                </c:pt>
                <c:pt idx="235">
                  <c:v>2100</c:v>
                </c:pt>
                <c:pt idx="236">
                  <c:v>2100</c:v>
                </c:pt>
                <c:pt idx="237">
                  <c:v>2100</c:v>
                </c:pt>
                <c:pt idx="238">
                  <c:v>2100</c:v>
                </c:pt>
                <c:pt idx="239">
                  <c:v>2100</c:v>
                </c:pt>
                <c:pt idx="240">
                  <c:v>2100</c:v>
                </c:pt>
                <c:pt idx="241">
                  <c:v>2100</c:v>
                </c:pt>
                <c:pt idx="242">
                  <c:v>2100</c:v>
                </c:pt>
                <c:pt idx="243">
                  <c:v>2050</c:v>
                </c:pt>
                <c:pt idx="244">
                  <c:v>2050</c:v>
                </c:pt>
                <c:pt idx="245">
                  <c:v>2050</c:v>
                </c:pt>
                <c:pt idx="246">
                  <c:v>2050</c:v>
                </c:pt>
                <c:pt idx="247">
                  <c:v>2050</c:v>
                </c:pt>
                <c:pt idx="248">
                  <c:v>2050</c:v>
                </c:pt>
                <c:pt idx="249">
                  <c:v>2050</c:v>
                </c:pt>
                <c:pt idx="250">
                  <c:v>2050</c:v>
                </c:pt>
                <c:pt idx="251">
                  <c:v>2050</c:v>
                </c:pt>
                <c:pt idx="252">
                  <c:v>2050</c:v>
                </c:pt>
                <c:pt idx="253">
                  <c:v>2050</c:v>
                </c:pt>
                <c:pt idx="254">
                  <c:v>2050</c:v>
                </c:pt>
                <c:pt idx="255">
                  <c:v>2050</c:v>
                </c:pt>
                <c:pt idx="256">
                  <c:v>2050</c:v>
                </c:pt>
                <c:pt idx="257">
                  <c:v>2050</c:v>
                </c:pt>
                <c:pt idx="258">
                  <c:v>2050</c:v>
                </c:pt>
                <c:pt idx="259">
                  <c:v>2050</c:v>
                </c:pt>
                <c:pt idx="260">
                  <c:v>2050</c:v>
                </c:pt>
                <c:pt idx="261">
                  <c:v>2050</c:v>
                </c:pt>
                <c:pt idx="262">
                  <c:v>2050</c:v>
                </c:pt>
                <c:pt idx="263">
                  <c:v>2050</c:v>
                </c:pt>
                <c:pt idx="264">
                  <c:v>2050</c:v>
                </c:pt>
                <c:pt idx="265">
                  <c:v>2050</c:v>
                </c:pt>
                <c:pt idx="266">
                  <c:v>2050</c:v>
                </c:pt>
                <c:pt idx="267">
                  <c:v>2050</c:v>
                </c:pt>
                <c:pt idx="268">
                  <c:v>2050</c:v>
                </c:pt>
                <c:pt idx="269">
                  <c:v>2050</c:v>
                </c:pt>
                <c:pt idx="270">
                  <c:v>2050</c:v>
                </c:pt>
                <c:pt idx="271">
                  <c:v>2050</c:v>
                </c:pt>
                <c:pt idx="272">
                  <c:v>2050</c:v>
                </c:pt>
                <c:pt idx="273">
                  <c:v>2016.6666666666667</c:v>
                </c:pt>
                <c:pt idx="274">
                  <c:v>2016.6666666666667</c:v>
                </c:pt>
                <c:pt idx="275">
                  <c:v>2016.6666666666667</c:v>
                </c:pt>
                <c:pt idx="276">
                  <c:v>2016.6666666666667</c:v>
                </c:pt>
                <c:pt idx="277">
                  <c:v>2016.6666666666667</c:v>
                </c:pt>
                <c:pt idx="278">
                  <c:v>2016.6666666666667</c:v>
                </c:pt>
                <c:pt idx="279">
                  <c:v>2016.6666666666667</c:v>
                </c:pt>
                <c:pt idx="280">
                  <c:v>2016.6666666666667</c:v>
                </c:pt>
                <c:pt idx="281">
                  <c:v>2016.6666666666667</c:v>
                </c:pt>
                <c:pt idx="282">
                  <c:v>2016.6666666666667</c:v>
                </c:pt>
                <c:pt idx="283">
                  <c:v>2016.6666666666667</c:v>
                </c:pt>
                <c:pt idx="284">
                  <c:v>2016.6666666666667</c:v>
                </c:pt>
                <c:pt idx="285">
                  <c:v>2016.6666666666667</c:v>
                </c:pt>
                <c:pt idx="286">
                  <c:v>2016.6666666666667</c:v>
                </c:pt>
                <c:pt idx="287">
                  <c:v>2016.6666666666667</c:v>
                </c:pt>
                <c:pt idx="288">
                  <c:v>2016.6666666666667</c:v>
                </c:pt>
                <c:pt idx="289">
                  <c:v>2016.6666666666667</c:v>
                </c:pt>
                <c:pt idx="290">
                  <c:v>2016.6666666666667</c:v>
                </c:pt>
                <c:pt idx="291">
                  <c:v>2016.6666666666667</c:v>
                </c:pt>
                <c:pt idx="292">
                  <c:v>2016.6666666666667</c:v>
                </c:pt>
                <c:pt idx="293">
                  <c:v>2016.6666666666667</c:v>
                </c:pt>
                <c:pt idx="294">
                  <c:v>2016.6666666666667</c:v>
                </c:pt>
                <c:pt idx="295">
                  <c:v>2016.6666666666667</c:v>
                </c:pt>
                <c:pt idx="296">
                  <c:v>2016.6666666666667</c:v>
                </c:pt>
                <c:pt idx="297">
                  <c:v>2016.6666666666667</c:v>
                </c:pt>
                <c:pt idx="298">
                  <c:v>2016.6666666666667</c:v>
                </c:pt>
                <c:pt idx="299">
                  <c:v>2016.6666666666667</c:v>
                </c:pt>
                <c:pt idx="300">
                  <c:v>2016.6666666666667</c:v>
                </c:pt>
                <c:pt idx="301">
                  <c:v>2016.6666666666667</c:v>
                </c:pt>
                <c:pt idx="302">
                  <c:v>2016.6666666666667</c:v>
                </c:pt>
                <c:pt idx="303">
                  <c:v>2016.6666666666667</c:v>
                </c:pt>
                <c:pt idx="304">
                  <c:v>2016.6666666666667</c:v>
                </c:pt>
                <c:pt idx="305">
                  <c:v>2016.6666666666667</c:v>
                </c:pt>
                <c:pt idx="306">
                  <c:v>2016.6666666666667</c:v>
                </c:pt>
                <c:pt idx="307">
                  <c:v>2016.6666666666667</c:v>
                </c:pt>
                <c:pt idx="308">
                  <c:v>2016.6666666666667</c:v>
                </c:pt>
                <c:pt idx="309">
                  <c:v>2016.6666666666667</c:v>
                </c:pt>
                <c:pt idx="310">
                  <c:v>2016.6666666666667</c:v>
                </c:pt>
                <c:pt idx="311">
                  <c:v>2016.6666666666667</c:v>
                </c:pt>
                <c:pt idx="312">
                  <c:v>2016.6666666666667</c:v>
                </c:pt>
                <c:pt idx="313">
                  <c:v>2016.6666666666667</c:v>
                </c:pt>
                <c:pt idx="314">
                  <c:v>2016.6666666666667</c:v>
                </c:pt>
                <c:pt idx="315">
                  <c:v>2016.6666666666667</c:v>
                </c:pt>
                <c:pt idx="316">
                  <c:v>2016.6666666666667</c:v>
                </c:pt>
                <c:pt idx="317">
                  <c:v>2016.6666666666667</c:v>
                </c:pt>
                <c:pt idx="318">
                  <c:v>2016.6666666666667</c:v>
                </c:pt>
                <c:pt idx="319">
                  <c:v>2016.6666666666667</c:v>
                </c:pt>
                <c:pt idx="320">
                  <c:v>2016.6666666666667</c:v>
                </c:pt>
                <c:pt idx="321">
                  <c:v>2016.6666666666667</c:v>
                </c:pt>
                <c:pt idx="322">
                  <c:v>2016.6666666666667</c:v>
                </c:pt>
                <c:pt idx="323">
                  <c:v>2016.6666666666667</c:v>
                </c:pt>
              </c:numCache>
            </c:numRef>
          </c:val>
          <c:smooth val="0"/>
        </c:ser>
        <c:dLbls>
          <c:showLegendKey val="0"/>
          <c:showVal val="0"/>
          <c:showCatName val="0"/>
          <c:showSerName val="0"/>
          <c:showPercent val="0"/>
          <c:showBubbleSize val="0"/>
        </c:dLbls>
        <c:marker val="1"/>
        <c:smooth val="0"/>
        <c:axId val="264332416"/>
        <c:axId val="264333952"/>
      </c:lineChart>
      <c:lineChart>
        <c:grouping val="standard"/>
        <c:varyColors val="0"/>
        <c:ser>
          <c:idx val="1"/>
          <c:order val="1"/>
          <c:tx>
            <c:strRef>
              <c:f>石化!$AH$1</c:f>
              <c:strCache>
                <c:ptCount val="1"/>
                <c:pt idx="0">
                  <c:v>低密度聚乙烯LDPE 通用級 遠東區 CFR(美元/公噸)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石化!$AH$216:$AH$539</c:f>
              <c:numCache>
                <c:formatCode>General</c:formatCode>
                <c:ptCount val="324"/>
                <c:pt idx="0">
                  <c:v>1201</c:v>
                </c:pt>
                <c:pt idx="1">
                  <c:v>1201</c:v>
                </c:pt>
                <c:pt idx="2">
                  <c:v>1201</c:v>
                </c:pt>
                <c:pt idx="3">
                  <c:v>1201</c:v>
                </c:pt>
                <c:pt idx="4">
                  <c:v>1201</c:v>
                </c:pt>
                <c:pt idx="5">
                  <c:v>1201</c:v>
                </c:pt>
                <c:pt idx="6">
                  <c:v>1186</c:v>
                </c:pt>
                <c:pt idx="7">
                  <c:v>1186</c:v>
                </c:pt>
                <c:pt idx="8">
                  <c:v>1186</c:v>
                </c:pt>
                <c:pt idx="9">
                  <c:v>1186</c:v>
                </c:pt>
                <c:pt idx="10">
                  <c:v>1186</c:v>
                </c:pt>
                <c:pt idx="11">
                  <c:v>1186</c:v>
                </c:pt>
                <c:pt idx="12">
                  <c:v>1186</c:v>
                </c:pt>
                <c:pt idx="13">
                  <c:v>1151</c:v>
                </c:pt>
                <c:pt idx="14">
                  <c:v>1151</c:v>
                </c:pt>
                <c:pt idx="15">
                  <c:v>1151</c:v>
                </c:pt>
                <c:pt idx="16">
                  <c:v>1151</c:v>
                </c:pt>
                <c:pt idx="17">
                  <c:v>1151</c:v>
                </c:pt>
                <c:pt idx="18">
                  <c:v>1151</c:v>
                </c:pt>
                <c:pt idx="19">
                  <c:v>1151</c:v>
                </c:pt>
                <c:pt idx="20">
                  <c:v>1136</c:v>
                </c:pt>
                <c:pt idx="21">
                  <c:v>1136</c:v>
                </c:pt>
                <c:pt idx="22">
                  <c:v>1136</c:v>
                </c:pt>
                <c:pt idx="23">
                  <c:v>1136</c:v>
                </c:pt>
                <c:pt idx="24">
                  <c:v>1136</c:v>
                </c:pt>
                <c:pt idx="25">
                  <c:v>1136</c:v>
                </c:pt>
                <c:pt idx="26">
                  <c:v>1136</c:v>
                </c:pt>
                <c:pt idx="27">
                  <c:v>1116</c:v>
                </c:pt>
                <c:pt idx="28">
                  <c:v>1116</c:v>
                </c:pt>
                <c:pt idx="29">
                  <c:v>1116</c:v>
                </c:pt>
                <c:pt idx="30">
                  <c:v>1116</c:v>
                </c:pt>
                <c:pt idx="31">
                  <c:v>1116</c:v>
                </c:pt>
                <c:pt idx="32">
                  <c:v>1116</c:v>
                </c:pt>
                <c:pt idx="33">
                  <c:v>1116</c:v>
                </c:pt>
                <c:pt idx="34">
                  <c:v>1121</c:v>
                </c:pt>
                <c:pt idx="35">
                  <c:v>1121</c:v>
                </c:pt>
                <c:pt idx="36">
                  <c:v>1121</c:v>
                </c:pt>
                <c:pt idx="37">
                  <c:v>1121</c:v>
                </c:pt>
                <c:pt idx="38">
                  <c:v>1121</c:v>
                </c:pt>
                <c:pt idx="39">
                  <c:v>1121</c:v>
                </c:pt>
                <c:pt idx="40">
                  <c:v>1121</c:v>
                </c:pt>
                <c:pt idx="41">
                  <c:v>1121</c:v>
                </c:pt>
                <c:pt idx="42">
                  <c:v>1121</c:v>
                </c:pt>
                <c:pt idx="43">
                  <c:v>1121</c:v>
                </c:pt>
                <c:pt idx="44">
                  <c:v>1121</c:v>
                </c:pt>
                <c:pt idx="45">
                  <c:v>1121</c:v>
                </c:pt>
                <c:pt idx="46">
                  <c:v>1121</c:v>
                </c:pt>
                <c:pt idx="47">
                  <c:v>1121</c:v>
                </c:pt>
                <c:pt idx="48">
                  <c:v>1131</c:v>
                </c:pt>
                <c:pt idx="49">
                  <c:v>1131</c:v>
                </c:pt>
                <c:pt idx="50">
                  <c:v>1131</c:v>
                </c:pt>
                <c:pt idx="51">
                  <c:v>1131</c:v>
                </c:pt>
                <c:pt idx="52">
                  <c:v>1131</c:v>
                </c:pt>
                <c:pt idx="53">
                  <c:v>1131</c:v>
                </c:pt>
                <c:pt idx="54">
                  <c:v>1131</c:v>
                </c:pt>
                <c:pt idx="55">
                  <c:v>1131</c:v>
                </c:pt>
                <c:pt idx="56">
                  <c:v>1131</c:v>
                </c:pt>
                <c:pt idx="57">
                  <c:v>1131</c:v>
                </c:pt>
                <c:pt idx="58">
                  <c:v>1131</c:v>
                </c:pt>
                <c:pt idx="59">
                  <c:v>1131</c:v>
                </c:pt>
                <c:pt idx="60">
                  <c:v>1131</c:v>
                </c:pt>
                <c:pt idx="61">
                  <c:v>1131</c:v>
                </c:pt>
                <c:pt idx="62">
                  <c:v>1221</c:v>
                </c:pt>
                <c:pt idx="63">
                  <c:v>1221</c:v>
                </c:pt>
                <c:pt idx="64">
                  <c:v>1221</c:v>
                </c:pt>
                <c:pt idx="65">
                  <c:v>1221</c:v>
                </c:pt>
                <c:pt idx="66">
                  <c:v>1221</c:v>
                </c:pt>
                <c:pt idx="67">
                  <c:v>1221</c:v>
                </c:pt>
                <c:pt idx="68">
                  <c:v>1221</c:v>
                </c:pt>
                <c:pt idx="69">
                  <c:v>1241</c:v>
                </c:pt>
                <c:pt idx="70">
                  <c:v>1241</c:v>
                </c:pt>
                <c:pt idx="71">
                  <c:v>1241</c:v>
                </c:pt>
                <c:pt idx="72">
                  <c:v>1241</c:v>
                </c:pt>
                <c:pt idx="73">
                  <c:v>1241</c:v>
                </c:pt>
                <c:pt idx="74">
                  <c:v>1241</c:v>
                </c:pt>
                <c:pt idx="75">
                  <c:v>1241</c:v>
                </c:pt>
                <c:pt idx="76">
                  <c:v>1253</c:v>
                </c:pt>
                <c:pt idx="77">
                  <c:v>1253</c:v>
                </c:pt>
                <c:pt idx="78">
                  <c:v>1253</c:v>
                </c:pt>
                <c:pt idx="79">
                  <c:v>1253</c:v>
                </c:pt>
                <c:pt idx="80">
                  <c:v>1253</c:v>
                </c:pt>
                <c:pt idx="81">
                  <c:v>1253</c:v>
                </c:pt>
                <c:pt idx="82">
                  <c:v>1253</c:v>
                </c:pt>
                <c:pt idx="83">
                  <c:v>1271</c:v>
                </c:pt>
                <c:pt idx="84">
                  <c:v>1271</c:v>
                </c:pt>
                <c:pt idx="85">
                  <c:v>1271</c:v>
                </c:pt>
                <c:pt idx="86">
                  <c:v>1271</c:v>
                </c:pt>
                <c:pt idx="87">
                  <c:v>1271</c:v>
                </c:pt>
                <c:pt idx="88">
                  <c:v>1271</c:v>
                </c:pt>
                <c:pt idx="89">
                  <c:v>1271</c:v>
                </c:pt>
                <c:pt idx="90">
                  <c:v>1321</c:v>
                </c:pt>
                <c:pt idx="91">
                  <c:v>1321</c:v>
                </c:pt>
                <c:pt idx="92">
                  <c:v>1321</c:v>
                </c:pt>
                <c:pt idx="93">
                  <c:v>1321</c:v>
                </c:pt>
                <c:pt idx="94">
                  <c:v>1321</c:v>
                </c:pt>
                <c:pt idx="95">
                  <c:v>1321</c:v>
                </c:pt>
                <c:pt idx="96">
                  <c:v>1321</c:v>
                </c:pt>
                <c:pt idx="97">
                  <c:v>1336</c:v>
                </c:pt>
                <c:pt idx="98">
                  <c:v>1336</c:v>
                </c:pt>
                <c:pt idx="99">
                  <c:v>1336</c:v>
                </c:pt>
                <c:pt idx="100">
                  <c:v>1336</c:v>
                </c:pt>
                <c:pt idx="101">
                  <c:v>1336</c:v>
                </c:pt>
                <c:pt idx="102">
                  <c:v>1336</c:v>
                </c:pt>
                <c:pt idx="103">
                  <c:v>1336</c:v>
                </c:pt>
                <c:pt idx="104">
                  <c:v>1436</c:v>
                </c:pt>
                <c:pt idx="105">
                  <c:v>1436</c:v>
                </c:pt>
                <c:pt idx="106">
                  <c:v>1436</c:v>
                </c:pt>
                <c:pt idx="107">
                  <c:v>1436</c:v>
                </c:pt>
                <c:pt idx="108">
                  <c:v>1436</c:v>
                </c:pt>
                <c:pt idx="109">
                  <c:v>1436</c:v>
                </c:pt>
                <c:pt idx="110">
                  <c:v>1436</c:v>
                </c:pt>
                <c:pt idx="111">
                  <c:v>1461</c:v>
                </c:pt>
                <c:pt idx="112">
                  <c:v>1461</c:v>
                </c:pt>
                <c:pt idx="113">
                  <c:v>1461</c:v>
                </c:pt>
                <c:pt idx="114">
                  <c:v>1461</c:v>
                </c:pt>
                <c:pt idx="115">
                  <c:v>1461</c:v>
                </c:pt>
                <c:pt idx="116">
                  <c:v>1461</c:v>
                </c:pt>
                <c:pt idx="117">
                  <c:v>1461</c:v>
                </c:pt>
                <c:pt idx="118">
                  <c:v>1461</c:v>
                </c:pt>
                <c:pt idx="119">
                  <c:v>1461</c:v>
                </c:pt>
                <c:pt idx="120">
                  <c:v>1461</c:v>
                </c:pt>
                <c:pt idx="121">
                  <c:v>1461</c:v>
                </c:pt>
                <c:pt idx="122">
                  <c:v>1461</c:v>
                </c:pt>
                <c:pt idx="123">
                  <c:v>1461</c:v>
                </c:pt>
                <c:pt idx="124">
                  <c:v>1461</c:v>
                </c:pt>
                <c:pt idx="125">
                  <c:v>1461</c:v>
                </c:pt>
                <c:pt idx="126">
                  <c:v>1461</c:v>
                </c:pt>
                <c:pt idx="127">
                  <c:v>1461</c:v>
                </c:pt>
                <c:pt idx="128">
                  <c:v>1461</c:v>
                </c:pt>
                <c:pt idx="129">
                  <c:v>1461</c:v>
                </c:pt>
                <c:pt idx="130">
                  <c:v>1461</c:v>
                </c:pt>
                <c:pt idx="131">
                  <c:v>1461</c:v>
                </c:pt>
                <c:pt idx="132">
                  <c:v>1441</c:v>
                </c:pt>
                <c:pt idx="133">
                  <c:v>1441</c:v>
                </c:pt>
                <c:pt idx="134">
                  <c:v>1441</c:v>
                </c:pt>
                <c:pt idx="135">
                  <c:v>1441</c:v>
                </c:pt>
                <c:pt idx="136">
                  <c:v>1441</c:v>
                </c:pt>
                <c:pt idx="137">
                  <c:v>1441</c:v>
                </c:pt>
                <c:pt idx="138">
                  <c:v>1441</c:v>
                </c:pt>
                <c:pt idx="139">
                  <c:v>1416</c:v>
                </c:pt>
                <c:pt idx="140">
                  <c:v>1416</c:v>
                </c:pt>
                <c:pt idx="141">
                  <c:v>1416</c:v>
                </c:pt>
                <c:pt idx="142">
                  <c:v>1416</c:v>
                </c:pt>
                <c:pt idx="143">
                  <c:v>1416</c:v>
                </c:pt>
                <c:pt idx="144">
                  <c:v>1416</c:v>
                </c:pt>
                <c:pt idx="145">
                  <c:v>1416</c:v>
                </c:pt>
                <c:pt idx="146">
                  <c:v>1416</c:v>
                </c:pt>
                <c:pt idx="147">
                  <c:v>1416</c:v>
                </c:pt>
                <c:pt idx="148">
                  <c:v>1416</c:v>
                </c:pt>
                <c:pt idx="149">
                  <c:v>1416</c:v>
                </c:pt>
                <c:pt idx="150">
                  <c:v>1416</c:v>
                </c:pt>
                <c:pt idx="151">
                  <c:v>1416</c:v>
                </c:pt>
                <c:pt idx="152">
                  <c:v>1416</c:v>
                </c:pt>
                <c:pt idx="153">
                  <c:v>1391</c:v>
                </c:pt>
                <c:pt idx="154">
                  <c:v>1391</c:v>
                </c:pt>
                <c:pt idx="155">
                  <c:v>1391</c:v>
                </c:pt>
                <c:pt idx="156">
                  <c:v>1391</c:v>
                </c:pt>
                <c:pt idx="157">
                  <c:v>1391</c:v>
                </c:pt>
                <c:pt idx="158">
                  <c:v>1391</c:v>
                </c:pt>
                <c:pt idx="159">
                  <c:v>1391</c:v>
                </c:pt>
                <c:pt idx="160">
                  <c:v>1381</c:v>
                </c:pt>
                <c:pt idx="161">
                  <c:v>1381</c:v>
                </c:pt>
                <c:pt idx="162">
                  <c:v>1381</c:v>
                </c:pt>
                <c:pt idx="163">
                  <c:v>1381</c:v>
                </c:pt>
                <c:pt idx="164">
                  <c:v>1381</c:v>
                </c:pt>
                <c:pt idx="165">
                  <c:v>1381</c:v>
                </c:pt>
                <c:pt idx="166">
                  <c:v>1381</c:v>
                </c:pt>
                <c:pt idx="167">
                  <c:v>1351</c:v>
                </c:pt>
                <c:pt idx="168">
                  <c:v>1351</c:v>
                </c:pt>
                <c:pt idx="169">
                  <c:v>1351</c:v>
                </c:pt>
                <c:pt idx="170">
                  <c:v>1351</c:v>
                </c:pt>
                <c:pt idx="171">
                  <c:v>1351</c:v>
                </c:pt>
                <c:pt idx="172">
                  <c:v>1351</c:v>
                </c:pt>
                <c:pt idx="173">
                  <c:v>1351</c:v>
                </c:pt>
                <c:pt idx="174">
                  <c:v>1341</c:v>
                </c:pt>
                <c:pt idx="175">
                  <c:v>1341</c:v>
                </c:pt>
                <c:pt idx="176">
                  <c:v>1341</c:v>
                </c:pt>
                <c:pt idx="177">
                  <c:v>1341</c:v>
                </c:pt>
                <c:pt idx="178">
                  <c:v>1341</c:v>
                </c:pt>
                <c:pt idx="179">
                  <c:v>1341</c:v>
                </c:pt>
                <c:pt idx="180">
                  <c:v>1341</c:v>
                </c:pt>
                <c:pt idx="181">
                  <c:v>1356</c:v>
                </c:pt>
                <c:pt idx="182">
                  <c:v>1356</c:v>
                </c:pt>
                <c:pt idx="183">
                  <c:v>1356</c:v>
                </c:pt>
                <c:pt idx="184">
                  <c:v>1356</c:v>
                </c:pt>
                <c:pt idx="185">
                  <c:v>1356</c:v>
                </c:pt>
                <c:pt idx="186">
                  <c:v>1356</c:v>
                </c:pt>
                <c:pt idx="187">
                  <c:v>1356</c:v>
                </c:pt>
                <c:pt idx="188">
                  <c:v>1331</c:v>
                </c:pt>
                <c:pt idx="189">
                  <c:v>1331</c:v>
                </c:pt>
                <c:pt idx="190">
                  <c:v>1331</c:v>
                </c:pt>
                <c:pt idx="191">
                  <c:v>1331</c:v>
                </c:pt>
                <c:pt idx="192">
                  <c:v>1331</c:v>
                </c:pt>
                <c:pt idx="193">
                  <c:v>1331</c:v>
                </c:pt>
                <c:pt idx="194">
                  <c:v>1331</c:v>
                </c:pt>
                <c:pt idx="195">
                  <c:v>1331</c:v>
                </c:pt>
                <c:pt idx="196">
                  <c:v>1331</c:v>
                </c:pt>
                <c:pt idx="197">
                  <c:v>1331</c:v>
                </c:pt>
                <c:pt idx="198">
                  <c:v>1331</c:v>
                </c:pt>
                <c:pt idx="199">
                  <c:v>1331</c:v>
                </c:pt>
                <c:pt idx="200">
                  <c:v>1331</c:v>
                </c:pt>
                <c:pt idx="201">
                  <c:v>1331</c:v>
                </c:pt>
                <c:pt idx="202">
                  <c:v>1331</c:v>
                </c:pt>
                <c:pt idx="203">
                  <c:v>1331</c:v>
                </c:pt>
                <c:pt idx="204">
                  <c:v>1331</c:v>
                </c:pt>
                <c:pt idx="205">
                  <c:v>1331</c:v>
                </c:pt>
                <c:pt idx="206">
                  <c:v>1331</c:v>
                </c:pt>
                <c:pt idx="207">
                  <c:v>1331</c:v>
                </c:pt>
                <c:pt idx="208">
                  <c:v>1331</c:v>
                </c:pt>
                <c:pt idx="209">
                  <c:v>1276</c:v>
                </c:pt>
                <c:pt idx="210">
                  <c:v>1276</c:v>
                </c:pt>
                <c:pt idx="211">
                  <c:v>1276</c:v>
                </c:pt>
                <c:pt idx="212">
                  <c:v>1276</c:v>
                </c:pt>
                <c:pt idx="213">
                  <c:v>1276</c:v>
                </c:pt>
                <c:pt idx="214">
                  <c:v>1276</c:v>
                </c:pt>
                <c:pt idx="215">
                  <c:v>1276</c:v>
                </c:pt>
                <c:pt idx="216">
                  <c:v>1226</c:v>
                </c:pt>
                <c:pt idx="217">
                  <c:v>1226</c:v>
                </c:pt>
                <c:pt idx="218">
                  <c:v>1226</c:v>
                </c:pt>
                <c:pt idx="219">
                  <c:v>1226</c:v>
                </c:pt>
                <c:pt idx="220">
                  <c:v>1226</c:v>
                </c:pt>
                <c:pt idx="221">
                  <c:v>1226</c:v>
                </c:pt>
                <c:pt idx="222">
                  <c:v>1226</c:v>
                </c:pt>
                <c:pt idx="223">
                  <c:v>1211</c:v>
                </c:pt>
                <c:pt idx="224">
                  <c:v>1211</c:v>
                </c:pt>
                <c:pt idx="225">
                  <c:v>1211</c:v>
                </c:pt>
                <c:pt idx="226">
                  <c:v>1211</c:v>
                </c:pt>
                <c:pt idx="227">
                  <c:v>1211</c:v>
                </c:pt>
                <c:pt idx="228">
                  <c:v>1211</c:v>
                </c:pt>
                <c:pt idx="229">
                  <c:v>1211</c:v>
                </c:pt>
                <c:pt idx="230">
                  <c:v>1201</c:v>
                </c:pt>
                <c:pt idx="231">
                  <c:v>1201</c:v>
                </c:pt>
                <c:pt idx="232">
                  <c:v>1201</c:v>
                </c:pt>
                <c:pt idx="233">
                  <c:v>1201</c:v>
                </c:pt>
                <c:pt idx="234">
                  <c:v>1201</c:v>
                </c:pt>
                <c:pt idx="235">
                  <c:v>1201</c:v>
                </c:pt>
                <c:pt idx="236">
                  <c:v>1201</c:v>
                </c:pt>
                <c:pt idx="237">
                  <c:v>1161</c:v>
                </c:pt>
                <c:pt idx="238">
                  <c:v>1161</c:v>
                </c:pt>
                <c:pt idx="239">
                  <c:v>1161</c:v>
                </c:pt>
                <c:pt idx="240">
                  <c:v>1161</c:v>
                </c:pt>
                <c:pt idx="241">
                  <c:v>1161</c:v>
                </c:pt>
                <c:pt idx="242">
                  <c:v>1161</c:v>
                </c:pt>
                <c:pt idx="243">
                  <c:v>1161</c:v>
                </c:pt>
                <c:pt idx="244">
                  <c:v>1141</c:v>
                </c:pt>
                <c:pt idx="245">
                  <c:v>1141</c:v>
                </c:pt>
                <c:pt idx="246">
                  <c:v>1141</c:v>
                </c:pt>
                <c:pt idx="247">
                  <c:v>1141</c:v>
                </c:pt>
                <c:pt idx="248">
                  <c:v>1141</c:v>
                </c:pt>
                <c:pt idx="249">
                  <c:v>1141</c:v>
                </c:pt>
                <c:pt idx="250">
                  <c:v>1141</c:v>
                </c:pt>
                <c:pt idx="251">
                  <c:v>1161</c:v>
                </c:pt>
                <c:pt idx="252">
                  <c:v>1161</c:v>
                </c:pt>
                <c:pt idx="253">
                  <c:v>1161</c:v>
                </c:pt>
                <c:pt idx="254">
                  <c:v>1161</c:v>
                </c:pt>
                <c:pt idx="255">
                  <c:v>1161</c:v>
                </c:pt>
                <c:pt idx="256">
                  <c:v>1161</c:v>
                </c:pt>
                <c:pt idx="257">
                  <c:v>1161</c:v>
                </c:pt>
                <c:pt idx="258">
                  <c:v>1156</c:v>
                </c:pt>
                <c:pt idx="259">
                  <c:v>1156</c:v>
                </c:pt>
                <c:pt idx="260">
                  <c:v>1156</c:v>
                </c:pt>
                <c:pt idx="261">
                  <c:v>1156</c:v>
                </c:pt>
                <c:pt idx="262">
                  <c:v>1156</c:v>
                </c:pt>
                <c:pt idx="263">
                  <c:v>1156</c:v>
                </c:pt>
                <c:pt idx="264">
                  <c:v>1156</c:v>
                </c:pt>
                <c:pt idx="265">
                  <c:v>1161</c:v>
                </c:pt>
                <c:pt idx="266">
                  <c:v>1161</c:v>
                </c:pt>
                <c:pt idx="267">
                  <c:v>1161</c:v>
                </c:pt>
                <c:pt idx="268">
                  <c:v>1161</c:v>
                </c:pt>
                <c:pt idx="269">
                  <c:v>1161</c:v>
                </c:pt>
                <c:pt idx="270">
                  <c:v>1161</c:v>
                </c:pt>
                <c:pt idx="271">
                  <c:v>1161</c:v>
                </c:pt>
                <c:pt idx="272">
                  <c:v>1161</c:v>
                </c:pt>
                <c:pt idx="273">
                  <c:v>1166</c:v>
                </c:pt>
                <c:pt idx="274">
                  <c:v>1166</c:v>
                </c:pt>
                <c:pt idx="275">
                  <c:v>1166</c:v>
                </c:pt>
                <c:pt idx="276">
                  <c:v>1166</c:v>
                </c:pt>
                <c:pt idx="277">
                  <c:v>1166</c:v>
                </c:pt>
                <c:pt idx="278">
                  <c:v>1166</c:v>
                </c:pt>
                <c:pt idx="279">
                  <c:v>1166</c:v>
                </c:pt>
                <c:pt idx="280">
                  <c:v>1166</c:v>
                </c:pt>
                <c:pt idx="281">
                  <c:v>1166</c:v>
                </c:pt>
                <c:pt idx="282">
                  <c:v>1166</c:v>
                </c:pt>
                <c:pt idx="283">
                  <c:v>1166</c:v>
                </c:pt>
                <c:pt idx="284">
                  <c:v>1166</c:v>
                </c:pt>
                <c:pt idx="285">
                  <c:v>1166</c:v>
                </c:pt>
                <c:pt idx="286">
                  <c:v>1221</c:v>
                </c:pt>
                <c:pt idx="287">
                  <c:v>1221</c:v>
                </c:pt>
                <c:pt idx="288">
                  <c:v>1221</c:v>
                </c:pt>
                <c:pt idx="289">
                  <c:v>1221</c:v>
                </c:pt>
                <c:pt idx="290">
                  <c:v>1221</c:v>
                </c:pt>
                <c:pt idx="291">
                  <c:v>1221</c:v>
                </c:pt>
                <c:pt idx="292">
                  <c:v>1221</c:v>
                </c:pt>
                <c:pt idx="293">
                  <c:v>1221</c:v>
                </c:pt>
                <c:pt idx="294">
                  <c:v>1221</c:v>
                </c:pt>
                <c:pt idx="295">
                  <c:v>1221</c:v>
                </c:pt>
                <c:pt idx="296">
                  <c:v>1221</c:v>
                </c:pt>
                <c:pt idx="297">
                  <c:v>1221</c:v>
                </c:pt>
                <c:pt idx="298">
                  <c:v>1221</c:v>
                </c:pt>
                <c:pt idx="299">
                  <c:v>1221</c:v>
                </c:pt>
                <c:pt idx="300">
                  <c:v>1211</c:v>
                </c:pt>
                <c:pt idx="301">
                  <c:v>1211</c:v>
                </c:pt>
                <c:pt idx="302">
                  <c:v>1211</c:v>
                </c:pt>
                <c:pt idx="303">
                  <c:v>1211</c:v>
                </c:pt>
                <c:pt idx="304">
                  <c:v>1211</c:v>
                </c:pt>
                <c:pt idx="305">
                  <c:v>1211</c:v>
                </c:pt>
                <c:pt idx="306">
                  <c:v>1211</c:v>
                </c:pt>
                <c:pt idx="307">
                  <c:v>1171</c:v>
                </c:pt>
                <c:pt idx="308">
                  <c:v>1171</c:v>
                </c:pt>
                <c:pt idx="309">
                  <c:v>1171</c:v>
                </c:pt>
                <c:pt idx="310">
                  <c:v>1171</c:v>
                </c:pt>
                <c:pt idx="311">
                  <c:v>1171</c:v>
                </c:pt>
                <c:pt idx="312">
                  <c:v>1171</c:v>
                </c:pt>
                <c:pt idx="313">
                  <c:v>1171</c:v>
                </c:pt>
                <c:pt idx="314">
                  <c:v>1141</c:v>
                </c:pt>
                <c:pt idx="315">
                  <c:v>1141</c:v>
                </c:pt>
                <c:pt idx="316">
                  <c:v>1141</c:v>
                </c:pt>
                <c:pt idx="317">
                  <c:v>1141</c:v>
                </c:pt>
                <c:pt idx="318">
                  <c:v>1141</c:v>
                </c:pt>
                <c:pt idx="319">
                  <c:v>1141</c:v>
                </c:pt>
                <c:pt idx="320">
                  <c:v>1141</c:v>
                </c:pt>
                <c:pt idx="321">
                  <c:v>1126</c:v>
                </c:pt>
                <c:pt idx="322">
                  <c:v>1126</c:v>
                </c:pt>
                <c:pt idx="323">
                  <c:v>1126</c:v>
                </c:pt>
              </c:numCache>
            </c:numRef>
          </c:val>
          <c:smooth val="0"/>
        </c:ser>
        <c:dLbls>
          <c:showLegendKey val="0"/>
          <c:showVal val="0"/>
          <c:showCatName val="0"/>
          <c:showSerName val="0"/>
          <c:showPercent val="0"/>
          <c:showBubbleSize val="0"/>
        </c:dLbls>
        <c:marker val="1"/>
        <c:smooth val="0"/>
        <c:axId val="264350336"/>
        <c:axId val="264348416"/>
      </c:lineChart>
      <c:dateAx>
        <c:axId val="264332416"/>
        <c:scaling>
          <c:orientation val="minMax"/>
          <c:max val="42328"/>
          <c:min val="42005"/>
        </c:scaling>
        <c:delete val="0"/>
        <c:axPos val="b"/>
        <c:numFmt formatCode="m/d/yyyy" sourceLinked="1"/>
        <c:majorTickMark val="out"/>
        <c:minorTickMark val="none"/>
        <c:tickLblPos val="nextTo"/>
        <c:crossAx val="264333952"/>
        <c:crosses val="autoZero"/>
        <c:auto val="1"/>
        <c:lblOffset val="100"/>
        <c:baseTimeUnit val="days"/>
        <c:majorUnit val="1"/>
        <c:majorTimeUnit val="months"/>
        <c:minorUnit val="1"/>
        <c:minorTimeUnit val="months"/>
      </c:dateAx>
      <c:valAx>
        <c:axId val="264333952"/>
        <c:scaling>
          <c:orientation val="minMax"/>
        </c:scaling>
        <c:delete val="0"/>
        <c:axPos val="l"/>
        <c:majorGridlines/>
        <c:title>
          <c:tx>
            <c:rich>
              <a:bodyPr rot="0" vert="horz"/>
              <a:lstStyle/>
              <a:p>
                <a:pPr>
                  <a:defRPr/>
                </a:pPr>
                <a:r>
                  <a:rPr lang="zh-TW" altLang="en-US"/>
                  <a:t>射出級</a:t>
                </a:r>
                <a:endParaRPr lang="en-US" altLang="zh-TW"/>
              </a:p>
            </c:rich>
          </c:tx>
          <c:layout>
            <c:manualLayout>
              <c:xMode val="edge"/>
              <c:yMode val="edge"/>
              <c:x val="2.6455026455026519E-2"/>
              <c:y val="3.5443637727102378E-2"/>
            </c:manualLayout>
          </c:layout>
          <c:overlay val="0"/>
        </c:title>
        <c:numFmt formatCode="General" sourceLinked="1"/>
        <c:majorTickMark val="out"/>
        <c:minorTickMark val="none"/>
        <c:tickLblPos val="nextTo"/>
        <c:crossAx val="264332416"/>
        <c:crosses val="autoZero"/>
        <c:crossBetween val="between"/>
        <c:majorUnit val="50"/>
      </c:valAx>
      <c:valAx>
        <c:axId val="264348416"/>
        <c:scaling>
          <c:orientation val="minMax"/>
        </c:scaling>
        <c:delete val="0"/>
        <c:axPos val="r"/>
        <c:title>
          <c:tx>
            <c:rich>
              <a:bodyPr rot="0" vert="horz"/>
              <a:lstStyle/>
              <a:p>
                <a:pPr>
                  <a:defRPr/>
                </a:pPr>
                <a:r>
                  <a:rPr lang="zh-TW" altLang="en-US"/>
                  <a:t>通用級</a:t>
                </a:r>
              </a:p>
            </c:rich>
          </c:tx>
          <c:layout>
            <c:manualLayout>
              <c:xMode val="edge"/>
              <c:yMode val="edge"/>
              <c:x val="0.8728835978835997"/>
              <c:y val="3.5443637727102413E-2"/>
            </c:manualLayout>
          </c:layout>
          <c:overlay val="0"/>
        </c:title>
        <c:numFmt formatCode="General" sourceLinked="1"/>
        <c:majorTickMark val="out"/>
        <c:minorTickMark val="none"/>
        <c:tickLblPos val="nextTo"/>
        <c:crossAx val="264350336"/>
        <c:crosses val="max"/>
        <c:crossBetween val="between"/>
      </c:valAx>
      <c:dateAx>
        <c:axId val="264350336"/>
        <c:scaling>
          <c:orientation val="minMax"/>
        </c:scaling>
        <c:delete val="1"/>
        <c:axPos val="b"/>
        <c:numFmt formatCode="m/d/yyyy" sourceLinked="1"/>
        <c:majorTickMark val="out"/>
        <c:minorTickMark val="none"/>
        <c:tickLblPos val="none"/>
        <c:crossAx val="264348416"/>
        <c:crosses val="autoZero"/>
        <c:auto val="1"/>
        <c:lblOffset val="100"/>
        <c:baseTimeUnit val="days"/>
      </c:dateAx>
    </c:plotArea>
    <c:legend>
      <c:legendPos val="b"/>
      <c:layout>
        <c:manualLayout>
          <c:xMode val="edge"/>
          <c:yMode val="edge"/>
          <c:x val="0.20505940141649537"/>
          <c:y val="0.86197867681912943"/>
          <c:w val="0.60438885081105764"/>
          <c:h val="0.13802132318087088"/>
        </c:manualLayout>
      </c:layout>
      <c:overlay val="0"/>
    </c:legend>
    <c:plotVisOnly val="1"/>
    <c:dispBlanksAs val="gap"/>
    <c:showDLblsOverMax val="0"/>
  </c:chart>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5575438902284371E-2"/>
          <c:y val="0.11542920742412842"/>
          <c:w val="0.79816659100514875"/>
          <c:h val="0.57220779220779261"/>
        </c:manualLayout>
      </c:layout>
      <c:lineChart>
        <c:grouping val="standard"/>
        <c:varyColors val="0"/>
        <c:ser>
          <c:idx val="0"/>
          <c:order val="0"/>
          <c:tx>
            <c:strRef>
              <c:f>石化!$AI$1</c:f>
              <c:strCache>
                <c:ptCount val="1"/>
                <c:pt idx="0">
                  <c:v>高密度聚乙烯HDPE 電線電纜級9007 台塑 未稅牌價(美元/公噸)</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石化!$AI$216:$AI$539</c:f>
              <c:numCache>
                <c:formatCode>General</c:formatCode>
                <c:ptCount val="324"/>
                <c:pt idx="0">
                  <c:v>1836.6666666666667</c:v>
                </c:pt>
                <c:pt idx="1">
                  <c:v>1836.6666666666667</c:v>
                </c:pt>
                <c:pt idx="2">
                  <c:v>1836.6666666666667</c:v>
                </c:pt>
                <c:pt idx="3">
                  <c:v>1836.6666666666667</c:v>
                </c:pt>
                <c:pt idx="4">
                  <c:v>1836.6666666666667</c:v>
                </c:pt>
                <c:pt idx="5">
                  <c:v>1836.6666666666667</c:v>
                </c:pt>
                <c:pt idx="6">
                  <c:v>1836.6666666666667</c:v>
                </c:pt>
                <c:pt idx="7">
                  <c:v>1836.6666666666667</c:v>
                </c:pt>
                <c:pt idx="8">
                  <c:v>1836.6666666666667</c:v>
                </c:pt>
                <c:pt idx="9">
                  <c:v>1836.6666666666667</c:v>
                </c:pt>
                <c:pt idx="10">
                  <c:v>1836.6666666666667</c:v>
                </c:pt>
                <c:pt idx="11">
                  <c:v>1836.6666666666667</c:v>
                </c:pt>
                <c:pt idx="12">
                  <c:v>1836.6666666666667</c:v>
                </c:pt>
                <c:pt idx="13">
                  <c:v>1836.6666666666667</c:v>
                </c:pt>
                <c:pt idx="14">
                  <c:v>1836.6666666666667</c:v>
                </c:pt>
                <c:pt idx="15">
                  <c:v>1836.6666666666667</c:v>
                </c:pt>
                <c:pt idx="16">
                  <c:v>1836.6666666666667</c:v>
                </c:pt>
                <c:pt idx="17">
                  <c:v>1836.6666666666667</c:v>
                </c:pt>
                <c:pt idx="18">
                  <c:v>1836.6666666666667</c:v>
                </c:pt>
                <c:pt idx="19">
                  <c:v>1836.6666666666667</c:v>
                </c:pt>
                <c:pt idx="20">
                  <c:v>1836.6666666666667</c:v>
                </c:pt>
                <c:pt idx="21">
                  <c:v>1836.6666666666667</c:v>
                </c:pt>
                <c:pt idx="22">
                  <c:v>1836.6666666666667</c:v>
                </c:pt>
                <c:pt idx="23">
                  <c:v>1836.6666666666667</c:v>
                </c:pt>
                <c:pt idx="24">
                  <c:v>1836.6666666666667</c:v>
                </c:pt>
                <c:pt idx="25">
                  <c:v>1836.6666666666667</c:v>
                </c:pt>
                <c:pt idx="26">
                  <c:v>1836.6666666666667</c:v>
                </c:pt>
                <c:pt idx="27">
                  <c:v>1836.6666666666667</c:v>
                </c:pt>
                <c:pt idx="28">
                  <c:v>1836.6666666666667</c:v>
                </c:pt>
                <c:pt idx="29">
                  <c:v>1836.6666666666667</c:v>
                </c:pt>
                <c:pt idx="30">
                  <c:v>1836.6666666666667</c:v>
                </c:pt>
                <c:pt idx="31">
                  <c:v>1736.6666666666667</c:v>
                </c:pt>
                <c:pt idx="32">
                  <c:v>1736.6666666666667</c:v>
                </c:pt>
                <c:pt idx="33">
                  <c:v>1736.6666666666667</c:v>
                </c:pt>
                <c:pt idx="34">
                  <c:v>1736.6666666666667</c:v>
                </c:pt>
                <c:pt idx="35">
                  <c:v>1736.6666666666667</c:v>
                </c:pt>
                <c:pt idx="36">
                  <c:v>1736.6666666666667</c:v>
                </c:pt>
                <c:pt idx="37">
                  <c:v>1736.6666666666667</c:v>
                </c:pt>
                <c:pt idx="38">
                  <c:v>1736.6666666666667</c:v>
                </c:pt>
                <c:pt idx="39">
                  <c:v>1736.6666666666667</c:v>
                </c:pt>
                <c:pt idx="40">
                  <c:v>1736.6666666666667</c:v>
                </c:pt>
                <c:pt idx="41">
                  <c:v>1736.6666666666667</c:v>
                </c:pt>
                <c:pt idx="42">
                  <c:v>1736.6666666666667</c:v>
                </c:pt>
                <c:pt idx="43">
                  <c:v>1736.6666666666667</c:v>
                </c:pt>
                <c:pt idx="44">
                  <c:v>1736.6666666666667</c:v>
                </c:pt>
                <c:pt idx="45">
                  <c:v>1736.6666666666667</c:v>
                </c:pt>
                <c:pt idx="46">
                  <c:v>1736.6666666666667</c:v>
                </c:pt>
                <c:pt idx="47">
                  <c:v>1736.6666666666667</c:v>
                </c:pt>
                <c:pt idx="48">
                  <c:v>1736.6666666666667</c:v>
                </c:pt>
                <c:pt idx="49">
                  <c:v>1736.6666666666667</c:v>
                </c:pt>
                <c:pt idx="50">
                  <c:v>1736.6666666666667</c:v>
                </c:pt>
                <c:pt idx="51">
                  <c:v>1736.6666666666667</c:v>
                </c:pt>
                <c:pt idx="52">
                  <c:v>1736.6666666666667</c:v>
                </c:pt>
                <c:pt idx="53">
                  <c:v>1736.6666666666667</c:v>
                </c:pt>
                <c:pt idx="54">
                  <c:v>1736.6666666666667</c:v>
                </c:pt>
                <c:pt idx="55">
                  <c:v>1736.6666666666667</c:v>
                </c:pt>
                <c:pt idx="56">
                  <c:v>1736.6666666666667</c:v>
                </c:pt>
                <c:pt idx="57">
                  <c:v>1736.6666666666667</c:v>
                </c:pt>
                <c:pt idx="58">
                  <c:v>1736.6666666666667</c:v>
                </c:pt>
                <c:pt idx="59">
                  <c:v>1686.6666666666667</c:v>
                </c:pt>
                <c:pt idx="60">
                  <c:v>1686.6666666666667</c:v>
                </c:pt>
                <c:pt idx="61">
                  <c:v>1686.6666666666667</c:v>
                </c:pt>
                <c:pt idx="62">
                  <c:v>1686.6666666666667</c:v>
                </c:pt>
                <c:pt idx="63">
                  <c:v>1686.6666666666667</c:v>
                </c:pt>
                <c:pt idx="64">
                  <c:v>1686.6666666666667</c:v>
                </c:pt>
                <c:pt idx="65">
                  <c:v>1686.6666666666667</c:v>
                </c:pt>
                <c:pt idx="66">
                  <c:v>1686.6666666666667</c:v>
                </c:pt>
                <c:pt idx="67">
                  <c:v>1686.6666666666667</c:v>
                </c:pt>
                <c:pt idx="68">
                  <c:v>1686.6666666666667</c:v>
                </c:pt>
                <c:pt idx="69">
                  <c:v>1686.6666666666667</c:v>
                </c:pt>
                <c:pt idx="70">
                  <c:v>1686.6666666666667</c:v>
                </c:pt>
                <c:pt idx="71">
                  <c:v>1686.6666666666667</c:v>
                </c:pt>
                <c:pt idx="72">
                  <c:v>1686.6666666666667</c:v>
                </c:pt>
                <c:pt idx="73">
                  <c:v>1686.6666666666667</c:v>
                </c:pt>
                <c:pt idx="74">
                  <c:v>1686.6666666666667</c:v>
                </c:pt>
                <c:pt idx="75">
                  <c:v>1686.6666666666667</c:v>
                </c:pt>
                <c:pt idx="76">
                  <c:v>1686.6666666666667</c:v>
                </c:pt>
                <c:pt idx="77">
                  <c:v>1686.6666666666667</c:v>
                </c:pt>
                <c:pt idx="78">
                  <c:v>1686.6666666666667</c:v>
                </c:pt>
                <c:pt idx="79">
                  <c:v>1686.6666666666667</c:v>
                </c:pt>
                <c:pt idx="80">
                  <c:v>1686.6666666666667</c:v>
                </c:pt>
                <c:pt idx="81">
                  <c:v>1686.6666666666667</c:v>
                </c:pt>
                <c:pt idx="82">
                  <c:v>1686.6666666666667</c:v>
                </c:pt>
                <c:pt idx="83">
                  <c:v>1686.6666666666667</c:v>
                </c:pt>
                <c:pt idx="84">
                  <c:v>1686.6666666666667</c:v>
                </c:pt>
                <c:pt idx="85">
                  <c:v>1686.6666666666667</c:v>
                </c:pt>
                <c:pt idx="86">
                  <c:v>1686.6666666666667</c:v>
                </c:pt>
                <c:pt idx="87">
                  <c:v>1686.6666666666667</c:v>
                </c:pt>
                <c:pt idx="88">
                  <c:v>1686.6666666666667</c:v>
                </c:pt>
                <c:pt idx="89">
                  <c:v>1686.6666666666667</c:v>
                </c:pt>
                <c:pt idx="90">
                  <c:v>1770</c:v>
                </c:pt>
                <c:pt idx="91">
                  <c:v>1770</c:v>
                </c:pt>
                <c:pt idx="92">
                  <c:v>1770</c:v>
                </c:pt>
                <c:pt idx="93">
                  <c:v>1770</c:v>
                </c:pt>
                <c:pt idx="94">
                  <c:v>1770</c:v>
                </c:pt>
                <c:pt idx="95">
                  <c:v>1770</c:v>
                </c:pt>
                <c:pt idx="96">
                  <c:v>1770</c:v>
                </c:pt>
                <c:pt idx="97">
                  <c:v>1770</c:v>
                </c:pt>
                <c:pt idx="98">
                  <c:v>1770</c:v>
                </c:pt>
                <c:pt idx="99">
                  <c:v>1770</c:v>
                </c:pt>
                <c:pt idx="100">
                  <c:v>1770</c:v>
                </c:pt>
                <c:pt idx="101">
                  <c:v>1770</c:v>
                </c:pt>
                <c:pt idx="102">
                  <c:v>1770</c:v>
                </c:pt>
                <c:pt idx="103">
                  <c:v>1770</c:v>
                </c:pt>
                <c:pt idx="104">
                  <c:v>1770</c:v>
                </c:pt>
                <c:pt idx="105">
                  <c:v>1770</c:v>
                </c:pt>
                <c:pt idx="106">
                  <c:v>1770</c:v>
                </c:pt>
                <c:pt idx="107">
                  <c:v>1770</c:v>
                </c:pt>
                <c:pt idx="108">
                  <c:v>1770</c:v>
                </c:pt>
                <c:pt idx="109">
                  <c:v>1770</c:v>
                </c:pt>
                <c:pt idx="110">
                  <c:v>1770</c:v>
                </c:pt>
                <c:pt idx="111">
                  <c:v>1770</c:v>
                </c:pt>
                <c:pt idx="112">
                  <c:v>1770</c:v>
                </c:pt>
                <c:pt idx="113">
                  <c:v>1770</c:v>
                </c:pt>
                <c:pt idx="114">
                  <c:v>1770</c:v>
                </c:pt>
                <c:pt idx="115">
                  <c:v>1770</c:v>
                </c:pt>
                <c:pt idx="116">
                  <c:v>1770</c:v>
                </c:pt>
                <c:pt idx="117">
                  <c:v>1770</c:v>
                </c:pt>
                <c:pt idx="118">
                  <c:v>1770</c:v>
                </c:pt>
                <c:pt idx="119">
                  <c:v>1770</c:v>
                </c:pt>
                <c:pt idx="120">
                  <c:v>1853.3333333333326</c:v>
                </c:pt>
                <c:pt idx="121">
                  <c:v>1853.3333333333326</c:v>
                </c:pt>
                <c:pt idx="122">
                  <c:v>1853.3333333333326</c:v>
                </c:pt>
                <c:pt idx="123">
                  <c:v>1853.3333333333326</c:v>
                </c:pt>
                <c:pt idx="124">
                  <c:v>1853.3333333333326</c:v>
                </c:pt>
                <c:pt idx="125">
                  <c:v>1853.3333333333326</c:v>
                </c:pt>
                <c:pt idx="126">
                  <c:v>1853.3333333333326</c:v>
                </c:pt>
                <c:pt idx="127">
                  <c:v>1853.3333333333326</c:v>
                </c:pt>
                <c:pt idx="128">
                  <c:v>1853.3333333333326</c:v>
                </c:pt>
                <c:pt idx="129">
                  <c:v>1853.3333333333326</c:v>
                </c:pt>
                <c:pt idx="130">
                  <c:v>1853.3333333333326</c:v>
                </c:pt>
                <c:pt idx="131">
                  <c:v>1853.3333333333326</c:v>
                </c:pt>
                <c:pt idx="132">
                  <c:v>1853.3333333333326</c:v>
                </c:pt>
                <c:pt idx="133">
                  <c:v>1853.3333333333326</c:v>
                </c:pt>
                <c:pt idx="134">
                  <c:v>1853.3333333333326</c:v>
                </c:pt>
                <c:pt idx="135">
                  <c:v>1853.3333333333326</c:v>
                </c:pt>
                <c:pt idx="136">
                  <c:v>1853.3333333333326</c:v>
                </c:pt>
                <c:pt idx="137">
                  <c:v>1853.3333333333326</c:v>
                </c:pt>
                <c:pt idx="138">
                  <c:v>1853.3333333333326</c:v>
                </c:pt>
                <c:pt idx="139">
                  <c:v>1853.3333333333326</c:v>
                </c:pt>
                <c:pt idx="140">
                  <c:v>1853.3333333333326</c:v>
                </c:pt>
                <c:pt idx="141">
                  <c:v>1853.3333333333326</c:v>
                </c:pt>
                <c:pt idx="142">
                  <c:v>1853.3333333333326</c:v>
                </c:pt>
                <c:pt idx="143">
                  <c:v>1853.3333333333326</c:v>
                </c:pt>
                <c:pt idx="144">
                  <c:v>1853.3333333333326</c:v>
                </c:pt>
                <c:pt idx="145">
                  <c:v>1853.3333333333326</c:v>
                </c:pt>
                <c:pt idx="146">
                  <c:v>1853.3333333333326</c:v>
                </c:pt>
                <c:pt idx="147">
                  <c:v>1853.3333333333326</c:v>
                </c:pt>
                <c:pt idx="148">
                  <c:v>1853.3333333333326</c:v>
                </c:pt>
                <c:pt idx="149">
                  <c:v>1853.3333333333326</c:v>
                </c:pt>
                <c:pt idx="150">
                  <c:v>1853.3333333333326</c:v>
                </c:pt>
                <c:pt idx="151">
                  <c:v>1853.3333333333326</c:v>
                </c:pt>
                <c:pt idx="152">
                  <c:v>1853.3333333333326</c:v>
                </c:pt>
                <c:pt idx="153">
                  <c:v>1853.3333333333326</c:v>
                </c:pt>
                <c:pt idx="154">
                  <c:v>1853.3333333333326</c:v>
                </c:pt>
                <c:pt idx="155">
                  <c:v>1853.3333333333326</c:v>
                </c:pt>
                <c:pt idx="156">
                  <c:v>1853.3333333333326</c:v>
                </c:pt>
                <c:pt idx="157">
                  <c:v>1853.3333333333326</c:v>
                </c:pt>
                <c:pt idx="158">
                  <c:v>1853.3333333333326</c:v>
                </c:pt>
                <c:pt idx="159">
                  <c:v>1853.3333333333326</c:v>
                </c:pt>
                <c:pt idx="160">
                  <c:v>1853.3333333333326</c:v>
                </c:pt>
                <c:pt idx="161">
                  <c:v>1853.3333333333326</c:v>
                </c:pt>
                <c:pt idx="162">
                  <c:v>1853.3333333333326</c:v>
                </c:pt>
                <c:pt idx="163">
                  <c:v>1853.3333333333326</c:v>
                </c:pt>
                <c:pt idx="164">
                  <c:v>1853.3333333333326</c:v>
                </c:pt>
                <c:pt idx="165">
                  <c:v>1853.3333333333326</c:v>
                </c:pt>
                <c:pt idx="166">
                  <c:v>1853.3333333333326</c:v>
                </c:pt>
                <c:pt idx="167">
                  <c:v>1853.3333333333326</c:v>
                </c:pt>
                <c:pt idx="168">
                  <c:v>1853.3333333333326</c:v>
                </c:pt>
                <c:pt idx="169">
                  <c:v>1853.3333333333326</c:v>
                </c:pt>
                <c:pt idx="170">
                  <c:v>1853.3333333333326</c:v>
                </c:pt>
                <c:pt idx="171">
                  <c:v>1853.3333333333326</c:v>
                </c:pt>
                <c:pt idx="172">
                  <c:v>1853.3333333333326</c:v>
                </c:pt>
                <c:pt idx="173">
                  <c:v>1853.3333333333326</c:v>
                </c:pt>
                <c:pt idx="174">
                  <c:v>1853.3333333333326</c:v>
                </c:pt>
                <c:pt idx="175">
                  <c:v>1853.3333333333326</c:v>
                </c:pt>
                <c:pt idx="176">
                  <c:v>1853.3333333333326</c:v>
                </c:pt>
                <c:pt idx="177">
                  <c:v>1853.3333333333326</c:v>
                </c:pt>
                <c:pt idx="178">
                  <c:v>1853.3333333333326</c:v>
                </c:pt>
                <c:pt idx="179">
                  <c:v>1853.3333333333326</c:v>
                </c:pt>
                <c:pt idx="180">
                  <c:v>1853.3333333333326</c:v>
                </c:pt>
                <c:pt idx="181">
                  <c:v>1820</c:v>
                </c:pt>
                <c:pt idx="182">
                  <c:v>1820</c:v>
                </c:pt>
                <c:pt idx="183">
                  <c:v>1820</c:v>
                </c:pt>
                <c:pt idx="184">
                  <c:v>1820</c:v>
                </c:pt>
                <c:pt idx="185">
                  <c:v>1820</c:v>
                </c:pt>
                <c:pt idx="186">
                  <c:v>1820</c:v>
                </c:pt>
                <c:pt idx="187">
                  <c:v>1820</c:v>
                </c:pt>
                <c:pt idx="188">
                  <c:v>1820</c:v>
                </c:pt>
                <c:pt idx="189">
                  <c:v>1820</c:v>
                </c:pt>
                <c:pt idx="190">
                  <c:v>1820</c:v>
                </c:pt>
                <c:pt idx="191">
                  <c:v>1820</c:v>
                </c:pt>
                <c:pt idx="192">
                  <c:v>1820</c:v>
                </c:pt>
                <c:pt idx="193">
                  <c:v>1820</c:v>
                </c:pt>
                <c:pt idx="194">
                  <c:v>1820</c:v>
                </c:pt>
                <c:pt idx="195">
                  <c:v>1820</c:v>
                </c:pt>
                <c:pt idx="196">
                  <c:v>1820</c:v>
                </c:pt>
                <c:pt idx="197">
                  <c:v>1820</c:v>
                </c:pt>
                <c:pt idx="198">
                  <c:v>1820</c:v>
                </c:pt>
                <c:pt idx="199">
                  <c:v>1820</c:v>
                </c:pt>
                <c:pt idx="200">
                  <c:v>1820</c:v>
                </c:pt>
                <c:pt idx="201">
                  <c:v>1820</c:v>
                </c:pt>
                <c:pt idx="202">
                  <c:v>1820</c:v>
                </c:pt>
                <c:pt idx="203">
                  <c:v>1820</c:v>
                </c:pt>
                <c:pt idx="204">
                  <c:v>1820</c:v>
                </c:pt>
                <c:pt idx="205">
                  <c:v>1820</c:v>
                </c:pt>
                <c:pt idx="206">
                  <c:v>1820</c:v>
                </c:pt>
                <c:pt idx="207">
                  <c:v>1820</c:v>
                </c:pt>
                <c:pt idx="208">
                  <c:v>1820</c:v>
                </c:pt>
                <c:pt idx="209">
                  <c:v>1820</c:v>
                </c:pt>
                <c:pt idx="210">
                  <c:v>1820</c:v>
                </c:pt>
                <c:pt idx="211">
                  <c:v>1820</c:v>
                </c:pt>
                <c:pt idx="212">
                  <c:v>1753.3333333333326</c:v>
                </c:pt>
                <c:pt idx="213">
                  <c:v>1753.3333333333326</c:v>
                </c:pt>
                <c:pt idx="214">
                  <c:v>1753.3333333333326</c:v>
                </c:pt>
                <c:pt idx="215">
                  <c:v>1753.3333333333326</c:v>
                </c:pt>
                <c:pt idx="216">
                  <c:v>1753.3333333333326</c:v>
                </c:pt>
                <c:pt idx="217">
                  <c:v>1753.3333333333326</c:v>
                </c:pt>
                <c:pt idx="218">
                  <c:v>1753.3333333333326</c:v>
                </c:pt>
                <c:pt idx="219">
                  <c:v>1753.3333333333326</c:v>
                </c:pt>
                <c:pt idx="220">
                  <c:v>1753.3333333333326</c:v>
                </c:pt>
                <c:pt idx="221">
                  <c:v>1753.3333333333326</c:v>
                </c:pt>
                <c:pt idx="222">
                  <c:v>1753.3333333333326</c:v>
                </c:pt>
                <c:pt idx="223">
                  <c:v>1753.3333333333326</c:v>
                </c:pt>
                <c:pt idx="224">
                  <c:v>1753.3333333333326</c:v>
                </c:pt>
                <c:pt idx="225">
                  <c:v>1753.3333333333326</c:v>
                </c:pt>
                <c:pt idx="226">
                  <c:v>1753.3333333333326</c:v>
                </c:pt>
                <c:pt idx="227">
                  <c:v>1753.3333333333326</c:v>
                </c:pt>
                <c:pt idx="228">
                  <c:v>1753.3333333333326</c:v>
                </c:pt>
                <c:pt idx="229">
                  <c:v>1753.3333333333326</c:v>
                </c:pt>
                <c:pt idx="230">
                  <c:v>1753.3333333333326</c:v>
                </c:pt>
                <c:pt idx="231">
                  <c:v>1753.3333333333326</c:v>
                </c:pt>
                <c:pt idx="232">
                  <c:v>1753.3333333333326</c:v>
                </c:pt>
                <c:pt idx="233">
                  <c:v>1753.3333333333326</c:v>
                </c:pt>
                <c:pt idx="234">
                  <c:v>1753.3333333333326</c:v>
                </c:pt>
                <c:pt idx="235">
                  <c:v>1753.3333333333326</c:v>
                </c:pt>
                <c:pt idx="236">
                  <c:v>1753.3333333333326</c:v>
                </c:pt>
                <c:pt idx="237">
                  <c:v>1753.3333333333326</c:v>
                </c:pt>
                <c:pt idx="238">
                  <c:v>1753.3333333333326</c:v>
                </c:pt>
                <c:pt idx="239">
                  <c:v>1753.3333333333326</c:v>
                </c:pt>
                <c:pt idx="240">
                  <c:v>1753.3333333333326</c:v>
                </c:pt>
                <c:pt idx="241">
                  <c:v>1753.3333333333326</c:v>
                </c:pt>
                <c:pt idx="242">
                  <c:v>1753.3333333333326</c:v>
                </c:pt>
                <c:pt idx="243">
                  <c:v>1703.3333333333326</c:v>
                </c:pt>
                <c:pt idx="244">
                  <c:v>1703.3333333333326</c:v>
                </c:pt>
                <c:pt idx="245">
                  <c:v>1703.3333333333326</c:v>
                </c:pt>
                <c:pt idx="246">
                  <c:v>1703.3333333333326</c:v>
                </c:pt>
                <c:pt idx="247">
                  <c:v>1703.3333333333326</c:v>
                </c:pt>
                <c:pt idx="248">
                  <c:v>1703.3333333333326</c:v>
                </c:pt>
                <c:pt idx="249">
                  <c:v>1703.3333333333326</c:v>
                </c:pt>
                <c:pt idx="250">
                  <c:v>1703.3333333333326</c:v>
                </c:pt>
                <c:pt idx="251">
                  <c:v>1703.3333333333326</c:v>
                </c:pt>
                <c:pt idx="252">
                  <c:v>1703.3333333333326</c:v>
                </c:pt>
                <c:pt idx="253">
                  <c:v>1703.3333333333326</c:v>
                </c:pt>
                <c:pt idx="254">
                  <c:v>1703.3333333333326</c:v>
                </c:pt>
                <c:pt idx="255">
                  <c:v>1703.3333333333326</c:v>
                </c:pt>
                <c:pt idx="256">
                  <c:v>1703.3333333333326</c:v>
                </c:pt>
                <c:pt idx="257">
                  <c:v>1703.3333333333326</c:v>
                </c:pt>
                <c:pt idx="258">
                  <c:v>1703.3333333333326</c:v>
                </c:pt>
                <c:pt idx="259">
                  <c:v>1703.3333333333326</c:v>
                </c:pt>
                <c:pt idx="260">
                  <c:v>1703.3333333333326</c:v>
                </c:pt>
                <c:pt idx="261">
                  <c:v>1703.3333333333326</c:v>
                </c:pt>
                <c:pt idx="262">
                  <c:v>1703.3333333333326</c:v>
                </c:pt>
                <c:pt idx="263">
                  <c:v>1703.3333333333326</c:v>
                </c:pt>
                <c:pt idx="264">
                  <c:v>1703.3333333333326</c:v>
                </c:pt>
                <c:pt idx="265">
                  <c:v>1703.3333333333326</c:v>
                </c:pt>
                <c:pt idx="266">
                  <c:v>1703.3333333333326</c:v>
                </c:pt>
                <c:pt idx="267">
                  <c:v>1703.3333333333326</c:v>
                </c:pt>
                <c:pt idx="268">
                  <c:v>1703.3333333333326</c:v>
                </c:pt>
                <c:pt idx="269">
                  <c:v>1703.3333333333326</c:v>
                </c:pt>
                <c:pt idx="270">
                  <c:v>1703.3333333333326</c:v>
                </c:pt>
                <c:pt idx="271">
                  <c:v>1703.3333333333326</c:v>
                </c:pt>
                <c:pt idx="272">
                  <c:v>1703.3333333333326</c:v>
                </c:pt>
                <c:pt idx="273">
                  <c:v>1670</c:v>
                </c:pt>
                <c:pt idx="274">
                  <c:v>1670</c:v>
                </c:pt>
                <c:pt idx="275">
                  <c:v>1670</c:v>
                </c:pt>
                <c:pt idx="276">
                  <c:v>1670</c:v>
                </c:pt>
                <c:pt idx="277">
                  <c:v>1670</c:v>
                </c:pt>
                <c:pt idx="278">
                  <c:v>1670</c:v>
                </c:pt>
                <c:pt idx="279">
                  <c:v>1670</c:v>
                </c:pt>
                <c:pt idx="280">
                  <c:v>1670</c:v>
                </c:pt>
                <c:pt idx="281">
                  <c:v>1670</c:v>
                </c:pt>
                <c:pt idx="282">
                  <c:v>1670</c:v>
                </c:pt>
                <c:pt idx="283">
                  <c:v>1670</c:v>
                </c:pt>
                <c:pt idx="284">
                  <c:v>1670</c:v>
                </c:pt>
                <c:pt idx="285">
                  <c:v>1670</c:v>
                </c:pt>
                <c:pt idx="286">
                  <c:v>1670</c:v>
                </c:pt>
                <c:pt idx="287">
                  <c:v>1670</c:v>
                </c:pt>
                <c:pt idx="288">
                  <c:v>1670</c:v>
                </c:pt>
                <c:pt idx="289">
                  <c:v>1670</c:v>
                </c:pt>
                <c:pt idx="290">
                  <c:v>1670</c:v>
                </c:pt>
                <c:pt idx="291">
                  <c:v>1670</c:v>
                </c:pt>
                <c:pt idx="292">
                  <c:v>1670</c:v>
                </c:pt>
                <c:pt idx="293">
                  <c:v>1670</c:v>
                </c:pt>
                <c:pt idx="294">
                  <c:v>1670</c:v>
                </c:pt>
                <c:pt idx="295">
                  <c:v>1670</c:v>
                </c:pt>
                <c:pt idx="296">
                  <c:v>1670</c:v>
                </c:pt>
                <c:pt idx="297">
                  <c:v>1670</c:v>
                </c:pt>
                <c:pt idx="298">
                  <c:v>1670</c:v>
                </c:pt>
                <c:pt idx="299">
                  <c:v>1670</c:v>
                </c:pt>
                <c:pt idx="300">
                  <c:v>1670</c:v>
                </c:pt>
                <c:pt idx="301">
                  <c:v>1670</c:v>
                </c:pt>
                <c:pt idx="302">
                  <c:v>1670</c:v>
                </c:pt>
                <c:pt idx="303">
                  <c:v>1670</c:v>
                </c:pt>
                <c:pt idx="304">
                  <c:v>1670</c:v>
                </c:pt>
                <c:pt idx="305">
                  <c:v>1670</c:v>
                </c:pt>
                <c:pt idx="306">
                  <c:v>1670</c:v>
                </c:pt>
                <c:pt idx="307">
                  <c:v>1670</c:v>
                </c:pt>
                <c:pt idx="308">
                  <c:v>1670</c:v>
                </c:pt>
                <c:pt idx="309">
                  <c:v>1670</c:v>
                </c:pt>
                <c:pt idx="310">
                  <c:v>1670</c:v>
                </c:pt>
                <c:pt idx="311">
                  <c:v>1670</c:v>
                </c:pt>
                <c:pt idx="312">
                  <c:v>1670</c:v>
                </c:pt>
                <c:pt idx="313">
                  <c:v>1670</c:v>
                </c:pt>
                <c:pt idx="314">
                  <c:v>1670</c:v>
                </c:pt>
                <c:pt idx="315">
                  <c:v>1670</c:v>
                </c:pt>
                <c:pt idx="316">
                  <c:v>1670</c:v>
                </c:pt>
                <c:pt idx="317">
                  <c:v>1670</c:v>
                </c:pt>
                <c:pt idx="318">
                  <c:v>1670</c:v>
                </c:pt>
                <c:pt idx="319">
                  <c:v>1670</c:v>
                </c:pt>
                <c:pt idx="320">
                  <c:v>1670</c:v>
                </c:pt>
                <c:pt idx="321">
                  <c:v>1670</c:v>
                </c:pt>
                <c:pt idx="322">
                  <c:v>1670</c:v>
                </c:pt>
                <c:pt idx="323">
                  <c:v>1670</c:v>
                </c:pt>
              </c:numCache>
            </c:numRef>
          </c:val>
          <c:smooth val="0"/>
        </c:ser>
        <c:dLbls>
          <c:showLegendKey val="0"/>
          <c:showVal val="0"/>
          <c:showCatName val="0"/>
          <c:showSerName val="0"/>
          <c:showPercent val="0"/>
          <c:showBubbleSize val="0"/>
        </c:dLbls>
        <c:marker val="1"/>
        <c:smooth val="0"/>
        <c:axId val="264196480"/>
        <c:axId val="264198016"/>
      </c:lineChart>
      <c:lineChart>
        <c:grouping val="standard"/>
        <c:varyColors val="0"/>
        <c:ser>
          <c:idx val="1"/>
          <c:order val="1"/>
          <c:tx>
            <c:strRef>
              <c:f>石化!$AJ$1</c:f>
              <c:strCache>
                <c:ptCount val="1"/>
                <c:pt idx="0">
                  <c:v>高密度聚乙烯HDPE 射出級 遠東區 CFR(美元/公噸)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石化!$AJ$216:$AJ$539</c:f>
              <c:numCache>
                <c:formatCode>General</c:formatCode>
                <c:ptCount val="324"/>
                <c:pt idx="0">
                  <c:v>1201</c:v>
                </c:pt>
                <c:pt idx="1">
                  <c:v>1201</c:v>
                </c:pt>
                <c:pt idx="2">
                  <c:v>1201</c:v>
                </c:pt>
                <c:pt idx="3">
                  <c:v>1201</c:v>
                </c:pt>
                <c:pt idx="4">
                  <c:v>1201</c:v>
                </c:pt>
                <c:pt idx="5">
                  <c:v>1201</c:v>
                </c:pt>
                <c:pt idx="6">
                  <c:v>1171</c:v>
                </c:pt>
                <c:pt idx="7">
                  <c:v>1171</c:v>
                </c:pt>
                <c:pt idx="8">
                  <c:v>1171</c:v>
                </c:pt>
                <c:pt idx="9">
                  <c:v>1171</c:v>
                </c:pt>
                <c:pt idx="10">
                  <c:v>1171</c:v>
                </c:pt>
                <c:pt idx="11">
                  <c:v>1171</c:v>
                </c:pt>
                <c:pt idx="12">
                  <c:v>1171</c:v>
                </c:pt>
                <c:pt idx="13">
                  <c:v>1131</c:v>
                </c:pt>
                <c:pt idx="14">
                  <c:v>1131</c:v>
                </c:pt>
                <c:pt idx="15">
                  <c:v>1131</c:v>
                </c:pt>
                <c:pt idx="16">
                  <c:v>1131</c:v>
                </c:pt>
                <c:pt idx="17">
                  <c:v>1131</c:v>
                </c:pt>
                <c:pt idx="18">
                  <c:v>1131</c:v>
                </c:pt>
                <c:pt idx="19">
                  <c:v>1131</c:v>
                </c:pt>
                <c:pt idx="20">
                  <c:v>1131</c:v>
                </c:pt>
                <c:pt idx="21">
                  <c:v>1131</c:v>
                </c:pt>
                <c:pt idx="22">
                  <c:v>1131</c:v>
                </c:pt>
                <c:pt idx="23">
                  <c:v>1131</c:v>
                </c:pt>
                <c:pt idx="24">
                  <c:v>1131</c:v>
                </c:pt>
                <c:pt idx="25">
                  <c:v>1131</c:v>
                </c:pt>
                <c:pt idx="26">
                  <c:v>1131</c:v>
                </c:pt>
                <c:pt idx="27">
                  <c:v>1091</c:v>
                </c:pt>
                <c:pt idx="28">
                  <c:v>1091</c:v>
                </c:pt>
                <c:pt idx="29">
                  <c:v>1091</c:v>
                </c:pt>
                <c:pt idx="30">
                  <c:v>1091</c:v>
                </c:pt>
                <c:pt idx="31">
                  <c:v>1091</c:v>
                </c:pt>
                <c:pt idx="32">
                  <c:v>1091</c:v>
                </c:pt>
                <c:pt idx="33">
                  <c:v>1091</c:v>
                </c:pt>
                <c:pt idx="34">
                  <c:v>1131</c:v>
                </c:pt>
                <c:pt idx="35">
                  <c:v>1131</c:v>
                </c:pt>
                <c:pt idx="36">
                  <c:v>1131</c:v>
                </c:pt>
                <c:pt idx="37">
                  <c:v>1131</c:v>
                </c:pt>
                <c:pt idx="38">
                  <c:v>1131</c:v>
                </c:pt>
                <c:pt idx="39">
                  <c:v>1131</c:v>
                </c:pt>
                <c:pt idx="40">
                  <c:v>1131</c:v>
                </c:pt>
                <c:pt idx="41">
                  <c:v>1101</c:v>
                </c:pt>
                <c:pt idx="42">
                  <c:v>1101</c:v>
                </c:pt>
                <c:pt idx="43">
                  <c:v>1101</c:v>
                </c:pt>
                <c:pt idx="44">
                  <c:v>1101</c:v>
                </c:pt>
                <c:pt idx="45">
                  <c:v>1101</c:v>
                </c:pt>
                <c:pt idx="46">
                  <c:v>1101</c:v>
                </c:pt>
                <c:pt idx="47">
                  <c:v>1101</c:v>
                </c:pt>
                <c:pt idx="48">
                  <c:v>1111</c:v>
                </c:pt>
                <c:pt idx="49">
                  <c:v>1111</c:v>
                </c:pt>
                <c:pt idx="50">
                  <c:v>1111</c:v>
                </c:pt>
                <c:pt idx="51">
                  <c:v>1111</c:v>
                </c:pt>
                <c:pt idx="52">
                  <c:v>1111</c:v>
                </c:pt>
                <c:pt idx="53">
                  <c:v>1111</c:v>
                </c:pt>
                <c:pt idx="54">
                  <c:v>1111</c:v>
                </c:pt>
                <c:pt idx="55">
                  <c:v>1111</c:v>
                </c:pt>
                <c:pt idx="56">
                  <c:v>1111</c:v>
                </c:pt>
                <c:pt idx="57">
                  <c:v>1111</c:v>
                </c:pt>
                <c:pt idx="58">
                  <c:v>1111</c:v>
                </c:pt>
                <c:pt idx="59">
                  <c:v>1111</c:v>
                </c:pt>
                <c:pt idx="60">
                  <c:v>1111</c:v>
                </c:pt>
                <c:pt idx="61">
                  <c:v>1111</c:v>
                </c:pt>
                <c:pt idx="62">
                  <c:v>1191</c:v>
                </c:pt>
                <c:pt idx="63">
                  <c:v>1191</c:v>
                </c:pt>
                <c:pt idx="64">
                  <c:v>1191</c:v>
                </c:pt>
                <c:pt idx="65">
                  <c:v>1191</c:v>
                </c:pt>
                <c:pt idx="66">
                  <c:v>1191</c:v>
                </c:pt>
                <c:pt idx="67">
                  <c:v>1191</c:v>
                </c:pt>
                <c:pt idx="68">
                  <c:v>1191</c:v>
                </c:pt>
                <c:pt idx="69">
                  <c:v>1211</c:v>
                </c:pt>
                <c:pt idx="70">
                  <c:v>1211</c:v>
                </c:pt>
                <c:pt idx="71">
                  <c:v>1211</c:v>
                </c:pt>
                <c:pt idx="72">
                  <c:v>1211</c:v>
                </c:pt>
                <c:pt idx="73">
                  <c:v>1211</c:v>
                </c:pt>
                <c:pt idx="74">
                  <c:v>1211</c:v>
                </c:pt>
                <c:pt idx="75">
                  <c:v>1211</c:v>
                </c:pt>
                <c:pt idx="76">
                  <c:v>1218</c:v>
                </c:pt>
                <c:pt idx="77">
                  <c:v>1218</c:v>
                </c:pt>
                <c:pt idx="78">
                  <c:v>1218</c:v>
                </c:pt>
                <c:pt idx="79">
                  <c:v>1218</c:v>
                </c:pt>
                <c:pt idx="80">
                  <c:v>1218</c:v>
                </c:pt>
                <c:pt idx="81">
                  <c:v>1218</c:v>
                </c:pt>
                <c:pt idx="82">
                  <c:v>1218</c:v>
                </c:pt>
                <c:pt idx="83">
                  <c:v>1241</c:v>
                </c:pt>
                <c:pt idx="84">
                  <c:v>1241</c:v>
                </c:pt>
                <c:pt idx="85">
                  <c:v>1241</c:v>
                </c:pt>
                <c:pt idx="86">
                  <c:v>1241</c:v>
                </c:pt>
                <c:pt idx="87">
                  <c:v>1241</c:v>
                </c:pt>
                <c:pt idx="88">
                  <c:v>1241</c:v>
                </c:pt>
                <c:pt idx="89">
                  <c:v>1241</c:v>
                </c:pt>
                <c:pt idx="90">
                  <c:v>1291</c:v>
                </c:pt>
                <c:pt idx="91">
                  <c:v>1291</c:v>
                </c:pt>
                <c:pt idx="92">
                  <c:v>1291</c:v>
                </c:pt>
                <c:pt idx="93">
                  <c:v>1291</c:v>
                </c:pt>
                <c:pt idx="94">
                  <c:v>1291</c:v>
                </c:pt>
                <c:pt idx="95">
                  <c:v>1291</c:v>
                </c:pt>
                <c:pt idx="96">
                  <c:v>1291</c:v>
                </c:pt>
                <c:pt idx="97">
                  <c:v>1311</c:v>
                </c:pt>
                <c:pt idx="98">
                  <c:v>1311</c:v>
                </c:pt>
                <c:pt idx="99">
                  <c:v>1311</c:v>
                </c:pt>
                <c:pt idx="100">
                  <c:v>1311</c:v>
                </c:pt>
                <c:pt idx="101">
                  <c:v>1311</c:v>
                </c:pt>
                <c:pt idx="102">
                  <c:v>1311</c:v>
                </c:pt>
                <c:pt idx="103">
                  <c:v>1311</c:v>
                </c:pt>
                <c:pt idx="104">
                  <c:v>1331</c:v>
                </c:pt>
                <c:pt idx="105">
                  <c:v>1331</c:v>
                </c:pt>
                <c:pt idx="106">
                  <c:v>1331</c:v>
                </c:pt>
                <c:pt idx="107">
                  <c:v>1331</c:v>
                </c:pt>
                <c:pt idx="108">
                  <c:v>1331</c:v>
                </c:pt>
                <c:pt idx="109">
                  <c:v>1331</c:v>
                </c:pt>
                <c:pt idx="110">
                  <c:v>1331</c:v>
                </c:pt>
                <c:pt idx="111">
                  <c:v>1381</c:v>
                </c:pt>
                <c:pt idx="112">
                  <c:v>1381</c:v>
                </c:pt>
                <c:pt idx="113">
                  <c:v>1381</c:v>
                </c:pt>
                <c:pt idx="114">
                  <c:v>1381</c:v>
                </c:pt>
                <c:pt idx="115">
                  <c:v>1381</c:v>
                </c:pt>
                <c:pt idx="116">
                  <c:v>1381</c:v>
                </c:pt>
                <c:pt idx="117">
                  <c:v>1381</c:v>
                </c:pt>
                <c:pt idx="118">
                  <c:v>1366</c:v>
                </c:pt>
                <c:pt idx="119">
                  <c:v>1366</c:v>
                </c:pt>
                <c:pt idx="120">
                  <c:v>1366</c:v>
                </c:pt>
                <c:pt idx="121">
                  <c:v>1366</c:v>
                </c:pt>
                <c:pt idx="122">
                  <c:v>1366</c:v>
                </c:pt>
                <c:pt idx="123">
                  <c:v>1366</c:v>
                </c:pt>
                <c:pt idx="124">
                  <c:v>1366</c:v>
                </c:pt>
                <c:pt idx="125">
                  <c:v>1391</c:v>
                </c:pt>
                <c:pt idx="126">
                  <c:v>1391</c:v>
                </c:pt>
                <c:pt idx="127">
                  <c:v>1391</c:v>
                </c:pt>
                <c:pt idx="128">
                  <c:v>1391</c:v>
                </c:pt>
                <c:pt idx="129">
                  <c:v>1391</c:v>
                </c:pt>
                <c:pt idx="130">
                  <c:v>1391</c:v>
                </c:pt>
                <c:pt idx="131">
                  <c:v>1391</c:v>
                </c:pt>
                <c:pt idx="132">
                  <c:v>1391</c:v>
                </c:pt>
                <c:pt idx="133">
                  <c:v>1391</c:v>
                </c:pt>
                <c:pt idx="134">
                  <c:v>1391</c:v>
                </c:pt>
                <c:pt idx="135">
                  <c:v>1391</c:v>
                </c:pt>
                <c:pt idx="136">
                  <c:v>1391</c:v>
                </c:pt>
                <c:pt idx="137">
                  <c:v>1391</c:v>
                </c:pt>
                <c:pt idx="138">
                  <c:v>1391</c:v>
                </c:pt>
                <c:pt idx="139">
                  <c:v>1361</c:v>
                </c:pt>
                <c:pt idx="140">
                  <c:v>1361</c:v>
                </c:pt>
                <c:pt idx="141">
                  <c:v>1361</c:v>
                </c:pt>
                <c:pt idx="142">
                  <c:v>1361</c:v>
                </c:pt>
                <c:pt idx="143">
                  <c:v>1361</c:v>
                </c:pt>
                <c:pt idx="144">
                  <c:v>1361</c:v>
                </c:pt>
                <c:pt idx="145">
                  <c:v>1361</c:v>
                </c:pt>
                <c:pt idx="146">
                  <c:v>1336</c:v>
                </c:pt>
                <c:pt idx="147">
                  <c:v>1336</c:v>
                </c:pt>
                <c:pt idx="148">
                  <c:v>1336</c:v>
                </c:pt>
                <c:pt idx="149">
                  <c:v>1336</c:v>
                </c:pt>
                <c:pt idx="150">
                  <c:v>1336</c:v>
                </c:pt>
                <c:pt idx="151">
                  <c:v>1336</c:v>
                </c:pt>
                <c:pt idx="152">
                  <c:v>1336</c:v>
                </c:pt>
                <c:pt idx="153">
                  <c:v>1321</c:v>
                </c:pt>
                <c:pt idx="154">
                  <c:v>1321</c:v>
                </c:pt>
                <c:pt idx="155">
                  <c:v>1321</c:v>
                </c:pt>
                <c:pt idx="156">
                  <c:v>1321</c:v>
                </c:pt>
                <c:pt idx="157">
                  <c:v>1321</c:v>
                </c:pt>
                <c:pt idx="158">
                  <c:v>1321</c:v>
                </c:pt>
                <c:pt idx="159">
                  <c:v>1321</c:v>
                </c:pt>
                <c:pt idx="160">
                  <c:v>1301</c:v>
                </c:pt>
                <c:pt idx="161">
                  <c:v>1301</c:v>
                </c:pt>
                <c:pt idx="162">
                  <c:v>1301</c:v>
                </c:pt>
                <c:pt idx="163">
                  <c:v>1301</c:v>
                </c:pt>
                <c:pt idx="164">
                  <c:v>1301</c:v>
                </c:pt>
                <c:pt idx="165">
                  <c:v>1301</c:v>
                </c:pt>
                <c:pt idx="166">
                  <c:v>1301</c:v>
                </c:pt>
                <c:pt idx="167">
                  <c:v>1301</c:v>
                </c:pt>
                <c:pt idx="168">
                  <c:v>1301</c:v>
                </c:pt>
                <c:pt idx="169">
                  <c:v>1301</c:v>
                </c:pt>
                <c:pt idx="170">
                  <c:v>1301</c:v>
                </c:pt>
                <c:pt idx="171">
                  <c:v>1301</c:v>
                </c:pt>
                <c:pt idx="172">
                  <c:v>1301</c:v>
                </c:pt>
                <c:pt idx="173">
                  <c:v>1301</c:v>
                </c:pt>
                <c:pt idx="174">
                  <c:v>1301</c:v>
                </c:pt>
                <c:pt idx="175">
                  <c:v>1301</c:v>
                </c:pt>
                <c:pt idx="176">
                  <c:v>1301</c:v>
                </c:pt>
                <c:pt idx="177">
                  <c:v>1301</c:v>
                </c:pt>
                <c:pt idx="178">
                  <c:v>1301</c:v>
                </c:pt>
                <c:pt idx="179">
                  <c:v>1301</c:v>
                </c:pt>
                <c:pt idx="180">
                  <c:v>1301</c:v>
                </c:pt>
                <c:pt idx="181">
                  <c:v>1321</c:v>
                </c:pt>
                <c:pt idx="182">
                  <c:v>1321</c:v>
                </c:pt>
                <c:pt idx="183">
                  <c:v>1321</c:v>
                </c:pt>
                <c:pt idx="184">
                  <c:v>1321</c:v>
                </c:pt>
                <c:pt idx="185">
                  <c:v>1321</c:v>
                </c:pt>
                <c:pt idx="186">
                  <c:v>1321</c:v>
                </c:pt>
                <c:pt idx="187">
                  <c:v>1321</c:v>
                </c:pt>
                <c:pt idx="188">
                  <c:v>1291</c:v>
                </c:pt>
                <c:pt idx="189">
                  <c:v>1291</c:v>
                </c:pt>
                <c:pt idx="190">
                  <c:v>1291</c:v>
                </c:pt>
                <c:pt idx="191">
                  <c:v>1291</c:v>
                </c:pt>
                <c:pt idx="192">
                  <c:v>1291</c:v>
                </c:pt>
                <c:pt idx="193">
                  <c:v>1291</c:v>
                </c:pt>
                <c:pt idx="194">
                  <c:v>1291</c:v>
                </c:pt>
                <c:pt idx="195">
                  <c:v>1291</c:v>
                </c:pt>
                <c:pt idx="196">
                  <c:v>1291</c:v>
                </c:pt>
                <c:pt idx="197">
                  <c:v>1291</c:v>
                </c:pt>
                <c:pt idx="198">
                  <c:v>1291</c:v>
                </c:pt>
                <c:pt idx="199">
                  <c:v>1291</c:v>
                </c:pt>
                <c:pt idx="200">
                  <c:v>1291</c:v>
                </c:pt>
                <c:pt idx="201">
                  <c:v>1291</c:v>
                </c:pt>
                <c:pt idx="202">
                  <c:v>1291</c:v>
                </c:pt>
                <c:pt idx="203">
                  <c:v>1291</c:v>
                </c:pt>
                <c:pt idx="204">
                  <c:v>1291</c:v>
                </c:pt>
                <c:pt idx="205">
                  <c:v>1291</c:v>
                </c:pt>
                <c:pt idx="206">
                  <c:v>1291</c:v>
                </c:pt>
                <c:pt idx="207">
                  <c:v>1291</c:v>
                </c:pt>
                <c:pt idx="208">
                  <c:v>1291</c:v>
                </c:pt>
                <c:pt idx="209">
                  <c:v>1211</c:v>
                </c:pt>
                <c:pt idx="210">
                  <c:v>1211</c:v>
                </c:pt>
                <c:pt idx="211">
                  <c:v>1211</c:v>
                </c:pt>
                <c:pt idx="212">
                  <c:v>1211</c:v>
                </c:pt>
                <c:pt idx="213">
                  <c:v>1211</c:v>
                </c:pt>
                <c:pt idx="214">
                  <c:v>1211</c:v>
                </c:pt>
                <c:pt idx="215">
                  <c:v>1211</c:v>
                </c:pt>
                <c:pt idx="216">
                  <c:v>1211</c:v>
                </c:pt>
                <c:pt idx="217">
                  <c:v>1211</c:v>
                </c:pt>
                <c:pt idx="218">
                  <c:v>1211</c:v>
                </c:pt>
                <c:pt idx="219">
                  <c:v>1211</c:v>
                </c:pt>
                <c:pt idx="220">
                  <c:v>1211</c:v>
                </c:pt>
                <c:pt idx="221">
                  <c:v>1211</c:v>
                </c:pt>
                <c:pt idx="222">
                  <c:v>1211</c:v>
                </c:pt>
                <c:pt idx="223">
                  <c:v>1211</c:v>
                </c:pt>
                <c:pt idx="224">
                  <c:v>1211</c:v>
                </c:pt>
                <c:pt idx="225">
                  <c:v>1211</c:v>
                </c:pt>
                <c:pt idx="226">
                  <c:v>1211</c:v>
                </c:pt>
                <c:pt idx="227">
                  <c:v>1211</c:v>
                </c:pt>
                <c:pt idx="228">
                  <c:v>1211</c:v>
                </c:pt>
                <c:pt idx="229">
                  <c:v>1211</c:v>
                </c:pt>
                <c:pt idx="230">
                  <c:v>1201</c:v>
                </c:pt>
                <c:pt idx="231">
                  <c:v>1201</c:v>
                </c:pt>
                <c:pt idx="232">
                  <c:v>1201</c:v>
                </c:pt>
                <c:pt idx="233">
                  <c:v>1201</c:v>
                </c:pt>
                <c:pt idx="234">
                  <c:v>1201</c:v>
                </c:pt>
                <c:pt idx="235">
                  <c:v>1201</c:v>
                </c:pt>
                <c:pt idx="236">
                  <c:v>1201</c:v>
                </c:pt>
                <c:pt idx="237">
                  <c:v>1146</c:v>
                </c:pt>
                <c:pt idx="238">
                  <c:v>1146</c:v>
                </c:pt>
                <c:pt idx="239">
                  <c:v>1146</c:v>
                </c:pt>
                <c:pt idx="240">
                  <c:v>1146</c:v>
                </c:pt>
                <c:pt idx="241">
                  <c:v>1146</c:v>
                </c:pt>
                <c:pt idx="242">
                  <c:v>1146</c:v>
                </c:pt>
                <c:pt idx="243">
                  <c:v>1146</c:v>
                </c:pt>
                <c:pt idx="244">
                  <c:v>1121</c:v>
                </c:pt>
                <c:pt idx="245">
                  <c:v>1121</c:v>
                </c:pt>
                <c:pt idx="246">
                  <c:v>1121</c:v>
                </c:pt>
                <c:pt idx="247">
                  <c:v>1121</c:v>
                </c:pt>
                <c:pt idx="248">
                  <c:v>1121</c:v>
                </c:pt>
                <c:pt idx="249">
                  <c:v>1121</c:v>
                </c:pt>
                <c:pt idx="250">
                  <c:v>1121</c:v>
                </c:pt>
                <c:pt idx="251">
                  <c:v>1131</c:v>
                </c:pt>
                <c:pt idx="252">
                  <c:v>1131</c:v>
                </c:pt>
                <c:pt idx="253">
                  <c:v>1131</c:v>
                </c:pt>
                <c:pt idx="254">
                  <c:v>1131</c:v>
                </c:pt>
                <c:pt idx="255">
                  <c:v>1131</c:v>
                </c:pt>
                <c:pt idx="256">
                  <c:v>1131</c:v>
                </c:pt>
                <c:pt idx="257">
                  <c:v>1131</c:v>
                </c:pt>
                <c:pt idx="258">
                  <c:v>1151</c:v>
                </c:pt>
                <c:pt idx="259">
                  <c:v>1151</c:v>
                </c:pt>
                <c:pt idx="260">
                  <c:v>1151</c:v>
                </c:pt>
                <c:pt idx="261">
                  <c:v>1151</c:v>
                </c:pt>
                <c:pt idx="262">
                  <c:v>1151</c:v>
                </c:pt>
                <c:pt idx="263">
                  <c:v>1151</c:v>
                </c:pt>
                <c:pt idx="264">
                  <c:v>1151</c:v>
                </c:pt>
                <c:pt idx="265">
                  <c:v>1171</c:v>
                </c:pt>
                <c:pt idx="266">
                  <c:v>1171</c:v>
                </c:pt>
                <c:pt idx="267">
                  <c:v>1171</c:v>
                </c:pt>
                <c:pt idx="268">
                  <c:v>1171</c:v>
                </c:pt>
                <c:pt idx="269">
                  <c:v>1171</c:v>
                </c:pt>
                <c:pt idx="270">
                  <c:v>1171</c:v>
                </c:pt>
                <c:pt idx="271">
                  <c:v>1171</c:v>
                </c:pt>
                <c:pt idx="272">
                  <c:v>1171</c:v>
                </c:pt>
                <c:pt idx="273">
                  <c:v>1161</c:v>
                </c:pt>
                <c:pt idx="274">
                  <c:v>1161</c:v>
                </c:pt>
                <c:pt idx="275">
                  <c:v>1161</c:v>
                </c:pt>
                <c:pt idx="276">
                  <c:v>1161</c:v>
                </c:pt>
                <c:pt idx="277">
                  <c:v>1161</c:v>
                </c:pt>
                <c:pt idx="278">
                  <c:v>1161</c:v>
                </c:pt>
                <c:pt idx="279">
                  <c:v>1161</c:v>
                </c:pt>
                <c:pt idx="280">
                  <c:v>1161</c:v>
                </c:pt>
                <c:pt idx="281">
                  <c:v>1161</c:v>
                </c:pt>
                <c:pt idx="282">
                  <c:v>1161</c:v>
                </c:pt>
                <c:pt idx="283">
                  <c:v>1161</c:v>
                </c:pt>
                <c:pt idx="284">
                  <c:v>1161</c:v>
                </c:pt>
                <c:pt idx="285">
                  <c:v>1161</c:v>
                </c:pt>
                <c:pt idx="286">
                  <c:v>1171</c:v>
                </c:pt>
                <c:pt idx="287">
                  <c:v>1171</c:v>
                </c:pt>
                <c:pt idx="288">
                  <c:v>1171</c:v>
                </c:pt>
                <c:pt idx="289">
                  <c:v>1171</c:v>
                </c:pt>
                <c:pt idx="290">
                  <c:v>1171</c:v>
                </c:pt>
                <c:pt idx="291">
                  <c:v>1171</c:v>
                </c:pt>
                <c:pt idx="292">
                  <c:v>1171</c:v>
                </c:pt>
                <c:pt idx="293">
                  <c:v>1156</c:v>
                </c:pt>
                <c:pt idx="294">
                  <c:v>1156</c:v>
                </c:pt>
                <c:pt idx="295">
                  <c:v>1156</c:v>
                </c:pt>
                <c:pt idx="296">
                  <c:v>1156</c:v>
                </c:pt>
                <c:pt idx="297">
                  <c:v>1156</c:v>
                </c:pt>
                <c:pt idx="298">
                  <c:v>1156</c:v>
                </c:pt>
                <c:pt idx="299">
                  <c:v>1156</c:v>
                </c:pt>
                <c:pt idx="300">
                  <c:v>1151</c:v>
                </c:pt>
                <c:pt idx="301">
                  <c:v>1151</c:v>
                </c:pt>
                <c:pt idx="302">
                  <c:v>1151</c:v>
                </c:pt>
                <c:pt idx="303">
                  <c:v>1151</c:v>
                </c:pt>
                <c:pt idx="304">
                  <c:v>1151</c:v>
                </c:pt>
                <c:pt idx="305">
                  <c:v>1151</c:v>
                </c:pt>
                <c:pt idx="306">
                  <c:v>1151</c:v>
                </c:pt>
                <c:pt idx="307">
                  <c:v>1151</c:v>
                </c:pt>
                <c:pt idx="308">
                  <c:v>1151</c:v>
                </c:pt>
                <c:pt idx="309">
                  <c:v>1151</c:v>
                </c:pt>
                <c:pt idx="310">
                  <c:v>1151</c:v>
                </c:pt>
                <c:pt idx="311">
                  <c:v>1151</c:v>
                </c:pt>
                <c:pt idx="312">
                  <c:v>1151</c:v>
                </c:pt>
                <c:pt idx="313">
                  <c:v>1151</c:v>
                </c:pt>
                <c:pt idx="314">
                  <c:v>1141</c:v>
                </c:pt>
                <c:pt idx="315">
                  <c:v>1141</c:v>
                </c:pt>
                <c:pt idx="316">
                  <c:v>1141</c:v>
                </c:pt>
                <c:pt idx="317">
                  <c:v>1141</c:v>
                </c:pt>
                <c:pt idx="318">
                  <c:v>1141</c:v>
                </c:pt>
                <c:pt idx="319">
                  <c:v>1141</c:v>
                </c:pt>
                <c:pt idx="320">
                  <c:v>1141</c:v>
                </c:pt>
                <c:pt idx="321">
                  <c:v>1086</c:v>
                </c:pt>
                <c:pt idx="322">
                  <c:v>1086</c:v>
                </c:pt>
                <c:pt idx="323">
                  <c:v>1086</c:v>
                </c:pt>
              </c:numCache>
            </c:numRef>
          </c:val>
          <c:smooth val="0"/>
        </c:ser>
        <c:dLbls>
          <c:showLegendKey val="0"/>
          <c:showVal val="0"/>
          <c:showCatName val="0"/>
          <c:showSerName val="0"/>
          <c:showPercent val="0"/>
          <c:showBubbleSize val="0"/>
        </c:dLbls>
        <c:marker val="1"/>
        <c:smooth val="0"/>
        <c:axId val="264206208"/>
        <c:axId val="264204288"/>
      </c:lineChart>
      <c:dateAx>
        <c:axId val="264196480"/>
        <c:scaling>
          <c:orientation val="minMax"/>
          <c:max val="42328"/>
          <c:min val="42005"/>
        </c:scaling>
        <c:delete val="0"/>
        <c:axPos val="b"/>
        <c:numFmt formatCode="m/d/yyyy" sourceLinked="1"/>
        <c:majorTickMark val="out"/>
        <c:minorTickMark val="none"/>
        <c:tickLblPos val="nextTo"/>
        <c:crossAx val="264198016"/>
        <c:crosses val="autoZero"/>
        <c:auto val="1"/>
        <c:lblOffset val="100"/>
        <c:baseTimeUnit val="days"/>
        <c:majorUnit val="1"/>
        <c:majorTimeUnit val="months"/>
        <c:minorUnit val="1"/>
        <c:minorTimeUnit val="months"/>
      </c:dateAx>
      <c:valAx>
        <c:axId val="264198016"/>
        <c:scaling>
          <c:orientation val="minMax"/>
          <c:min val="1650"/>
        </c:scaling>
        <c:delete val="0"/>
        <c:axPos val="l"/>
        <c:majorGridlines/>
        <c:title>
          <c:tx>
            <c:rich>
              <a:bodyPr rot="0" vert="horz"/>
              <a:lstStyle/>
              <a:p>
                <a:pPr>
                  <a:defRPr/>
                </a:pPr>
                <a:r>
                  <a:rPr lang="zh-TW" altLang="en-US"/>
                  <a:t>電纜級</a:t>
                </a:r>
              </a:p>
            </c:rich>
          </c:tx>
          <c:layout>
            <c:manualLayout>
              <c:xMode val="edge"/>
              <c:yMode val="edge"/>
              <c:x val="1.5904572564612387E-2"/>
              <c:y val="2.6785629069093611E-2"/>
            </c:manualLayout>
          </c:layout>
          <c:overlay val="0"/>
        </c:title>
        <c:numFmt formatCode="General" sourceLinked="1"/>
        <c:majorTickMark val="out"/>
        <c:minorTickMark val="none"/>
        <c:tickLblPos val="nextTo"/>
        <c:crossAx val="264196480"/>
        <c:crosses val="autoZero"/>
        <c:crossBetween val="between"/>
        <c:majorUnit val="50"/>
      </c:valAx>
      <c:valAx>
        <c:axId val="264204288"/>
        <c:scaling>
          <c:orientation val="minMax"/>
          <c:min val="1000"/>
        </c:scaling>
        <c:delete val="0"/>
        <c:axPos val="r"/>
        <c:title>
          <c:tx>
            <c:rich>
              <a:bodyPr rot="0" vert="horz"/>
              <a:lstStyle/>
              <a:p>
                <a:pPr>
                  <a:defRPr/>
                </a:pPr>
                <a:r>
                  <a:rPr lang="zh-TW" altLang="en-US"/>
                  <a:t>射出級</a:t>
                </a:r>
              </a:p>
            </c:rich>
          </c:tx>
          <c:layout>
            <c:manualLayout>
              <c:xMode val="edge"/>
              <c:yMode val="edge"/>
              <c:x val="0.87533465871438065"/>
              <c:y val="3.5443637727102413E-2"/>
            </c:manualLayout>
          </c:layout>
          <c:overlay val="0"/>
        </c:title>
        <c:numFmt formatCode="General" sourceLinked="1"/>
        <c:majorTickMark val="out"/>
        <c:minorTickMark val="none"/>
        <c:tickLblPos val="nextTo"/>
        <c:crossAx val="264206208"/>
        <c:crosses val="max"/>
        <c:crossBetween val="between"/>
      </c:valAx>
      <c:dateAx>
        <c:axId val="264206208"/>
        <c:scaling>
          <c:orientation val="minMax"/>
        </c:scaling>
        <c:delete val="1"/>
        <c:axPos val="b"/>
        <c:numFmt formatCode="m/d/yyyy" sourceLinked="1"/>
        <c:majorTickMark val="out"/>
        <c:minorTickMark val="none"/>
        <c:tickLblPos val="none"/>
        <c:crossAx val="264204288"/>
        <c:crosses val="autoZero"/>
        <c:auto val="1"/>
        <c:lblOffset val="100"/>
        <c:baseTimeUnit val="days"/>
      </c:dateAx>
    </c:plotArea>
    <c:legend>
      <c:legendPos val="b"/>
      <c:layout>
        <c:manualLayout>
          <c:xMode val="edge"/>
          <c:yMode val="edge"/>
          <c:x val="0.12994141513910276"/>
          <c:y val="0.86197140707298736"/>
          <c:w val="0.75733414674297228"/>
          <c:h val="0.13802859292701281"/>
        </c:manualLayout>
      </c:layout>
      <c:overlay val="0"/>
    </c:legend>
    <c:plotVisOnly val="1"/>
    <c:dispBlanksAs val="gap"/>
    <c:showDLblsOverMax val="0"/>
  </c:chart>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238176833447546E-2"/>
          <c:y val="4.5933449057564399E-2"/>
          <c:w val="0.8508161629496912"/>
          <c:h val="0.6146879661625031"/>
        </c:manualLayout>
      </c:layout>
      <c:lineChart>
        <c:grouping val="standard"/>
        <c:varyColors val="0"/>
        <c:ser>
          <c:idx val="0"/>
          <c:order val="0"/>
          <c:tx>
            <c:strRef>
              <c:f>石化!$AK$1</c:f>
              <c:strCache>
                <c:ptCount val="1"/>
                <c:pt idx="0">
                  <c:v>聚苯乙烯PS 通用級PG-33 奇美 現金價(元/公斤)</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石化!$AK$216:$AK$539</c:f>
              <c:numCache>
                <c:formatCode>General</c:formatCode>
                <c:ptCount val="324"/>
                <c:pt idx="0">
                  <c:v>1400</c:v>
                </c:pt>
                <c:pt idx="1">
                  <c:v>1400</c:v>
                </c:pt>
                <c:pt idx="2">
                  <c:v>1400</c:v>
                </c:pt>
                <c:pt idx="3">
                  <c:v>1400</c:v>
                </c:pt>
                <c:pt idx="4">
                  <c:v>1400</c:v>
                </c:pt>
                <c:pt idx="5">
                  <c:v>1400</c:v>
                </c:pt>
                <c:pt idx="6">
                  <c:v>1400</c:v>
                </c:pt>
                <c:pt idx="7">
                  <c:v>1400</c:v>
                </c:pt>
                <c:pt idx="8">
                  <c:v>1400</c:v>
                </c:pt>
                <c:pt idx="9">
                  <c:v>1400</c:v>
                </c:pt>
                <c:pt idx="10">
                  <c:v>1400</c:v>
                </c:pt>
                <c:pt idx="11">
                  <c:v>1400</c:v>
                </c:pt>
                <c:pt idx="12">
                  <c:v>1383.3333333333326</c:v>
                </c:pt>
                <c:pt idx="13">
                  <c:v>1383.3333333333326</c:v>
                </c:pt>
                <c:pt idx="14">
                  <c:v>1383.3333333333326</c:v>
                </c:pt>
                <c:pt idx="15">
                  <c:v>1383.3333333333326</c:v>
                </c:pt>
                <c:pt idx="16">
                  <c:v>1383.3333333333326</c:v>
                </c:pt>
                <c:pt idx="17">
                  <c:v>1383.3333333333326</c:v>
                </c:pt>
                <c:pt idx="18">
                  <c:v>1383.3333333333326</c:v>
                </c:pt>
                <c:pt idx="19">
                  <c:v>1383.3333333333326</c:v>
                </c:pt>
                <c:pt idx="20">
                  <c:v>1383.3333333333326</c:v>
                </c:pt>
                <c:pt idx="21">
                  <c:v>1383.3333333333326</c:v>
                </c:pt>
                <c:pt idx="22">
                  <c:v>1383.3333333333326</c:v>
                </c:pt>
                <c:pt idx="23">
                  <c:v>1383.3333333333326</c:v>
                </c:pt>
                <c:pt idx="24">
                  <c:v>1383.3333333333326</c:v>
                </c:pt>
                <c:pt idx="25">
                  <c:v>1383.3333333333326</c:v>
                </c:pt>
                <c:pt idx="26">
                  <c:v>1383.3333333333326</c:v>
                </c:pt>
                <c:pt idx="27">
                  <c:v>1383.3333333333326</c:v>
                </c:pt>
                <c:pt idx="28">
                  <c:v>1383.3333333333326</c:v>
                </c:pt>
                <c:pt idx="29">
                  <c:v>1383.3333333333326</c:v>
                </c:pt>
                <c:pt idx="30">
                  <c:v>1383.3333333333326</c:v>
                </c:pt>
                <c:pt idx="31">
                  <c:v>1383.3333333333326</c:v>
                </c:pt>
                <c:pt idx="32">
                  <c:v>1383.3333333333326</c:v>
                </c:pt>
                <c:pt idx="33">
                  <c:v>1350</c:v>
                </c:pt>
                <c:pt idx="34">
                  <c:v>1350</c:v>
                </c:pt>
                <c:pt idx="35">
                  <c:v>1350</c:v>
                </c:pt>
                <c:pt idx="36">
                  <c:v>1350</c:v>
                </c:pt>
                <c:pt idx="37">
                  <c:v>1350</c:v>
                </c:pt>
                <c:pt idx="38">
                  <c:v>1350</c:v>
                </c:pt>
                <c:pt idx="39">
                  <c:v>1350</c:v>
                </c:pt>
                <c:pt idx="40">
                  <c:v>1350</c:v>
                </c:pt>
                <c:pt idx="41">
                  <c:v>1366.6666666666667</c:v>
                </c:pt>
                <c:pt idx="42">
                  <c:v>1366.6666666666667</c:v>
                </c:pt>
                <c:pt idx="43">
                  <c:v>1366.6666666666667</c:v>
                </c:pt>
                <c:pt idx="44">
                  <c:v>1366.6666666666667</c:v>
                </c:pt>
                <c:pt idx="45">
                  <c:v>1366.6666666666667</c:v>
                </c:pt>
                <c:pt idx="46">
                  <c:v>1366.6666666666667</c:v>
                </c:pt>
                <c:pt idx="47">
                  <c:v>1366.6666666666667</c:v>
                </c:pt>
                <c:pt idx="48">
                  <c:v>1366.6666666666667</c:v>
                </c:pt>
                <c:pt idx="49">
                  <c:v>1366.6666666666667</c:v>
                </c:pt>
                <c:pt idx="50">
                  <c:v>1366.6666666666667</c:v>
                </c:pt>
                <c:pt idx="51">
                  <c:v>1366.6666666666667</c:v>
                </c:pt>
                <c:pt idx="52">
                  <c:v>1366.6666666666667</c:v>
                </c:pt>
                <c:pt idx="53">
                  <c:v>1366.6666666666667</c:v>
                </c:pt>
                <c:pt idx="54">
                  <c:v>1366.6666666666667</c:v>
                </c:pt>
                <c:pt idx="55">
                  <c:v>1366.6666666666667</c:v>
                </c:pt>
                <c:pt idx="56">
                  <c:v>1366.6666666666667</c:v>
                </c:pt>
                <c:pt idx="57">
                  <c:v>1366.6666666666667</c:v>
                </c:pt>
                <c:pt idx="58">
                  <c:v>1366.6666666666667</c:v>
                </c:pt>
                <c:pt idx="59">
                  <c:v>1383.3333333333326</c:v>
                </c:pt>
                <c:pt idx="60">
                  <c:v>1383.3333333333326</c:v>
                </c:pt>
                <c:pt idx="61">
                  <c:v>1383.3333333333326</c:v>
                </c:pt>
                <c:pt idx="62">
                  <c:v>1383.3333333333326</c:v>
                </c:pt>
                <c:pt idx="63">
                  <c:v>1383.3333333333326</c:v>
                </c:pt>
                <c:pt idx="64">
                  <c:v>1383.3333333333326</c:v>
                </c:pt>
                <c:pt idx="65">
                  <c:v>1383.3333333333326</c:v>
                </c:pt>
                <c:pt idx="66">
                  <c:v>1383.3333333333326</c:v>
                </c:pt>
                <c:pt idx="67">
                  <c:v>1383.3333333333326</c:v>
                </c:pt>
                <c:pt idx="68">
                  <c:v>1433.3333333333326</c:v>
                </c:pt>
                <c:pt idx="69">
                  <c:v>1433.3333333333326</c:v>
                </c:pt>
                <c:pt idx="70">
                  <c:v>1433.3333333333326</c:v>
                </c:pt>
                <c:pt idx="71">
                  <c:v>1433.3333333333326</c:v>
                </c:pt>
                <c:pt idx="72">
                  <c:v>1433.3333333333326</c:v>
                </c:pt>
                <c:pt idx="73">
                  <c:v>1433.3333333333326</c:v>
                </c:pt>
                <c:pt idx="74">
                  <c:v>1433.3333333333326</c:v>
                </c:pt>
                <c:pt idx="75">
                  <c:v>1433.3333333333326</c:v>
                </c:pt>
                <c:pt idx="76">
                  <c:v>1433.3333333333326</c:v>
                </c:pt>
                <c:pt idx="77">
                  <c:v>1433.3333333333326</c:v>
                </c:pt>
                <c:pt idx="78">
                  <c:v>1433.3333333333326</c:v>
                </c:pt>
                <c:pt idx="79">
                  <c:v>1433.3333333333326</c:v>
                </c:pt>
                <c:pt idx="80">
                  <c:v>1433.3333333333326</c:v>
                </c:pt>
                <c:pt idx="81">
                  <c:v>1433.3333333333326</c:v>
                </c:pt>
                <c:pt idx="82">
                  <c:v>1400</c:v>
                </c:pt>
                <c:pt idx="83">
                  <c:v>1400</c:v>
                </c:pt>
                <c:pt idx="84">
                  <c:v>1400</c:v>
                </c:pt>
                <c:pt idx="85">
                  <c:v>1400</c:v>
                </c:pt>
                <c:pt idx="86">
                  <c:v>1400</c:v>
                </c:pt>
                <c:pt idx="87">
                  <c:v>1400</c:v>
                </c:pt>
                <c:pt idx="88">
                  <c:v>1400</c:v>
                </c:pt>
                <c:pt idx="89">
                  <c:v>1433.3333333333326</c:v>
                </c:pt>
                <c:pt idx="90">
                  <c:v>1433.3333333333326</c:v>
                </c:pt>
                <c:pt idx="91">
                  <c:v>1433.3333333333326</c:v>
                </c:pt>
                <c:pt idx="92">
                  <c:v>1433.3333333333326</c:v>
                </c:pt>
                <c:pt idx="93">
                  <c:v>1433.3333333333326</c:v>
                </c:pt>
                <c:pt idx="94">
                  <c:v>1433.3333333333326</c:v>
                </c:pt>
                <c:pt idx="95">
                  <c:v>1433.3333333333326</c:v>
                </c:pt>
                <c:pt idx="96">
                  <c:v>1433.3333333333326</c:v>
                </c:pt>
                <c:pt idx="97">
                  <c:v>1433.3333333333326</c:v>
                </c:pt>
                <c:pt idx="98">
                  <c:v>1433.3333333333326</c:v>
                </c:pt>
                <c:pt idx="99">
                  <c:v>1433.3333333333326</c:v>
                </c:pt>
                <c:pt idx="100">
                  <c:v>1433.3333333333326</c:v>
                </c:pt>
                <c:pt idx="101">
                  <c:v>1433.3333333333326</c:v>
                </c:pt>
                <c:pt idx="102">
                  <c:v>1483.3333333333326</c:v>
                </c:pt>
                <c:pt idx="103">
                  <c:v>1483.3333333333326</c:v>
                </c:pt>
                <c:pt idx="104">
                  <c:v>1483.3333333333326</c:v>
                </c:pt>
                <c:pt idx="105">
                  <c:v>1483.3333333333326</c:v>
                </c:pt>
                <c:pt idx="106">
                  <c:v>1483.3333333333326</c:v>
                </c:pt>
                <c:pt idx="107">
                  <c:v>1483.3333333333326</c:v>
                </c:pt>
                <c:pt idx="108">
                  <c:v>1483.3333333333326</c:v>
                </c:pt>
                <c:pt idx="109">
                  <c:v>1633.3333333333326</c:v>
                </c:pt>
                <c:pt idx="110">
                  <c:v>1633.3333333333326</c:v>
                </c:pt>
                <c:pt idx="111">
                  <c:v>1633.3333333333326</c:v>
                </c:pt>
                <c:pt idx="112">
                  <c:v>1633.3333333333326</c:v>
                </c:pt>
                <c:pt idx="113">
                  <c:v>1633.3333333333326</c:v>
                </c:pt>
                <c:pt idx="114">
                  <c:v>1633.3333333333326</c:v>
                </c:pt>
                <c:pt idx="115">
                  <c:v>1633.3333333333326</c:v>
                </c:pt>
                <c:pt idx="116">
                  <c:v>1633.3333333333326</c:v>
                </c:pt>
                <c:pt idx="117">
                  <c:v>1633.3333333333326</c:v>
                </c:pt>
                <c:pt idx="118">
                  <c:v>1633.3333333333326</c:v>
                </c:pt>
                <c:pt idx="119">
                  <c:v>1633.3333333333326</c:v>
                </c:pt>
                <c:pt idx="120">
                  <c:v>1633.3333333333326</c:v>
                </c:pt>
                <c:pt idx="121">
                  <c:v>1633.3333333333326</c:v>
                </c:pt>
                <c:pt idx="122">
                  <c:v>1633.3333333333326</c:v>
                </c:pt>
                <c:pt idx="123">
                  <c:v>1633.3333333333326</c:v>
                </c:pt>
                <c:pt idx="124">
                  <c:v>1633.3333333333326</c:v>
                </c:pt>
                <c:pt idx="125">
                  <c:v>1633.3333333333326</c:v>
                </c:pt>
                <c:pt idx="126">
                  <c:v>1633.3333333333326</c:v>
                </c:pt>
                <c:pt idx="127">
                  <c:v>1633.3333333333326</c:v>
                </c:pt>
                <c:pt idx="128">
                  <c:v>1633.3333333333326</c:v>
                </c:pt>
                <c:pt idx="129">
                  <c:v>1633.3333333333326</c:v>
                </c:pt>
                <c:pt idx="130">
                  <c:v>1633.3333333333326</c:v>
                </c:pt>
                <c:pt idx="131">
                  <c:v>1633.3333333333326</c:v>
                </c:pt>
                <c:pt idx="132">
                  <c:v>1633.3333333333326</c:v>
                </c:pt>
                <c:pt idx="133">
                  <c:v>1633.3333333333326</c:v>
                </c:pt>
                <c:pt idx="134">
                  <c:v>1633.3333333333326</c:v>
                </c:pt>
                <c:pt idx="135">
                  <c:v>1633.3333333333326</c:v>
                </c:pt>
                <c:pt idx="136">
                  <c:v>1633.3333333333326</c:v>
                </c:pt>
                <c:pt idx="137">
                  <c:v>1633.3333333333326</c:v>
                </c:pt>
                <c:pt idx="138">
                  <c:v>1633.3333333333326</c:v>
                </c:pt>
                <c:pt idx="139">
                  <c:v>1666.6666666666667</c:v>
                </c:pt>
                <c:pt idx="140">
                  <c:v>1666.6666666666667</c:v>
                </c:pt>
                <c:pt idx="141">
                  <c:v>1666.6666666666667</c:v>
                </c:pt>
                <c:pt idx="142">
                  <c:v>1666.6666666666667</c:v>
                </c:pt>
                <c:pt idx="143">
                  <c:v>1666.6666666666667</c:v>
                </c:pt>
                <c:pt idx="144">
                  <c:v>1666.6666666666667</c:v>
                </c:pt>
                <c:pt idx="145">
                  <c:v>1666.6666666666667</c:v>
                </c:pt>
                <c:pt idx="146">
                  <c:v>1666.6666666666667</c:v>
                </c:pt>
                <c:pt idx="147">
                  <c:v>1666.6666666666667</c:v>
                </c:pt>
                <c:pt idx="148">
                  <c:v>1666.6666666666667</c:v>
                </c:pt>
                <c:pt idx="149">
                  <c:v>1666.6666666666667</c:v>
                </c:pt>
                <c:pt idx="150">
                  <c:v>1666.6666666666667</c:v>
                </c:pt>
                <c:pt idx="151">
                  <c:v>1616.6666666666667</c:v>
                </c:pt>
                <c:pt idx="152">
                  <c:v>1616.6666666666667</c:v>
                </c:pt>
                <c:pt idx="153">
                  <c:v>1616.6666666666667</c:v>
                </c:pt>
                <c:pt idx="154">
                  <c:v>1616.6666666666667</c:v>
                </c:pt>
                <c:pt idx="155">
                  <c:v>1616.6666666666667</c:v>
                </c:pt>
                <c:pt idx="156">
                  <c:v>1616.6666666666667</c:v>
                </c:pt>
                <c:pt idx="157">
                  <c:v>1616.6666666666667</c:v>
                </c:pt>
                <c:pt idx="158">
                  <c:v>1616.6666666666667</c:v>
                </c:pt>
                <c:pt idx="159">
                  <c:v>1616.6666666666667</c:v>
                </c:pt>
                <c:pt idx="160">
                  <c:v>1616.6666666666667</c:v>
                </c:pt>
                <c:pt idx="161">
                  <c:v>1566.6666666666667</c:v>
                </c:pt>
                <c:pt idx="162">
                  <c:v>1566.6666666666667</c:v>
                </c:pt>
                <c:pt idx="163">
                  <c:v>1566.6666666666667</c:v>
                </c:pt>
                <c:pt idx="164">
                  <c:v>1566.6666666666667</c:v>
                </c:pt>
                <c:pt idx="165">
                  <c:v>1566.6666666666667</c:v>
                </c:pt>
                <c:pt idx="166">
                  <c:v>1566.6666666666667</c:v>
                </c:pt>
                <c:pt idx="167">
                  <c:v>1566.6666666666667</c:v>
                </c:pt>
                <c:pt idx="168">
                  <c:v>1566.6666666666667</c:v>
                </c:pt>
                <c:pt idx="169">
                  <c:v>1566.6666666666667</c:v>
                </c:pt>
                <c:pt idx="170">
                  <c:v>1566.6666666666667</c:v>
                </c:pt>
                <c:pt idx="171">
                  <c:v>1566.6666666666667</c:v>
                </c:pt>
                <c:pt idx="172">
                  <c:v>1566.6666666666667</c:v>
                </c:pt>
                <c:pt idx="173">
                  <c:v>1566.6666666666667</c:v>
                </c:pt>
                <c:pt idx="174">
                  <c:v>1566.6666666666667</c:v>
                </c:pt>
                <c:pt idx="175">
                  <c:v>1566.6666666666667</c:v>
                </c:pt>
                <c:pt idx="176">
                  <c:v>1566.6666666666667</c:v>
                </c:pt>
                <c:pt idx="177">
                  <c:v>1566.6666666666667</c:v>
                </c:pt>
                <c:pt idx="178">
                  <c:v>1566.6666666666667</c:v>
                </c:pt>
                <c:pt idx="179">
                  <c:v>1566.6666666666667</c:v>
                </c:pt>
                <c:pt idx="180">
                  <c:v>1566.6666666666667</c:v>
                </c:pt>
                <c:pt idx="181">
                  <c:v>1566.6666666666667</c:v>
                </c:pt>
                <c:pt idx="182">
                  <c:v>1566.6666666666667</c:v>
                </c:pt>
                <c:pt idx="183">
                  <c:v>1566.6666666666667</c:v>
                </c:pt>
                <c:pt idx="184">
                  <c:v>1566.6666666666667</c:v>
                </c:pt>
                <c:pt idx="185">
                  <c:v>1566.6666666666667</c:v>
                </c:pt>
                <c:pt idx="186">
                  <c:v>1566.6666666666667</c:v>
                </c:pt>
                <c:pt idx="187">
                  <c:v>1566.6666666666667</c:v>
                </c:pt>
                <c:pt idx="188">
                  <c:v>1566.6666666666667</c:v>
                </c:pt>
                <c:pt idx="189">
                  <c:v>1566.6666666666667</c:v>
                </c:pt>
                <c:pt idx="190">
                  <c:v>1566.6666666666667</c:v>
                </c:pt>
                <c:pt idx="191">
                  <c:v>1566.6666666666667</c:v>
                </c:pt>
                <c:pt idx="192">
                  <c:v>1566.6666666666667</c:v>
                </c:pt>
                <c:pt idx="193">
                  <c:v>1566.6666666666667</c:v>
                </c:pt>
                <c:pt idx="194">
                  <c:v>1566.6666666666667</c:v>
                </c:pt>
                <c:pt idx="195">
                  <c:v>1566.6666666666667</c:v>
                </c:pt>
                <c:pt idx="196">
                  <c:v>1566.6666666666667</c:v>
                </c:pt>
                <c:pt idx="197">
                  <c:v>1566.6666666666667</c:v>
                </c:pt>
                <c:pt idx="198">
                  <c:v>1566.6666666666667</c:v>
                </c:pt>
                <c:pt idx="199">
                  <c:v>1566.6666666666667</c:v>
                </c:pt>
                <c:pt idx="200">
                  <c:v>1566.6666666666667</c:v>
                </c:pt>
                <c:pt idx="201">
                  <c:v>1500</c:v>
                </c:pt>
                <c:pt idx="202">
                  <c:v>1500</c:v>
                </c:pt>
                <c:pt idx="203">
                  <c:v>1500</c:v>
                </c:pt>
                <c:pt idx="204">
                  <c:v>1500</c:v>
                </c:pt>
                <c:pt idx="205">
                  <c:v>1500</c:v>
                </c:pt>
                <c:pt idx="206">
                  <c:v>1500</c:v>
                </c:pt>
                <c:pt idx="207">
                  <c:v>1500</c:v>
                </c:pt>
                <c:pt idx="208">
                  <c:v>1500</c:v>
                </c:pt>
                <c:pt idx="209">
                  <c:v>1500</c:v>
                </c:pt>
                <c:pt idx="210">
                  <c:v>1500</c:v>
                </c:pt>
                <c:pt idx="211">
                  <c:v>1500</c:v>
                </c:pt>
                <c:pt idx="212">
                  <c:v>1466.6666666666667</c:v>
                </c:pt>
                <c:pt idx="213">
                  <c:v>1466.6666666666667</c:v>
                </c:pt>
                <c:pt idx="214">
                  <c:v>1466.6666666666667</c:v>
                </c:pt>
                <c:pt idx="215">
                  <c:v>1466.6666666666667</c:v>
                </c:pt>
                <c:pt idx="216">
                  <c:v>1466.6666666666667</c:v>
                </c:pt>
                <c:pt idx="217">
                  <c:v>1466.6666666666667</c:v>
                </c:pt>
                <c:pt idx="218">
                  <c:v>1466.6666666666667</c:v>
                </c:pt>
                <c:pt idx="219">
                  <c:v>1466.6666666666667</c:v>
                </c:pt>
                <c:pt idx="220">
                  <c:v>1466.6666666666667</c:v>
                </c:pt>
                <c:pt idx="221">
                  <c:v>1466.6666666666667</c:v>
                </c:pt>
                <c:pt idx="222">
                  <c:v>1433.3333333333326</c:v>
                </c:pt>
                <c:pt idx="223">
                  <c:v>1433.3333333333326</c:v>
                </c:pt>
                <c:pt idx="224">
                  <c:v>1433.3333333333326</c:v>
                </c:pt>
                <c:pt idx="225">
                  <c:v>1433.3333333333326</c:v>
                </c:pt>
                <c:pt idx="226">
                  <c:v>1433.3333333333326</c:v>
                </c:pt>
                <c:pt idx="227">
                  <c:v>1433.3333333333326</c:v>
                </c:pt>
                <c:pt idx="228">
                  <c:v>1433.3333333333326</c:v>
                </c:pt>
                <c:pt idx="229">
                  <c:v>1433.3333333333326</c:v>
                </c:pt>
                <c:pt idx="230">
                  <c:v>1433.3333333333326</c:v>
                </c:pt>
                <c:pt idx="231">
                  <c:v>1383.3333333333326</c:v>
                </c:pt>
                <c:pt idx="232">
                  <c:v>1383.3333333333326</c:v>
                </c:pt>
                <c:pt idx="233">
                  <c:v>1383.3333333333326</c:v>
                </c:pt>
                <c:pt idx="234">
                  <c:v>1383.3333333333326</c:v>
                </c:pt>
                <c:pt idx="235">
                  <c:v>1383.3333333333326</c:v>
                </c:pt>
                <c:pt idx="236">
                  <c:v>1383.3333333333326</c:v>
                </c:pt>
                <c:pt idx="237">
                  <c:v>1383.3333333333326</c:v>
                </c:pt>
                <c:pt idx="238">
                  <c:v>1383.3333333333326</c:v>
                </c:pt>
                <c:pt idx="239">
                  <c:v>1383.3333333333326</c:v>
                </c:pt>
                <c:pt idx="240">
                  <c:v>1383.3333333333326</c:v>
                </c:pt>
                <c:pt idx="241">
                  <c:v>1383.3333333333326</c:v>
                </c:pt>
                <c:pt idx="242">
                  <c:v>1383.3333333333326</c:v>
                </c:pt>
                <c:pt idx="243">
                  <c:v>1366.6666666666667</c:v>
                </c:pt>
                <c:pt idx="244">
                  <c:v>1366.6666666666667</c:v>
                </c:pt>
                <c:pt idx="245">
                  <c:v>1366.6666666666667</c:v>
                </c:pt>
                <c:pt idx="246">
                  <c:v>1366.6666666666667</c:v>
                </c:pt>
                <c:pt idx="247">
                  <c:v>1366.6666666666667</c:v>
                </c:pt>
                <c:pt idx="248">
                  <c:v>1366.6666666666667</c:v>
                </c:pt>
                <c:pt idx="249">
                  <c:v>1366.6666666666667</c:v>
                </c:pt>
                <c:pt idx="250">
                  <c:v>1366.6666666666667</c:v>
                </c:pt>
                <c:pt idx="251">
                  <c:v>1366.6666666666667</c:v>
                </c:pt>
                <c:pt idx="252">
                  <c:v>1366.6666666666667</c:v>
                </c:pt>
                <c:pt idx="253">
                  <c:v>1333.3333333333326</c:v>
                </c:pt>
                <c:pt idx="254">
                  <c:v>1333.3333333333326</c:v>
                </c:pt>
                <c:pt idx="255">
                  <c:v>1333.3333333333326</c:v>
                </c:pt>
                <c:pt idx="256">
                  <c:v>1333.3333333333326</c:v>
                </c:pt>
                <c:pt idx="257">
                  <c:v>1333.3333333333326</c:v>
                </c:pt>
                <c:pt idx="258">
                  <c:v>1333.3333333333326</c:v>
                </c:pt>
                <c:pt idx="259">
                  <c:v>1333.3333333333326</c:v>
                </c:pt>
                <c:pt idx="260">
                  <c:v>1333.3333333333326</c:v>
                </c:pt>
                <c:pt idx="261">
                  <c:v>1333.3333333333326</c:v>
                </c:pt>
                <c:pt idx="262">
                  <c:v>1333.3333333333326</c:v>
                </c:pt>
                <c:pt idx="263">
                  <c:v>1333.3333333333326</c:v>
                </c:pt>
                <c:pt idx="264">
                  <c:v>1333.3333333333326</c:v>
                </c:pt>
                <c:pt idx="265">
                  <c:v>1333.3333333333326</c:v>
                </c:pt>
                <c:pt idx="266">
                  <c:v>1333.3333333333326</c:v>
                </c:pt>
                <c:pt idx="267">
                  <c:v>1333.3333333333326</c:v>
                </c:pt>
                <c:pt idx="268">
                  <c:v>1333.3333333333326</c:v>
                </c:pt>
                <c:pt idx="269">
                  <c:v>1333.3333333333326</c:v>
                </c:pt>
                <c:pt idx="270">
                  <c:v>1333.3333333333326</c:v>
                </c:pt>
                <c:pt idx="271">
                  <c:v>1333.3333333333326</c:v>
                </c:pt>
                <c:pt idx="272">
                  <c:v>1333.3333333333326</c:v>
                </c:pt>
                <c:pt idx="273">
                  <c:v>1316.6666666666667</c:v>
                </c:pt>
                <c:pt idx="274">
                  <c:v>1316.6666666666667</c:v>
                </c:pt>
                <c:pt idx="275">
                  <c:v>1316.6666666666667</c:v>
                </c:pt>
                <c:pt idx="276">
                  <c:v>1316.6666666666667</c:v>
                </c:pt>
                <c:pt idx="277">
                  <c:v>1316.6666666666667</c:v>
                </c:pt>
                <c:pt idx="278">
                  <c:v>1316.6666666666667</c:v>
                </c:pt>
                <c:pt idx="279">
                  <c:v>1316.6666666666667</c:v>
                </c:pt>
                <c:pt idx="280">
                  <c:v>1316.6666666666667</c:v>
                </c:pt>
                <c:pt idx="281">
                  <c:v>1316.6666666666667</c:v>
                </c:pt>
                <c:pt idx="282">
                  <c:v>1316.6666666666667</c:v>
                </c:pt>
                <c:pt idx="283">
                  <c:v>1316.6666666666667</c:v>
                </c:pt>
                <c:pt idx="284">
                  <c:v>1316.6666666666667</c:v>
                </c:pt>
                <c:pt idx="285">
                  <c:v>1300</c:v>
                </c:pt>
                <c:pt idx="286">
                  <c:v>1300</c:v>
                </c:pt>
                <c:pt idx="287">
                  <c:v>1300</c:v>
                </c:pt>
                <c:pt idx="288">
                  <c:v>1300</c:v>
                </c:pt>
                <c:pt idx="289">
                  <c:v>1300</c:v>
                </c:pt>
                <c:pt idx="290">
                  <c:v>1300</c:v>
                </c:pt>
                <c:pt idx="291">
                  <c:v>1300</c:v>
                </c:pt>
                <c:pt idx="292">
                  <c:v>1300</c:v>
                </c:pt>
                <c:pt idx="293">
                  <c:v>1300</c:v>
                </c:pt>
                <c:pt idx="294">
                  <c:v>1300</c:v>
                </c:pt>
                <c:pt idx="295">
                  <c:v>1300</c:v>
                </c:pt>
                <c:pt idx="296">
                  <c:v>1300</c:v>
                </c:pt>
                <c:pt idx="297">
                  <c:v>1300</c:v>
                </c:pt>
                <c:pt idx="298">
                  <c:v>1300</c:v>
                </c:pt>
                <c:pt idx="299">
                  <c:v>1300</c:v>
                </c:pt>
                <c:pt idx="300">
                  <c:v>1300</c:v>
                </c:pt>
                <c:pt idx="301">
                  <c:v>1300</c:v>
                </c:pt>
                <c:pt idx="302">
                  <c:v>1300</c:v>
                </c:pt>
                <c:pt idx="303">
                  <c:v>1300</c:v>
                </c:pt>
                <c:pt idx="304">
                  <c:v>1283.3333333333326</c:v>
                </c:pt>
                <c:pt idx="305">
                  <c:v>1283.3333333333326</c:v>
                </c:pt>
                <c:pt idx="306">
                  <c:v>1283.3333333333326</c:v>
                </c:pt>
                <c:pt idx="307">
                  <c:v>1283.3333333333326</c:v>
                </c:pt>
                <c:pt idx="308">
                  <c:v>1283.3333333333326</c:v>
                </c:pt>
                <c:pt idx="309">
                  <c:v>1283.3333333333326</c:v>
                </c:pt>
                <c:pt idx="310">
                  <c:v>1283.3333333333326</c:v>
                </c:pt>
                <c:pt idx="311">
                  <c:v>1283.3333333333326</c:v>
                </c:pt>
                <c:pt idx="312">
                  <c:v>1283.3333333333326</c:v>
                </c:pt>
                <c:pt idx="313">
                  <c:v>1283.3333333333326</c:v>
                </c:pt>
                <c:pt idx="314">
                  <c:v>1283.3333333333326</c:v>
                </c:pt>
                <c:pt idx="315">
                  <c:v>1283.3333333333326</c:v>
                </c:pt>
                <c:pt idx="316">
                  <c:v>1283.3333333333326</c:v>
                </c:pt>
                <c:pt idx="317">
                  <c:v>1283.3333333333326</c:v>
                </c:pt>
                <c:pt idx="318">
                  <c:v>1283.3333333333326</c:v>
                </c:pt>
                <c:pt idx="319">
                  <c:v>1283.3333333333326</c:v>
                </c:pt>
                <c:pt idx="320">
                  <c:v>1283.3333333333326</c:v>
                </c:pt>
                <c:pt idx="321">
                  <c:v>1283.3333333333326</c:v>
                </c:pt>
                <c:pt idx="322">
                  <c:v>1283.3333333333326</c:v>
                </c:pt>
                <c:pt idx="323">
                  <c:v>1283.3333333333326</c:v>
                </c:pt>
              </c:numCache>
            </c:numRef>
          </c:val>
          <c:smooth val="0"/>
        </c:ser>
        <c:ser>
          <c:idx val="1"/>
          <c:order val="1"/>
          <c:tx>
            <c:strRef>
              <c:f>石化!$AL$1</c:f>
              <c:strCache>
                <c:ptCount val="1"/>
                <c:pt idx="0">
                  <c:v>聚苯乙烯PS 通用級GPPS 遠東區 CFR(美元/公噸)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石化!$AL$216:$AL$539</c:f>
              <c:numCache>
                <c:formatCode>General</c:formatCode>
                <c:ptCount val="324"/>
                <c:pt idx="0">
                  <c:v>1101</c:v>
                </c:pt>
                <c:pt idx="1">
                  <c:v>1101</c:v>
                </c:pt>
                <c:pt idx="2">
                  <c:v>1101</c:v>
                </c:pt>
                <c:pt idx="3">
                  <c:v>1101</c:v>
                </c:pt>
                <c:pt idx="4">
                  <c:v>1101</c:v>
                </c:pt>
                <c:pt idx="5">
                  <c:v>1101</c:v>
                </c:pt>
                <c:pt idx="6">
                  <c:v>1161</c:v>
                </c:pt>
                <c:pt idx="7">
                  <c:v>1161</c:v>
                </c:pt>
                <c:pt idx="8">
                  <c:v>1161</c:v>
                </c:pt>
                <c:pt idx="9">
                  <c:v>1161</c:v>
                </c:pt>
                <c:pt idx="10">
                  <c:v>1161</c:v>
                </c:pt>
                <c:pt idx="11">
                  <c:v>1161</c:v>
                </c:pt>
                <c:pt idx="12">
                  <c:v>1161</c:v>
                </c:pt>
                <c:pt idx="13">
                  <c:v>1146</c:v>
                </c:pt>
                <c:pt idx="14">
                  <c:v>1146</c:v>
                </c:pt>
                <c:pt idx="15">
                  <c:v>1146</c:v>
                </c:pt>
                <c:pt idx="16">
                  <c:v>1146</c:v>
                </c:pt>
                <c:pt idx="17">
                  <c:v>1146</c:v>
                </c:pt>
                <c:pt idx="18">
                  <c:v>1146</c:v>
                </c:pt>
                <c:pt idx="19">
                  <c:v>1146</c:v>
                </c:pt>
                <c:pt idx="20">
                  <c:v>1101</c:v>
                </c:pt>
                <c:pt idx="21">
                  <c:v>1101</c:v>
                </c:pt>
                <c:pt idx="22">
                  <c:v>1101</c:v>
                </c:pt>
                <c:pt idx="23">
                  <c:v>1101</c:v>
                </c:pt>
                <c:pt idx="24">
                  <c:v>1101</c:v>
                </c:pt>
                <c:pt idx="25">
                  <c:v>1101</c:v>
                </c:pt>
                <c:pt idx="26">
                  <c:v>1101</c:v>
                </c:pt>
                <c:pt idx="27">
                  <c:v>1101</c:v>
                </c:pt>
                <c:pt idx="28">
                  <c:v>1101</c:v>
                </c:pt>
                <c:pt idx="29">
                  <c:v>1101</c:v>
                </c:pt>
                <c:pt idx="30">
                  <c:v>1101</c:v>
                </c:pt>
                <c:pt idx="31">
                  <c:v>1101</c:v>
                </c:pt>
                <c:pt idx="32">
                  <c:v>1101</c:v>
                </c:pt>
                <c:pt idx="33">
                  <c:v>1101</c:v>
                </c:pt>
                <c:pt idx="34">
                  <c:v>1126</c:v>
                </c:pt>
                <c:pt idx="35">
                  <c:v>1126</c:v>
                </c:pt>
                <c:pt idx="36">
                  <c:v>1126</c:v>
                </c:pt>
                <c:pt idx="37">
                  <c:v>1126</c:v>
                </c:pt>
                <c:pt idx="38">
                  <c:v>1126</c:v>
                </c:pt>
                <c:pt idx="39">
                  <c:v>1126</c:v>
                </c:pt>
                <c:pt idx="40">
                  <c:v>1126</c:v>
                </c:pt>
                <c:pt idx="41">
                  <c:v>1141</c:v>
                </c:pt>
                <c:pt idx="42">
                  <c:v>1141</c:v>
                </c:pt>
                <c:pt idx="43">
                  <c:v>1141</c:v>
                </c:pt>
                <c:pt idx="44">
                  <c:v>1141</c:v>
                </c:pt>
                <c:pt idx="45">
                  <c:v>1141</c:v>
                </c:pt>
                <c:pt idx="46">
                  <c:v>1141</c:v>
                </c:pt>
                <c:pt idx="47">
                  <c:v>1141</c:v>
                </c:pt>
                <c:pt idx="48">
                  <c:v>1141</c:v>
                </c:pt>
                <c:pt idx="49">
                  <c:v>1141</c:v>
                </c:pt>
                <c:pt idx="50">
                  <c:v>1141</c:v>
                </c:pt>
                <c:pt idx="51">
                  <c:v>1141</c:v>
                </c:pt>
                <c:pt idx="52">
                  <c:v>1141</c:v>
                </c:pt>
                <c:pt idx="53">
                  <c:v>1141</c:v>
                </c:pt>
                <c:pt idx="54">
                  <c:v>1141</c:v>
                </c:pt>
                <c:pt idx="55">
                  <c:v>1151</c:v>
                </c:pt>
                <c:pt idx="56">
                  <c:v>1151</c:v>
                </c:pt>
                <c:pt idx="57">
                  <c:v>1151</c:v>
                </c:pt>
                <c:pt idx="58">
                  <c:v>1151</c:v>
                </c:pt>
                <c:pt idx="59">
                  <c:v>1151</c:v>
                </c:pt>
                <c:pt idx="60">
                  <c:v>1151</c:v>
                </c:pt>
                <c:pt idx="61">
                  <c:v>1151</c:v>
                </c:pt>
                <c:pt idx="62">
                  <c:v>1161</c:v>
                </c:pt>
                <c:pt idx="63">
                  <c:v>1161</c:v>
                </c:pt>
                <c:pt idx="64">
                  <c:v>1161</c:v>
                </c:pt>
                <c:pt idx="65">
                  <c:v>1161</c:v>
                </c:pt>
                <c:pt idx="66">
                  <c:v>1161</c:v>
                </c:pt>
                <c:pt idx="67">
                  <c:v>1161</c:v>
                </c:pt>
                <c:pt idx="68">
                  <c:v>1161</c:v>
                </c:pt>
                <c:pt idx="69">
                  <c:v>1231</c:v>
                </c:pt>
                <c:pt idx="70">
                  <c:v>1231</c:v>
                </c:pt>
                <c:pt idx="71">
                  <c:v>1231</c:v>
                </c:pt>
                <c:pt idx="72">
                  <c:v>1231</c:v>
                </c:pt>
                <c:pt idx="73">
                  <c:v>1231</c:v>
                </c:pt>
                <c:pt idx="74">
                  <c:v>1231</c:v>
                </c:pt>
                <c:pt idx="75">
                  <c:v>1231</c:v>
                </c:pt>
                <c:pt idx="76">
                  <c:v>1221</c:v>
                </c:pt>
                <c:pt idx="77">
                  <c:v>1221</c:v>
                </c:pt>
                <c:pt idx="78">
                  <c:v>1221</c:v>
                </c:pt>
                <c:pt idx="79">
                  <c:v>1221</c:v>
                </c:pt>
                <c:pt idx="80">
                  <c:v>1221</c:v>
                </c:pt>
                <c:pt idx="81">
                  <c:v>1221</c:v>
                </c:pt>
                <c:pt idx="82">
                  <c:v>1221</c:v>
                </c:pt>
                <c:pt idx="83">
                  <c:v>1231</c:v>
                </c:pt>
                <c:pt idx="84">
                  <c:v>1231</c:v>
                </c:pt>
                <c:pt idx="85">
                  <c:v>1231</c:v>
                </c:pt>
                <c:pt idx="86">
                  <c:v>1231</c:v>
                </c:pt>
                <c:pt idx="87">
                  <c:v>1231</c:v>
                </c:pt>
                <c:pt idx="88">
                  <c:v>1231</c:v>
                </c:pt>
                <c:pt idx="89">
                  <c:v>1231</c:v>
                </c:pt>
                <c:pt idx="90">
                  <c:v>1261</c:v>
                </c:pt>
                <c:pt idx="91">
                  <c:v>1261</c:v>
                </c:pt>
                <c:pt idx="92">
                  <c:v>1261</c:v>
                </c:pt>
                <c:pt idx="93">
                  <c:v>1261</c:v>
                </c:pt>
                <c:pt idx="94">
                  <c:v>1261</c:v>
                </c:pt>
                <c:pt idx="95">
                  <c:v>1261</c:v>
                </c:pt>
                <c:pt idx="96">
                  <c:v>1261</c:v>
                </c:pt>
                <c:pt idx="97">
                  <c:v>1351</c:v>
                </c:pt>
                <c:pt idx="98">
                  <c:v>1351</c:v>
                </c:pt>
                <c:pt idx="99">
                  <c:v>1351</c:v>
                </c:pt>
                <c:pt idx="100">
                  <c:v>1351</c:v>
                </c:pt>
                <c:pt idx="101">
                  <c:v>1351</c:v>
                </c:pt>
                <c:pt idx="102">
                  <c:v>1351</c:v>
                </c:pt>
                <c:pt idx="103">
                  <c:v>1351</c:v>
                </c:pt>
                <c:pt idx="104">
                  <c:v>1401</c:v>
                </c:pt>
                <c:pt idx="105">
                  <c:v>1401</c:v>
                </c:pt>
                <c:pt idx="106">
                  <c:v>1401</c:v>
                </c:pt>
                <c:pt idx="107">
                  <c:v>1401</c:v>
                </c:pt>
                <c:pt idx="108">
                  <c:v>1401</c:v>
                </c:pt>
                <c:pt idx="109">
                  <c:v>1401</c:v>
                </c:pt>
                <c:pt idx="110">
                  <c:v>1401</c:v>
                </c:pt>
                <c:pt idx="111">
                  <c:v>1471</c:v>
                </c:pt>
                <c:pt idx="112">
                  <c:v>1471</c:v>
                </c:pt>
                <c:pt idx="113">
                  <c:v>1471</c:v>
                </c:pt>
                <c:pt idx="114">
                  <c:v>1471</c:v>
                </c:pt>
                <c:pt idx="115">
                  <c:v>1471</c:v>
                </c:pt>
                <c:pt idx="116">
                  <c:v>1471</c:v>
                </c:pt>
                <c:pt idx="117">
                  <c:v>1471</c:v>
                </c:pt>
                <c:pt idx="118">
                  <c:v>1471</c:v>
                </c:pt>
                <c:pt idx="119">
                  <c:v>1471</c:v>
                </c:pt>
                <c:pt idx="120">
                  <c:v>1471</c:v>
                </c:pt>
                <c:pt idx="121">
                  <c:v>1471</c:v>
                </c:pt>
                <c:pt idx="122">
                  <c:v>1471</c:v>
                </c:pt>
                <c:pt idx="123">
                  <c:v>1471</c:v>
                </c:pt>
                <c:pt idx="124">
                  <c:v>1471</c:v>
                </c:pt>
                <c:pt idx="125">
                  <c:v>1481</c:v>
                </c:pt>
                <c:pt idx="126">
                  <c:v>1481</c:v>
                </c:pt>
                <c:pt idx="127">
                  <c:v>1481</c:v>
                </c:pt>
                <c:pt idx="128">
                  <c:v>1481</c:v>
                </c:pt>
                <c:pt idx="129">
                  <c:v>1481</c:v>
                </c:pt>
                <c:pt idx="130">
                  <c:v>1481</c:v>
                </c:pt>
                <c:pt idx="131">
                  <c:v>1481</c:v>
                </c:pt>
                <c:pt idx="132">
                  <c:v>1511</c:v>
                </c:pt>
                <c:pt idx="133">
                  <c:v>1511</c:v>
                </c:pt>
                <c:pt idx="134">
                  <c:v>1511</c:v>
                </c:pt>
                <c:pt idx="135">
                  <c:v>1511</c:v>
                </c:pt>
                <c:pt idx="136">
                  <c:v>1511</c:v>
                </c:pt>
                <c:pt idx="137">
                  <c:v>1511</c:v>
                </c:pt>
                <c:pt idx="138">
                  <c:v>1511</c:v>
                </c:pt>
                <c:pt idx="139">
                  <c:v>1511</c:v>
                </c:pt>
                <c:pt idx="140">
                  <c:v>1511</c:v>
                </c:pt>
                <c:pt idx="141">
                  <c:v>1511</c:v>
                </c:pt>
                <c:pt idx="142">
                  <c:v>1511</c:v>
                </c:pt>
                <c:pt idx="143">
                  <c:v>1511</c:v>
                </c:pt>
                <c:pt idx="144">
                  <c:v>1511</c:v>
                </c:pt>
                <c:pt idx="145">
                  <c:v>1511</c:v>
                </c:pt>
                <c:pt idx="146">
                  <c:v>1491</c:v>
                </c:pt>
                <c:pt idx="147">
                  <c:v>1491</c:v>
                </c:pt>
                <c:pt idx="148">
                  <c:v>1491</c:v>
                </c:pt>
                <c:pt idx="149">
                  <c:v>1491</c:v>
                </c:pt>
                <c:pt idx="150">
                  <c:v>1491</c:v>
                </c:pt>
                <c:pt idx="151">
                  <c:v>1491</c:v>
                </c:pt>
                <c:pt idx="152">
                  <c:v>1491</c:v>
                </c:pt>
                <c:pt idx="153">
                  <c:v>1441</c:v>
                </c:pt>
                <c:pt idx="154">
                  <c:v>1441</c:v>
                </c:pt>
                <c:pt idx="155">
                  <c:v>1441</c:v>
                </c:pt>
                <c:pt idx="156">
                  <c:v>1441</c:v>
                </c:pt>
                <c:pt idx="157">
                  <c:v>1441</c:v>
                </c:pt>
                <c:pt idx="158">
                  <c:v>1441</c:v>
                </c:pt>
                <c:pt idx="159">
                  <c:v>1441</c:v>
                </c:pt>
                <c:pt idx="160">
                  <c:v>1411</c:v>
                </c:pt>
                <c:pt idx="161">
                  <c:v>1411</c:v>
                </c:pt>
                <c:pt idx="162">
                  <c:v>1411</c:v>
                </c:pt>
                <c:pt idx="163">
                  <c:v>1411</c:v>
                </c:pt>
                <c:pt idx="164">
                  <c:v>1411</c:v>
                </c:pt>
                <c:pt idx="165">
                  <c:v>1411</c:v>
                </c:pt>
                <c:pt idx="166">
                  <c:v>1411</c:v>
                </c:pt>
                <c:pt idx="167">
                  <c:v>1411</c:v>
                </c:pt>
                <c:pt idx="168">
                  <c:v>1411</c:v>
                </c:pt>
                <c:pt idx="169">
                  <c:v>1411</c:v>
                </c:pt>
                <c:pt idx="170">
                  <c:v>1411</c:v>
                </c:pt>
                <c:pt idx="171">
                  <c:v>1411</c:v>
                </c:pt>
                <c:pt idx="172">
                  <c:v>1411</c:v>
                </c:pt>
                <c:pt idx="173">
                  <c:v>1411</c:v>
                </c:pt>
                <c:pt idx="174">
                  <c:v>1421</c:v>
                </c:pt>
                <c:pt idx="175">
                  <c:v>1421</c:v>
                </c:pt>
                <c:pt idx="176">
                  <c:v>1421</c:v>
                </c:pt>
                <c:pt idx="177">
                  <c:v>1421</c:v>
                </c:pt>
                <c:pt idx="178">
                  <c:v>1421</c:v>
                </c:pt>
                <c:pt idx="179">
                  <c:v>1421</c:v>
                </c:pt>
                <c:pt idx="180">
                  <c:v>1421</c:v>
                </c:pt>
                <c:pt idx="181">
                  <c:v>1411</c:v>
                </c:pt>
                <c:pt idx="182">
                  <c:v>1411</c:v>
                </c:pt>
                <c:pt idx="183">
                  <c:v>1411</c:v>
                </c:pt>
                <c:pt idx="184">
                  <c:v>1411</c:v>
                </c:pt>
                <c:pt idx="185">
                  <c:v>1411</c:v>
                </c:pt>
                <c:pt idx="186">
                  <c:v>1411</c:v>
                </c:pt>
                <c:pt idx="187">
                  <c:v>1411</c:v>
                </c:pt>
                <c:pt idx="188">
                  <c:v>1351</c:v>
                </c:pt>
                <c:pt idx="189">
                  <c:v>1351</c:v>
                </c:pt>
                <c:pt idx="190">
                  <c:v>1351</c:v>
                </c:pt>
                <c:pt idx="191">
                  <c:v>1351</c:v>
                </c:pt>
                <c:pt idx="192">
                  <c:v>1351</c:v>
                </c:pt>
                <c:pt idx="193">
                  <c:v>1351</c:v>
                </c:pt>
                <c:pt idx="194">
                  <c:v>1351</c:v>
                </c:pt>
                <c:pt idx="195">
                  <c:v>1351</c:v>
                </c:pt>
                <c:pt idx="196">
                  <c:v>1351</c:v>
                </c:pt>
                <c:pt idx="197">
                  <c:v>1351</c:v>
                </c:pt>
                <c:pt idx="198">
                  <c:v>1351</c:v>
                </c:pt>
                <c:pt idx="199">
                  <c:v>1351</c:v>
                </c:pt>
                <c:pt idx="200">
                  <c:v>1351</c:v>
                </c:pt>
                <c:pt idx="201">
                  <c:v>1351</c:v>
                </c:pt>
                <c:pt idx="202">
                  <c:v>1366</c:v>
                </c:pt>
                <c:pt idx="203">
                  <c:v>1366</c:v>
                </c:pt>
                <c:pt idx="204">
                  <c:v>1366</c:v>
                </c:pt>
                <c:pt idx="205">
                  <c:v>1366</c:v>
                </c:pt>
                <c:pt idx="206">
                  <c:v>1366</c:v>
                </c:pt>
                <c:pt idx="207">
                  <c:v>1366</c:v>
                </c:pt>
                <c:pt idx="208">
                  <c:v>1366</c:v>
                </c:pt>
                <c:pt idx="209">
                  <c:v>1300</c:v>
                </c:pt>
                <c:pt idx="210">
                  <c:v>1300</c:v>
                </c:pt>
                <c:pt idx="211">
                  <c:v>1300</c:v>
                </c:pt>
                <c:pt idx="212">
                  <c:v>1300</c:v>
                </c:pt>
                <c:pt idx="213">
                  <c:v>1300</c:v>
                </c:pt>
                <c:pt idx="214">
                  <c:v>1300</c:v>
                </c:pt>
                <c:pt idx="215">
                  <c:v>1300</c:v>
                </c:pt>
                <c:pt idx="216">
                  <c:v>1260</c:v>
                </c:pt>
                <c:pt idx="217">
                  <c:v>1260</c:v>
                </c:pt>
                <c:pt idx="218">
                  <c:v>1260</c:v>
                </c:pt>
                <c:pt idx="219">
                  <c:v>1260</c:v>
                </c:pt>
                <c:pt idx="220">
                  <c:v>1260</c:v>
                </c:pt>
                <c:pt idx="221">
                  <c:v>1260</c:v>
                </c:pt>
                <c:pt idx="222">
                  <c:v>1260</c:v>
                </c:pt>
                <c:pt idx="223">
                  <c:v>1246</c:v>
                </c:pt>
                <c:pt idx="224">
                  <c:v>1246</c:v>
                </c:pt>
                <c:pt idx="225">
                  <c:v>1246</c:v>
                </c:pt>
                <c:pt idx="226">
                  <c:v>1246</c:v>
                </c:pt>
                <c:pt idx="227">
                  <c:v>1246</c:v>
                </c:pt>
                <c:pt idx="228">
                  <c:v>1246</c:v>
                </c:pt>
                <c:pt idx="229">
                  <c:v>1246</c:v>
                </c:pt>
                <c:pt idx="230">
                  <c:v>1220</c:v>
                </c:pt>
                <c:pt idx="231">
                  <c:v>1220</c:v>
                </c:pt>
                <c:pt idx="232">
                  <c:v>1220</c:v>
                </c:pt>
                <c:pt idx="233">
                  <c:v>1220</c:v>
                </c:pt>
                <c:pt idx="234">
                  <c:v>1220</c:v>
                </c:pt>
                <c:pt idx="235">
                  <c:v>1220</c:v>
                </c:pt>
                <c:pt idx="236">
                  <c:v>1220</c:v>
                </c:pt>
                <c:pt idx="237">
                  <c:v>1150</c:v>
                </c:pt>
                <c:pt idx="238">
                  <c:v>1150</c:v>
                </c:pt>
                <c:pt idx="239">
                  <c:v>1150</c:v>
                </c:pt>
                <c:pt idx="240">
                  <c:v>1150</c:v>
                </c:pt>
                <c:pt idx="241">
                  <c:v>1150</c:v>
                </c:pt>
                <c:pt idx="242">
                  <c:v>1150</c:v>
                </c:pt>
                <c:pt idx="243">
                  <c:v>1150</c:v>
                </c:pt>
                <c:pt idx="244">
                  <c:v>1161</c:v>
                </c:pt>
                <c:pt idx="245">
                  <c:v>1161</c:v>
                </c:pt>
                <c:pt idx="246">
                  <c:v>1161</c:v>
                </c:pt>
                <c:pt idx="247">
                  <c:v>1161</c:v>
                </c:pt>
                <c:pt idx="248">
                  <c:v>1161</c:v>
                </c:pt>
                <c:pt idx="249">
                  <c:v>1161</c:v>
                </c:pt>
                <c:pt idx="250">
                  <c:v>1161</c:v>
                </c:pt>
                <c:pt idx="251">
                  <c:v>1161</c:v>
                </c:pt>
                <c:pt idx="252">
                  <c:v>1161</c:v>
                </c:pt>
                <c:pt idx="253">
                  <c:v>1161</c:v>
                </c:pt>
                <c:pt idx="254">
                  <c:v>1161</c:v>
                </c:pt>
                <c:pt idx="255">
                  <c:v>1161</c:v>
                </c:pt>
                <c:pt idx="256">
                  <c:v>1161</c:v>
                </c:pt>
                <c:pt idx="257">
                  <c:v>1161</c:v>
                </c:pt>
                <c:pt idx="258">
                  <c:v>1100</c:v>
                </c:pt>
                <c:pt idx="259">
                  <c:v>1100</c:v>
                </c:pt>
                <c:pt idx="260">
                  <c:v>1100</c:v>
                </c:pt>
                <c:pt idx="261">
                  <c:v>1100</c:v>
                </c:pt>
                <c:pt idx="262">
                  <c:v>1100</c:v>
                </c:pt>
                <c:pt idx="263">
                  <c:v>1100</c:v>
                </c:pt>
                <c:pt idx="264">
                  <c:v>1100</c:v>
                </c:pt>
                <c:pt idx="265">
                  <c:v>1086</c:v>
                </c:pt>
                <c:pt idx="266">
                  <c:v>1086</c:v>
                </c:pt>
                <c:pt idx="267">
                  <c:v>1086</c:v>
                </c:pt>
                <c:pt idx="268">
                  <c:v>1086</c:v>
                </c:pt>
                <c:pt idx="269">
                  <c:v>1086</c:v>
                </c:pt>
                <c:pt idx="270">
                  <c:v>1086</c:v>
                </c:pt>
                <c:pt idx="271">
                  <c:v>1086</c:v>
                </c:pt>
                <c:pt idx="272">
                  <c:v>1076</c:v>
                </c:pt>
                <c:pt idx="273">
                  <c:v>1076</c:v>
                </c:pt>
                <c:pt idx="274">
                  <c:v>1076</c:v>
                </c:pt>
                <c:pt idx="275">
                  <c:v>1076</c:v>
                </c:pt>
                <c:pt idx="276">
                  <c:v>1076</c:v>
                </c:pt>
                <c:pt idx="277">
                  <c:v>1076</c:v>
                </c:pt>
                <c:pt idx="278">
                  <c:v>1076</c:v>
                </c:pt>
                <c:pt idx="279">
                  <c:v>1076</c:v>
                </c:pt>
                <c:pt idx="280">
                  <c:v>1076</c:v>
                </c:pt>
                <c:pt idx="281">
                  <c:v>1076</c:v>
                </c:pt>
                <c:pt idx="282">
                  <c:v>1076</c:v>
                </c:pt>
                <c:pt idx="283">
                  <c:v>1076</c:v>
                </c:pt>
                <c:pt idx="284">
                  <c:v>1076</c:v>
                </c:pt>
                <c:pt idx="285">
                  <c:v>1076</c:v>
                </c:pt>
                <c:pt idx="286">
                  <c:v>1060</c:v>
                </c:pt>
                <c:pt idx="287">
                  <c:v>1060</c:v>
                </c:pt>
                <c:pt idx="288">
                  <c:v>1060</c:v>
                </c:pt>
                <c:pt idx="289">
                  <c:v>1060</c:v>
                </c:pt>
                <c:pt idx="290">
                  <c:v>1060</c:v>
                </c:pt>
                <c:pt idx="291">
                  <c:v>1060</c:v>
                </c:pt>
                <c:pt idx="292">
                  <c:v>1060</c:v>
                </c:pt>
                <c:pt idx="293">
                  <c:v>1060</c:v>
                </c:pt>
                <c:pt idx="294">
                  <c:v>1060</c:v>
                </c:pt>
                <c:pt idx="295">
                  <c:v>1060</c:v>
                </c:pt>
                <c:pt idx="296">
                  <c:v>1060</c:v>
                </c:pt>
                <c:pt idx="297">
                  <c:v>1060</c:v>
                </c:pt>
                <c:pt idx="298">
                  <c:v>1060</c:v>
                </c:pt>
                <c:pt idx="299">
                  <c:v>1060</c:v>
                </c:pt>
                <c:pt idx="300">
                  <c:v>1060</c:v>
                </c:pt>
                <c:pt idx="301">
                  <c:v>1060</c:v>
                </c:pt>
                <c:pt idx="302">
                  <c:v>1060</c:v>
                </c:pt>
                <c:pt idx="303">
                  <c:v>1060</c:v>
                </c:pt>
                <c:pt idx="304">
                  <c:v>1060</c:v>
                </c:pt>
                <c:pt idx="305">
                  <c:v>1060</c:v>
                </c:pt>
                <c:pt idx="306">
                  <c:v>1060</c:v>
                </c:pt>
                <c:pt idx="307">
                  <c:v>1060</c:v>
                </c:pt>
                <c:pt idx="308">
                  <c:v>1060</c:v>
                </c:pt>
                <c:pt idx="309">
                  <c:v>1060</c:v>
                </c:pt>
                <c:pt idx="310">
                  <c:v>1060</c:v>
                </c:pt>
                <c:pt idx="311">
                  <c:v>1060</c:v>
                </c:pt>
                <c:pt idx="312">
                  <c:v>1060</c:v>
                </c:pt>
                <c:pt idx="313">
                  <c:v>1060</c:v>
                </c:pt>
                <c:pt idx="314">
                  <c:v>1060</c:v>
                </c:pt>
                <c:pt idx="315">
                  <c:v>1060</c:v>
                </c:pt>
                <c:pt idx="316">
                  <c:v>1060</c:v>
                </c:pt>
                <c:pt idx="317">
                  <c:v>1060</c:v>
                </c:pt>
                <c:pt idx="318">
                  <c:v>1060</c:v>
                </c:pt>
                <c:pt idx="319">
                  <c:v>1060</c:v>
                </c:pt>
                <c:pt idx="320">
                  <c:v>1060</c:v>
                </c:pt>
                <c:pt idx="321">
                  <c:v>1066</c:v>
                </c:pt>
                <c:pt idx="322">
                  <c:v>1066</c:v>
                </c:pt>
                <c:pt idx="323">
                  <c:v>1066</c:v>
                </c:pt>
              </c:numCache>
            </c:numRef>
          </c:val>
          <c:smooth val="0"/>
        </c:ser>
        <c:dLbls>
          <c:showLegendKey val="0"/>
          <c:showVal val="0"/>
          <c:showCatName val="0"/>
          <c:showSerName val="0"/>
          <c:showPercent val="0"/>
          <c:showBubbleSize val="0"/>
        </c:dLbls>
        <c:marker val="1"/>
        <c:smooth val="0"/>
        <c:axId val="264227072"/>
        <c:axId val="264232960"/>
      </c:lineChart>
      <c:dateAx>
        <c:axId val="264227072"/>
        <c:scaling>
          <c:orientation val="minMax"/>
          <c:max val="42328"/>
        </c:scaling>
        <c:delete val="0"/>
        <c:axPos val="b"/>
        <c:numFmt formatCode="m/d/yyyy" sourceLinked="1"/>
        <c:majorTickMark val="out"/>
        <c:minorTickMark val="none"/>
        <c:tickLblPos val="nextTo"/>
        <c:crossAx val="264232960"/>
        <c:crosses val="autoZero"/>
        <c:auto val="1"/>
        <c:lblOffset val="100"/>
        <c:baseTimeUnit val="days"/>
        <c:majorUnit val="1"/>
        <c:majorTimeUnit val="months"/>
        <c:minorUnit val="1"/>
        <c:minorTimeUnit val="months"/>
      </c:dateAx>
      <c:valAx>
        <c:axId val="264232960"/>
        <c:scaling>
          <c:orientation val="minMax"/>
          <c:min val="1000"/>
        </c:scaling>
        <c:delete val="0"/>
        <c:axPos val="l"/>
        <c:majorGridlines/>
        <c:numFmt formatCode="General" sourceLinked="1"/>
        <c:majorTickMark val="out"/>
        <c:minorTickMark val="none"/>
        <c:tickLblPos val="nextTo"/>
        <c:crossAx val="264227072"/>
        <c:crosses val="autoZero"/>
        <c:crossBetween val="between"/>
        <c:majorUnit val="100"/>
      </c:valAx>
    </c:plotArea>
    <c:legend>
      <c:legendPos val="b"/>
      <c:layout>
        <c:manualLayout>
          <c:xMode val="edge"/>
          <c:yMode val="edge"/>
          <c:x val="0.21159984007310947"/>
          <c:y val="0.86197863354909654"/>
          <c:w val="0.58163601401264176"/>
          <c:h val="0.13802136645090379"/>
        </c:manualLayout>
      </c:layout>
      <c:overlay val="0"/>
    </c:legend>
    <c:plotVisOnly val="1"/>
    <c:dispBlanksAs val="gap"/>
    <c:showDLblsOverMax val="0"/>
  </c:chart>
  <c:externalData r:id="rId1">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584769054010523E-2"/>
          <c:y val="2.7613180336092301E-2"/>
          <c:w val="0.85642542690131862"/>
          <c:h val="0.66636264929424538"/>
        </c:manualLayout>
      </c:layout>
      <c:lineChart>
        <c:grouping val="standard"/>
        <c:varyColors val="0"/>
        <c:ser>
          <c:idx val="0"/>
          <c:order val="0"/>
          <c:tx>
            <c:strRef>
              <c:f>石化!$AM$1</c:f>
              <c:strCache>
                <c:ptCount val="1"/>
                <c:pt idx="0">
                  <c:v>苯乙烯共聚物ABS 一般級PA－757 奇美 現金價(美元/公噸)</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石化!$AM$216:$AM$539</c:f>
              <c:numCache>
                <c:formatCode>General</c:formatCode>
                <c:ptCount val="324"/>
                <c:pt idx="0">
                  <c:v>1783.3333333333326</c:v>
                </c:pt>
                <c:pt idx="1">
                  <c:v>1783.3333333333326</c:v>
                </c:pt>
                <c:pt idx="2">
                  <c:v>1783.3333333333326</c:v>
                </c:pt>
                <c:pt idx="3">
                  <c:v>1783.3333333333326</c:v>
                </c:pt>
                <c:pt idx="4">
                  <c:v>1783.3333333333326</c:v>
                </c:pt>
                <c:pt idx="5">
                  <c:v>1783.3333333333326</c:v>
                </c:pt>
                <c:pt idx="6">
                  <c:v>1783.3333333333326</c:v>
                </c:pt>
                <c:pt idx="7">
                  <c:v>1783.3333333333326</c:v>
                </c:pt>
                <c:pt idx="8">
                  <c:v>1783.3333333333326</c:v>
                </c:pt>
                <c:pt idx="9">
                  <c:v>1783.3333333333326</c:v>
                </c:pt>
                <c:pt idx="10">
                  <c:v>1783.3333333333326</c:v>
                </c:pt>
                <c:pt idx="11">
                  <c:v>1783.3333333333326</c:v>
                </c:pt>
                <c:pt idx="12">
                  <c:v>1783.3333333333326</c:v>
                </c:pt>
                <c:pt idx="13">
                  <c:v>1783.3333333333326</c:v>
                </c:pt>
                <c:pt idx="14">
                  <c:v>1783.3333333333326</c:v>
                </c:pt>
                <c:pt idx="15">
                  <c:v>1783.3333333333326</c:v>
                </c:pt>
                <c:pt idx="16">
                  <c:v>1783.3333333333326</c:v>
                </c:pt>
                <c:pt idx="17">
                  <c:v>1783.3333333333326</c:v>
                </c:pt>
                <c:pt idx="18">
                  <c:v>1783.3333333333326</c:v>
                </c:pt>
                <c:pt idx="19">
                  <c:v>1783.3333333333326</c:v>
                </c:pt>
                <c:pt idx="20">
                  <c:v>1783.3333333333326</c:v>
                </c:pt>
                <c:pt idx="21">
                  <c:v>1783.3333333333326</c:v>
                </c:pt>
                <c:pt idx="22">
                  <c:v>1783.3333333333326</c:v>
                </c:pt>
                <c:pt idx="23">
                  <c:v>1783.3333333333326</c:v>
                </c:pt>
                <c:pt idx="24">
                  <c:v>1783.3333333333326</c:v>
                </c:pt>
                <c:pt idx="25">
                  <c:v>1783.3333333333326</c:v>
                </c:pt>
                <c:pt idx="26">
                  <c:v>1783.3333333333326</c:v>
                </c:pt>
                <c:pt idx="27">
                  <c:v>1783.3333333333326</c:v>
                </c:pt>
                <c:pt idx="28">
                  <c:v>1783.3333333333326</c:v>
                </c:pt>
                <c:pt idx="29">
                  <c:v>1783.3333333333326</c:v>
                </c:pt>
                <c:pt idx="30">
                  <c:v>1783.3333333333326</c:v>
                </c:pt>
                <c:pt idx="31">
                  <c:v>1783.3333333333326</c:v>
                </c:pt>
                <c:pt idx="32">
                  <c:v>1783.3333333333326</c:v>
                </c:pt>
                <c:pt idx="33">
                  <c:v>1750</c:v>
                </c:pt>
                <c:pt idx="34">
                  <c:v>1750</c:v>
                </c:pt>
                <c:pt idx="35">
                  <c:v>1750</c:v>
                </c:pt>
                <c:pt idx="36">
                  <c:v>1750</c:v>
                </c:pt>
                <c:pt idx="37">
                  <c:v>1750</c:v>
                </c:pt>
                <c:pt idx="38">
                  <c:v>1750</c:v>
                </c:pt>
                <c:pt idx="39">
                  <c:v>1750</c:v>
                </c:pt>
                <c:pt idx="40">
                  <c:v>1750</c:v>
                </c:pt>
                <c:pt idx="41">
                  <c:v>1766.6666666666667</c:v>
                </c:pt>
                <c:pt idx="42">
                  <c:v>1766.6666666666667</c:v>
                </c:pt>
                <c:pt idx="43">
                  <c:v>1766.6666666666667</c:v>
                </c:pt>
                <c:pt idx="44">
                  <c:v>1766.6666666666667</c:v>
                </c:pt>
                <c:pt idx="45">
                  <c:v>1766.6666666666667</c:v>
                </c:pt>
                <c:pt idx="46">
                  <c:v>1766.6666666666667</c:v>
                </c:pt>
                <c:pt idx="47">
                  <c:v>1766.6666666666667</c:v>
                </c:pt>
                <c:pt idx="48">
                  <c:v>1766.6666666666667</c:v>
                </c:pt>
                <c:pt idx="49">
                  <c:v>1766.6666666666667</c:v>
                </c:pt>
                <c:pt idx="50">
                  <c:v>1766.6666666666667</c:v>
                </c:pt>
                <c:pt idx="51">
                  <c:v>1766.6666666666667</c:v>
                </c:pt>
                <c:pt idx="52">
                  <c:v>1766.6666666666667</c:v>
                </c:pt>
                <c:pt idx="53">
                  <c:v>1766.6666666666667</c:v>
                </c:pt>
                <c:pt idx="54">
                  <c:v>1766.6666666666667</c:v>
                </c:pt>
                <c:pt idx="55">
                  <c:v>1766.6666666666667</c:v>
                </c:pt>
                <c:pt idx="56">
                  <c:v>1766.6666666666667</c:v>
                </c:pt>
                <c:pt idx="57">
                  <c:v>1766.6666666666667</c:v>
                </c:pt>
                <c:pt idx="58">
                  <c:v>1766.6666666666667</c:v>
                </c:pt>
                <c:pt idx="59">
                  <c:v>1783.3333333333326</c:v>
                </c:pt>
                <c:pt idx="60">
                  <c:v>1783.3333333333326</c:v>
                </c:pt>
                <c:pt idx="61">
                  <c:v>1783.3333333333326</c:v>
                </c:pt>
                <c:pt idx="62">
                  <c:v>1783.3333333333326</c:v>
                </c:pt>
                <c:pt idx="63">
                  <c:v>1783.3333333333326</c:v>
                </c:pt>
                <c:pt idx="64">
                  <c:v>1783.3333333333326</c:v>
                </c:pt>
                <c:pt idx="65">
                  <c:v>1783.3333333333326</c:v>
                </c:pt>
                <c:pt idx="66">
                  <c:v>1783.3333333333326</c:v>
                </c:pt>
                <c:pt idx="67">
                  <c:v>1783.3333333333326</c:v>
                </c:pt>
                <c:pt idx="68">
                  <c:v>1816.6666666666667</c:v>
                </c:pt>
                <c:pt idx="69">
                  <c:v>1816.6666666666667</c:v>
                </c:pt>
                <c:pt idx="70">
                  <c:v>1816.6666666666667</c:v>
                </c:pt>
                <c:pt idx="71">
                  <c:v>1816.6666666666667</c:v>
                </c:pt>
                <c:pt idx="72">
                  <c:v>1816.6666666666667</c:v>
                </c:pt>
                <c:pt idx="73">
                  <c:v>1816.6666666666667</c:v>
                </c:pt>
                <c:pt idx="74">
                  <c:v>1816.6666666666667</c:v>
                </c:pt>
                <c:pt idx="75">
                  <c:v>1816.6666666666667</c:v>
                </c:pt>
                <c:pt idx="76">
                  <c:v>1816.6666666666667</c:v>
                </c:pt>
                <c:pt idx="77">
                  <c:v>1816.6666666666667</c:v>
                </c:pt>
                <c:pt idx="78">
                  <c:v>1816.6666666666667</c:v>
                </c:pt>
                <c:pt idx="79">
                  <c:v>1816.6666666666667</c:v>
                </c:pt>
                <c:pt idx="80">
                  <c:v>1816.6666666666667</c:v>
                </c:pt>
                <c:pt idx="81">
                  <c:v>1816.6666666666667</c:v>
                </c:pt>
                <c:pt idx="82">
                  <c:v>1800</c:v>
                </c:pt>
                <c:pt idx="83">
                  <c:v>1800</c:v>
                </c:pt>
                <c:pt idx="84">
                  <c:v>1800</c:v>
                </c:pt>
                <c:pt idx="85">
                  <c:v>1800</c:v>
                </c:pt>
                <c:pt idx="86">
                  <c:v>1800</c:v>
                </c:pt>
                <c:pt idx="87">
                  <c:v>1800</c:v>
                </c:pt>
                <c:pt idx="88">
                  <c:v>1800</c:v>
                </c:pt>
                <c:pt idx="89">
                  <c:v>1816.6666666666667</c:v>
                </c:pt>
                <c:pt idx="90">
                  <c:v>1816.6666666666667</c:v>
                </c:pt>
                <c:pt idx="91">
                  <c:v>1816.6666666666667</c:v>
                </c:pt>
                <c:pt idx="92">
                  <c:v>1816.6666666666667</c:v>
                </c:pt>
                <c:pt idx="93">
                  <c:v>1816.6666666666667</c:v>
                </c:pt>
                <c:pt idx="94">
                  <c:v>1816.6666666666667</c:v>
                </c:pt>
                <c:pt idx="95">
                  <c:v>1816.6666666666667</c:v>
                </c:pt>
                <c:pt idx="96">
                  <c:v>1816.6666666666667</c:v>
                </c:pt>
                <c:pt idx="97">
                  <c:v>1816.6666666666667</c:v>
                </c:pt>
                <c:pt idx="98">
                  <c:v>1816.6666666666667</c:v>
                </c:pt>
                <c:pt idx="99">
                  <c:v>1816.6666666666667</c:v>
                </c:pt>
                <c:pt idx="100">
                  <c:v>1816.6666666666667</c:v>
                </c:pt>
                <c:pt idx="101">
                  <c:v>1816.6666666666667</c:v>
                </c:pt>
                <c:pt idx="102">
                  <c:v>1833.3333333333326</c:v>
                </c:pt>
                <c:pt idx="103">
                  <c:v>1833.3333333333326</c:v>
                </c:pt>
                <c:pt idx="104">
                  <c:v>1833.3333333333326</c:v>
                </c:pt>
                <c:pt idx="105">
                  <c:v>1833.3333333333326</c:v>
                </c:pt>
                <c:pt idx="106">
                  <c:v>1833.3333333333326</c:v>
                </c:pt>
                <c:pt idx="107">
                  <c:v>1833.3333333333326</c:v>
                </c:pt>
                <c:pt idx="108">
                  <c:v>1833.3333333333326</c:v>
                </c:pt>
                <c:pt idx="109">
                  <c:v>1883.3333333333326</c:v>
                </c:pt>
                <c:pt idx="110">
                  <c:v>1883.3333333333326</c:v>
                </c:pt>
                <c:pt idx="111">
                  <c:v>1883.3333333333326</c:v>
                </c:pt>
                <c:pt idx="112">
                  <c:v>1883.3333333333326</c:v>
                </c:pt>
                <c:pt idx="113">
                  <c:v>1883.3333333333326</c:v>
                </c:pt>
                <c:pt idx="114">
                  <c:v>1883.3333333333326</c:v>
                </c:pt>
                <c:pt idx="115">
                  <c:v>1883.3333333333326</c:v>
                </c:pt>
                <c:pt idx="116">
                  <c:v>1883.3333333333326</c:v>
                </c:pt>
                <c:pt idx="117">
                  <c:v>1883.3333333333326</c:v>
                </c:pt>
                <c:pt idx="118">
                  <c:v>1883.3333333333326</c:v>
                </c:pt>
                <c:pt idx="119">
                  <c:v>1883.3333333333326</c:v>
                </c:pt>
                <c:pt idx="120">
                  <c:v>1883.3333333333326</c:v>
                </c:pt>
                <c:pt idx="121">
                  <c:v>1883.3333333333326</c:v>
                </c:pt>
                <c:pt idx="122">
                  <c:v>1883.3333333333326</c:v>
                </c:pt>
                <c:pt idx="123">
                  <c:v>1883.3333333333326</c:v>
                </c:pt>
                <c:pt idx="124">
                  <c:v>1883.3333333333326</c:v>
                </c:pt>
                <c:pt idx="125">
                  <c:v>1883.3333333333326</c:v>
                </c:pt>
                <c:pt idx="126">
                  <c:v>1883.3333333333326</c:v>
                </c:pt>
                <c:pt idx="127">
                  <c:v>1883.3333333333326</c:v>
                </c:pt>
                <c:pt idx="128">
                  <c:v>1883.3333333333326</c:v>
                </c:pt>
                <c:pt idx="129">
                  <c:v>1883.3333333333326</c:v>
                </c:pt>
                <c:pt idx="130">
                  <c:v>1883.3333333333326</c:v>
                </c:pt>
                <c:pt idx="131">
                  <c:v>1883.3333333333326</c:v>
                </c:pt>
                <c:pt idx="132">
                  <c:v>1883.3333333333326</c:v>
                </c:pt>
                <c:pt idx="133">
                  <c:v>1883.3333333333326</c:v>
                </c:pt>
                <c:pt idx="134">
                  <c:v>1883.3333333333326</c:v>
                </c:pt>
                <c:pt idx="135">
                  <c:v>1883.3333333333326</c:v>
                </c:pt>
                <c:pt idx="136">
                  <c:v>1883.3333333333326</c:v>
                </c:pt>
                <c:pt idx="137">
                  <c:v>1883.3333333333326</c:v>
                </c:pt>
                <c:pt idx="138">
                  <c:v>1883.3333333333326</c:v>
                </c:pt>
                <c:pt idx="139">
                  <c:v>1883.3333333333326</c:v>
                </c:pt>
                <c:pt idx="140">
                  <c:v>1883.3333333333326</c:v>
                </c:pt>
                <c:pt idx="141">
                  <c:v>1883.3333333333326</c:v>
                </c:pt>
                <c:pt idx="142">
                  <c:v>1883.3333333333326</c:v>
                </c:pt>
                <c:pt idx="143">
                  <c:v>1883.3333333333326</c:v>
                </c:pt>
                <c:pt idx="144">
                  <c:v>1883.3333333333326</c:v>
                </c:pt>
                <c:pt idx="145">
                  <c:v>1883.3333333333326</c:v>
                </c:pt>
                <c:pt idx="146">
                  <c:v>1883.3333333333326</c:v>
                </c:pt>
                <c:pt idx="147">
                  <c:v>1883.3333333333326</c:v>
                </c:pt>
                <c:pt idx="148">
                  <c:v>1883.3333333333326</c:v>
                </c:pt>
                <c:pt idx="149">
                  <c:v>1883.3333333333326</c:v>
                </c:pt>
                <c:pt idx="150">
                  <c:v>1883.3333333333326</c:v>
                </c:pt>
                <c:pt idx="151">
                  <c:v>1816.6666666666667</c:v>
                </c:pt>
                <c:pt idx="152">
                  <c:v>1816.6666666666667</c:v>
                </c:pt>
                <c:pt idx="153">
                  <c:v>1816.6666666666667</c:v>
                </c:pt>
                <c:pt idx="154">
                  <c:v>1816.6666666666667</c:v>
                </c:pt>
                <c:pt idx="155">
                  <c:v>1816.6666666666667</c:v>
                </c:pt>
                <c:pt idx="156">
                  <c:v>1816.6666666666667</c:v>
                </c:pt>
                <c:pt idx="157">
                  <c:v>1816.6666666666667</c:v>
                </c:pt>
                <c:pt idx="158">
                  <c:v>1816.6666666666667</c:v>
                </c:pt>
                <c:pt idx="159">
                  <c:v>1816.6666666666667</c:v>
                </c:pt>
                <c:pt idx="160">
                  <c:v>1816.6666666666667</c:v>
                </c:pt>
                <c:pt idx="161">
                  <c:v>1766.6666666666667</c:v>
                </c:pt>
                <c:pt idx="162">
                  <c:v>1766.6666666666667</c:v>
                </c:pt>
                <c:pt idx="163">
                  <c:v>1766.6666666666667</c:v>
                </c:pt>
                <c:pt idx="164">
                  <c:v>1766.6666666666667</c:v>
                </c:pt>
                <c:pt idx="165">
                  <c:v>1766.6666666666667</c:v>
                </c:pt>
                <c:pt idx="166">
                  <c:v>1766.6666666666667</c:v>
                </c:pt>
                <c:pt idx="167">
                  <c:v>1766.6666666666667</c:v>
                </c:pt>
                <c:pt idx="168">
                  <c:v>1766.6666666666667</c:v>
                </c:pt>
                <c:pt idx="169">
                  <c:v>1766.6666666666667</c:v>
                </c:pt>
                <c:pt idx="170">
                  <c:v>1766.6666666666667</c:v>
                </c:pt>
                <c:pt idx="171">
                  <c:v>1766.6666666666667</c:v>
                </c:pt>
                <c:pt idx="172">
                  <c:v>1783.3333333333326</c:v>
                </c:pt>
                <c:pt idx="173">
                  <c:v>1783.3333333333326</c:v>
                </c:pt>
                <c:pt idx="174">
                  <c:v>1783.3333333333326</c:v>
                </c:pt>
                <c:pt idx="175">
                  <c:v>1783.3333333333326</c:v>
                </c:pt>
                <c:pt idx="176">
                  <c:v>1783.3333333333326</c:v>
                </c:pt>
                <c:pt idx="177">
                  <c:v>1783.3333333333326</c:v>
                </c:pt>
                <c:pt idx="178">
                  <c:v>1783.3333333333326</c:v>
                </c:pt>
                <c:pt idx="179">
                  <c:v>1783.3333333333326</c:v>
                </c:pt>
                <c:pt idx="180">
                  <c:v>1783.3333333333326</c:v>
                </c:pt>
                <c:pt idx="181">
                  <c:v>1750</c:v>
                </c:pt>
                <c:pt idx="182">
                  <c:v>1750</c:v>
                </c:pt>
                <c:pt idx="183">
                  <c:v>1750</c:v>
                </c:pt>
                <c:pt idx="184">
                  <c:v>1750</c:v>
                </c:pt>
                <c:pt idx="185">
                  <c:v>1750</c:v>
                </c:pt>
                <c:pt idx="186">
                  <c:v>1750</c:v>
                </c:pt>
                <c:pt idx="187">
                  <c:v>1750</c:v>
                </c:pt>
                <c:pt idx="188">
                  <c:v>1750</c:v>
                </c:pt>
                <c:pt idx="189">
                  <c:v>1750</c:v>
                </c:pt>
                <c:pt idx="190">
                  <c:v>1750</c:v>
                </c:pt>
                <c:pt idx="191">
                  <c:v>1750</c:v>
                </c:pt>
                <c:pt idx="192">
                  <c:v>1750</c:v>
                </c:pt>
                <c:pt idx="193">
                  <c:v>1750</c:v>
                </c:pt>
                <c:pt idx="194">
                  <c:v>1750</c:v>
                </c:pt>
                <c:pt idx="195">
                  <c:v>1750</c:v>
                </c:pt>
                <c:pt idx="196">
                  <c:v>1750</c:v>
                </c:pt>
                <c:pt idx="197">
                  <c:v>1750</c:v>
                </c:pt>
                <c:pt idx="198">
                  <c:v>1750</c:v>
                </c:pt>
                <c:pt idx="199">
                  <c:v>1750</c:v>
                </c:pt>
                <c:pt idx="200">
                  <c:v>1750</c:v>
                </c:pt>
                <c:pt idx="201">
                  <c:v>1683.3333333333326</c:v>
                </c:pt>
                <c:pt idx="202">
                  <c:v>1683.3333333333326</c:v>
                </c:pt>
                <c:pt idx="203">
                  <c:v>1683.3333333333326</c:v>
                </c:pt>
                <c:pt idx="204">
                  <c:v>1683.3333333333326</c:v>
                </c:pt>
                <c:pt idx="205">
                  <c:v>1683.3333333333326</c:v>
                </c:pt>
                <c:pt idx="206">
                  <c:v>1683.3333333333326</c:v>
                </c:pt>
                <c:pt idx="207">
                  <c:v>1683.3333333333326</c:v>
                </c:pt>
                <c:pt idx="208">
                  <c:v>1683.3333333333326</c:v>
                </c:pt>
                <c:pt idx="209">
                  <c:v>1683.3333333333326</c:v>
                </c:pt>
                <c:pt idx="210">
                  <c:v>1683.3333333333326</c:v>
                </c:pt>
                <c:pt idx="211">
                  <c:v>1683.3333333333326</c:v>
                </c:pt>
                <c:pt idx="212">
                  <c:v>1650</c:v>
                </c:pt>
                <c:pt idx="213">
                  <c:v>1650</c:v>
                </c:pt>
                <c:pt idx="214">
                  <c:v>1650</c:v>
                </c:pt>
                <c:pt idx="215">
                  <c:v>1650</c:v>
                </c:pt>
                <c:pt idx="216">
                  <c:v>1650</c:v>
                </c:pt>
                <c:pt idx="217">
                  <c:v>1650</c:v>
                </c:pt>
                <c:pt idx="218">
                  <c:v>1650</c:v>
                </c:pt>
                <c:pt idx="219">
                  <c:v>1650</c:v>
                </c:pt>
                <c:pt idx="220">
                  <c:v>1650</c:v>
                </c:pt>
                <c:pt idx="221">
                  <c:v>1650</c:v>
                </c:pt>
                <c:pt idx="222">
                  <c:v>1616.6666666666667</c:v>
                </c:pt>
                <c:pt idx="223">
                  <c:v>1616.6666666666667</c:v>
                </c:pt>
                <c:pt idx="224">
                  <c:v>1616.6666666666667</c:v>
                </c:pt>
                <c:pt idx="225">
                  <c:v>1616.6666666666667</c:v>
                </c:pt>
                <c:pt idx="226">
                  <c:v>1616.6666666666667</c:v>
                </c:pt>
                <c:pt idx="227">
                  <c:v>1616.6666666666667</c:v>
                </c:pt>
                <c:pt idx="228">
                  <c:v>1616.6666666666667</c:v>
                </c:pt>
                <c:pt idx="229">
                  <c:v>1616.6666666666667</c:v>
                </c:pt>
                <c:pt idx="230">
                  <c:v>1616.6666666666667</c:v>
                </c:pt>
                <c:pt idx="231">
                  <c:v>1566.6666666666667</c:v>
                </c:pt>
                <c:pt idx="232">
                  <c:v>1566.6666666666667</c:v>
                </c:pt>
                <c:pt idx="233">
                  <c:v>1566.6666666666667</c:v>
                </c:pt>
                <c:pt idx="234">
                  <c:v>1566.6666666666667</c:v>
                </c:pt>
                <c:pt idx="235">
                  <c:v>1566.6666666666667</c:v>
                </c:pt>
                <c:pt idx="236">
                  <c:v>1566.6666666666667</c:v>
                </c:pt>
                <c:pt idx="237">
                  <c:v>1566.6666666666667</c:v>
                </c:pt>
                <c:pt idx="238">
                  <c:v>1566.6666666666667</c:v>
                </c:pt>
                <c:pt idx="239">
                  <c:v>1566.6666666666667</c:v>
                </c:pt>
                <c:pt idx="240">
                  <c:v>1566.6666666666667</c:v>
                </c:pt>
                <c:pt idx="241">
                  <c:v>1566.6666666666667</c:v>
                </c:pt>
                <c:pt idx="242">
                  <c:v>1566.6666666666667</c:v>
                </c:pt>
                <c:pt idx="243">
                  <c:v>1533.3333333333326</c:v>
                </c:pt>
                <c:pt idx="244">
                  <c:v>1533.3333333333326</c:v>
                </c:pt>
                <c:pt idx="245">
                  <c:v>1533.3333333333326</c:v>
                </c:pt>
                <c:pt idx="246">
                  <c:v>1533.3333333333326</c:v>
                </c:pt>
                <c:pt idx="247">
                  <c:v>1533.3333333333326</c:v>
                </c:pt>
                <c:pt idx="248">
                  <c:v>1533.3333333333326</c:v>
                </c:pt>
                <c:pt idx="249">
                  <c:v>1533.3333333333326</c:v>
                </c:pt>
                <c:pt idx="250">
                  <c:v>1533.3333333333326</c:v>
                </c:pt>
                <c:pt idx="251">
                  <c:v>1533.3333333333326</c:v>
                </c:pt>
                <c:pt idx="252">
                  <c:v>1533.3333333333326</c:v>
                </c:pt>
                <c:pt idx="253">
                  <c:v>1516.6666666666667</c:v>
                </c:pt>
                <c:pt idx="254">
                  <c:v>1516.6666666666667</c:v>
                </c:pt>
                <c:pt idx="255">
                  <c:v>1516.6666666666667</c:v>
                </c:pt>
                <c:pt idx="256">
                  <c:v>1516.6666666666667</c:v>
                </c:pt>
                <c:pt idx="257">
                  <c:v>1516.6666666666667</c:v>
                </c:pt>
                <c:pt idx="258">
                  <c:v>1516.6666666666667</c:v>
                </c:pt>
                <c:pt idx="259">
                  <c:v>1516.6666666666667</c:v>
                </c:pt>
                <c:pt idx="260">
                  <c:v>1516.6666666666667</c:v>
                </c:pt>
                <c:pt idx="261">
                  <c:v>1516.6666666666667</c:v>
                </c:pt>
                <c:pt idx="262">
                  <c:v>1516.6666666666667</c:v>
                </c:pt>
                <c:pt idx="263">
                  <c:v>1516.6666666666667</c:v>
                </c:pt>
                <c:pt idx="264">
                  <c:v>1516.6666666666667</c:v>
                </c:pt>
                <c:pt idx="265">
                  <c:v>1516.6666666666667</c:v>
                </c:pt>
                <c:pt idx="266">
                  <c:v>1516.6666666666667</c:v>
                </c:pt>
                <c:pt idx="267">
                  <c:v>1516.6666666666667</c:v>
                </c:pt>
                <c:pt idx="268">
                  <c:v>1516.6666666666667</c:v>
                </c:pt>
                <c:pt idx="269">
                  <c:v>1516.6666666666667</c:v>
                </c:pt>
                <c:pt idx="270">
                  <c:v>1516.6666666666667</c:v>
                </c:pt>
                <c:pt idx="271">
                  <c:v>1516.6666666666667</c:v>
                </c:pt>
                <c:pt idx="272">
                  <c:v>1516.6666666666667</c:v>
                </c:pt>
                <c:pt idx="273">
                  <c:v>1500</c:v>
                </c:pt>
                <c:pt idx="274">
                  <c:v>1500</c:v>
                </c:pt>
                <c:pt idx="275">
                  <c:v>1500</c:v>
                </c:pt>
                <c:pt idx="276">
                  <c:v>1500</c:v>
                </c:pt>
                <c:pt idx="277">
                  <c:v>1500</c:v>
                </c:pt>
                <c:pt idx="278">
                  <c:v>1500</c:v>
                </c:pt>
                <c:pt idx="279">
                  <c:v>1500</c:v>
                </c:pt>
                <c:pt idx="280">
                  <c:v>1500</c:v>
                </c:pt>
                <c:pt idx="281">
                  <c:v>1500</c:v>
                </c:pt>
                <c:pt idx="282">
                  <c:v>1500</c:v>
                </c:pt>
                <c:pt idx="283">
                  <c:v>1500</c:v>
                </c:pt>
                <c:pt idx="284">
                  <c:v>1500</c:v>
                </c:pt>
                <c:pt idx="285">
                  <c:v>1483.3333333333326</c:v>
                </c:pt>
                <c:pt idx="286">
                  <c:v>1483.3333333333326</c:v>
                </c:pt>
                <c:pt idx="287">
                  <c:v>1483.3333333333326</c:v>
                </c:pt>
                <c:pt idx="288">
                  <c:v>1483.3333333333326</c:v>
                </c:pt>
                <c:pt idx="289">
                  <c:v>1483.3333333333326</c:v>
                </c:pt>
                <c:pt idx="290">
                  <c:v>1483.3333333333326</c:v>
                </c:pt>
                <c:pt idx="291">
                  <c:v>1483.3333333333326</c:v>
                </c:pt>
                <c:pt idx="292">
                  <c:v>1483.3333333333326</c:v>
                </c:pt>
                <c:pt idx="293">
                  <c:v>1483.3333333333326</c:v>
                </c:pt>
                <c:pt idx="294">
                  <c:v>1483.3333333333326</c:v>
                </c:pt>
                <c:pt idx="295">
                  <c:v>1483.3333333333326</c:v>
                </c:pt>
                <c:pt idx="296">
                  <c:v>1483.3333333333326</c:v>
                </c:pt>
                <c:pt idx="297">
                  <c:v>1483.3333333333326</c:v>
                </c:pt>
                <c:pt idx="298">
                  <c:v>1483.3333333333326</c:v>
                </c:pt>
                <c:pt idx="299">
                  <c:v>1483.3333333333326</c:v>
                </c:pt>
                <c:pt idx="300">
                  <c:v>1483.3333333333326</c:v>
                </c:pt>
                <c:pt idx="301">
                  <c:v>1483.3333333333326</c:v>
                </c:pt>
                <c:pt idx="302">
                  <c:v>1483.3333333333326</c:v>
                </c:pt>
                <c:pt idx="303">
                  <c:v>1483.3333333333326</c:v>
                </c:pt>
                <c:pt idx="304">
                  <c:v>1466.6666666666667</c:v>
                </c:pt>
                <c:pt idx="305">
                  <c:v>1466.6666666666667</c:v>
                </c:pt>
                <c:pt idx="306">
                  <c:v>1466.6666666666667</c:v>
                </c:pt>
                <c:pt idx="307">
                  <c:v>1466.6666666666667</c:v>
                </c:pt>
                <c:pt idx="308">
                  <c:v>1466.6666666666667</c:v>
                </c:pt>
                <c:pt idx="309">
                  <c:v>1466.6666666666667</c:v>
                </c:pt>
                <c:pt idx="310">
                  <c:v>1466.6666666666667</c:v>
                </c:pt>
                <c:pt idx="311">
                  <c:v>1466.6666666666667</c:v>
                </c:pt>
                <c:pt idx="312">
                  <c:v>1466.6666666666667</c:v>
                </c:pt>
                <c:pt idx="313">
                  <c:v>1466.6666666666667</c:v>
                </c:pt>
                <c:pt idx="314">
                  <c:v>1466.6666666666667</c:v>
                </c:pt>
                <c:pt idx="315">
                  <c:v>1466.6666666666667</c:v>
                </c:pt>
                <c:pt idx="316">
                  <c:v>1466.6666666666667</c:v>
                </c:pt>
                <c:pt idx="317">
                  <c:v>1466.6666666666667</c:v>
                </c:pt>
                <c:pt idx="318">
                  <c:v>1466.6666666666667</c:v>
                </c:pt>
                <c:pt idx="319">
                  <c:v>1466.6666666666667</c:v>
                </c:pt>
                <c:pt idx="320">
                  <c:v>1466.6666666666667</c:v>
                </c:pt>
                <c:pt idx="321">
                  <c:v>1466.6666666666667</c:v>
                </c:pt>
                <c:pt idx="322">
                  <c:v>1466.6666666666667</c:v>
                </c:pt>
                <c:pt idx="323">
                  <c:v>1466.6666666666667</c:v>
                </c:pt>
              </c:numCache>
            </c:numRef>
          </c:val>
          <c:smooth val="0"/>
        </c:ser>
        <c:ser>
          <c:idx val="1"/>
          <c:order val="1"/>
          <c:tx>
            <c:strRef>
              <c:f>石化!$AN$1</c:f>
              <c:strCache>
                <c:ptCount val="1"/>
                <c:pt idx="0">
                  <c:v>苯乙烯共聚物ABS 射出級 遠東區 CFR(美元/公噸)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石化!$AN$216:$AN$539</c:f>
              <c:numCache>
                <c:formatCode>General</c:formatCode>
                <c:ptCount val="324"/>
                <c:pt idx="0">
                  <c:v>1521</c:v>
                </c:pt>
                <c:pt idx="1">
                  <c:v>1521</c:v>
                </c:pt>
                <c:pt idx="2">
                  <c:v>1521</c:v>
                </c:pt>
                <c:pt idx="3">
                  <c:v>1521</c:v>
                </c:pt>
                <c:pt idx="4">
                  <c:v>1521</c:v>
                </c:pt>
                <c:pt idx="5">
                  <c:v>1521</c:v>
                </c:pt>
                <c:pt idx="6">
                  <c:v>1521</c:v>
                </c:pt>
                <c:pt idx="7">
                  <c:v>1521</c:v>
                </c:pt>
                <c:pt idx="8">
                  <c:v>1521</c:v>
                </c:pt>
                <c:pt idx="9">
                  <c:v>1521</c:v>
                </c:pt>
                <c:pt idx="10">
                  <c:v>1521</c:v>
                </c:pt>
                <c:pt idx="11">
                  <c:v>1521</c:v>
                </c:pt>
                <c:pt idx="12">
                  <c:v>1521</c:v>
                </c:pt>
                <c:pt idx="13">
                  <c:v>1511</c:v>
                </c:pt>
                <c:pt idx="14">
                  <c:v>1511</c:v>
                </c:pt>
                <c:pt idx="15">
                  <c:v>1511</c:v>
                </c:pt>
                <c:pt idx="16">
                  <c:v>1511</c:v>
                </c:pt>
                <c:pt idx="17">
                  <c:v>1511</c:v>
                </c:pt>
                <c:pt idx="18">
                  <c:v>1511</c:v>
                </c:pt>
                <c:pt idx="19">
                  <c:v>1511</c:v>
                </c:pt>
                <c:pt idx="20">
                  <c:v>1511</c:v>
                </c:pt>
                <c:pt idx="21">
                  <c:v>1511</c:v>
                </c:pt>
                <c:pt idx="22">
                  <c:v>1511</c:v>
                </c:pt>
                <c:pt idx="23">
                  <c:v>1511</c:v>
                </c:pt>
                <c:pt idx="24">
                  <c:v>1511</c:v>
                </c:pt>
                <c:pt idx="25">
                  <c:v>1511</c:v>
                </c:pt>
                <c:pt idx="26">
                  <c:v>1511</c:v>
                </c:pt>
                <c:pt idx="27">
                  <c:v>1501</c:v>
                </c:pt>
                <c:pt idx="28">
                  <c:v>1501</c:v>
                </c:pt>
                <c:pt idx="29">
                  <c:v>1501</c:v>
                </c:pt>
                <c:pt idx="30">
                  <c:v>1501</c:v>
                </c:pt>
                <c:pt idx="31">
                  <c:v>1501</c:v>
                </c:pt>
                <c:pt idx="32">
                  <c:v>1501</c:v>
                </c:pt>
                <c:pt idx="33">
                  <c:v>1501</c:v>
                </c:pt>
                <c:pt idx="34">
                  <c:v>1526</c:v>
                </c:pt>
                <c:pt idx="35">
                  <c:v>1526</c:v>
                </c:pt>
                <c:pt idx="36">
                  <c:v>1526</c:v>
                </c:pt>
                <c:pt idx="37">
                  <c:v>1526</c:v>
                </c:pt>
                <c:pt idx="38">
                  <c:v>1526</c:v>
                </c:pt>
                <c:pt idx="39">
                  <c:v>1526</c:v>
                </c:pt>
                <c:pt idx="40">
                  <c:v>1526</c:v>
                </c:pt>
                <c:pt idx="41">
                  <c:v>1526</c:v>
                </c:pt>
                <c:pt idx="42">
                  <c:v>1526</c:v>
                </c:pt>
                <c:pt idx="43">
                  <c:v>1526</c:v>
                </c:pt>
                <c:pt idx="44">
                  <c:v>1526</c:v>
                </c:pt>
                <c:pt idx="45">
                  <c:v>1526</c:v>
                </c:pt>
                <c:pt idx="46">
                  <c:v>1526</c:v>
                </c:pt>
                <c:pt idx="47">
                  <c:v>1526</c:v>
                </c:pt>
                <c:pt idx="48">
                  <c:v>1526</c:v>
                </c:pt>
                <c:pt idx="49">
                  <c:v>1526</c:v>
                </c:pt>
                <c:pt idx="50">
                  <c:v>1526</c:v>
                </c:pt>
                <c:pt idx="51">
                  <c:v>1526</c:v>
                </c:pt>
                <c:pt idx="52">
                  <c:v>1526</c:v>
                </c:pt>
                <c:pt idx="53">
                  <c:v>1526</c:v>
                </c:pt>
                <c:pt idx="54">
                  <c:v>1526</c:v>
                </c:pt>
                <c:pt idx="55">
                  <c:v>1531</c:v>
                </c:pt>
                <c:pt idx="56">
                  <c:v>1531</c:v>
                </c:pt>
                <c:pt idx="57">
                  <c:v>1531</c:v>
                </c:pt>
                <c:pt idx="58">
                  <c:v>1531</c:v>
                </c:pt>
                <c:pt idx="59">
                  <c:v>1531</c:v>
                </c:pt>
                <c:pt idx="60">
                  <c:v>1531</c:v>
                </c:pt>
                <c:pt idx="61">
                  <c:v>1531</c:v>
                </c:pt>
                <c:pt idx="62">
                  <c:v>1546</c:v>
                </c:pt>
                <c:pt idx="63">
                  <c:v>1546</c:v>
                </c:pt>
                <c:pt idx="64">
                  <c:v>1546</c:v>
                </c:pt>
                <c:pt idx="65">
                  <c:v>1546</c:v>
                </c:pt>
                <c:pt idx="66">
                  <c:v>1546</c:v>
                </c:pt>
                <c:pt idx="67">
                  <c:v>1546</c:v>
                </c:pt>
                <c:pt idx="68">
                  <c:v>1546</c:v>
                </c:pt>
                <c:pt idx="69">
                  <c:v>1551</c:v>
                </c:pt>
                <c:pt idx="70">
                  <c:v>1551</c:v>
                </c:pt>
                <c:pt idx="71">
                  <c:v>1551</c:v>
                </c:pt>
                <c:pt idx="72">
                  <c:v>1551</c:v>
                </c:pt>
                <c:pt idx="73">
                  <c:v>1551</c:v>
                </c:pt>
                <c:pt idx="74">
                  <c:v>1551</c:v>
                </c:pt>
                <c:pt idx="75">
                  <c:v>1551</c:v>
                </c:pt>
                <c:pt idx="76">
                  <c:v>1521</c:v>
                </c:pt>
                <c:pt idx="77">
                  <c:v>1521</c:v>
                </c:pt>
                <c:pt idx="78">
                  <c:v>1521</c:v>
                </c:pt>
                <c:pt idx="79">
                  <c:v>1521</c:v>
                </c:pt>
                <c:pt idx="80">
                  <c:v>1521</c:v>
                </c:pt>
                <c:pt idx="81">
                  <c:v>1521</c:v>
                </c:pt>
                <c:pt idx="82">
                  <c:v>1521</c:v>
                </c:pt>
                <c:pt idx="83">
                  <c:v>1571</c:v>
                </c:pt>
                <c:pt idx="84">
                  <c:v>1571</c:v>
                </c:pt>
                <c:pt idx="85">
                  <c:v>1571</c:v>
                </c:pt>
                <c:pt idx="86">
                  <c:v>1571</c:v>
                </c:pt>
                <c:pt idx="87">
                  <c:v>1571</c:v>
                </c:pt>
                <c:pt idx="88">
                  <c:v>1571</c:v>
                </c:pt>
                <c:pt idx="89">
                  <c:v>1571</c:v>
                </c:pt>
                <c:pt idx="90">
                  <c:v>1601</c:v>
                </c:pt>
                <c:pt idx="91">
                  <c:v>1601</c:v>
                </c:pt>
                <c:pt idx="92">
                  <c:v>1601</c:v>
                </c:pt>
                <c:pt idx="93">
                  <c:v>1601</c:v>
                </c:pt>
                <c:pt idx="94">
                  <c:v>1601</c:v>
                </c:pt>
                <c:pt idx="95">
                  <c:v>1601</c:v>
                </c:pt>
                <c:pt idx="96">
                  <c:v>1601</c:v>
                </c:pt>
                <c:pt idx="97">
                  <c:v>1631</c:v>
                </c:pt>
                <c:pt idx="98">
                  <c:v>1631</c:v>
                </c:pt>
                <c:pt idx="99">
                  <c:v>1631</c:v>
                </c:pt>
                <c:pt idx="100">
                  <c:v>1631</c:v>
                </c:pt>
                <c:pt idx="101">
                  <c:v>1631</c:v>
                </c:pt>
                <c:pt idx="102">
                  <c:v>1631</c:v>
                </c:pt>
                <c:pt idx="103">
                  <c:v>1631</c:v>
                </c:pt>
                <c:pt idx="104">
                  <c:v>1651</c:v>
                </c:pt>
                <c:pt idx="105">
                  <c:v>1651</c:v>
                </c:pt>
                <c:pt idx="106">
                  <c:v>1651</c:v>
                </c:pt>
                <c:pt idx="107">
                  <c:v>1651</c:v>
                </c:pt>
                <c:pt idx="108">
                  <c:v>1651</c:v>
                </c:pt>
                <c:pt idx="109">
                  <c:v>1651</c:v>
                </c:pt>
                <c:pt idx="110">
                  <c:v>1651</c:v>
                </c:pt>
                <c:pt idx="111">
                  <c:v>1691</c:v>
                </c:pt>
                <c:pt idx="112">
                  <c:v>1691</c:v>
                </c:pt>
                <c:pt idx="113">
                  <c:v>1691</c:v>
                </c:pt>
                <c:pt idx="114">
                  <c:v>1691</c:v>
                </c:pt>
                <c:pt idx="115">
                  <c:v>1691</c:v>
                </c:pt>
                <c:pt idx="116">
                  <c:v>1691</c:v>
                </c:pt>
                <c:pt idx="117">
                  <c:v>1691</c:v>
                </c:pt>
                <c:pt idx="118">
                  <c:v>1691</c:v>
                </c:pt>
                <c:pt idx="119">
                  <c:v>1691</c:v>
                </c:pt>
                <c:pt idx="120">
                  <c:v>1691</c:v>
                </c:pt>
                <c:pt idx="121">
                  <c:v>1691</c:v>
                </c:pt>
                <c:pt idx="122">
                  <c:v>1691</c:v>
                </c:pt>
                <c:pt idx="123">
                  <c:v>1691</c:v>
                </c:pt>
                <c:pt idx="124">
                  <c:v>1691</c:v>
                </c:pt>
                <c:pt idx="125">
                  <c:v>1701</c:v>
                </c:pt>
                <c:pt idx="126">
                  <c:v>1701</c:v>
                </c:pt>
                <c:pt idx="127">
                  <c:v>1701</c:v>
                </c:pt>
                <c:pt idx="128">
                  <c:v>1701</c:v>
                </c:pt>
                <c:pt idx="129">
                  <c:v>1701</c:v>
                </c:pt>
                <c:pt idx="130">
                  <c:v>1701</c:v>
                </c:pt>
                <c:pt idx="131">
                  <c:v>1701</c:v>
                </c:pt>
                <c:pt idx="132">
                  <c:v>1711</c:v>
                </c:pt>
                <c:pt idx="133">
                  <c:v>1711</c:v>
                </c:pt>
                <c:pt idx="134">
                  <c:v>1711</c:v>
                </c:pt>
                <c:pt idx="135">
                  <c:v>1711</c:v>
                </c:pt>
                <c:pt idx="136">
                  <c:v>1711</c:v>
                </c:pt>
                <c:pt idx="137">
                  <c:v>1711</c:v>
                </c:pt>
                <c:pt idx="138">
                  <c:v>1711</c:v>
                </c:pt>
                <c:pt idx="139">
                  <c:v>1676</c:v>
                </c:pt>
                <c:pt idx="140">
                  <c:v>1676</c:v>
                </c:pt>
                <c:pt idx="141">
                  <c:v>1676</c:v>
                </c:pt>
                <c:pt idx="142">
                  <c:v>1676</c:v>
                </c:pt>
                <c:pt idx="143">
                  <c:v>1676</c:v>
                </c:pt>
                <c:pt idx="144">
                  <c:v>1676</c:v>
                </c:pt>
                <c:pt idx="145">
                  <c:v>1676</c:v>
                </c:pt>
                <c:pt idx="146">
                  <c:v>1661</c:v>
                </c:pt>
                <c:pt idx="147">
                  <c:v>1661</c:v>
                </c:pt>
                <c:pt idx="148">
                  <c:v>1661</c:v>
                </c:pt>
                <c:pt idx="149">
                  <c:v>1661</c:v>
                </c:pt>
                <c:pt idx="150">
                  <c:v>1661</c:v>
                </c:pt>
                <c:pt idx="151">
                  <c:v>1661</c:v>
                </c:pt>
                <c:pt idx="152">
                  <c:v>1661</c:v>
                </c:pt>
                <c:pt idx="153">
                  <c:v>1626</c:v>
                </c:pt>
                <c:pt idx="154">
                  <c:v>1626</c:v>
                </c:pt>
                <c:pt idx="155">
                  <c:v>1626</c:v>
                </c:pt>
                <c:pt idx="156">
                  <c:v>1626</c:v>
                </c:pt>
                <c:pt idx="157">
                  <c:v>1626</c:v>
                </c:pt>
                <c:pt idx="158">
                  <c:v>1626</c:v>
                </c:pt>
                <c:pt idx="159">
                  <c:v>1626</c:v>
                </c:pt>
                <c:pt idx="160">
                  <c:v>1591</c:v>
                </c:pt>
                <c:pt idx="161">
                  <c:v>1591</c:v>
                </c:pt>
                <c:pt idx="162">
                  <c:v>1591</c:v>
                </c:pt>
                <c:pt idx="163">
                  <c:v>1591</c:v>
                </c:pt>
                <c:pt idx="164">
                  <c:v>1591</c:v>
                </c:pt>
                <c:pt idx="165">
                  <c:v>1591</c:v>
                </c:pt>
                <c:pt idx="166">
                  <c:v>1591</c:v>
                </c:pt>
                <c:pt idx="167">
                  <c:v>1601</c:v>
                </c:pt>
                <c:pt idx="168">
                  <c:v>1601</c:v>
                </c:pt>
                <c:pt idx="169">
                  <c:v>1601</c:v>
                </c:pt>
                <c:pt idx="170">
                  <c:v>1601</c:v>
                </c:pt>
                <c:pt idx="171">
                  <c:v>1601</c:v>
                </c:pt>
                <c:pt idx="172">
                  <c:v>1601</c:v>
                </c:pt>
                <c:pt idx="173">
                  <c:v>1601</c:v>
                </c:pt>
                <c:pt idx="174">
                  <c:v>1611</c:v>
                </c:pt>
                <c:pt idx="175">
                  <c:v>1611</c:v>
                </c:pt>
                <c:pt idx="176">
                  <c:v>1611</c:v>
                </c:pt>
                <c:pt idx="177">
                  <c:v>1611</c:v>
                </c:pt>
                <c:pt idx="178">
                  <c:v>1611</c:v>
                </c:pt>
                <c:pt idx="179">
                  <c:v>1611</c:v>
                </c:pt>
                <c:pt idx="180">
                  <c:v>1611</c:v>
                </c:pt>
                <c:pt idx="181">
                  <c:v>1571</c:v>
                </c:pt>
                <c:pt idx="182">
                  <c:v>1571</c:v>
                </c:pt>
                <c:pt idx="183">
                  <c:v>1571</c:v>
                </c:pt>
                <c:pt idx="184">
                  <c:v>1571</c:v>
                </c:pt>
                <c:pt idx="185">
                  <c:v>1571</c:v>
                </c:pt>
                <c:pt idx="186">
                  <c:v>1571</c:v>
                </c:pt>
                <c:pt idx="187">
                  <c:v>1571</c:v>
                </c:pt>
                <c:pt idx="188">
                  <c:v>1521</c:v>
                </c:pt>
                <c:pt idx="189">
                  <c:v>1521</c:v>
                </c:pt>
                <c:pt idx="190">
                  <c:v>1521</c:v>
                </c:pt>
                <c:pt idx="191">
                  <c:v>1521</c:v>
                </c:pt>
                <c:pt idx="192">
                  <c:v>1521</c:v>
                </c:pt>
                <c:pt idx="193">
                  <c:v>1521</c:v>
                </c:pt>
                <c:pt idx="194">
                  <c:v>1521</c:v>
                </c:pt>
                <c:pt idx="195">
                  <c:v>1491</c:v>
                </c:pt>
                <c:pt idx="196">
                  <c:v>1491</c:v>
                </c:pt>
                <c:pt idx="197">
                  <c:v>1491</c:v>
                </c:pt>
                <c:pt idx="198">
                  <c:v>1491</c:v>
                </c:pt>
                <c:pt idx="199">
                  <c:v>1491</c:v>
                </c:pt>
                <c:pt idx="200">
                  <c:v>1491</c:v>
                </c:pt>
                <c:pt idx="201">
                  <c:v>1491</c:v>
                </c:pt>
                <c:pt idx="202">
                  <c:v>1491</c:v>
                </c:pt>
                <c:pt idx="203">
                  <c:v>1491</c:v>
                </c:pt>
                <c:pt idx="204">
                  <c:v>1491</c:v>
                </c:pt>
                <c:pt idx="205">
                  <c:v>1491</c:v>
                </c:pt>
                <c:pt idx="206">
                  <c:v>1491</c:v>
                </c:pt>
                <c:pt idx="207">
                  <c:v>1491</c:v>
                </c:pt>
                <c:pt idx="208">
                  <c:v>1491</c:v>
                </c:pt>
                <c:pt idx="209">
                  <c:v>1461</c:v>
                </c:pt>
                <c:pt idx="210">
                  <c:v>1461</c:v>
                </c:pt>
                <c:pt idx="211">
                  <c:v>1461</c:v>
                </c:pt>
                <c:pt idx="212">
                  <c:v>1461</c:v>
                </c:pt>
                <c:pt idx="213">
                  <c:v>1461</c:v>
                </c:pt>
                <c:pt idx="214">
                  <c:v>1461</c:v>
                </c:pt>
                <c:pt idx="215">
                  <c:v>1461</c:v>
                </c:pt>
                <c:pt idx="216">
                  <c:v>1446</c:v>
                </c:pt>
                <c:pt idx="217">
                  <c:v>1446</c:v>
                </c:pt>
                <c:pt idx="218">
                  <c:v>1446</c:v>
                </c:pt>
                <c:pt idx="219">
                  <c:v>1446</c:v>
                </c:pt>
                <c:pt idx="220">
                  <c:v>1446</c:v>
                </c:pt>
                <c:pt idx="221">
                  <c:v>1446</c:v>
                </c:pt>
                <c:pt idx="222">
                  <c:v>1446</c:v>
                </c:pt>
                <c:pt idx="223">
                  <c:v>1406</c:v>
                </c:pt>
                <c:pt idx="224">
                  <c:v>1406</c:v>
                </c:pt>
                <c:pt idx="225">
                  <c:v>1406</c:v>
                </c:pt>
                <c:pt idx="226">
                  <c:v>1406</c:v>
                </c:pt>
                <c:pt idx="227">
                  <c:v>1406</c:v>
                </c:pt>
                <c:pt idx="228">
                  <c:v>1406</c:v>
                </c:pt>
                <c:pt idx="229">
                  <c:v>1406</c:v>
                </c:pt>
                <c:pt idx="230">
                  <c:v>1356</c:v>
                </c:pt>
                <c:pt idx="231">
                  <c:v>1356</c:v>
                </c:pt>
                <c:pt idx="232">
                  <c:v>1356</c:v>
                </c:pt>
                <c:pt idx="233">
                  <c:v>1356</c:v>
                </c:pt>
                <c:pt idx="234">
                  <c:v>1356</c:v>
                </c:pt>
                <c:pt idx="235">
                  <c:v>1356</c:v>
                </c:pt>
                <c:pt idx="236">
                  <c:v>1356</c:v>
                </c:pt>
                <c:pt idx="237">
                  <c:v>1306</c:v>
                </c:pt>
                <c:pt idx="238">
                  <c:v>1306</c:v>
                </c:pt>
                <c:pt idx="239">
                  <c:v>1306</c:v>
                </c:pt>
                <c:pt idx="240">
                  <c:v>1306</c:v>
                </c:pt>
                <c:pt idx="241">
                  <c:v>1306</c:v>
                </c:pt>
                <c:pt idx="242">
                  <c:v>1306</c:v>
                </c:pt>
                <c:pt idx="243">
                  <c:v>1306</c:v>
                </c:pt>
                <c:pt idx="244">
                  <c:v>1306</c:v>
                </c:pt>
                <c:pt idx="245">
                  <c:v>1306</c:v>
                </c:pt>
                <c:pt idx="246">
                  <c:v>1306</c:v>
                </c:pt>
                <c:pt idx="247">
                  <c:v>1306</c:v>
                </c:pt>
                <c:pt idx="248">
                  <c:v>1306</c:v>
                </c:pt>
                <c:pt idx="249">
                  <c:v>1306</c:v>
                </c:pt>
                <c:pt idx="250">
                  <c:v>1306</c:v>
                </c:pt>
                <c:pt idx="251">
                  <c:v>1306</c:v>
                </c:pt>
                <c:pt idx="252">
                  <c:v>1306</c:v>
                </c:pt>
                <c:pt idx="253">
                  <c:v>1306</c:v>
                </c:pt>
                <c:pt idx="254">
                  <c:v>1306</c:v>
                </c:pt>
                <c:pt idx="255">
                  <c:v>1306</c:v>
                </c:pt>
                <c:pt idx="256">
                  <c:v>1306</c:v>
                </c:pt>
                <c:pt idx="257">
                  <c:v>1306</c:v>
                </c:pt>
                <c:pt idx="258">
                  <c:v>1286</c:v>
                </c:pt>
                <c:pt idx="259">
                  <c:v>1286</c:v>
                </c:pt>
                <c:pt idx="260">
                  <c:v>1286</c:v>
                </c:pt>
                <c:pt idx="261">
                  <c:v>1286</c:v>
                </c:pt>
                <c:pt idx="262">
                  <c:v>1286</c:v>
                </c:pt>
                <c:pt idx="263">
                  <c:v>1286</c:v>
                </c:pt>
                <c:pt idx="264">
                  <c:v>1286</c:v>
                </c:pt>
                <c:pt idx="265">
                  <c:v>1266</c:v>
                </c:pt>
                <c:pt idx="266">
                  <c:v>1266</c:v>
                </c:pt>
                <c:pt idx="267">
                  <c:v>1266</c:v>
                </c:pt>
                <c:pt idx="268">
                  <c:v>1266</c:v>
                </c:pt>
                <c:pt idx="269">
                  <c:v>1266</c:v>
                </c:pt>
                <c:pt idx="270">
                  <c:v>1266</c:v>
                </c:pt>
                <c:pt idx="271">
                  <c:v>1266</c:v>
                </c:pt>
                <c:pt idx="272">
                  <c:v>1246</c:v>
                </c:pt>
                <c:pt idx="273">
                  <c:v>1246</c:v>
                </c:pt>
                <c:pt idx="274">
                  <c:v>1246</c:v>
                </c:pt>
                <c:pt idx="275">
                  <c:v>1246</c:v>
                </c:pt>
                <c:pt idx="276">
                  <c:v>1246</c:v>
                </c:pt>
                <c:pt idx="277">
                  <c:v>1246</c:v>
                </c:pt>
                <c:pt idx="278">
                  <c:v>1246</c:v>
                </c:pt>
                <c:pt idx="279">
                  <c:v>1246</c:v>
                </c:pt>
                <c:pt idx="280">
                  <c:v>1246</c:v>
                </c:pt>
                <c:pt idx="281">
                  <c:v>1246</c:v>
                </c:pt>
                <c:pt idx="282">
                  <c:v>1246</c:v>
                </c:pt>
                <c:pt idx="283">
                  <c:v>1246</c:v>
                </c:pt>
                <c:pt idx="284">
                  <c:v>1246</c:v>
                </c:pt>
                <c:pt idx="285">
                  <c:v>1246</c:v>
                </c:pt>
                <c:pt idx="286">
                  <c:v>1240</c:v>
                </c:pt>
                <c:pt idx="287">
                  <c:v>1240</c:v>
                </c:pt>
                <c:pt idx="288">
                  <c:v>1240</c:v>
                </c:pt>
                <c:pt idx="289">
                  <c:v>1240</c:v>
                </c:pt>
                <c:pt idx="290">
                  <c:v>1240</c:v>
                </c:pt>
                <c:pt idx="291">
                  <c:v>1240</c:v>
                </c:pt>
                <c:pt idx="292">
                  <c:v>1240</c:v>
                </c:pt>
                <c:pt idx="293">
                  <c:v>1240</c:v>
                </c:pt>
                <c:pt idx="294">
                  <c:v>1240</c:v>
                </c:pt>
                <c:pt idx="295">
                  <c:v>1240</c:v>
                </c:pt>
                <c:pt idx="296">
                  <c:v>1240</c:v>
                </c:pt>
                <c:pt idx="297">
                  <c:v>1240</c:v>
                </c:pt>
                <c:pt idx="298">
                  <c:v>1240</c:v>
                </c:pt>
                <c:pt idx="299">
                  <c:v>1240</c:v>
                </c:pt>
                <c:pt idx="300">
                  <c:v>1240</c:v>
                </c:pt>
                <c:pt idx="301">
                  <c:v>1240</c:v>
                </c:pt>
                <c:pt idx="302">
                  <c:v>1240</c:v>
                </c:pt>
                <c:pt idx="303">
                  <c:v>1240</c:v>
                </c:pt>
                <c:pt idx="304">
                  <c:v>1240</c:v>
                </c:pt>
                <c:pt idx="305">
                  <c:v>1240</c:v>
                </c:pt>
                <c:pt idx="306">
                  <c:v>1240</c:v>
                </c:pt>
                <c:pt idx="307">
                  <c:v>1240</c:v>
                </c:pt>
                <c:pt idx="308">
                  <c:v>1240</c:v>
                </c:pt>
                <c:pt idx="309">
                  <c:v>1240</c:v>
                </c:pt>
                <c:pt idx="310">
                  <c:v>1240</c:v>
                </c:pt>
                <c:pt idx="311">
                  <c:v>1240</c:v>
                </c:pt>
                <c:pt idx="312">
                  <c:v>1240</c:v>
                </c:pt>
                <c:pt idx="313">
                  <c:v>1240</c:v>
                </c:pt>
                <c:pt idx="314">
                  <c:v>1210</c:v>
                </c:pt>
                <c:pt idx="315">
                  <c:v>1210</c:v>
                </c:pt>
                <c:pt idx="316">
                  <c:v>1210</c:v>
                </c:pt>
                <c:pt idx="317">
                  <c:v>1210</c:v>
                </c:pt>
                <c:pt idx="318">
                  <c:v>1210</c:v>
                </c:pt>
                <c:pt idx="319">
                  <c:v>1210</c:v>
                </c:pt>
                <c:pt idx="320">
                  <c:v>1210</c:v>
                </c:pt>
                <c:pt idx="321">
                  <c:v>1161</c:v>
                </c:pt>
                <c:pt idx="322">
                  <c:v>1161</c:v>
                </c:pt>
                <c:pt idx="323">
                  <c:v>1161</c:v>
                </c:pt>
              </c:numCache>
            </c:numRef>
          </c:val>
          <c:smooth val="0"/>
        </c:ser>
        <c:dLbls>
          <c:showLegendKey val="0"/>
          <c:showVal val="0"/>
          <c:showCatName val="0"/>
          <c:showSerName val="0"/>
          <c:showPercent val="0"/>
          <c:showBubbleSize val="0"/>
        </c:dLbls>
        <c:marker val="1"/>
        <c:smooth val="0"/>
        <c:axId val="264524160"/>
        <c:axId val="264525696"/>
      </c:lineChart>
      <c:dateAx>
        <c:axId val="264524160"/>
        <c:scaling>
          <c:orientation val="minMax"/>
          <c:max val="42328"/>
        </c:scaling>
        <c:delete val="0"/>
        <c:axPos val="b"/>
        <c:numFmt formatCode="m/d/yyyy" sourceLinked="1"/>
        <c:majorTickMark val="out"/>
        <c:minorTickMark val="none"/>
        <c:tickLblPos val="nextTo"/>
        <c:crossAx val="264525696"/>
        <c:crosses val="autoZero"/>
        <c:auto val="1"/>
        <c:lblOffset val="100"/>
        <c:baseTimeUnit val="days"/>
        <c:majorUnit val="1"/>
        <c:majorTimeUnit val="months"/>
        <c:minorUnit val="1"/>
        <c:minorTimeUnit val="months"/>
      </c:dateAx>
      <c:valAx>
        <c:axId val="264525696"/>
        <c:scaling>
          <c:orientation val="minMax"/>
          <c:min val="1100"/>
        </c:scaling>
        <c:delete val="0"/>
        <c:axPos val="l"/>
        <c:majorGridlines/>
        <c:numFmt formatCode="General" sourceLinked="1"/>
        <c:majorTickMark val="out"/>
        <c:minorTickMark val="none"/>
        <c:tickLblPos val="nextTo"/>
        <c:crossAx val="264524160"/>
        <c:crosses val="autoZero"/>
        <c:crossBetween val="between"/>
        <c:majorUnit val="200"/>
      </c:valAx>
    </c:plotArea>
    <c:legend>
      <c:legendPos val="b"/>
      <c:layout>
        <c:manualLayout>
          <c:xMode val="edge"/>
          <c:yMode val="edge"/>
          <c:x val="0.15881575845695051"/>
          <c:y val="0.86197140707298736"/>
          <c:w val="0.68962309166664459"/>
          <c:h val="0.13802859292701281"/>
        </c:manualLayout>
      </c:layout>
      <c:overlay val="0"/>
    </c:legend>
    <c:plotVisOnly val="1"/>
    <c:dispBlanksAs val="gap"/>
    <c:showDLblsOverMax val="0"/>
  </c:chart>
  <c:externalData r:id="rId1">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5575418877809612E-2"/>
          <c:y val="4.8219412312874556E-2"/>
          <c:w val="0.84610781505194554"/>
          <c:h val="0.66636264929424538"/>
        </c:manualLayout>
      </c:layout>
      <c:lineChart>
        <c:grouping val="standard"/>
        <c:varyColors val="0"/>
        <c:ser>
          <c:idx val="0"/>
          <c:order val="0"/>
          <c:tx>
            <c:strRef>
              <c:f>石化!$AO$1</c:f>
              <c:strCache>
                <c:ptCount val="1"/>
                <c:pt idx="0">
                  <c:v>己內醯胺CPL 中石化 現貨價(美元/公噸)</c:v>
                </c:pt>
              </c:strCache>
            </c:strRef>
          </c:tx>
          <c:spPr>
            <a:ln>
              <a:prstDash val="sysDash"/>
            </a:ln>
          </c:spPr>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石化!$AO$216:$AO$539</c:f>
              <c:numCache>
                <c:formatCode>General</c:formatCode>
                <c:ptCount val="324"/>
                <c:pt idx="0">
                  <c:v>1910</c:v>
                </c:pt>
                <c:pt idx="1">
                  <c:v>1910</c:v>
                </c:pt>
                <c:pt idx="2">
                  <c:v>1910</c:v>
                </c:pt>
                <c:pt idx="3">
                  <c:v>1910</c:v>
                </c:pt>
                <c:pt idx="4">
                  <c:v>1910</c:v>
                </c:pt>
                <c:pt idx="5">
                  <c:v>1910</c:v>
                </c:pt>
                <c:pt idx="6">
                  <c:v>1910</c:v>
                </c:pt>
                <c:pt idx="7">
                  <c:v>1910</c:v>
                </c:pt>
                <c:pt idx="8">
                  <c:v>1910</c:v>
                </c:pt>
                <c:pt idx="9">
                  <c:v>1910</c:v>
                </c:pt>
                <c:pt idx="10">
                  <c:v>1910</c:v>
                </c:pt>
                <c:pt idx="11">
                  <c:v>1910</c:v>
                </c:pt>
                <c:pt idx="12">
                  <c:v>1910</c:v>
                </c:pt>
                <c:pt idx="13">
                  <c:v>1910</c:v>
                </c:pt>
                <c:pt idx="14">
                  <c:v>1750</c:v>
                </c:pt>
                <c:pt idx="15">
                  <c:v>1750</c:v>
                </c:pt>
                <c:pt idx="16">
                  <c:v>1750</c:v>
                </c:pt>
                <c:pt idx="17">
                  <c:v>1750</c:v>
                </c:pt>
                <c:pt idx="18">
                  <c:v>1750</c:v>
                </c:pt>
                <c:pt idx="19">
                  <c:v>1690</c:v>
                </c:pt>
                <c:pt idx="20">
                  <c:v>1690</c:v>
                </c:pt>
                <c:pt idx="21">
                  <c:v>1690</c:v>
                </c:pt>
                <c:pt idx="22">
                  <c:v>1690</c:v>
                </c:pt>
                <c:pt idx="23">
                  <c:v>1690</c:v>
                </c:pt>
                <c:pt idx="24">
                  <c:v>1690</c:v>
                </c:pt>
                <c:pt idx="25">
                  <c:v>1690</c:v>
                </c:pt>
                <c:pt idx="26">
                  <c:v>1690</c:v>
                </c:pt>
                <c:pt idx="27">
                  <c:v>1610</c:v>
                </c:pt>
                <c:pt idx="28">
                  <c:v>1610</c:v>
                </c:pt>
                <c:pt idx="29">
                  <c:v>1610</c:v>
                </c:pt>
                <c:pt idx="30">
                  <c:v>1610</c:v>
                </c:pt>
                <c:pt idx="31">
                  <c:v>1610</c:v>
                </c:pt>
                <c:pt idx="32">
                  <c:v>1610</c:v>
                </c:pt>
                <c:pt idx="33">
                  <c:v>1610</c:v>
                </c:pt>
                <c:pt idx="34">
                  <c:v>1610</c:v>
                </c:pt>
                <c:pt idx="35">
                  <c:v>1610</c:v>
                </c:pt>
                <c:pt idx="36">
                  <c:v>1610</c:v>
                </c:pt>
                <c:pt idx="37">
                  <c:v>1610</c:v>
                </c:pt>
                <c:pt idx="38">
                  <c:v>1610</c:v>
                </c:pt>
                <c:pt idx="39">
                  <c:v>1610</c:v>
                </c:pt>
                <c:pt idx="40">
                  <c:v>1610</c:v>
                </c:pt>
                <c:pt idx="41">
                  <c:v>1610</c:v>
                </c:pt>
                <c:pt idx="42">
                  <c:v>1520</c:v>
                </c:pt>
                <c:pt idx="43">
                  <c:v>1520</c:v>
                </c:pt>
                <c:pt idx="44">
                  <c:v>1520</c:v>
                </c:pt>
                <c:pt idx="45">
                  <c:v>1520</c:v>
                </c:pt>
                <c:pt idx="46">
                  <c:v>1520</c:v>
                </c:pt>
                <c:pt idx="47">
                  <c:v>1520</c:v>
                </c:pt>
                <c:pt idx="48">
                  <c:v>1520</c:v>
                </c:pt>
                <c:pt idx="49">
                  <c:v>1520</c:v>
                </c:pt>
                <c:pt idx="50">
                  <c:v>1520</c:v>
                </c:pt>
                <c:pt idx="51">
                  <c:v>1520</c:v>
                </c:pt>
                <c:pt idx="52">
                  <c:v>1520</c:v>
                </c:pt>
                <c:pt idx="53">
                  <c:v>1520</c:v>
                </c:pt>
                <c:pt idx="54">
                  <c:v>1520</c:v>
                </c:pt>
                <c:pt idx="55">
                  <c:v>1520</c:v>
                </c:pt>
                <c:pt idx="56">
                  <c:v>1520</c:v>
                </c:pt>
                <c:pt idx="57">
                  <c:v>1520</c:v>
                </c:pt>
                <c:pt idx="58">
                  <c:v>1520</c:v>
                </c:pt>
                <c:pt idx="59">
                  <c:v>1520</c:v>
                </c:pt>
                <c:pt idx="60">
                  <c:v>1520</c:v>
                </c:pt>
                <c:pt idx="61">
                  <c:v>1520</c:v>
                </c:pt>
                <c:pt idx="62">
                  <c:v>1580</c:v>
                </c:pt>
                <c:pt idx="63">
                  <c:v>1580</c:v>
                </c:pt>
                <c:pt idx="64">
                  <c:v>1580</c:v>
                </c:pt>
                <c:pt idx="65">
                  <c:v>1580</c:v>
                </c:pt>
                <c:pt idx="66">
                  <c:v>1580</c:v>
                </c:pt>
                <c:pt idx="67">
                  <c:v>1580</c:v>
                </c:pt>
                <c:pt idx="68">
                  <c:v>1640</c:v>
                </c:pt>
                <c:pt idx="69">
                  <c:v>1640</c:v>
                </c:pt>
                <c:pt idx="70">
                  <c:v>1640</c:v>
                </c:pt>
                <c:pt idx="71">
                  <c:v>1640</c:v>
                </c:pt>
                <c:pt idx="72">
                  <c:v>1640</c:v>
                </c:pt>
                <c:pt idx="73">
                  <c:v>1640</c:v>
                </c:pt>
                <c:pt idx="74">
                  <c:v>1640</c:v>
                </c:pt>
                <c:pt idx="75">
                  <c:v>1650</c:v>
                </c:pt>
                <c:pt idx="76">
                  <c:v>1650</c:v>
                </c:pt>
                <c:pt idx="77">
                  <c:v>1650</c:v>
                </c:pt>
                <c:pt idx="78">
                  <c:v>1650</c:v>
                </c:pt>
                <c:pt idx="79">
                  <c:v>1650</c:v>
                </c:pt>
                <c:pt idx="80">
                  <c:v>1650</c:v>
                </c:pt>
                <c:pt idx="81">
                  <c:v>1650</c:v>
                </c:pt>
                <c:pt idx="82">
                  <c:v>1650</c:v>
                </c:pt>
                <c:pt idx="83">
                  <c:v>1650</c:v>
                </c:pt>
                <c:pt idx="84">
                  <c:v>1650</c:v>
                </c:pt>
                <c:pt idx="85">
                  <c:v>1650</c:v>
                </c:pt>
                <c:pt idx="86">
                  <c:v>1650</c:v>
                </c:pt>
                <c:pt idx="87">
                  <c:v>1650</c:v>
                </c:pt>
                <c:pt idx="88">
                  <c:v>1650</c:v>
                </c:pt>
                <c:pt idx="89">
                  <c:v>1680</c:v>
                </c:pt>
                <c:pt idx="90">
                  <c:v>1680</c:v>
                </c:pt>
                <c:pt idx="91">
                  <c:v>1680</c:v>
                </c:pt>
                <c:pt idx="92">
                  <c:v>1680</c:v>
                </c:pt>
                <c:pt idx="93">
                  <c:v>1680</c:v>
                </c:pt>
                <c:pt idx="94">
                  <c:v>1680</c:v>
                </c:pt>
                <c:pt idx="95">
                  <c:v>1680</c:v>
                </c:pt>
                <c:pt idx="96">
                  <c:v>1695</c:v>
                </c:pt>
                <c:pt idx="97">
                  <c:v>1695</c:v>
                </c:pt>
                <c:pt idx="98">
                  <c:v>1695</c:v>
                </c:pt>
                <c:pt idx="99">
                  <c:v>1695</c:v>
                </c:pt>
                <c:pt idx="100">
                  <c:v>1695</c:v>
                </c:pt>
                <c:pt idx="101">
                  <c:v>1695</c:v>
                </c:pt>
                <c:pt idx="102">
                  <c:v>1695</c:v>
                </c:pt>
                <c:pt idx="103">
                  <c:v>1695</c:v>
                </c:pt>
                <c:pt idx="104">
                  <c:v>1695</c:v>
                </c:pt>
                <c:pt idx="105">
                  <c:v>1695</c:v>
                </c:pt>
                <c:pt idx="106">
                  <c:v>1695</c:v>
                </c:pt>
                <c:pt idx="107">
                  <c:v>1695</c:v>
                </c:pt>
                <c:pt idx="108">
                  <c:v>1695</c:v>
                </c:pt>
                <c:pt idx="109">
                  <c:v>1695</c:v>
                </c:pt>
                <c:pt idx="110">
                  <c:v>1700</c:v>
                </c:pt>
                <c:pt idx="111">
                  <c:v>1700</c:v>
                </c:pt>
                <c:pt idx="112">
                  <c:v>1700</c:v>
                </c:pt>
                <c:pt idx="113">
                  <c:v>1700</c:v>
                </c:pt>
                <c:pt idx="114">
                  <c:v>1700</c:v>
                </c:pt>
                <c:pt idx="115">
                  <c:v>1700</c:v>
                </c:pt>
                <c:pt idx="116">
                  <c:v>1700</c:v>
                </c:pt>
                <c:pt idx="117">
                  <c:v>1700</c:v>
                </c:pt>
                <c:pt idx="118">
                  <c:v>1700</c:v>
                </c:pt>
                <c:pt idx="119">
                  <c:v>1700</c:v>
                </c:pt>
                <c:pt idx="120">
                  <c:v>1700</c:v>
                </c:pt>
                <c:pt idx="121">
                  <c:v>1700</c:v>
                </c:pt>
                <c:pt idx="122">
                  <c:v>1700</c:v>
                </c:pt>
                <c:pt idx="123">
                  <c:v>1700</c:v>
                </c:pt>
                <c:pt idx="124">
                  <c:v>1700</c:v>
                </c:pt>
                <c:pt idx="125">
                  <c:v>1750</c:v>
                </c:pt>
                <c:pt idx="126">
                  <c:v>1750</c:v>
                </c:pt>
                <c:pt idx="127">
                  <c:v>1750</c:v>
                </c:pt>
                <c:pt idx="128">
                  <c:v>1750</c:v>
                </c:pt>
                <c:pt idx="129">
                  <c:v>1750</c:v>
                </c:pt>
                <c:pt idx="130">
                  <c:v>1750</c:v>
                </c:pt>
                <c:pt idx="131">
                  <c:v>1800</c:v>
                </c:pt>
                <c:pt idx="132">
                  <c:v>1800</c:v>
                </c:pt>
                <c:pt idx="133">
                  <c:v>1800</c:v>
                </c:pt>
                <c:pt idx="134">
                  <c:v>1800</c:v>
                </c:pt>
                <c:pt idx="135">
                  <c:v>1800</c:v>
                </c:pt>
                <c:pt idx="136">
                  <c:v>1800</c:v>
                </c:pt>
                <c:pt idx="137">
                  <c:v>1800</c:v>
                </c:pt>
                <c:pt idx="138">
                  <c:v>1850</c:v>
                </c:pt>
                <c:pt idx="139">
                  <c:v>1850</c:v>
                </c:pt>
                <c:pt idx="140">
                  <c:v>1850</c:v>
                </c:pt>
                <c:pt idx="141">
                  <c:v>1850</c:v>
                </c:pt>
                <c:pt idx="142">
                  <c:v>1850</c:v>
                </c:pt>
                <c:pt idx="143">
                  <c:v>1850</c:v>
                </c:pt>
                <c:pt idx="144">
                  <c:v>1850</c:v>
                </c:pt>
                <c:pt idx="145">
                  <c:v>1850</c:v>
                </c:pt>
                <c:pt idx="146">
                  <c:v>1830</c:v>
                </c:pt>
                <c:pt idx="147">
                  <c:v>1830</c:v>
                </c:pt>
                <c:pt idx="148">
                  <c:v>1830</c:v>
                </c:pt>
                <c:pt idx="149">
                  <c:v>1830</c:v>
                </c:pt>
                <c:pt idx="150">
                  <c:v>1830</c:v>
                </c:pt>
                <c:pt idx="151">
                  <c:v>1830</c:v>
                </c:pt>
                <c:pt idx="152">
                  <c:v>1830</c:v>
                </c:pt>
                <c:pt idx="153">
                  <c:v>1820</c:v>
                </c:pt>
                <c:pt idx="154">
                  <c:v>1820</c:v>
                </c:pt>
                <c:pt idx="155">
                  <c:v>1820</c:v>
                </c:pt>
                <c:pt idx="156">
                  <c:v>1820</c:v>
                </c:pt>
                <c:pt idx="157">
                  <c:v>1820</c:v>
                </c:pt>
                <c:pt idx="158">
                  <c:v>1820</c:v>
                </c:pt>
                <c:pt idx="159">
                  <c:v>1800</c:v>
                </c:pt>
                <c:pt idx="160">
                  <c:v>1800</c:v>
                </c:pt>
                <c:pt idx="161">
                  <c:v>1800</c:v>
                </c:pt>
                <c:pt idx="162">
                  <c:v>1800</c:v>
                </c:pt>
                <c:pt idx="163">
                  <c:v>1800</c:v>
                </c:pt>
                <c:pt idx="164">
                  <c:v>1800</c:v>
                </c:pt>
                <c:pt idx="165">
                  <c:v>1800</c:v>
                </c:pt>
                <c:pt idx="166">
                  <c:v>1800</c:v>
                </c:pt>
                <c:pt idx="167">
                  <c:v>1800</c:v>
                </c:pt>
                <c:pt idx="168">
                  <c:v>1800</c:v>
                </c:pt>
                <c:pt idx="169">
                  <c:v>1800</c:v>
                </c:pt>
                <c:pt idx="170">
                  <c:v>1800</c:v>
                </c:pt>
                <c:pt idx="171">
                  <c:v>1800</c:v>
                </c:pt>
                <c:pt idx="172">
                  <c:v>1800</c:v>
                </c:pt>
                <c:pt idx="173">
                  <c:v>1800</c:v>
                </c:pt>
                <c:pt idx="174">
                  <c:v>1780</c:v>
                </c:pt>
                <c:pt idx="175">
                  <c:v>1780</c:v>
                </c:pt>
                <c:pt idx="176">
                  <c:v>1780</c:v>
                </c:pt>
                <c:pt idx="177">
                  <c:v>1780</c:v>
                </c:pt>
                <c:pt idx="178">
                  <c:v>1780</c:v>
                </c:pt>
                <c:pt idx="179">
                  <c:v>1780</c:v>
                </c:pt>
                <c:pt idx="180">
                  <c:v>1750</c:v>
                </c:pt>
                <c:pt idx="181">
                  <c:v>1750</c:v>
                </c:pt>
                <c:pt idx="182">
                  <c:v>1750</c:v>
                </c:pt>
                <c:pt idx="183">
                  <c:v>1750</c:v>
                </c:pt>
                <c:pt idx="184">
                  <c:v>1750</c:v>
                </c:pt>
                <c:pt idx="185">
                  <c:v>1750</c:v>
                </c:pt>
                <c:pt idx="186">
                  <c:v>1750</c:v>
                </c:pt>
                <c:pt idx="187">
                  <c:v>1750</c:v>
                </c:pt>
                <c:pt idx="188">
                  <c:v>1750</c:v>
                </c:pt>
                <c:pt idx="189">
                  <c:v>1750</c:v>
                </c:pt>
                <c:pt idx="190">
                  <c:v>1750</c:v>
                </c:pt>
                <c:pt idx="191">
                  <c:v>1750</c:v>
                </c:pt>
                <c:pt idx="192">
                  <c:v>1750</c:v>
                </c:pt>
                <c:pt idx="193">
                  <c:v>1750</c:v>
                </c:pt>
                <c:pt idx="194">
                  <c:v>1750</c:v>
                </c:pt>
                <c:pt idx="195">
                  <c:v>1750</c:v>
                </c:pt>
                <c:pt idx="196">
                  <c:v>1750</c:v>
                </c:pt>
                <c:pt idx="197">
                  <c:v>1750</c:v>
                </c:pt>
                <c:pt idx="198">
                  <c:v>1750</c:v>
                </c:pt>
                <c:pt idx="199">
                  <c:v>1750</c:v>
                </c:pt>
                <c:pt idx="200">
                  <c:v>1750</c:v>
                </c:pt>
                <c:pt idx="201">
                  <c:v>1750</c:v>
                </c:pt>
                <c:pt idx="202">
                  <c:v>1650</c:v>
                </c:pt>
                <c:pt idx="203">
                  <c:v>1650</c:v>
                </c:pt>
                <c:pt idx="204">
                  <c:v>1650</c:v>
                </c:pt>
                <c:pt idx="205">
                  <c:v>1650</c:v>
                </c:pt>
                <c:pt idx="206">
                  <c:v>1650</c:v>
                </c:pt>
                <c:pt idx="207">
                  <c:v>1650</c:v>
                </c:pt>
                <c:pt idx="208">
                  <c:v>1620</c:v>
                </c:pt>
                <c:pt idx="209">
                  <c:v>1620</c:v>
                </c:pt>
                <c:pt idx="210">
                  <c:v>1620</c:v>
                </c:pt>
                <c:pt idx="211">
                  <c:v>1620</c:v>
                </c:pt>
                <c:pt idx="212">
                  <c:v>1620</c:v>
                </c:pt>
                <c:pt idx="213">
                  <c:v>1620</c:v>
                </c:pt>
                <c:pt idx="214">
                  <c:v>1620</c:v>
                </c:pt>
                <c:pt idx="215">
                  <c:v>1620</c:v>
                </c:pt>
                <c:pt idx="216">
                  <c:v>1620</c:v>
                </c:pt>
                <c:pt idx="217">
                  <c:v>1600</c:v>
                </c:pt>
                <c:pt idx="218">
                  <c:v>1600</c:v>
                </c:pt>
                <c:pt idx="219">
                  <c:v>1600</c:v>
                </c:pt>
                <c:pt idx="220">
                  <c:v>1600</c:v>
                </c:pt>
                <c:pt idx="221">
                  <c:v>1600</c:v>
                </c:pt>
                <c:pt idx="222">
                  <c:v>1600</c:v>
                </c:pt>
                <c:pt idx="223">
                  <c:v>1600</c:v>
                </c:pt>
                <c:pt idx="224">
                  <c:v>1600</c:v>
                </c:pt>
                <c:pt idx="225">
                  <c:v>1600</c:v>
                </c:pt>
                <c:pt idx="226">
                  <c:v>1600</c:v>
                </c:pt>
                <c:pt idx="227">
                  <c:v>1600</c:v>
                </c:pt>
                <c:pt idx="228">
                  <c:v>1600</c:v>
                </c:pt>
                <c:pt idx="229">
                  <c:v>1600</c:v>
                </c:pt>
                <c:pt idx="230">
                  <c:v>1600</c:v>
                </c:pt>
                <c:pt idx="231">
                  <c:v>1550</c:v>
                </c:pt>
                <c:pt idx="232">
                  <c:v>1550</c:v>
                </c:pt>
                <c:pt idx="233">
                  <c:v>1550</c:v>
                </c:pt>
                <c:pt idx="234">
                  <c:v>1550</c:v>
                </c:pt>
                <c:pt idx="235">
                  <c:v>1550</c:v>
                </c:pt>
                <c:pt idx="236">
                  <c:v>1550</c:v>
                </c:pt>
                <c:pt idx="237">
                  <c:v>1550</c:v>
                </c:pt>
                <c:pt idx="238">
                  <c:v>1550</c:v>
                </c:pt>
                <c:pt idx="239">
                  <c:v>1550</c:v>
                </c:pt>
                <c:pt idx="240">
                  <c:v>1550</c:v>
                </c:pt>
                <c:pt idx="241">
                  <c:v>1550</c:v>
                </c:pt>
                <c:pt idx="242">
                  <c:v>1550</c:v>
                </c:pt>
                <c:pt idx="243">
                  <c:v>1400</c:v>
                </c:pt>
                <c:pt idx="244">
                  <c:v>1400</c:v>
                </c:pt>
                <c:pt idx="245">
                  <c:v>1400</c:v>
                </c:pt>
                <c:pt idx="246">
                  <c:v>1400</c:v>
                </c:pt>
                <c:pt idx="247">
                  <c:v>1400</c:v>
                </c:pt>
                <c:pt idx="248">
                  <c:v>1400</c:v>
                </c:pt>
                <c:pt idx="249">
                  <c:v>1400</c:v>
                </c:pt>
                <c:pt idx="250">
                  <c:v>1340</c:v>
                </c:pt>
                <c:pt idx="251">
                  <c:v>1340</c:v>
                </c:pt>
                <c:pt idx="252">
                  <c:v>1340</c:v>
                </c:pt>
                <c:pt idx="253">
                  <c:v>1340</c:v>
                </c:pt>
                <c:pt idx="254">
                  <c:v>1340</c:v>
                </c:pt>
                <c:pt idx="255">
                  <c:v>1340</c:v>
                </c:pt>
                <c:pt idx="256">
                  <c:v>1340</c:v>
                </c:pt>
                <c:pt idx="257">
                  <c:v>1340</c:v>
                </c:pt>
                <c:pt idx="258">
                  <c:v>1340</c:v>
                </c:pt>
                <c:pt idx="259">
                  <c:v>1340</c:v>
                </c:pt>
                <c:pt idx="260">
                  <c:v>1340</c:v>
                </c:pt>
                <c:pt idx="261">
                  <c:v>1340</c:v>
                </c:pt>
                <c:pt idx="262">
                  <c:v>1340</c:v>
                </c:pt>
                <c:pt idx="263">
                  <c:v>1340</c:v>
                </c:pt>
                <c:pt idx="264">
                  <c:v>1340</c:v>
                </c:pt>
                <c:pt idx="265">
                  <c:v>1340</c:v>
                </c:pt>
                <c:pt idx="266">
                  <c:v>1350</c:v>
                </c:pt>
                <c:pt idx="267">
                  <c:v>1350</c:v>
                </c:pt>
                <c:pt idx="268">
                  <c:v>1350</c:v>
                </c:pt>
                <c:pt idx="269">
                  <c:v>1350</c:v>
                </c:pt>
                <c:pt idx="270">
                  <c:v>1350</c:v>
                </c:pt>
                <c:pt idx="271">
                  <c:v>1350</c:v>
                </c:pt>
                <c:pt idx="272">
                  <c:v>1350</c:v>
                </c:pt>
                <c:pt idx="273">
                  <c:v>1350</c:v>
                </c:pt>
                <c:pt idx="274">
                  <c:v>1350</c:v>
                </c:pt>
                <c:pt idx="275">
                  <c:v>1350</c:v>
                </c:pt>
                <c:pt idx="276">
                  <c:v>1350</c:v>
                </c:pt>
                <c:pt idx="277">
                  <c:v>1350</c:v>
                </c:pt>
                <c:pt idx="278">
                  <c:v>1350</c:v>
                </c:pt>
                <c:pt idx="279">
                  <c:v>1350</c:v>
                </c:pt>
                <c:pt idx="280">
                  <c:v>1350</c:v>
                </c:pt>
                <c:pt idx="281">
                  <c:v>1350</c:v>
                </c:pt>
                <c:pt idx="282">
                  <c:v>1350</c:v>
                </c:pt>
                <c:pt idx="283">
                  <c:v>1350</c:v>
                </c:pt>
                <c:pt idx="284">
                  <c:v>1350</c:v>
                </c:pt>
                <c:pt idx="285">
                  <c:v>1350</c:v>
                </c:pt>
                <c:pt idx="286">
                  <c:v>1350</c:v>
                </c:pt>
                <c:pt idx="287">
                  <c:v>1350</c:v>
                </c:pt>
                <c:pt idx="288">
                  <c:v>1350</c:v>
                </c:pt>
                <c:pt idx="289">
                  <c:v>1350</c:v>
                </c:pt>
                <c:pt idx="290">
                  <c:v>1350</c:v>
                </c:pt>
                <c:pt idx="291">
                  <c:v>1350</c:v>
                </c:pt>
                <c:pt idx="292">
                  <c:v>1350</c:v>
                </c:pt>
                <c:pt idx="293">
                  <c:v>1350</c:v>
                </c:pt>
                <c:pt idx="294">
                  <c:v>1350</c:v>
                </c:pt>
                <c:pt idx="295">
                  <c:v>1350</c:v>
                </c:pt>
                <c:pt idx="296">
                  <c:v>1350</c:v>
                </c:pt>
                <c:pt idx="297">
                  <c:v>1350</c:v>
                </c:pt>
                <c:pt idx="298">
                  <c:v>1350</c:v>
                </c:pt>
                <c:pt idx="299">
                  <c:v>1380</c:v>
                </c:pt>
                <c:pt idx="300">
                  <c:v>1380</c:v>
                </c:pt>
                <c:pt idx="301">
                  <c:v>1380</c:v>
                </c:pt>
                <c:pt idx="302">
                  <c:v>1380</c:v>
                </c:pt>
                <c:pt idx="303">
                  <c:v>1380</c:v>
                </c:pt>
                <c:pt idx="304">
                  <c:v>1380</c:v>
                </c:pt>
                <c:pt idx="305">
                  <c:v>1380</c:v>
                </c:pt>
                <c:pt idx="306">
                  <c:v>1380</c:v>
                </c:pt>
                <c:pt idx="307">
                  <c:v>1380</c:v>
                </c:pt>
                <c:pt idx="308">
                  <c:v>1380</c:v>
                </c:pt>
                <c:pt idx="309">
                  <c:v>1380</c:v>
                </c:pt>
                <c:pt idx="310">
                  <c:v>1380</c:v>
                </c:pt>
                <c:pt idx="311">
                  <c:v>1380</c:v>
                </c:pt>
                <c:pt idx="312">
                  <c:v>1350</c:v>
                </c:pt>
                <c:pt idx="313">
                  <c:v>1350</c:v>
                </c:pt>
                <c:pt idx="314">
                  <c:v>1350</c:v>
                </c:pt>
                <c:pt idx="315">
                  <c:v>1350</c:v>
                </c:pt>
                <c:pt idx="316">
                  <c:v>1350</c:v>
                </c:pt>
                <c:pt idx="317">
                  <c:v>1350</c:v>
                </c:pt>
                <c:pt idx="318">
                  <c:v>1350</c:v>
                </c:pt>
                <c:pt idx="319">
                  <c:v>1350</c:v>
                </c:pt>
                <c:pt idx="320">
                  <c:v>1320</c:v>
                </c:pt>
                <c:pt idx="321">
                  <c:v>1320</c:v>
                </c:pt>
                <c:pt idx="322">
                  <c:v>1320</c:v>
                </c:pt>
                <c:pt idx="323">
                  <c:v>1320</c:v>
                </c:pt>
              </c:numCache>
            </c:numRef>
          </c:val>
          <c:smooth val="0"/>
        </c:ser>
        <c:ser>
          <c:idx val="1"/>
          <c:order val="1"/>
          <c:tx>
            <c:strRef>
              <c:f>石化!$AP$1</c:f>
              <c:strCache>
                <c:ptCount val="1"/>
                <c:pt idx="0">
                  <c:v>己內醯胺CPL 遠東區 CFR(美元/公噸)</c:v>
                </c:pt>
              </c:strCache>
            </c:strRef>
          </c:tx>
          <c:marker>
            <c:symbol val="none"/>
          </c:marker>
          <c:cat>
            <c:numRef>
              <c:f>石化!$X$216:$X$539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石化!$AP$216:$AP$539</c:f>
              <c:numCache>
                <c:formatCode>General</c:formatCode>
                <c:ptCount val="324"/>
                <c:pt idx="0">
                  <c:v>1901</c:v>
                </c:pt>
                <c:pt idx="1">
                  <c:v>1901</c:v>
                </c:pt>
                <c:pt idx="2">
                  <c:v>1901</c:v>
                </c:pt>
                <c:pt idx="3">
                  <c:v>1901</c:v>
                </c:pt>
                <c:pt idx="4">
                  <c:v>1901</c:v>
                </c:pt>
                <c:pt idx="5">
                  <c:v>1901</c:v>
                </c:pt>
                <c:pt idx="6">
                  <c:v>1901</c:v>
                </c:pt>
                <c:pt idx="7">
                  <c:v>1776</c:v>
                </c:pt>
                <c:pt idx="8">
                  <c:v>1776</c:v>
                </c:pt>
                <c:pt idx="9">
                  <c:v>1776</c:v>
                </c:pt>
                <c:pt idx="10">
                  <c:v>1776</c:v>
                </c:pt>
                <c:pt idx="11">
                  <c:v>1776</c:v>
                </c:pt>
                <c:pt idx="12">
                  <c:v>1776</c:v>
                </c:pt>
                <c:pt idx="13">
                  <c:v>1776</c:v>
                </c:pt>
                <c:pt idx="14">
                  <c:v>1726</c:v>
                </c:pt>
                <c:pt idx="15">
                  <c:v>1726</c:v>
                </c:pt>
                <c:pt idx="16">
                  <c:v>1726</c:v>
                </c:pt>
                <c:pt idx="17">
                  <c:v>1726</c:v>
                </c:pt>
                <c:pt idx="18">
                  <c:v>1726</c:v>
                </c:pt>
                <c:pt idx="19">
                  <c:v>1726</c:v>
                </c:pt>
                <c:pt idx="20">
                  <c:v>1726</c:v>
                </c:pt>
                <c:pt idx="21">
                  <c:v>1641</c:v>
                </c:pt>
                <c:pt idx="22">
                  <c:v>1641</c:v>
                </c:pt>
                <c:pt idx="23">
                  <c:v>1641</c:v>
                </c:pt>
                <c:pt idx="24">
                  <c:v>1641</c:v>
                </c:pt>
                <c:pt idx="25">
                  <c:v>1641</c:v>
                </c:pt>
                <c:pt idx="26">
                  <c:v>1641</c:v>
                </c:pt>
                <c:pt idx="27">
                  <c:v>1641</c:v>
                </c:pt>
                <c:pt idx="28">
                  <c:v>1541</c:v>
                </c:pt>
                <c:pt idx="29">
                  <c:v>1541</c:v>
                </c:pt>
                <c:pt idx="30">
                  <c:v>1541</c:v>
                </c:pt>
                <c:pt idx="31">
                  <c:v>1541</c:v>
                </c:pt>
                <c:pt idx="32">
                  <c:v>1541</c:v>
                </c:pt>
                <c:pt idx="33">
                  <c:v>1541</c:v>
                </c:pt>
                <c:pt idx="34">
                  <c:v>1541</c:v>
                </c:pt>
                <c:pt idx="35">
                  <c:v>1531</c:v>
                </c:pt>
                <c:pt idx="36">
                  <c:v>1531</c:v>
                </c:pt>
                <c:pt idx="37">
                  <c:v>1531</c:v>
                </c:pt>
                <c:pt idx="38">
                  <c:v>1531</c:v>
                </c:pt>
                <c:pt idx="39">
                  <c:v>1531</c:v>
                </c:pt>
                <c:pt idx="40">
                  <c:v>1531</c:v>
                </c:pt>
                <c:pt idx="41">
                  <c:v>1531</c:v>
                </c:pt>
                <c:pt idx="42">
                  <c:v>1531</c:v>
                </c:pt>
                <c:pt idx="43">
                  <c:v>1531</c:v>
                </c:pt>
                <c:pt idx="44">
                  <c:v>1531</c:v>
                </c:pt>
                <c:pt idx="45">
                  <c:v>1531</c:v>
                </c:pt>
                <c:pt idx="46">
                  <c:v>1531</c:v>
                </c:pt>
                <c:pt idx="47">
                  <c:v>1531</c:v>
                </c:pt>
                <c:pt idx="48">
                  <c:v>1531</c:v>
                </c:pt>
                <c:pt idx="49">
                  <c:v>1531</c:v>
                </c:pt>
                <c:pt idx="50">
                  <c:v>1531</c:v>
                </c:pt>
                <c:pt idx="51">
                  <c:v>1531</c:v>
                </c:pt>
                <c:pt idx="52">
                  <c:v>1531</c:v>
                </c:pt>
                <c:pt idx="53">
                  <c:v>1531</c:v>
                </c:pt>
                <c:pt idx="54">
                  <c:v>1531</c:v>
                </c:pt>
                <c:pt idx="55">
                  <c:v>1531</c:v>
                </c:pt>
                <c:pt idx="56">
                  <c:v>1541</c:v>
                </c:pt>
                <c:pt idx="57">
                  <c:v>1541</c:v>
                </c:pt>
                <c:pt idx="58">
                  <c:v>1541</c:v>
                </c:pt>
                <c:pt idx="59">
                  <c:v>1541</c:v>
                </c:pt>
                <c:pt idx="60">
                  <c:v>1541</c:v>
                </c:pt>
                <c:pt idx="61">
                  <c:v>1541</c:v>
                </c:pt>
                <c:pt idx="62">
                  <c:v>1541</c:v>
                </c:pt>
                <c:pt idx="63">
                  <c:v>1611</c:v>
                </c:pt>
                <c:pt idx="64">
                  <c:v>1611</c:v>
                </c:pt>
                <c:pt idx="65">
                  <c:v>1611</c:v>
                </c:pt>
                <c:pt idx="66">
                  <c:v>1611</c:v>
                </c:pt>
                <c:pt idx="67">
                  <c:v>1611</c:v>
                </c:pt>
                <c:pt idx="68">
                  <c:v>1611</c:v>
                </c:pt>
                <c:pt idx="69">
                  <c:v>1611</c:v>
                </c:pt>
                <c:pt idx="70">
                  <c:v>1636</c:v>
                </c:pt>
                <c:pt idx="71">
                  <c:v>1636</c:v>
                </c:pt>
                <c:pt idx="72">
                  <c:v>1636</c:v>
                </c:pt>
                <c:pt idx="73">
                  <c:v>1636</c:v>
                </c:pt>
                <c:pt idx="74">
                  <c:v>1636</c:v>
                </c:pt>
                <c:pt idx="75">
                  <c:v>1636</c:v>
                </c:pt>
                <c:pt idx="76">
                  <c:v>1636</c:v>
                </c:pt>
                <c:pt idx="77">
                  <c:v>1651</c:v>
                </c:pt>
                <c:pt idx="78">
                  <c:v>1651</c:v>
                </c:pt>
                <c:pt idx="79">
                  <c:v>1651</c:v>
                </c:pt>
                <c:pt idx="80">
                  <c:v>1651</c:v>
                </c:pt>
                <c:pt idx="81">
                  <c:v>1651</c:v>
                </c:pt>
                <c:pt idx="82">
                  <c:v>1651</c:v>
                </c:pt>
                <c:pt idx="83">
                  <c:v>1651</c:v>
                </c:pt>
                <c:pt idx="84">
                  <c:v>1691</c:v>
                </c:pt>
                <c:pt idx="85">
                  <c:v>1691</c:v>
                </c:pt>
                <c:pt idx="86">
                  <c:v>1691</c:v>
                </c:pt>
                <c:pt idx="87">
                  <c:v>1691</c:v>
                </c:pt>
                <c:pt idx="88">
                  <c:v>1691</c:v>
                </c:pt>
                <c:pt idx="89">
                  <c:v>1691</c:v>
                </c:pt>
                <c:pt idx="90">
                  <c:v>1691</c:v>
                </c:pt>
                <c:pt idx="91">
                  <c:v>1696</c:v>
                </c:pt>
                <c:pt idx="92">
                  <c:v>1696</c:v>
                </c:pt>
                <c:pt idx="93">
                  <c:v>1696</c:v>
                </c:pt>
                <c:pt idx="94">
                  <c:v>1696</c:v>
                </c:pt>
                <c:pt idx="95">
                  <c:v>1696</c:v>
                </c:pt>
                <c:pt idx="96">
                  <c:v>1696</c:v>
                </c:pt>
                <c:pt idx="97">
                  <c:v>1696</c:v>
                </c:pt>
                <c:pt idx="98">
                  <c:v>1696</c:v>
                </c:pt>
                <c:pt idx="99">
                  <c:v>1696</c:v>
                </c:pt>
                <c:pt idx="100">
                  <c:v>1696</c:v>
                </c:pt>
                <c:pt idx="101">
                  <c:v>1696</c:v>
                </c:pt>
                <c:pt idx="102">
                  <c:v>1696</c:v>
                </c:pt>
                <c:pt idx="103">
                  <c:v>1696</c:v>
                </c:pt>
                <c:pt idx="104">
                  <c:v>1696</c:v>
                </c:pt>
                <c:pt idx="105">
                  <c:v>1721</c:v>
                </c:pt>
                <c:pt idx="106">
                  <c:v>1721</c:v>
                </c:pt>
                <c:pt idx="107">
                  <c:v>1721</c:v>
                </c:pt>
                <c:pt idx="108">
                  <c:v>1721</c:v>
                </c:pt>
                <c:pt idx="109">
                  <c:v>1721</c:v>
                </c:pt>
                <c:pt idx="110">
                  <c:v>1721</c:v>
                </c:pt>
                <c:pt idx="111">
                  <c:v>1721</c:v>
                </c:pt>
                <c:pt idx="112">
                  <c:v>1731</c:v>
                </c:pt>
                <c:pt idx="113">
                  <c:v>1731</c:v>
                </c:pt>
                <c:pt idx="114">
                  <c:v>1731</c:v>
                </c:pt>
                <c:pt idx="115">
                  <c:v>1731</c:v>
                </c:pt>
                <c:pt idx="116">
                  <c:v>1731</c:v>
                </c:pt>
                <c:pt idx="117">
                  <c:v>1731</c:v>
                </c:pt>
                <c:pt idx="118">
                  <c:v>1731</c:v>
                </c:pt>
                <c:pt idx="119">
                  <c:v>1731</c:v>
                </c:pt>
                <c:pt idx="120">
                  <c:v>1731</c:v>
                </c:pt>
                <c:pt idx="121">
                  <c:v>1731</c:v>
                </c:pt>
                <c:pt idx="122">
                  <c:v>1731</c:v>
                </c:pt>
                <c:pt idx="123">
                  <c:v>1731</c:v>
                </c:pt>
                <c:pt idx="124">
                  <c:v>1731</c:v>
                </c:pt>
                <c:pt idx="125">
                  <c:v>1731</c:v>
                </c:pt>
                <c:pt idx="126">
                  <c:v>1730</c:v>
                </c:pt>
                <c:pt idx="127">
                  <c:v>1730</c:v>
                </c:pt>
                <c:pt idx="128">
                  <c:v>1730</c:v>
                </c:pt>
                <c:pt idx="129">
                  <c:v>1730</c:v>
                </c:pt>
                <c:pt idx="130">
                  <c:v>1730</c:v>
                </c:pt>
                <c:pt idx="131">
                  <c:v>1730</c:v>
                </c:pt>
                <c:pt idx="132">
                  <c:v>1730</c:v>
                </c:pt>
                <c:pt idx="133">
                  <c:v>1725</c:v>
                </c:pt>
                <c:pt idx="134">
                  <c:v>1725</c:v>
                </c:pt>
                <c:pt idx="135">
                  <c:v>1725</c:v>
                </c:pt>
                <c:pt idx="136">
                  <c:v>1725</c:v>
                </c:pt>
                <c:pt idx="137">
                  <c:v>1725</c:v>
                </c:pt>
                <c:pt idx="138">
                  <c:v>1725</c:v>
                </c:pt>
                <c:pt idx="139">
                  <c:v>1725</c:v>
                </c:pt>
                <c:pt idx="140">
                  <c:v>1791</c:v>
                </c:pt>
                <c:pt idx="141">
                  <c:v>1791</c:v>
                </c:pt>
                <c:pt idx="142">
                  <c:v>1791</c:v>
                </c:pt>
                <c:pt idx="143">
                  <c:v>1791</c:v>
                </c:pt>
                <c:pt idx="144">
                  <c:v>1791</c:v>
                </c:pt>
                <c:pt idx="145">
                  <c:v>1791</c:v>
                </c:pt>
                <c:pt idx="146">
                  <c:v>1791</c:v>
                </c:pt>
                <c:pt idx="147">
                  <c:v>1791</c:v>
                </c:pt>
                <c:pt idx="148">
                  <c:v>1791</c:v>
                </c:pt>
                <c:pt idx="149">
                  <c:v>1791</c:v>
                </c:pt>
                <c:pt idx="150">
                  <c:v>1791</c:v>
                </c:pt>
                <c:pt idx="151">
                  <c:v>1791</c:v>
                </c:pt>
                <c:pt idx="152">
                  <c:v>1791</c:v>
                </c:pt>
                <c:pt idx="153">
                  <c:v>1791</c:v>
                </c:pt>
                <c:pt idx="154">
                  <c:v>1801</c:v>
                </c:pt>
                <c:pt idx="155">
                  <c:v>1801</c:v>
                </c:pt>
                <c:pt idx="156">
                  <c:v>1801</c:v>
                </c:pt>
                <c:pt idx="157">
                  <c:v>1801</c:v>
                </c:pt>
                <c:pt idx="158">
                  <c:v>1801</c:v>
                </c:pt>
                <c:pt idx="159">
                  <c:v>1801</c:v>
                </c:pt>
                <c:pt idx="160">
                  <c:v>1801</c:v>
                </c:pt>
                <c:pt idx="161">
                  <c:v>1801</c:v>
                </c:pt>
                <c:pt idx="162">
                  <c:v>1801</c:v>
                </c:pt>
                <c:pt idx="163">
                  <c:v>1801</c:v>
                </c:pt>
                <c:pt idx="164">
                  <c:v>1801</c:v>
                </c:pt>
                <c:pt idx="165">
                  <c:v>1801</c:v>
                </c:pt>
                <c:pt idx="166">
                  <c:v>1801</c:v>
                </c:pt>
                <c:pt idx="167">
                  <c:v>1801</c:v>
                </c:pt>
                <c:pt idx="168">
                  <c:v>1761</c:v>
                </c:pt>
                <c:pt idx="169">
                  <c:v>1761</c:v>
                </c:pt>
                <c:pt idx="170">
                  <c:v>1761</c:v>
                </c:pt>
                <c:pt idx="171">
                  <c:v>1761</c:v>
                </c:pt>
                <c:pt idx="172">
                  <c:v>1761</c:v>
                </c:pt>
                <c:pt idx="173">
                  <c:v>1761</c:v>
                </c:pt>
                <c:pt idx="174">
                  <c:v>1761</c:v>
                </c:pt>
                <c:pt idx="175">
                  <c:v>1741</c:v>
                </c:pt>
                <c:pt idx="176">
                  <c:v>1741</c:v>
                </c:pt>
                <c:pt idx="177">
                  <c:v>1741</c:v>
                </c:pt>
                <c:pt idx="178">
                  <c:v>1741</c:v>
                </c:pt>
                <c:pt idx="179">
                  <c:v>1741</c:v>
                </c:pt>
                <c:pt idx="180">
                  <c:v>1741</c:v>
                </c:pt>
                <c:pt idx="181">
                  <c:v>1741</c:v>
                </c:pt>
                <c:pt idx="182">
                  <c:v>1741</c:v>
                </c:pt>
                <c:pt idx="183">
                  <c:v>1741</c:v>
                </c:pt>
                <c:pt idx="184">
                  <c:v>1741</c:v>
                </c:pt>
                <c:pt idx="185">
                  <c:v>1741</c:v>
                </c:pt>
                <c:pt idx="186">
                  <c:v>1741</c:v>
                </c:pt>
                <c:pt idx="187">
                  <c:v>1741</c:v>
                </c:pt>
                <c:pt idx="188">
                  <c:v>1741</c:v>
                </c:pt>
                <c:pt idx="189">
                  <c:v>1726</c:v>
                </c:pt>
                <c:pt idx="190">
                  <c:v>1726</c:v>
                </c:pt>
                <c:pt idx="191">
                  <c:v>1726</c:v>
                </c:pt>
                <c:pt idx="192">
                  <c:v>1726</c:v>
                </c:pt>
                <c:pt idx="193">
                  <c:v>1726</c:v>
                </c:pt>
                <c:pt idx="194">
                  <c:v>1726</c:v>
                </c:pt>
                <c:pt idx="195">
                  <c:v>1726</c:v>
                </c:pt>
                <c:pt idx="196">
                  <c:v>1651</c:v>
                </c:pt>
                <c:pt idx="197">
                  <c:v>1651</c:v>
                </c:pt>
                <c:pt idx="198">
                  <c:v>1651</c:v>
                </c:pt>
                <c:pt idx="199">
                  <c:v>1651</c:v>
                </c:pt>
                <c:pt idx="200">
                  <c:v>1651</c:v>
                </c:pt>
                <c:pt idx="201">
                  <c:v>1651</c:v>
                </c:pt>
                <c:pt idx="202">
                  <c:v>1651</c:v>
                </c:pt>
                <c:pt idx="203">
                  <c:v>1656</c:v>
                </c:pt>
                <c:pt idx="204">
                  <c:v>1656</c:v>
                </c:pt>
                <c:pt idx="205">
                  <c:v>1656</c:v>
                </c:pt>
                <c:pt idx="206">
                  <c:v>1656</c:v>
                </c:pt>
                <c:pt idx="207">
                  <c:v>1656</c:v>
                </c:pt>
                <c:pt idx="208">
                  <c:v>1656</c:v>
                </c:pt>
                <c:pt idx="209">
                  <c:v>1656</c:v>
                </c:pt>
                <c:pt idx="210">
                  <c:v>1656</c:v>
                </c:pt>
                <c:pt idx="211">
                  <c:v>1656</c:v>
                </c:pt>
                <c:pt idx="212">
                  <c:v>1656</c:v>
                </c:pt>
                <c:pt idx="213">
                  <c:v>1656</c:v>
                </c:pt>
                <c:pt idx="214">
                  <c:v>1656</c:v>
                </c:pt>
                <c:pt idx="215">
                  <c:v>1656</c:v>
                </c:pt>
                <c:pt idx="216">
                  <c:v>1656</c:v>
                </c:pt>
                <c:pt idx="217">
                  <c:v>1651</c:v>
                </c:pt>
                <c:pt idx="218">
                  <c:v>1651</c:v>
                </c:pt>
                <c:pt idx="219">
                  <c:v>1651</c:v>
                </c:pt>
                <c:pt idx="220">
                  <c:v>1651</c:v>
                </c:pt>
                <c:pt idx="221">
                  <c:v>1651</c:v>
                </c:pt>
                <c:pt idx="222">
                  <c:v>1651</c:v>
                </c:pt>
                <c:pt idx="223">
                  <c:v>1651</c:v>
                </c:pt>
                <c:pt idx="224">
                  <c:v>1646</c:v>
                </c:pt>
                <c:pt idx="225">
                  <c:v>1646</c:v>
                </c:pt>
                <c:pt idx="226">
                  <c:v>1646</c:v>
                </c:pt>
                <c:pt idx="227">
                  <c:v>1646</c:v>
                </c:pt>
                <c:pt idx="228">
                  <c:v>1646</c:v>
                </c:pt>
                <c:pt idx="229">
                  <c:v>1646</c:v>
                </c:pt>
                <c:pt idx="230">
                  <c:v>1646</c:v>
                </c:pt>
                <c:pt idx="231">
                  <c:v>1641</c:v>
                </c:pt>
                <c:pt idx="232">
                  <c:v>1641</c:v>
                </c:pt>
                <c:pt idx="233">
                  <c:v>1641</c:v>
                </c:pt>
                <c:pt idx="234">
                  <c:v>1641</c:v>
                </c:pt>
                <c:pt idx="235">
                  <c:v>1641</c:v>
                </c:pt>
                <c:pt idx="236">
                  <c:v>1641</c:v>
                </c:pt>
                <c:pt idx="237">
                  <c:v>1641</c:v>
                </c:pt>
                <c:pt idx="238">
                  <c:v>1501</c:v>
                </c:pt>
                <c:pt idx="239">
                  <c:v>1501</c:v>
                </c:pt>
                <c:pt idx="240">
                  <c:v>1501</c:v>
                </c:pt>
                <c:pt idx="241">
                  <c:v>1501</c:v>
                </c:pt>
                <c:pt idx="242">
                  <c:v>1501</c:v>
                </c:pt>
                <c:pt idx="243">
                  <c:v>1501</c:v>
                </c:pt>
                <c:pt idx="244">
                  <c:v>1501</c:v>
                </c:pt>
                <c:pt idx="245">
                  <c:v>1321</c:v>
                </c:pt>
                <c:pt idx="246">
                  <c:v>1321</c:v>
                </c:pt>
                <c:pt idx="247">
                  <c:v>1321</c:v>
                </c:pt>
                <c:pt idx="248">
                  <c:v>1321</c:v>
                </c:pt>
                <c:pt idx="249">
                  <c:v>1321</c:v>
                </c:pt>
                <c:pt idx="250">
                  <c:v>1321</c:v>
                </c:pt>
                <c:pt idx="251">
                  <c:v>1321</c:v>
                </c:pt>
                <c:pt idx="252">
                  <c:v>1341</c:v>
                </c:pt>
                <c:pt idx="253">
                  <c:v>1341</c:v>
                </c:pt>
                <c:pt idx="254">
                  <c:v>1341</c:v>
                </c:pt>
                <c:pt idx="255">
                  <c:v>1341</c:v>
                </c:pt>
                <c:pt idx="256">
                  <c:v>1341</c:v>
                </c:pt>
                <c:pt idx="257">
                  <c:v>1341</c:v>
                </c:pt>
                <c:pt idx="258">
                  <c:v>1341</c:v>
                </c:pt>
                <c:pt idx="259">
                  <c:v>1341</c:v>
                </c:pt>
                <c:pt idx="260">
                  <c:v>1341</c:v>
                </c:pt>
                <c:pt idx="261">
                  <c:v>1341</c:v>
                </c:pt>
                <c:pt idx="262">
                  <c:v>1341</c:v>
                </c:pt>
                <c:pt idx="263">
                  <c:v>1341</c:v>
                </c:pt>
                <c:pt idx="264">
                  <c:v>1341</c:v>
                </c:pt>
                <c:pt idx="265">
                  <c:v>1341</c:v>
                </c:pt>
                <c:pt idx="266">
                  <c:v>1341</c:v>
                </c:pt>
                <c:pt idx="267">
                  <c:v>1341</c:v>
                </c:pt>
                <c:pt idx="268">
                  <c:v>1341</c:v>
                </c:pt>
                <c:pt idx="269">
                  <c:v>1341</c:v>
                </c:pt>
                <c:pt idx="270">
                  <c:v>1341</c:v>
                </c:pt>
                <c:pt idx="271">
                  <c:v>1341</c:v>
                </c:pt>
                <c:pt idx="272">
                  <c:v>1341</c:v>
                </c:pt>
                <c:pt idx="273">
                  <c:v>1331</c:v>
                </c:pt>
                <c:pt idx="274">
                  <c:v>1331</c:v>
                </c:pt>
                <c:pt idx="275">
                  <c:v>1331</c:v>
                </c:pt>
                <c:pt idx="276">
                  <c:v>1331</c:v>
                </c:pt>
                <c:pt idx="277">
                  <c:v>1331</c:v>
                </c:pt>
                <c:pt idx="278">
                  <c:v>1331</c:v>
                </c:pt>
                <c:pt idx="279">
                  <c:v>1331</c:v>
                </c:pt>
                <c:pt idx="280">
                  <c:v>1331</c:v>
                </c:pt>
                <c:pt idx="281">
                  <c:v>1331</c:v>
                </c:pt>
                <c:pt idx="282">
                  <c:v>1331</c:v>
                </c:pt>
                <c:pt idx="283">
                  <c:v>1331</c:v>
                </c:pt>
                <c:pt idx="284">
                  <c:v>1331</c:v>
                </c:pt>
                <c:pt idx="285">
                  <c:v>1331</c:v>
                </c:pt>
                <c:pt idx="286">
                  <c:v>1331</c:v>
                </c:pt>
                <c:pt idx="287">
                  <c:v>1341</c:v>
                </c:pt>
                <c:pt idx="288">
                  <c:v>1341</c:v>
                </c:pt>
                <c:pt idx="289">
                  <c:v>1341</c:v>
                </c:pt>
                <c:pt idx="290">
                  <c:v>1341</c:v>
                </c:pt>
                <c:pt idx="291">
                  <c:v>1341</c:v>
                </c:pt>
                <c:pt idx="292">
                  <c:v>1341</c:v>
                </c:pt>
                <c:pt idx="293">
                  <c:v>1341</c:v>
                </c:pt>
                <c:pt idx="294">
                  <c:v>1341</c:v>
                </c:pt>
                <c:pt idx="295">
                  <c:v>1341</c:v>
                </c:pt>
                <c:pt idx="296">
                  <c:v>1341</c:v>
                </c:pt>
                <c:pt idx="297">
                  <c:v>1341</c:v>
                </c:pt>
                <c:pt idx="298">
                  <c:v>1341</c:v>
                </c:pt>
                <c:pt idx="299">
                  <c:v>1341</c:v>
                </c:pt>
                <c:pt idx="300">
                  <c:v>1341</c:v>
                </c:pt>
                <c:pt idx="301">
                  <c:v>1341</c:v>
                </c:pt>
                <c:pt idx="302">
                  <c:v>1341</c:v>
                </c:pt>
                <c:pt idx="303">
                  <c:v>1341</c:v>
                </c:pt>
                <c:pt idx="304">
                  <c:v>1341</c:v>
                </c:pt>
                <c:pt idx="305">
                  <c:v>1341</c:v>
                </c:pt>
                <c:pt idx="306">
                  <c:v>1341</c:v>
                </c:pt>
                <c:pt idx="307">
                  <c:v>1341</c:v>
                </c:pt>
                <c:pt idx="308">
                  <c:v>1341</c:v>
                </c:pt>
                <c:pt idx="309">
                  <c:v>1341</c:v>
                </c:pt>
                <c:pt idx="310">
                  <c:v>1341</c:v>
                </c:pt>
                <c:pt idx="311">
                  <c:v>1341</c:v>
                </c:pt>
                <c:pt idx="312">
                  <c:v>1341</c:v>
                </c:pt>
                <c:pt idx="313">
                  <c:v>1341</c:v>
                </c:pt>
                <c:pt idx="314">
                  <c:v>1341</c:v>
                </c:pt>
                <c:pt idx="315">
                  <c:v>1341</c:v>
                </c:pt>
                <c:pt idx="316">
                  <c:v>1341</c:v>
                </c:pt>
                <c:pt idx="317">
                  <c:v>1341</c:v>
                </c:pt>
                <c:pt idx="318">
                  <c:v>1341</c:v>
                </c:pt>
                <c:pt idx="319">
                  <c:v>1341</c:v>
                </c:pt>
                <c:pt idx="320">
                  <c:v>1341</c:v>
                </c:pt>
                <c:pt idx="321">
                  <c:v>1341</c:v>
                </c:pt>
                <c:pt idx="322">
                  <c:v>1341</c:v>
                </c:pt>
                <c:pt idx="323">
                  <c:v>1341</c:v>
                </c:pt>
              </c:numCache>
            </c:numRef>
          </c:val>
          <c:smooth val="0"/>
        </c:ser>
        <c:dLbls>
          <c:showLegendKey val="0"/>
          <c:showVal val="0"/>
          <c:showCatName val="0"/>
          <c:showSerName val="0"/>
          <c:showPercent val="0"/>
          <c:showBubbleSize val="0"/>
        </c:dLbls>
        <c:marker val="1"/>
        <c:smooth val="0"/>
        <c:axId val="264562944"/>
        <c:axId val="264581120"/>
      </c:lineChart>
      <c:dateAx>
        <c:axId val="264562944"/>
        <c:scaling>
          <c:orientation val="minMax"/>
          <c:max val="42328"/>
        </c:scaling>
        <c:delete val="0"/>
        <c:axPos val="b"/>
        <c:numFmt formatCode="m/d/yyyy" sourceLinked="1"/>
        <c:majorTickMark val="out"/>
        <c:minorTickMark val="none"/>
        <c:tickLblPos val="nextTo"/>
        <c:crossAx val="264581120"/>
        <c:crosses val="autoZero"/>
        <c:auto val="1"/>
        <c:lblOffset val="100"/>
        <c:baseTimeUnit val="days"/>
        <c:majorUnit val="1"/>
        <c:majorTimeUnit val="months"/>
        <c:minorUnit val="1"/>
        <c:minorTimeUnit val="months"/>
      </c:dateAx>
      <c:valAx>
        <c:axId val="264581120"/>
        <c:scaling>
          <c:orientation val="minMax"/>
          <c:min val="1200"/>
        </c:scaling>
        <c:delete val="0"/>
        <c:axPos val="l"/>
        <c:majorGridlines/>
        <c:numFmt formatCode="General" sourceLinked="1"/>
        <c:majorTickMark val="out"/>
        <c:minorTickMark val="none"/>
        <c:tickLblPos val="nextTo"/>
        <c:crossAx val="264562944"/>
        <c:crosses val="autoZero"/>
        <c:crossBetween val="between"/>
        <c:majorUnit val="100"/>
      </c:valAx>
    </c:plotArea>
    <c:legend>
      <c:legendPos val="b"/>
      <c:layout>
        <c:manualLayout>
          <c:xMode val="edge"/>
          <c:yMode val="edge"/>
          <c:x val="0.25016191540255855"/>
          <c:y val="0.87337503135189376"/>
          <c:w val="0.50450973280135403"/>
          <c:h val="0.1266251079282775"/>
        </c:manualLayout>
      </c:layout>
      <c:overlay val="0"/>
    </c:legend>
    <c:plotVisOnly val="1"/>
    <c:dispBlanksAs val="gap"/>
    <c:showDLblsOverMax val="0"/>
  </c:chart>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2299672700275023E-2"/>
          <c:y val="4.8219412312874556E-2"/>
          <c:w val="0.85926739237276617"/>
          <c:h val="0.66636264929424538"/>
        </c:manualLayout>
      </c:layout>
      <c:lineChart>
        <c:grouping val="standard"/>
        <c:varyColors val="0"/>
        <c:ser>
          <c:idx val="0"/>
          <c:order val="0"/>
          <c:tx>
            <c:strRef>
              <c:f>石化!$AQ$1</c:f>
              <c:strCache>
                <c:ptCount val="1"/>
                <c:pt idx="0">
                  <c:v>純對苯二甲酸PTA 台化 內銷 合約價(美元/公噸)</c:v>
                </c:pt>
              </c:strCache>
            </c:strRef>
          </c:tx>
          <c:spPr>
            <a:ln>
              <a:prstDash val="sysDash"/>
            </a:ln>
          </c:spPr>
          <c:marker>
            <c:symbol val="none"/>
          </c:marker>
          <c:cat>
            <c:numRef>
              <c:f>石化!$X$216:$X$539</c:f>
              <c:numCache>
                <c:formatCode>yyyy/m/d</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石化!$AQ$216:$AQ$539</c:f>
              <c:numCache>
                <c:formatCode>General</c:formatCode>
                <c:ptCount val="324"/>
                <c:pt idx="0">
                  <c:v>620</c:v>
                </c:pt>
                <c:pt idx="1">
                  <c:v>620</c:v>
                </c:pt>
                <c:pt idx="2">
                  <c:v>620</c:v>
                </c:pt>
                <c:pt idx="3">
                  <c:v>620</c:v>
                </c:pt>
                <c:pt idx="4">
                  <c:v>620</c:v>
                </c:pt>
                <c:pt idx="5">
                  <c:v>620</c:v>
                </c:pt>
                <c:pt idx="6">
                  <c:v>620</c:v>
                </c:pt>
                <c:pt idx="7">
                  <c:v>620</c:v>
                </c:pt>
                <c:pt idx="8">
                  <c:v>620</c:v>
                </c:pt>
                <c:pt idx="9">
                  <c:v>620</c:v>
                </c:pt>
                <c:pt idx="10">
                  <c:v>620</c:v>
                </c:pt>
                <c:pt idx="11">
                  <c:v>620</c:v>
                </c:pt>
                <c:pt idx="12">
                  <c:v>620</c:v>
                </c:pt>
                <c:pt idx="13">
                  <c:v>620</c:v>
                </c:pt>
                <c:pt idx="14">
                  <c:v>620</c:v>
                </c:pt>
                <c:pt idx="15">
                  <c:v>620</c:v>
                </c:pt>
                <c:pt idx="16">
                  <c:v>620</c:v>
                </c:pt>
                <c:pt idx="17">
                  <c:v>620</c:v>
                </c:pt>
                <c:pt idx="18">
                  <c:v>620</c:v>
                </c:pt>
                <c:pt idx="19">
                  <c:v>620</c:v>
                </c:pt>
                <c:pt idx="20">
                  <c:v>620</c:v>
                </c:pt>
                <c:pt idx="21">
                  <c:v>620</c:v>
                </c:pt>
                <c:pt idx="22">
                  <c:v>620</c:v>
                </c:pt>
                <c:pt idx="23">
                  <c:v>620</c:v>
                </c:pt>
                <c:pt idx="24">
                  <c:v>620</c:v>
                </c:pt>
                <c:pt idx="25">
                  <c:v>620</c:v>
                </c:pt>
                <c:pt idx="26">
                  <c:v>620</c:v>
                </c:pt>
                <c:pt idx="27">
                  <c:v>620</c:v>
                </c:pt>
                <c:pt idx="28">
                  <c:v>620</c:v>
                </c:pt>
                <c:pt idx="29">
                  <c:v>620</c:v>
                </c:pt>
                <c:pt idx="30">
                  <c:v>620</c:v>
                </c:pt>
                <c:pt idx="31">
                  <c:v>625</c:v>
                </c:pt>
                <c:pt idx="32">
                  <c:v>625</c:v>
                </c:pt>
                <c:pt idx="33">
                  <c:v>625</c:v>
                </c:pt>
                <c:pt idx="34">
                  <c:v>625</c:v>
                </c:pt>
                <c:pt idx="35">
                  <c:v>625</c:v>
                </c:pt>
                <c:pt idx="36">
                  <c:v>625</c:v>
                </c:pt>
                <c:pt idx="37">
                  <c:v>625</c:v>
                </c:pt>
                <c:pt idx="38">
                  <c:v>625</c:v>
                </c:pt>
                <c:pt idx="39">
                  <c:v>625</c:v>
                </c:pt>
                <c:pt idx="40">
                  <c:v>625</c:v>
                </c:pt>
                <c:pt idx="41">
                  <c:v>625</c:v>
                </c:pt>
                <c:pt idx="42">
                  <c:v>625</c:v>
                </c:pt>
                <c:pt idx="43">
                  <c:v>625</c:v>
                </c:pt>
                <c:pt idx="44">
                  <c:v>625</c:v>
                </c:pt>
                <c:pt idx="45">
                  <c:v>625</c:v>
                </c:pt>
                <c:pt idx="46">
                  <c:v>625</c:v>
                </c:pt>
                <c:pt idx="47">
                  <c:v>625</c:v>
                </c:pt>
                <c:pt idx="48">
                  <c:v>625</c:v>
                </c:pt>
                <c:pt idx="49">
                  <c:v>625</c:v>
                </c:pt>
                <c:pt idx="50">
                  <c:v>625</c:v>
                </c:pt>
                <c:pt idx="51">
                  <c:v>625</c:v>
                </c:pt>
                <c:pt idx="52">
                  <c:v>625</c:v>
                </c:pt>
                <c:pt idx="53">
                  <c:v>625</c:v>
                </c:pt>
                <c:pt idx="54">
                  <c:v>625</c:v>
                </c:pt>
                <c:pt idx="55">
                  <c:v>625</c:v>
                </c:pt>
                <c:pt idx="56">
                  <c:v>625</c:v>
                </c:pt>
                <c:pt idx="57">
                  <c:v>625</c:v>
                </c:pt>
                <c:pt idx="58">
                  <c:v>625</c:v>
                </c:pt>
                <c:pt idx="59">
                  <c:v>625</c:v>
                </c:pt>
                <c:pt idx="60">
                  <c:v>625</c:v>
                </c:pt>
                <c:pt idx="61">
                  <c:v>625</c:v>
                </c:pt>
                <c:pt idx="62">
                  <c:v>625</c:v>
                </c:pt>
                <c:pt idx="63">
                  <c:v>625</c:v>
                </c:pt>
                <c:pt idx="64">
                  <c:v>625</c:v>
                </c:pt>
                <c:pt idx="65">
                  <c:v>625</c:v>
                </c:pt>
                <c:pt idx="66">
                  <c:v>625</c:v>
                </c:pt>
                <c:pt idx="67">
                  <c:v>625</c:v>
                </c:pt>
                <c:pt idx="68">
                  <c:v>625</c:v>
                </c:pt>
                <c:pt idx="69">
                  <c:v>625</c:v>
                </c:pt>
                <c:pt idx="70">
                  <c:v>625</c:v>
                </c:pt>
                <c:pt idx="71">
                  <c:v>625</c:v>
                </c:pt>
                <c:pt idx="72">
                  <c:v>625</c:v>
                </c:pt>
                <c:pt idx="73">
                  <c:v>625</c:v>
                </c:pt>
                <c:pt idx="74">
                  <c:v>625</c:v>
                </c:pt>
                <c:pt idx="75">
                  <c:v>625</c:v>
                </c:pt>
                <c:pt idx="76">
                  <c:v>625</c:v>
                </c:pt>
                <c:pt idx="77">
                  <c:v>625</c:v>
                </c:pt>
                <c:pt idx="78">
                  <c:v>625</c:v>
                </c:pt>
                <c:pt idx="79">
                  <c:v>625</c:v>
                </c:pt>
                <c:pt idx="80">
                  <c:v>625</c:v>
                </c:pt>
                <c:pt idx="81">
                  <c:v>625</c:v>
                </c:pt>
                <c:pt idx="82">
                  <c:v>625</c:v>
                </c:pt>
                <c:pt idx="83">
                  <c:v>625</c:v>
                </c:pt>
                <c:pt idx="84">
                  <c:v>625</c:v>
                </c:pt>
                <c:pt idx="85">
                  <c:v>625</c:v>
                </c:pt>
                <c:pt idx="86">
                  <c:v>625</c:v>
                </c:pt>
                <c:pt idx="87">
                  <c:v>625</c:v>
                </c:pt>
                <c:pt idx="88">
                  <c:v>670</c:v>
                </c:pt>
                <c:pt idx="89">
                  <c:v>670</c:v>
                </c:pt>
                <c:pt idx="90">
                  <c:v>720</c:v>
                </c:pt>
                <c:pt idx="91">
                  <c:v>720</c:v>
                </c:pt>
                <c:pt idx="92">
                  <c:v>720</c:v>
                </c:pt>
                <c:pt idx="93">
                  <c:v>720</c:v>
                </c:pt>
                <c:pt idx="94">
                  <c:v>720</c:v>
                </c:pt>
                <c:pt idx="95">
                  <c:v>720</c:v>
                </c:pt>
                <c:pt idx="96">
                  <c:v>720</c:v>
                </c:pt>
                <c:pt idx="97">
                  <c:v>720</c:v>
                </c:pt>
                <c:pt idx="98">
                  <c:v>720</c:v>
                </c:pt>
                <c:pt idx="99">
                  <c:v>720</c:v>
                </c:pt>
                <c:pt idx="100">
                  <c:v>720</c:v>
                </c:pt>
                <c:pt idx="101">
                  <c:v>720</c:v>
                </c:pt>
                <c:pt idx="102">
                  <c:v>720</c:v>
                </c:pt>
                <c:pt idx="103">
                  <c:v>720</c:v>
                </c:pt>
                <c:pt idx="104">
                  <c:v>720</c:v>
                </c:pt>
                <c:pt idx="105">
                  <c:v>720</c:v>
                </c:pt>
                <c:pt idx="106">
                  <c:v>720</c:v>
                </c:pt>
                <c:pt idx="107">
                  <c:v>720</c:v>
                </c:pt>
                <c:pt idx="108">
                  <c:v>720</c:v>
                </c:pt>
                <c:pt idx="109">
                  <c:v>720</c:v>
                </c:pt>
                <c:pt idx="110">
                  <c:v>720</c:v>
                </c:pt>
                <c:pt idx="111">
                  <c:v>720</c:v>
                </c:pt>
                <c:pt idx="112">
                  <c:v>720</c:v>
                </c:pt>
                <c:pt idx="113">
                  <c:v>720</c:v>
                </c:pt>
                <c:pt idx="114">
                  <c:v>720</c:v>
                </c:pt>
                <c:pt idx="115">
                  <c:v>720</c:v>
                </c:pt>
                <c:pt idx="116">
                  <c:v>720</c:v>
                </c:pt>
                <c:pt idx="117">
                  <c:v>720</c:v>
                </c:pt>
                <c:pt idx="118">
                  <c:v>720</c:v>
                </c:pt>
                <c:pt idx="119">
                  <c:v>720</c:v>
                </c:pt>
                <c:pt idx="120">
                  <c:v>740</c:v>
                </c:pt>
                <c:pt idx="121">
                  <c:v>740</c:v>
                </c:pt>
                <c:pt idx="122">
                  <c:v>740</c:v>
                </c:pt>
                <c:pt idx="123">
                  <c:v>740</c:v>
                </c:pt>
                <c:pt idx="124">
                  <c:v>740</c:v>
                </c:pt>
                <c:pt idx="125">
                  <c:v>740</c:v>
                </c:pt>
                <c:pt idx="126">
                  <c:v>740</c:v>
                </c:pt>
                <c:pt idx="127">
                  <c:v>740</c:v>
                </c:pt>
                <c:pt idx="128">
                  <c:v>740</c:v>
                </c:pt>
                <c:pt idx="129">
                  <c:v>740</c:v>
                </c:pt>
                <c:pt idx="130">
                  <c:v>740</c:v>
                </c:pt>
                <c:pt idx="131">
                  <c:v>740</c:v>
                </c:pt>
                <c:pt idx="132">
                  <c:v>740</c:v>
                </c:pt>
                <c:pt idx="133">
                  <c:v>740</c:v>
                </c:pt>
                <c:pt idx="134">
                  <c:v>740</c:v>
                </c:pt>
                <c:pt idx="135">
                  <c:v>740</c:v>
                </c:pt>
                <c:pt idx="136">
                  <c:v>740</c:v>
                </c:pt>
                <c:pt idx="137">
                  <c:v>740</c:v>
                </c:pt>
                <c:pt idx="138">
                  <c:v>740</c:v>
                </c:pt>
                <c:pt idx="139">
                  <c:v>740</c:v>
                </c:pt>
                <c:pt idx="140">
                  <c:v>740</c:v>
                </c:pt>
                <c:pt idx="141">
                  <c:v>740</c:v>
                </c:pt>
                <c:pt idx="142">
                  <c:v>740</c:v>
                </c:pt>
                <c:pt idx="143">
                  <c:v>740</c:v>
                </c:pt>
                <c:pt idx="144">
                  <c:v>740</c:v>
                </c:pt>
                <c:pt idx="145">
                  <c:v>740</c:v>
                </c:pt>
                <c:pt idx="146">
                  <c:v>740</c:v>
                </c:pt>
                <c:pt idx="147">
                  <c:v>740</c:v>
                </c:pt>
                <c:pt idx="148">
                  <c:v>740</c:v>
                </c:pt>
                <c:pt idx="149">
                  <c:v>740</c:v>
                </c:pt>
                <c:pt idx="150">
                  <c:v>740</c:v>
                </c:pt>
                <c:pt idx="151">
                  <c:v>735</c:v>
                </c:pt>
                <c:pt idx="152">
                  <c:v>735</c:v>
                </c:pt>
                <c:pt idx="153">
                  <c:v>735</c:v>
                </c:pt>
                <c:pt idx="154">
                  <c:v>735</c:v>
                </c:pt>
                <c:pt idx="155">
                  <c:v>735</c:v>
                </c:pt>
                <c:pt idx="156">
                  <c:v>735</c:v>
                </c:pt>
                <c:pt idx="157">
                  <c:v>735</c:v>
                </c:pt>
                <c:pt idx="158">
                  <c:v>735</c:v>
                </c:pt>
                <c:pt idx="159">
                  <c:v>735</c:v>
                </c:pt>
                <c:pt idx="160">
                  <c:v>735</c:v>
                </c:pt>
                <c:pt idx="161">
                  <c:v>735</c:v>
                </c:pt>
                <c:pt idx="162">
                  <c:v>735</c:v>
                </c:pt>
                <c:pt idx="163">
                  <c:v>735</c:v>
                </c:pt>
                <c:pt idx="164">
                  <c:v>735</c:v>
                </c:pt>
                <c:pt idx="165">
                  <c:v>735</c:v>
                </c:pt>
                <c:pt idx="166">
                  <c:v>735</c:v>
                </c:pt>
                <c:pt idx="167">
                  <c:v>735</c:v>
                </c:pt>
                <c:pt idx="168">
                  <c:v>735</c:v>
                </c:pt>
                <c:pt idx="169">
                  <c:v>735</c:v>
                </c:pt>
                <c:pt idx="170">
                  <c:v>735</c:v>
                </c:pt>
                <c:pt idx="171">
                  <c:v>735</c:v>
                </c:pt>
                <c:pt idx="172">
                  <c:v>735</c:v>
                </c:pt>
                <c:pt idx="173">
                  <c:v>735</c:v>
                </c:pt>
                <c:pt idx="174">
                  <c:v>735</c:v>
                </c:pt>
                <c:pt idx="175">
                  <c:v>735</c:v>
                </c:pt>
                <c:pt idx="176">
                  <c:v>735</c:v>
                </c:pt>
                <c:pt idx="177">
                  <c:v>735</c:v>
                </c:pt>
                <c:pt idx="178">
                  <c:v>735</c:v>
                </c:pt>
                <c:pt idx="179">
                  <c:v>735</c:v>
                </c:pt>
                <c:pt idx="180">
                  <c:v>735</c:v>
                </c:pt>
                <c:pt idx="181">
                  <c:v>690</c:v>
                </c:pt>
                <c:pt idx="182">
                  <c:v>690</c:v>
                </c:pt>
                <c:pt idx="183">
                  <c:v>690</c:v>
                </c:pt>
                <c:pt idx="184">
                  <c:v>690</c:v>
                </c:pt>
                <c:pt idx="185">
                  <c:v>690</c:v>
                </c:pt>
                <c:pt idx="186">
                  <c:v>690</c:v>
                </c:pt>
                <c:pt idx="187">
                  <c:v>690</c:v>
                </c:pt>
                <c:pt idx="188">
                  <c:v>690</c:v>
                </c:pt>
                <c:pt idx="189">
                  <c:v>690</c:v>
                </c:pt>
                <c:pt idx="190">
                  <c:v>690</c:v>
                </c:pt>
                <c:pt idx="191">
                  <c:v>690</c:v>
                </c:pt>
                <c:pt idx="192">
                  <c:v>690</c:v>
                </c:pt>
                <c:pt idx="193">
                  <c:v>690</c:v>
                </c:pt>
                <c:pt idx="194">
                  <c:v>690</c:v>
                </c:pt>
                <c:pt idx="195">
                  <c:v>690</c:v>
                </c:pt>
                <c:pt idx="196">
                  <c:v>690</c:v>
                </c:pt>
                <c:pt idx="197">
                  <c:v>690</c:v>
                </c:pt>
                <c:pt idx="198">
                  <c:v>690</c:v>
                </c:pt>
                <c:pt idx="199">
                  <c:v>690</c:v>
                </c:pt>
                <c:pt idx="200">
                  <c:v>690</c:v>
                </c:pt>
                <c:pt idx="201">
                  <c:v>690</c:v>
                </c:pt>
                <c:pt idx="202">
                  <c:v>690</c:v>
                </c:pt>
                <c:pt idx="203">
                  <c:v>690</c:v>
                </c:pt>
                <c:pt idx="204">
                  <c:v>690</c:v>
                </c:pt>
                <c:pt idx="205">
                  <c:v>690</c:v>
                </c:pt>
                <c:pt idx="206">
                  <c:v>690</c:v>
                </c:pt>
                <c:pt idx="207">
                  <c:v>690</c:v>
                </c:pt>
                <c:pt idx="208">
                  <c:v>690</c:v>
                </c:pt>
                <c:pt idx="209">
                  <c:v>690</c:v>
                </c:pt>
                <c:pt idx="210">
                  <c:v>690</c:v>
                </c:pt>
                <c:pt idx="211">
                  <c:v>690</c:v>
                </c:pt>
                <c:pt idx="212">
                  <c:v>635</c:v>
                </c:pt>
                <c:pt idx="213">
                  <c:v>635</c:v>
                </c:pt>
                <c:pt idx="214">
                  <c:v>635</c:v>
                </c:pt>
                <c:pt idx="215">
                  <c:v>635</c:v>
                </c:pt>
                <c:pt idx="216">
                  <c:v>635</c:v>
                </c:pt>
                <c:pt idx="217">
                  <c:v>635</c:v>
                </c:pt>
                <c:pt idx="218">
                  <c:v>635</c:v>
                </c:pt>
                <c:pt idx="219">
                  <c:v>635</c:v>
                </c:pt>
                <c:pt idx="220">
                  <c:v>635</c:v>
                </c:pt>
                <c:pt idx="221">
                  <c:v>635</c:v>
                </c:pt>
                <c:pt idx="222">
                  <c:v>635</c:v>
                </c:pt>
                <c:pt idx="223">
                  <c:v>635</c:v>
                </c:pt>
                <c:pt idx="224">
                  <c:v>635</c:v>
                </c:pt>
                <c:pt idx="225">
                  <c:v>635</c:v>
                </c:pt>
                <c:pt idx="226">
                  <c:v>635</c:v>
                </c:pt>
                <c:pt idx="227">
                  <c:v>635</c:v>
                </c:pt>
                <c:pt idx="228">
                  <c:v>635</c:v>
                </c:pt>
                <c:pt idx="229">
                  <c:v>635</c:v>
                </c:pt>
                <c:pt idx="230">
                  <c:v>635</c:v>
                </c:pt>
                <c:pt idx="231">
                  <c:v>635</c:v>
                </c:pt>
                <c:pt idx="232">
                  <c:v>635</c:v>
                </c:pt>
                <c:pt idx="233">
                  <c:v>635</c:v>
                </c:pt>
                <c:pt idx="234">
                  <c:v>635</c:v>
                </c:pt>
                <c:pt idx="235">
                  <c:v>635</c:v>
                </c:pt>
                <c:pt idx="236">
                  <c:v>635</c:v>
                </c:pt>
                <c:pt idx="237">
                  <c:v>635</c:v>
                </c:pt>
                <c:pt idx="238">
                  <c:v>635</c:v>
                </c:pt>
                <c:pt idx="239">
                  <c:v>635</c:v>
                </c:pt>
                <c:pt idx="240">
                  <c:v>635</c:v>
                </c:pt>
                <c:pt idx="241">
                  <c:v>635</c:v>
                </c:pt>
                <c:pt idx="242">
                  <c:v>635</c:v>
                </c:pt>
                <c:pt idx="243">
                  <c:v>628</c:v>
                </c:pt>
                <c:pt idx="244">
                  <c:v>628</c:v>
                </c:pt>
                <c:pt idx="245">
                  <c:v>628</c:v>
                </c:pt>
                <c:pt idx="246">
                  <c:v>628</c:v>
                </c:pt>
                <c:pt idx="247">
                  <c:v>628</c:v>
                </c:pt>
                <c:pt idx="248">
                  <c:v>628</c:v>
                </c:pt>
                <c:pt idx="249">
                  <c:v>628</c:v>
                </c:pt>
                <c:pt idx="250">
                  <c:v>628</c:v>
                </c:pt>
                <c:pt idx="251">
                  <c:v>628</c:v>
                </c:pt>
                <c:pt idx="252">
                  <c:v>628</c:v>
                </c:pt>
                <c:pt idx="253">
                  <c:v>628</c:v>
                </c:pt>
                <c:pt idx="254">
                  <c:v>628</c:v>
                </c:pt>
                <c:pt idx="255">
                  <c:v>628</c:v>
                </c:pt>
                <c:pt idx="256">
                  <c:v>628</c:v>
                </c:pt>
                <c:pt idx="257">
                  <c:v>628</c:v>
                </c:pt>
                <c:pt idx="258">
                  <c:v>628</c:v>
                </c:pt>
                <c:pt idx="259">
                  <c:v>628</c:v>
                </c:pt>
                <c:pt idx="260">
                  <c:v>628</c:v>
                </c:pt>
                <c:pt idx="261">
                  <c:v>628</c:v>
                </c:pt>
                <c:pt idx="262">
                  <c:v>628</c:v>
                </c:pt>
                <c:pt idx="263">
                  <c:v>628</c:v>
                </c:pt>
                <c:pt idx="264">
                  <c:v>628</c:v>
                </c:pt>
                <c:pt idx="265">
                  <c:v>628</c:v>
                </c:pt>
                <c:pt idx="266">
                  <c:v>628</c:v>
                </c:pt>
                <c:pt idx="267">
                  <c:v>628</c:v>
                </c:pt>
                <c:pt idx="268">
                  <c:v>628</c:v>
                </c:pt>
                <c:pt idx="269">
                  <c:v>628</c:v>
                </c:pt>
                <c:pt idx="270">
                  <c:v>628</c:v>
                </c:pt>
                <c:pt idx="271">
                  <c:v>628</c:v>
                </c:pt>
                <c:pt idx="272">
                  <c:v>628</c:v>
                </c:pt>
                <c:pt idx="273">
                  <c:v>642</c:v>
                </c:pt>
                <c:pt idx="274">
                  <c:v>642</c:v>
                </c:pt>
                <c:pt idx="275">
                  <c:v>642</c:v>
                </c:pt>
                <c:pt idx="276">
                  <c:v>642</c:v>
                </c:pt>
                <c:pt idx="277">
                  <c:v>642</c:v>
                </c:pt>
                <c:pt idx="278">
                  <c:v>642</c:v>
                </c:pt>
                <c:pt idx="279">
                  <c:v>642</c:v>
                </c:pt>
                <c:pt idx="280">
                  <c:v>642</c:v>
                </c:pt>
                <c:pt idx="281">
                  <c:v>642</c:v>
                </c:pt>
                <c:pt idx="282">
                  <c:v>642</c:v>
                </c:pt>
                <c:pt idx="283">
                  <c:v>642</c:v>
                </c:pt>
                <c:pt idx="284">
                  <c:v>642</c:v>
                </c:pt>
                <c:pt idx="285">
                  <c:v>642</c:v>
                </c:pt>
                <c:pt idx="286">
                  <c:v>642</c:v>
                </c:pt>
                <c:pt idx="287">
                  <c:v>642</c:v>
                </c:pt>
                <c:pt idx="288">
                  <c:v>642</c:v>
                </c:pt>
                <c:pt idx="289">
                  <c:v>642</c:v>
                </c:pt>
                <c:pt idx="290">
                  <c:v>642</c:v>
                </c:pt>
                <c:pt idx="291">
                  <c:v>642</c:v>
                </c:pt>
                <c:pt idx="292">
                  <c:v>642</c:v>
                </c:pt>
                <c:pt idx="293">
                  <c:v>642</c:v>
                </c:pt>
                <c:pt idx="294">
                  <c:v>642</c:v>
                </c:pt>
                <c:pt idx="295">
                  <c:v>642</c:v>
                </c:pt>
                <c:pt idx="296">
                  <c:v>642</c:v>
                </c:pt>
                <c:pt idx="297">
                  <c:v>642</c:v>
                </c:pt>
                <c:pt idx="298">
                  <c:v>642</c:v>
                </c:pt>
                <c:pt idx="299">
                  <c:v>642</c:v>
                </c:pt>
                <c:pt idx="300">
                  <c:v>642</c:v>
                </c:pt>
                <c:pt idx="301">
                  <c:v>642</c:v>
                </c:pt>
                <c:pt idx="302">
                  <c:v>642</c:v>
                </c:pt>
                <c:pt idx="303">
                  <c:v>642</c:v>
                </c:pt>
                <c:pt idx="304">
                  <c:v>642</c:v>
                </c:pt>
                <c:pt idx="305">
                  <c:v>642</c:v>
                </c:pt>
                <c:pt idx="306">
                  <c:v>642</c:v>
                </c:pt>
                <c:pt idx="307">
                  <c:v>642</c:v>
                </c:pt>
                <c:pt idx="308">
                  <c:v>642</c:v>
                </c:pt>
                <c:pt idx="309">
                  <c:v>642</c:v>
                </c:pt>
                <c:pt idx="310">
                  <c:v>642</c:v>
                </c:pt>
                <c:pt idx="311">
                  <c:v>642</c:v>
                </c:pt>
                <c:pt idx="312">
                  <c:v>642</c:v>
                </c:pt>
                <c:pt idx="313">
                  <c:v>642</c:v>
                </c:pt>
                <c:pt idx="314">
                  <c:v>642</c:v>
                </c:pt>
                <c:pt idx="315">
                  <c:v>642</c:v>
                </c:pt>
                <c:pt idx="316">
                  <c:v>642</c:v>
                </c:pt>
                <c:pt idx="317">
                  <c:v>642</c:v>
                </c:pt>
                <c:pt idx="318">
                  <c:v>642</c:v>
                </c:pt>
                <c:pt idx="319">
                  <c:v>642</c:v>
                </c:pt>
                <c:pt idx="320">
                  <c:v>642</c:v>
                </c:pt>
                <c:pt idx="321">
                  <c:v>642</c:v>
                </c:pt>
                <c:pt idx="322">
                  <c:v>642</c:v>
                </c:pt>
                <c:pt idx="323">
                  <c:v>642</c:v>
                </c:pt>
              </c:numCache>
            </c:numRef>
          </c:val>
          <c:smooth val="0"/>
        </c:ser>
        <c:ser>
          <c:idx val="1"/>
          <c:order val="1"/>
          <c:tx>
            <c:strRef>
              <c:f>石化!$AR$1</c:f>
              <c:strCache>
                <c:ptCount val="1"/>
                <c:pt idx="0">
                  <c:v>純對苯二甲酸PTA 遠東區 CFR(美元/公噸)</c:v>
                </c:pt>
              </c:strCache>
            </c:strRef>
          </c:tx>
          <c:marker>
            <c:symbol val="none"/>
          </c:marker>
          <c:cat>
            <c:numRef>
              <c:f>石化!$X$216:$X$539</c:f>
              <c:numCache>
                <c:formatCode>yyyy/m/d</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石化!$AR$216:$AR$539</c:f>
              <c:numCache>
                <c:formatCode>General</c:formatCode>
                <c:ptCount val="324"/>
                <c:pt idx="0">
                  <c:v>626</c:v>
                </c:pt>
                <c:pt idx="1">
                  <c:v>626</c:v>
                </c:pt>
                <c:pt idx="2">
                  <c:v>626</c:v>
                </c:pt>
                <c:pt idx="3">
                  <c:v>626</c:v>
                </c:pt>
                <c:pt idx="4">
                  <c:v>626</c:v>
                </c:pt>
                <c:pt idx="5">
                  <c:v>626</c:v>
                </c:pt>
                <c:pt idx="6">
                  <c:v>626</c:v>
                </c:pt>
                <c:pt idx="7">
                  <c:v>581</c:v>
                </c:pt>
                <c:pt idx="8">
                  <c:v>581</c:v>
                </c:pt>
                <c:pt idx="9">
                  <c:v>581</c:v>
                </c:pt>
                <c:pt idx="10">
                  <c:v>581</c:v>
                </c:pt>
                <c:pt idx="11">
                  <c:v>581</c:v>
                </c:pt>
                <c:pt idx="12">
                  <c:v>581</c:v>
                </c:pt>
                <c:pt idx="13">
                  <c:v>581</c:v>
                </c:pt>
                <c:pt idx="14">
                  <c:v>564</c:v>
                </c:pt>
                <c:pt idx="15">
                  <c:v>564</c:v>
                </c:pt>
                <c:pt idx="16">
                  <c:v>564</c:v>
                </c:pt>
                <c:pt idx="17">
                  <c:v>564</c:v>
                </c:pt>
                <c:pt idx="18">
                  <c:v>564</c:v>
                </c:pt>
                <c:pt idx="19">
                  <c:v>564</c:v>
                </c:pt>
                <c:pt idx="20">
                  <c:v>564</c:v>
                </c:pt>
                <c:pt idx="21">
                  <c:v>581</c:v>
                </c:pt>
                <c:pt idx="22">
                  <c:v>581</c:v>
                </c:pt>
                <c:pt idx="23">
                  <c:v>581</c:v>
                </c:pt>
                <c:pt idx="24">
                  <c:v>581</c:v>
                </c:pt>
                <c:pt idx="25">
                  <c:v>581</c:v>
                </c:pt>
                <c:pt idx="26">
                  <c:v>581</c:v>
                </c:pt>
                <c:pt idx="27">
                  <c:v>581</c:v>
                </c:pt>
                <c:pt idx="28">
                  <c:v>574</c:v>
                </c:pt>
                <c:pt idx="29">
                  <c:v>574</c:v>
                </c:pt>
                <c:pt idx="30">
                  <c:v>574</c:v>
                </c:pt>
                <c:pt idx="31">
                  <c:v>574</c:v>
                </c:pt>
                <c:pt idx="32">
                  <c:v>574</c:v>
                </c:pt>
                <c:pt idx="33">
                  <c:v>574</c:v>
                </c:pt>
                <c:pt idx="34">
                  <c:v>574</c:v>
                </c:pt>
                <c:pt idx="35">
                  <c:v>591</c:v>
                </c:pt>
                <c:pt idx="36">
                  <c:v>591</c:v>
                </c:pt>
                <c:pt idx="37">
                  <c:v>591</c:v>
                </c:pt>
                <c:pt idx="38">
                  <c:v>591</c:v>
                </c:pt>
                <c:pt idx="39">
                  <c:v>591</c:v>
                </c:pt>
                <c:pt idx="40">
                  <c:v>591</c:v>
                </c:pt>
                <c:pt idx="41">
                  <c:v>591</c:v>
                </c:pt>
                <c:pt idx="42">
                  <c:v>593</c:v>
                </c:pt>
                <c:pt idx="43">
                  <c:v>593</c:v>
                </c:pt>
                <c:pt idx="44">
                  <c:v>593</c:v>
                </c:pt>
                <c:pt idx="45">
                  <c:v>593</c:v>
                </c:pt>
                <c:pt idx="46">
                  <c:v>593</c:v>
                </c:pt>
                <c:pt idx="47">
                  <c:v>593</c:v>
                </c:pt>
                <c:pt idx="48">
                  <c:v>593</c:v>
                </c:pt>
                <c:pt idx="49">
                  <c:v>601</c:v>
                </c:pt>
                <c:pt idx="50">
                  <c:v>601</c:v>
                </c:pt>
                <c:pt idx="51">
                  <c:v>601</c:v>
                </c:pt>
                <c:pt idx="52">
                  <c:v>601</c:v>
                </c:pt>
                <c:pt idx="53">
                  <c:v>601</c:v>
                </c:pt>
                <c:pt idx="54">
                  <c:v>601</c:v>
                </c:pt>
                <c:pt idx="55">
                  <c:v>601</c:v>
                </c:pt>
                <c:pt idx="56">
                  <c:v>603</c:v>
                </c:pt>
                <c:pt idx="57">
                  <c:v>603</c:v>
                </c:pt>
                <c:pt idx="58">
                  <c:v>603</c:v>
                </c:pt>
                <c:pt idx="59">
                  <c:v>603</c:v>
                </c:pt>
                <c:pt idx="60">
                  <c:v>603</c:v>
                </c:pt>
                <c:pt idx="61">
                  <c:v>603</c:v>
                </c:pt>
                <c:pt idx="62">
                  <c:v>603</c:v>
                </c:pt>
                <c:pt idx="63">
                  <c:v>641</c:v>
                </c:pt>
                <c:pt idx="64">
                  <c:v>641</c:v>
                </c:pt>
                <c:pt idx="65">
                  <c:v>641</c:v>
                </c:pt>
                <c:pt idx="66">
                  <c:v>641</c:v>
                </c:pt>
                <c:pt idx="67">
                  <c:v>641</c:v>
                </c:pt>
                <c:pt idx="68">
                  <c:v>641</c:v>
                </c:pt>
                <c:pt idx="69">
                  <c:v>641</c:v>
                </c:pt>
                <c:pt idx="70">
                  <c:v>631</c:v>
                </c:pt>
                <c:pt idx="71">
                  <c:v>631</c:v>
                </c:pt>
                <c:pt idx="72">
                  <c:v>631</c:v>
                </c:pt>
                <c:pt idx="73">
                  <c:v>631</c:v>
                </c:pt>
                <c:pt idx="74">
                  <c:v>631</c:v>
                </c:pt>
                <c:pt idx="75">
                  <c:v>631</c:v>
                </c:pt>
                <c:pt idx="76">
                  <c:v>631</c:v>
                </c:pt>
                <c:pt idx="77">
                  <c:v>622.6</c:v>
                </c:pt>
                <c:pt idx="78">
                  <c:v>622.6</c:v>
                </c:pt>
                <c:pt idx="79">
                  <c:v>622.6</c:v>
                </c:pt>
                <c:pt idx="80">
                  <c:v>622.6</c:v>
                </c:pt>
                <c:pt idx="81">
                  <c:v>622.6</c:v>
                </c:pt>
                <c:pt idx="82">
                  <c:v>622.6</c:v>
                </c:pt>
                <c:pt idx="83">
                  <c:v>622.6</c:v>
                </c:pt>
                <c:pt idx="84">
                  <c:v>601</c:v>
                </c:pt>
                <c:pt idx="85">
                  <c:v>601</c:v>
                </c:pt>
                <c:pt idx="86">
                  <c:v>601</c:v>
                </c:pt>
                <c:pt idx="87">
                  <c:v>601</c:v>
                </c:pt>
                <c:pt idx="88">
                  <c:v>601</c:v>
                </c:pt>
                <c:pt idx="89">
                  <c:v>601</c:v>
                </c:pt>
                <c:pt idx="90">
                  <c:v>601</c:v>
                </c:pt>
                <c:pt idx="91">
                  <c:v>601</c:v>
                </c:pt>
                <c:pt idx="92">
                  <c:v>601</c:v>
                </c:pt>
                <c:pt idx="93">
                  <c:v>601</c:v>
                </c:pt>
                <c:pt idx="94">
                  <c:v>601</c:v>
                </c:pt>
                <c:pt idx="95">
                  <c:v>601</c:v>
                </c:pt>
                <c:pt idx="96">
                  <c:v>601</c:v>
                </c:pt>
                <c:pt idx="97">
                  <c:v>601</c:v>
                </c:pt>
                <c:pt idx="98">
                  <c:v>645</c:v>
                </c:pt>
                <c:pt idx="99">
                  <c:v>645</c:v>
                </c:pt>
                <c:pt idx="100">
                  <c:v>645</c:v>
                </c:pt>
                <c:pt idx="101">
                  <c:v>645</c:v>
                </c:pt>
                <c:pt idx="102">
                  <c:v>645</c:v>
                </c:pt>
                <c:pt idx="103">
                  <c:v>645</c:v>
                </c:pt>
                <c:pt idx="104">
                  <c:v>645</c:v>
                </c:pt>
                <c:pt idx="105">
                  <c:v>711</c:v>
                </c:pt>
                <c:pt idx="106">
                  <c:v>711</c:v>
                </c:pt>
                <c:pt idx="107">
                  <c:v>711</c:v>
                </c:pt>
                <c:pt idx="108">
                  <c:v>711</c:v>
                </c:pt>
                <c:pt idx="109">
                  <c:v>711</c:v>
                </c:pt>
                <c:pt idx="110">
                  <c:v>711</c:v>
                </c:pt>
                <c:pt idx="111">
                  <c:v>711</c:v>
                </c:pt>
                <c:pt idx="112">
                  <c:v>723</c:v>
                </c:pt>
                <c:pt idx="113">
                  <c:v>723</c:v>
                </c:pt>
                <c:pt idx="114">
                  <c:v>723</c:v>
                </c:pt>
                <c:pt idx="115">
                  <c:v>723</c:v>
                </c:pt>
                <c:pt idx="116">
                  <c:v>723</c:v>
                </c:pt>
                <c:pt idx="117">
                  <c:v>723</c:v>
                </c:pt>
                <c:pt idx="118">
                  <c:v>723</c:v>
                </c:pt>
                <c:pt idx="119">
                  <c:v>724</c:v>
                </c:pt>
                <c:pt idx="120">
                  <c:v>724</c:v>
                </c:pt>
                <c:pt idx="121">
                  <c:v>724</c:v>
                </c:pt>
                <c:pt idx="122">
                  <c:v>724</c:v>
                </c:pt>
                <c:pt idx="123">
                  <c:v>724</c:v>
                </c:pt>
                <c:pt idx="124">
                  <c:v>724</c:v>
                </c:pt>
                <c:pt idx="125">
                  <c:v>724</c:v>
                </c:pt>
                <c:pt idx="126">
                  <c:v>772</c:v>
                </c:pt>
                <c:pt idx="127">
                  <c:v>772</c:v>
                </c:pt>
                <c:pt idx="128">
                  <c:v>772</c:v>
                </c:pt>
                <c:pt idx="129">
                  <c:v>772</c:v>
                </c:pt>
                <c:pt idx="130">
                  <c:v>772</c:v>
                </c:pt>
                <c:pt idx="131">
                  <c:v>772</c:v>
                </c:pt>
                <c:pt idx="132">
                  <c:v>772</c:v>
                </c:pt>
                <c:pt idx="133">
                  <c:v>756</c:v>
                </c:pt>
                <c:pt idx="134">
                  <c:v>756</c:v>
                </c:pt>
                <c:pt idx="135">
                  <c:v>756</c:v>
                </c:pt>
                <c:pt idx="136">
                  <c:v>756</c:v>
                </c:pt>
                <c:pt idx="137">
                  <c:v>756</c:v>
                </c:pt>
                <c:pt idx="138">
                  <c:v>756</c:v>
                </c:pt>
                <c:pt idx="139">
                  <c:v>756</c:v>
                </c:pt>
                <c:pt idx="140">
                  <c:v>741</c:v>
                </c:pt>
                <c:pt idx="141">
                  <c:v>741</c:v>
                </c:pt>
                <c:pt idx="142">
                  <c:v>741</c:v>
                </c:pt>
                <c:pt idx="143">
                  <c:v>741</c:v>
                </c:pt>
                <c:pt idx="144">
                  <c:v>741</c:v>
                </c:pt>
                <c:pt idx="145">
                  <c:v>741</c:v>
                </c:pt>
                <c:pt idx="146">
                  <c:v>741</c:v>
                </c:pt>
                <c:pt idx="147">
                  <c:v>689</c:v>
                </c:pt>
                <c:pt idx="148">
                  <c:v>689</c:v>
                </c:pt>
                <c:pt idx="149">
                  <c:v>689</c:v>
                </c:pt>
                <c:pt idx="150">
                  <c:v>689</c:v>
                </c:pt>
                <c:pt idx="151">
                  <c:v>689</c:v>
                </c:pt>
                <c:pt idx="152">
                  <c:v>689</c:v>
                </c:pt>
                <c:pt idx="153">
                  <c:v>689</c:v>
                </c:pt>
                <c:pt idx="154">
                  <c:v>731</c:v>
                </c:pt>
                <c:pt idx="155">
                  <c:v>731</c:v>
                </c:pt>
                <c:pt idx="156">
                  <c:v>731</c:v>
                </c:pt>
                <c:pt idx="157">
                  <c:v>731</c:v>
                </c:pt>
                <c:pt idx="158">
                  <c:v>731</c:v>
                </c:pt>
                <c:pt idx="159">
                  <c:v>731</c:v>
                </c:pt>
                <c:pt idx="160">
                  <c:v>731</c:v>
                </c:pt>
                <c:pt idx="161">
                  <c:v>719</c:v>
                </c:pt>
                <c:pt idx="162">
                  <c:v>719</c:v>
                </c:pt>
                <c:pt idx="163">
                  <c:v>719</c:v>
                </c:pt>
                <c:pt idx="164">
                  <c:v>719</c:v>
                </c:pt>
                <c:pt idx="165">
                  <c:v>719</c:v>
                </c:pt>
                <c:pt idx="166">
                  <c:v>719</c:v>
                </c:pt>
                <c:pt idx="167">
                  <c:v>719</c:v>
                </c:pt>
                <c:pt idx="168">
                  <c:v>716</c:v>
                </c:pt>
                <c:pt idx="169">
                  <c:v>716</c:v>
                </c:pt>
                <c:pt idx="170">
                  <c:v>716</c:v>
                </c:pt>
                <c:pt idx="171">
                  <c:v>716</c:v>
                </c:pt>
                <c:pt idx="172">
                  <c:v>716</c:v>
                </c:pt>
                <c:pt idx="173">
                  <c:v>716</c:v>
                </c:pt>
                <c:pt idx="174">
                  <c:v>716</c:v>
                </c:pt>
                <c:pt idx="175">
                  <c:v>719</c:v>
                </c:pt>
                <c:pt idx="176">
                  <c:v>719</c:v>
                </c:pt>
                <c:pt idx="177">
                  <c:v>719</c:v>
                </c:pt>
                <c:pt idx="178">
                  <c:v>719</c:v>
                </c:pt>
                <c:pt idx="179">
                  <c:v>719</c:v>
                </c:pt>
                <c:pt idx="180">
                  <c:v>719</c:v>
                </c:pt>
                <c:pt idx="181">
                  <c:v>719</c:v>
                </c:pt>
                <c:pt idx="182">
                  <c:v>711</c:v>
                </c:pt>
                <c:pt idx="183">
                  <c:v>711</c:v>
                </c:pt>
                <c:pt idx="184">
                  <c:v>711</c:v>
                </c:pt>
                <c:pt idx="185">
                  <c:v>711</c:v>
                </c:pt>
                <c:pt idx="186">
                  <c:v>711</c:v>
                </c:pt>
                <c:pt idx="187">
                  <c:v>711</c:v>
                </c:pt>
                <c:pt idx="188">
                  <c:v>711</c:v>
                </c:pt>
                <c:pt idx="189">
                  <c:v>661</c:v>
                </c:pt>
                <c:pt idx="190">
                  <c:v>661</c:v>
                </c:pt>
                <c:pt idx="191">
                  <c:v>661</c:v>
                </c:pt>
                <c:pt idx="192">
                  <c:v>661</c:v>
                </c:pt>
                <c:pt idx="193">
                  <c:v>661</c:v>
                </c:pt>
                <c:pt idx="194">
                  <c:v>661</c:v>
                </c:pt>
                <c:pt idx="195">
                  <c:v>661</c:v>
                </c:pt>
                <c:pt idx="196">
                  <c:v>661</c:v>
                </c:pt>
                <c:pt idx="197">
                  <c:v>661</c:v>
                </c:pt>
                <c:pt idx="198">
                  <c:v>661</c:v>
                </c:pt>
                <c:pt idx="199">
                  <c:v>661</c:v>
                </c:pt>
                <c:pt idx="200">
                  <c:v>661</c:v>
                </c:pt>
                <c:pt idx="201">
                  <c:v>661</c:v>
                </c:pt>
                <c:pt idx="202">
                  <c:v>661</c:v>
                </c:pt>
                <c:pt idx="203">
                  <c:v>646</c:v>
                </c:pt>
                <c:pt idx="204">
                  <c:v>646</c:v>
                </c:pt>
                <c:pt idx="205">
                  <c:v>646</c:v>
                </c:pt>
                <c:pt idx="206">
                  <c:v>646</c:v>
                </c:pt>
                <c:pt idx="207">
                  <c:v>646</c:v>
                </c:pt>
                <c:pt idx="208">
                  <c:v>646</c:v>
                </c:pt>
                <c:pt idx="209">
                  <c:v>646</c:v>
                </c:pt>
                <c:pt idx="210">
                  <c:v>633</c:v>
                </c:pt>
                <c:pt idx="211">
                  <c:v>633</c:v>
                </c:pt>
                <c:pt idx="212">
                  <c:v>633</c:v>
                </c:pt>
                <c:pt idx="213">
                  <c:v>633</c:v>
                </c:pt>
                <c:pt idx="214">
                  <c:v>633</c:v>
                </c:pt>
                <c:pt idx="215">
                  <c:v>633</c:v>
                </c:pt>
                <c:pt idx="216">
                  <c:v>633</c:v>
                </c:pt>
                <c:pt idx="217">
                  <c:v>626</c:v>
                </c:pt>
                <c:pt idx="218">
                  <c:v>626</c:v>
                </c:pt>
                <c:pt idx="219">
                  <c:v>626</c:v>
                </c:pt>
                <c:pt idx="220">
                  <c:v>626</c:v>
                </c:pt>
                <c:pt idx="221">
                  <c:v>626</c:v>
                </c:pt>
                <c:pt idx="222">
                  <c:v>626</c:v>
                </c:pt>
                <c:pt idx="223">
                  <c:v>626</c:v>
                </c:pt>
                <c:pt idx="224">
                  <c:v>598</c:v>
                </c:pt>
                <c:pt idx="225">
                  <c:v>598</c:v>
                </c:pt>
                <c:pt idx="226">
                  <c:v>598</c:v>
                </c:pt>
                <c:pt idx="227">
                  <c:v>598</c:v>
                </c:pt>
                <c:pt idx="228">
                  <c:v>598</c:v>
                </c:pt>
                <c:pt idx="229">
                  <c:v>598</c:v>
                </c:pt>
                <c:pt idx="230">
                  <c:v>598</c:v>
                </c:pt>
                <c:pt idx="231">
                  <c:v>591</c:v>
                </c:pt>
                <c:pt idx="232">
                  <c:v>591</c:v>
                </c:pt>
                <c:pt idx="233">
                  <c:v>591</c:v>
                </c:pt>
                <c:pt idx="234">
                  <c:v>591</c:v>
                </c:pt>
                <c:pt idx="235">
                  <c:v>591</c:v>
                </c:pt>
                <c:pt idx="236">
                  <c:v>591</c:v>
                </c:pt>
                <c:pt idx="237">
                  <c:v>591</c:v>
                </c:pt>
                <c:pt idx="238">
                  <c:v>554</c:v>
                </c:pt>
                <c:pt idx="239">
                  <c:v>554</c:v>
                </c:pt>
                <c:pt idx="240">
                  <c:v>554</c:v>
                </c:pt>
                <c:pt idx="241">
                  <c:v>554</c:v>
                </c:pt>
                <c:pt idx="242">
                  <c:v>554</c:v>
                </c:pt>
                <c:pt idx="243">
                  <c:v>554</c:v>
                </c:pt>
                <c:pt idx="244">
                  <c:v>554</c:v>
                </c:pt>
                <c:pt idx="245">
                  <c:v>550</c:v>
                </c:pt>
                <c:pt idx="246">
                  <c:v>550</c:v>
                </c:pt>
                <c:pt idx="247">
                  <c:v>550</c:v>
                </c:pt>
                <c:pt idx="248">
                  <c:v>550</c:v>
                </c:pt>
                <c:pt idx="249">
                  <c:v>550</c:v>
                </c:pt>
                <c:pt idx="250">
                  <c:v>550</c:v>
                </c:pt>
                <c:pt idx="251">
                  <c:v>550</c:v>
                </c:pt>
                <c:pt idx="252">
                  <c:v>556</c:v>
                </c:pt>
                <c:pt idx="253">
                  <c:v>556</c:v>
                </c:pt>
                <c:pt idx="254">
                  <c:v>556</c:v>
                </c:pt>
                <c:pt idx="255">
                  <c:v>556</c:v>
                </c:pt>
                <c:pt idx="256">
                  <c:v>556</c:v>
                </c:pt>
                <c:pt idx="257">
                  <c:v>556</c:v>
                </c:pt>
                <c:pt idx="258">
                  <c:v>556</c:v>
                </c:pt>
                <c:pt idx="259">
                  <c:v>581</c:v>
                </c:pt>
                <c:pt idx="260">
                  <c:v>581</c:v>
                </c:pt>
                <c:pt idx="261">
                  <c:v>581</c:v>
                </c:pt>
                <c:pt idx="262">
                  <c:v>581</c:v>
                </c:pt>
                <c:pt idx="263">
                  <c:v>581</c:v>
                </c:pt>
                <c:pt idx="264">
                  <c:v>581</c:v>
                </c:pt>
                <c:pt idx="265">
                  <c:v>581</c:v>
                </c:pt>
                <c:pt idx="266">
                  <c:v>581</c:v>
                </c:pt>
                <c:pt idx="267">
                  <c:v>581</c:v>
                </c:pt>
                <c:pt idx="268">
                  <c:v>581</c:v>
                </c:pt>
                <c:pt idx="269">
                  <c:v>581</c:v>
                </c:pt>
                <c:pt idx="270">
                  <c:v>581</c:v>
                </c:pt>
                <c:pt idx="271">
                  <c:v>581</c:v>
                </c:pt>
                <c:pt idx="272">
                  <c:v>581</c:v>
                </c:pt>
                <c:pt idx="273">
                  <c:v>583</c:v>
                </c:pt>
                <c:pt idx="274">
                  <c:v>583</c:v>
                </c:pt>
                <c:pt idx="275">
                  <c:v>583</c:v>
                </c:pt>
                <c:pt idx="276">
                  <c:v>583</c:v>
                </c:pt>
                <c:pt idx="277">
                  <c:v>583</c:v>
                </c:pt>
                <c:pt idx="278">
                  <c:v>583</c:v>
                </c:pt>
                <c:pt idx="279">
                  <c:v>583</c:v>
                </c:pt>
                <c:pt idx="280">
                  <c:v>613</c:v>
                </c:pt>
                <c:pt idx="281">
                  <c:v>613</c:v>
                </c:pt>
                <c:pt idx="282">
                  <c:v>613</c:v>
                </c:pt>
                <c:pt idx="283">
                  <c:v>613</c:v>
                </c:pt>
                <c:pt idx="284">
                  <c:v>613</c:v>
                </c:pt>
                <c:pt idx="285">
                  <c:v>613</c:v>
                </c:pt>
                <c:pt idx="286">
                  <c:v>613</c:v>
                </c:pt>
                <c:pt idx="287">
                  <c:v>601</c:v>
                </c:pt>
                <c:pt idx="288">
                  <c:v>601</c:v>
                </c:pt>
                <c:pt idx="289">
                  <c:v>601</c:v>
                </c:pt>
                <c:pt idx="290">
                  <c:v>601</c:v>
                </c:pt>
                <c:pt idx="291">
                  <c:v>601</c:v>
                </c:pt>
                <c:pt idx="292">
                  <c:v>601</c:v>
                </c:pt>
                <c:pt idx="293">
                  <c:v>601</c:v>
                </c:pt>
                <c:pt idx="294">
                  <c:v>613</c:v>
                </c:pt>
                <c:pt idx="295">
                  <c:v>613</c:v>
                </c:pt>
                <c:pt idx="296">
                  <c:v>613</c:v>
                </c:pt>
                <c:pt idx="297">
                  <c:v>613</c:v>
                </c:pt>
                <c:pt idx="298">
                  <c:v>613</c:v>
                </c:pt>
                <c:pt idx="299">
                  <c:v>613</c:v>
                </c:pt>
                <c:pt idx="300">
                  <c:v>613</c:v>
                </c:pt>
                <c:pt idx="301">
                  <c:v>602</c:v>
                </c:pt>
                <c:pt idx="302">
                  <c:v>602</c:v>
                </c:pt>
                <c:pt idx="303">
                  <c:v>602</c:v>
                </c:pt>
                <c:pt idx="304">
                  <c:v>602</c:v>
                </c:pt>
                <c:pt idx="305">
                  <c:v>602</c:v>
                </c:pt>
                <c:pt idx="306">
                  <c:v>602</c:v>
                </c:pt>
                <c:pt idx="307">
                  <c:v>602</c:v>
                </c:pt>
                <c:pt idx="308">
                  <c:v>611</c:v>
                </c:pt>
                <c:pt idx="309">
                  <c:v>611</c:v>
                </c:pt>
                <c:pt idx="310">
                  <c:v>611</c:v>
                </c:pt>
                <c:pt idx="311">
                  <c:v>611</c:v>
                </c:pt>
                <c:pt idx="312">
                  <c:v>611</c:v>
                </c:pt>
                <c:pt idx="313">
                  <c:v>611</c:v>
                </c:pt>
                <c:pt idx="314">
                  <c:v>611</c:v>
                </c:pt>
                <c:pt idx="315">
                  <c:v>608</c:v>
                </c:pt>
                <c:pt idx="316">
                  <c:v>608</c:v>
                </c:pt>
                <c:pt idx="317">
                  <c:v>608</c:v>
                </c:pt>
                <c:pt idx="318">
                  <c:v>608</c:v>
                </c:pt>
                <c:pt idx="319">
                  <c:v>608</c:v>
                </c:pt>
                <c:pt idx="320">
                  <c:v>608</c:v>
                </c:pt>
                <c:pt idx="321">
                  <c:v>608</c:v>
                </c:pt>
                <c:pt idx="322">
                  <c:v>602</c:v>
                </c:pt>
                <c:pt idx="323">
                  <c:v>602</c:v>
                </c:pt>
              </c:numCache>
            </c:numRef>
          </c:val>
          <c:smooth val="0"/>
        </c:ser>
        <c:dLbls>
          <c:showLegendKey val="0"/>
          <c:showVal val="0"/>
          <c:showCatName val="0"/>
          <c:showSerName val="0"/>
          <c:showPercent val="0"/>
          <c:showBubbleSize val="0"/>
        </c:dLbls>
        <c:marker val="1"/>
        <c:smooth val="0"/>
        <c:axId val="264601984"/>
        <c:axId val="264603520"/>
      </c:lineChart>
      <c:dateAx>
        <c:axId val="264601984"/>
        <c:scaling>
          <c:orientation val="minMax"/>
          <c:max val="42328"/>
        </c:scaling>
        <c:delete val="0"/>
        <c:axPos val="b"/>
        <c:numFmt formatCode="yyyy/m/d" sourceLinked="1"/>
        <c:majorTickMark val="out"/>
        <c:minorTickMark val="none"/>
        <c:tickLblPos val="nextTo"/>
        <c:crossAx val="264603520"/>
        <c:crosses val="autoZero"/>
        <c:auto val="1"/>
        <c:lblOffset val="100"/>
        <c:baseTimeUnit val="days"/>
        <c:majorUnit val="1"/>
        <c:majorTimeUnit val="months"/>
        <c:minorUnit val="1"/>
        <c:minorTimeUnit val="months"/>
      </c:dateAx>
      <c:valAx>
        <c:axId val="264603520"/>
        <c:scaling>
          <c:orientation val="minMax"/>
          <c:min val="500"/>
        </c:scaling>
        <c:delete val="0"/>
        <c:axPos val="l"/>
        <c:majorGridlines/>
        <c:numFmt formatCode="General" sourceLinked="1"/>
        <c:majorTickMark val="out"/>
        <c:minorTickMark val="none"/>
        <c:tickLblPos val="nextTo"/>
        <c:crossAx val="264601984"/>
        <c:crosses val="autoZero"/>
        <c:crossBetween val="between"/>
      </c:valAx>
    </c:plotArea>
    <c:legend>
      <c:legendPos val="b"/>
      <c:layout>
        <c:manualLayout>
          <c:xMode val="edge"/>
          <c:yMode val="edge"/>
          <c:x val="0.20641107320112742"/>
          <c:y val="0.87414469554300089"/>
          <c:w val="0.59204016110524127"/>
          <c:h val="0.12585531852610779"/>
        </c:manualLayout>
      </c:layout>
      <c:overlay val="0"/>
    </c:legend>
    <c:plotVisOnly val="1"/>
    <c:dispBlanksAs val="gap"/>
    <c:showDLblsOverMax val="0"/>
  </c:chart>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6071741032370933E-2"/>
          <c:y val="5.1400554097404488E-2"/>
          <c:w val="0.86392825896762904"/>
          <c:h val="0.64435185185185184"/>
        </c:manualLayout>
      </c:layout>
      <c:lineChart>
        <c:grouping val="standard"/>
        <c:varyColors val="0"/>
        <c:ser>
          <c:idx val="0"/>
          <c:order val="0"/>
          <c:tx>
            <c:strRef>
              <c:f>石化!$AS$1</c:f>
              <c:strCache>
                <c:ptCount val="1"/>
                <c:pt idx="0">
                  <c:v>乙二醇EG 東南亞 CFR(美元/公噸)</c:v>
                </c:pt>
              </c:strCache>
            </c:strRef>
          </c:tx>
          <c:spPr>
            <a:ln>
              <a:prstDash val="sysDash"/>
            </a:ln>
          </c:spPr>
          <c:marker>
            <c:symbol val="none"/>
          </c:marker>
          <c:cat>
            <c:numRef>
              <c:f>石化!$X$216:$X$539</c:f>
              <c:numCache>
                <c:formatCode>yyyy/m/d</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石化!$AS$216:$AS$539</c:f>
              <c:numCache>
                <c:formatCode>General</c:formatCode>
                <c:ptCount val="324"/>
                <c:pt idx="0">
                  <c:v>769</c:v>
                </c:pt>
                <c:pt idx="1">
                  <c:v>769</c:v>
                </c:pt>
                <c:pt idx="2">
                  <c:v>769</c:v>
                </c:pt>
                <c:pt idx="3">
                  <c:v>769</c:v>
                </c:pt>
                <c:pt idx="4">
                  <c:v>769</c:v>
                </c:pt>
                <c:pt idx="5">
                  <c:v>769</c:v>
                </c:pt>
                <c:pt idx="6">
                  <c:v>769</c:v>
                </c:pt>
                <c:pt idx="7">
                  <c:v>769</c:v>
                </c:pt>
                <c:pt idx="8">
                  <c:v>715</c:v>
                </c:pt>
                <c:pt idx="9">
                  <c:v>715</c:v>
                </c:pt>
                <c:pt idx="10">
                  <c:v>715</c:v>
                </c:pt>
                <c:pt idx="11">
                  <c:v>715</c:v>
                </c:pt>
                <c:pt idx="12">
                  <c:v>715</c:v>
                </c:pt>
                <c:pt idx="13">
                  <c:v>715</c:v>
                </c:pt>
                <c:pt idx="14">
                  <c:v>715</c:v>
                </c:pt>
                <c:pt idx="15">
                  <c:v>708</c:v>
                </c:pt>
                <c:pt idx="16">
                  <c:v>708</c:v>
                </c:pt>
                <c:pt idx="17">
                  <c:v>708</c:v>
                </c:pt>
                <c:pt idx="18">
                  <c:v>708</c:v>
                </c:pt>
                <c:pt idx="19">
                  <c:v>708</c:v>
                </c:pt>
                <c:pt idx="20">
                  <c:v>708</c:v>
                </c:pt>
                <c:pt idx="21">
                  <c:v>708</c:v>
                </c:pt>
                <c:pt idx="22">
                  <c:v>741</c:v>
                </c:pt>
                <c:pt idx="23">
                  <c:v>741</c:v>
                </c:pt>
                <c:pt idx="24">
                  <c:v>741</c:v>
                </c:pt>
                <c:pt idx="25">
                  <c:v>741</c:v>
                </c:pt>
                <c:pt idx="26">
                  <c:v>741</c:v>
                </c:pt>
                <c:pt idx="27">
                  <c:v>741</c:v>
                </c:pt>
                <c:pt idx="28">
                  <c:v>741</c:v>
                </c:pt>
                <c:pt idx="29">
                  <c:v>742</c:v>
                </c:pt>
                <c:pt idx="30">
                  <c:v>742</c:v>
                </c:pt>
                <c:pt idx="31">
                  <c:v>742</c:v>
                </c:pt>
                <c:pt idx="32">
                  <c:v>742</c:v>
                </c:pt>
                <c:pt idx="33">
                  <c:v>742</c:v>
                </c:pt>
                <c:pt idx="34">
                  <c:v>742</c:v>
                </c:pt>
                <c:pt idx="35">
                  <c:v>742</c:v>
                </c:pt>
                <c:pt idx="36">
                  <c:v>797</c:v>
                </c:pt>
                <c:pt idx="37">
                  <c:v>797</c:v>
                </c:pt>
                <c:pt idx="38">
                  <c:v>797</c:v>
                </c:pt>
                <c:pt idx="39">
                  <c:v>797</c:v>
                </c:pt>
                <c:pt idx="40">
                  <c:v>797</c:v>
                </c:pt>
                <c:pt idx="41">
                  <c:v>797</c:v>
                </c:pt>
                <c:pt idx="42">
                  <c:v>797</c:v>
                </c:pt>
                <c:pt idx="43">
                  <c:v>812</c:v>
                </c:pt>
                <c:pt idx="44">
                  <c:v>812</c:v>
                </c:pt>
                <c:pt idx="45">
                  <c:v>812</c:v>
                </c:pt>
                <c:pt idx="46">
                  <c:v>812</c:v>
                </c:pt>
                <c:pt idx="47">
                  <c:v>812</c:v>
                </c:pt>
                <c:pt idx="48">
                  <c:v>812</c:v>
                </c:pt>
                <c:pt idx="49">
                  <c:v>812</c:v>
                </c:pt>
                <c:pt idx="50">
                  <c:v>812</c:v>
                </c:pt>
                <c:pt idx="51">
                  <c:v>812</c:v>
                </c:pt>
                <c:pt idx="52">
                  <c:v>812</c:v>
                </c:pt>
                <c:pt idx="53">
                  <c:v>812</c:v>
                </c:pt>
                <c:pt idx="54">
                  <c:v>812</c:v>
                </c:pt>
                <c:pt idx="55">
                  <c:v>812</c:v>
                </c:pt>
                <c:pt idx="56">
                  <c:v>812</c:v>
                </c:pt>
                <c:pt idx="57">
                  <c:v>842</c:v>
                </c:pt>
                <c:pt idx="58">
                  <c:v>842</c:v>
                </c:pt>
                <c:pt idx="59">
                  <c:v>842</c:v>
                </c:pt>
                <c:pt idx="60">
                  <c:v>842</c:v>
                </c:pt>
                <c:pt idx="61">
                  <c:v>842</c:v>
                </c:pt>
                <c:pt idx="62">
                  <c:v>842</c:v>
                </c:pt>
                <c:pt idx="63">
                  <c:v>842</c:v>
                </c:pt>
                <c:pt idx="64">
                  <c:v>822</c:v>
                </c:pt>
                <c:pt idx="65">
                  <c:v>822</c:v>
                </c:pt>
                <c:pt idx="66">
                  <c:v>822</c:v>
                </c:pt>
                <c:pt idx="67">
                  <c:v>822</c:v>
                </c:pt>
                <c:pt idx="68">
                  <c:v>822</c:v>
                </c:pt>
                <c:pt idx="69">
                  <c:v>822</c:v>
                </c:pt>
                <c:pt idx="70">
                  <c:v>822</c:v>
                </c:pt>
                <c:pt idx="71">
                  <c:v>834</c:v>
                </c:pt>
                <c:pt idx="72">
                  <c:v>834</c:v>
                </c:pt>
                <c:pt idx="73">
                  <c:v>834</c:v>
                </c:pt>
                <c:pt idx="74">
                  <c:v>834</c:v>
                </c:pt>
                <c:pt idx="75">
                  <c:v>834</c:v>
                </c:pt>
                <c:pt idx="76">
                  <c:v>834</c:v>
                </c:pt>
                <c:pt idx="77">
                  <c:v>834</c:v>
                </c:pt>
                <c:pt idx="78">
                  <c:v>813</c:v>
                </c:pt>
                <c:pt idx="79">
                  <c:v>813</c:v>
                </c:pt>
                <c:pt idx="80">
                  <c:v>813</c:v>
                </c:pt>
                <c:pt idx="81">
                  <c:v>813</c:v>
                </c:pt>
                <c:pt idx="82">
                  <c:v>813</c:v>
                </c:pt>
                <c:pt idx="83">
                  <c:v>813</c:v>
                </c:pt>
                <c:pt idx="84">
                  <c:v>813</c:v>
                </c:pt>
                <c:pt idx="85">
                  <c:v>840</c:v>
                </c:pt>
                <c:pt idx="86">
                  <c:v>840</c:v>
                </c:pt>
                <c:pt idx="87">
                  <c:v>840</c:v>
                </c:pt>
                <c:pt idx="88">
                  <c:v>840</c:v>
                </c:pt>
                <c:pt idx="89">
                  <c:v>840</c:v>
                </c:pt>
                <c:pt idx="90">
                  <c:v>840</c:v>
                </c:pt>
                <c:pt idx="91">
                  <c:v>840</c:v>
                </c:pt>
                <c:pt idx="92">
                  <c:v>840</c:v>
                </c:pt>
                <c:pt idx="93">
                  <c:v>840</c:v>
                </c:pt>
                <c:pt idx="94">
                  <c:v>840</c:v>
                </c:pt>
                <c:pt idx="95">
                  <c:v>840</c:v>
                </c:pt>
                <c:pt idx="96">
                  <c:v>840</c:v>
                </c:pt>
                <c:pt idx="97">
                  <c:v>840</c:v>
                </c:pt>
                <c:pt idx="98">
                  <c:v>840</c:v>
                </c:pt>
                <c:pt idx="99">
                  <c:v>879</c:v>
                </c:pt>
                <c:pt idx="100">
                  <c:v>879</c:v>
                </c:pt>
                <c:pt idx="101">
                  <c:v>879</c:v>
                </c:pt>
                <c:pt idx="102">
                  <c:v>879</c:v>
                </c:pt>
                <c:pt idx="103">
                  <c:v>879</c:v>
                </c:pt>
                <c:pt idx="104">
                  <c:v>879</c:v>
                </c:pt>
                <c:pt idx="105">
                  <c:v>879</c:v>
                </c:pt>
                <c:pt idx="106">
                  <c:v>919</c:v>
                </c:pt>
                <c:pt idx="107">
                  <c:v>919</c:v>
                </c:pt>
                <c:pt idx="108">
                  <c:v>919</c:v>
                </c:pt>
                <c:pt idx="109">
                  <c:v>919</c:v>
                </c:pt>
                <c:pt idx="110">
                  <c:v>919</c:v>
                </c:pt>
                <c:pt idx="111">
                  <c:v>919</c:v>
                </c:pt>
                <c:pt idx="112">
                  <c:v>919</c:v>
                </c:pt>
                <c:pt idx="113">
                  <c:v>999</c:v>
                </c:pt>
                <c:pt idx="114">
                  <c:v>999</c:v>
                </c:pt>
                <c:pt idx="115">
                  <c:v>999</c:v>
                </c:pt>
                <c:pt idx="116">
                  <c:v>999</c:v>
                </c:pt>
                <c:pt idx="117">
                  <c:v>999</c:v>
                </c:pt>
                <c:pt idx="118">
                  <c:v>999</c:v>
                </c:pt>
                <c:pt idx="119">
                  <c:v>999</c:v>
                </c:pt>
                <c:pt idx="120">
                  <c:v>974</c:v>
                </c:pt>
                <c:pt idx="121">
                  <c:v>974</c:v>
                </c:pt>
                <c:pt idx="122">
                  <c:v>974</c:v>
                </c:pt>
                <c:pt idx="123">
                  <c:v>974</c:v>
                </c:pt>
                <c:pt idx="124">
                  <c:v>974</c:v>
                </c:pt>
                <c:pt idx="125">
                  <c:v>974</c:v>
                </c:pt>
                <c:pt idx="126">
                  <c:v>974</c:v>
                </c:pt>
                <c:pt idx="127">
                  <c:v>1018</c:v>
                </c:pt>
                <c:pt idx="128">
                  <c:v>1018</c:v>
                </c:pt>
                <c:pt idx="129">
                  <c:v>1018</c:v>
                </c:pt>
                <c:pt idx="130">
                  <c:v>1018</c:v>
                </c:pt>
                <c:pt idx="131">
                  <c:v>1018</c:v>
                </c:pt>
                <c:pt idx="132">
                  <c:v>1018</c:v>
                </c:pt>
                <c:pt idx="133">
                  <c:v>1018</c:v>
                </c:pt>
                <c:pt idx="134">
                  <c:v>994</c:v>
                </c:pt>
                <c:pt idx="135">
                  <c:v>994</c:v>
                </c:pt>
                <c:pt idx="136">
                  <c:v>994</c:v>
                </c:pt>
                <c:pt idx="137">
                  <c:v>994</c:v>
                </c:pt>
                <c:pt idx="138">
                  <c:v>994</c:v>
                </c:pt>
                <c:pt idx="139">
                  <c:v>994</c:v>
                </c:pt>
                <c:pt idx="140">
                  <c:v>994</c:v>
                </c:pt>
                <c:pt idx="141">
                  <c:v>946</c:v>
                </c:pt>
                <c:pt idx="142">
                  <c:v>946</c:v>
                </c:pt>
                <c:pt idx="143">
                  <c:v>946</c:v>
                </c:pt>
                <c:pt idx="144">
                  <c:v>946</c:v>
                </c:pt>
                <c:pt idx="145">
                  <c:v>946</c:v>
                </c:pt>
                <c:pt idx="146">
                  <c:v>946</c:v>
                </c:pt>
                <c:pt idx="147">
                  <c:v>946</c:v>
                </c:pt>
                <c:pt idx="148">
                  <c:v>910</c:v>
                </c:pt>
                <c:pt idx="149">
                  <c:v>910</c:v>
                </c:pt>
                <c:pt idx="150">
                  <c:v>910</c:v>
                </c:pt>
                <c:pt idx="151">
                  <c:v>910</c:v>
                </c:pt>
                <c:pt idx="152">
                  <c:v>910</c:v>
                </c:pt>
                <c:pt idx="153">
                  <c:v>910</c:v>
                </c:pt>
                <c:pt idx="154">
                  <c:v>910</c:v>
                </c:pt>
                <c:pt idx="155">
                  <c:v>962</c:v>
                </c:pt>
                <c:pt idx="156">
                  <c:v>962</c:v>
                </c:pt>
                <c:pt idx="157">
                  <c:v>962</c:v>
                </c:pt>
                <c:pt idx="158">
                  <c:v>962</c:v>
                </c:pt>
                <c:pt idx="159">
                  <c:v>962</c:v>
                </c:pt>
                <c:pt idx="160">
                  <c:v>962</c:v>
                </c:pt>
                <c:pt idx="161">
                  <c:v>962</c:v>
                </c:pt>
                <c:pt idx="162">
                  <c:v>954</c:v>
                </c:pt>
                <c:pt idx="163">
                  <c:v>954</c:v>
                </c:pt>
                <c:pt idx="164">
                  <c:v>954</c:v>
                </c:pt>
                <c:pt idx="165">
                  <c:v>954</c:v>
                </c:pt>
                <c:pt idx="166">
                  <c:v>954</c:v>
                </c:pt>
                <c:pt idx="167">
                  <c:v>954</c:v>
                </c:pt>
                <c:pt idx="168">
                  <c:v>954</c:v>
                </c:pt>
                <c:pt idx="169">
                  <c:v>938</c:v>
                </c:pt>
                <c:pt idx="170">
                  <c:v>938</c:v>
                </c:pt>
                <c:pt idx="171">
                  <c:v>938</c:v>
                </c:pt>
                <c:pt idx="172">
                  <c:v>938</c:v>
                </c:pt>
                <c:pt idx="173">
                  <c:v>938</c:v>
                </c:pt>
                <c:pt idx="174">
                  <c:v>938</c:v>
                </c:pt>
                <c:pt idx="175">
                  <c:v>938</c:v>
                </c:pt>
                <c:pt idx="176">
                  <c:v>942</c:v>
                </c:pt>
                <c:pt idx="177">
                  <c:v>942</c:v>
                </c:pt>
                <c:pt idx="178">
                  <c:v>942</c:v>
                </c:pt>
                <c:pt idx="179">
                  <c:v>942</c:v>
                </c:pt>
                <c:pt idx="180">
                  <c:v>942</c:v>
                </c:pt>
                <c:pt idx="181">
                  <c:v>942</c:v>
                </c:pt>
                <c:pt idx="182">
                  <c:v>942</c:v>
                </c:pt>
                <c:pt idx="183">
                  <c:v>919</c:v>
                </c:pt>
                <c:pt idx="184">
                  <c:v>919</c:v>
                </c:pt>
                <c:pt idx="185">
                  <c:v>919</c:v>
                </c:pt>
                <c:pt idx="186">
                  <c:v>919</c:v>
                </c:pt>
                <c:pt idx="187">
                  <c:v>919</c:v>
                </c:pt>
                <c:pt idx="188">
                  <c:v>919</c:v>
                </c:pt>
                <c:pt idx="189">
                  <c:v>919</c:v>
                </c:pt>
                <c:pt idx="190">
                  <c:v>877</c:v>
                </c:pt>
                <c:pt idx="191">
                  <c:v>877</c:v>
                </c:pt>
                <c:pt idx="192">
                  <c:v>877</c:v>
                </c:pt>
                <c:pt idx="193">
                  <c:v>877</c:v>
                </c:pt>
                <c:pt idx="194">
                  <c:v>877</c:v>
                </c:pt>
                <c:pt idx="195">
                  <c:v>877</c:v>
                </c:pt>
                <c:pt idx="196">
                  <c:v>877</c:v>
                </c:pt>
                <c:pt idx="197">
                  <c:v>877</c:v>
                </c:pt>
                <c:pt idx="198">
                  <c:v>877</c:v>
                </c:pt>
                <c:pt idx="199">
                  <c:v>877</c:v>
                </c:pt>
                <c:pt idx="200">
                  <c:v>877</c:v>
                </c:pt>
                <c:pt idx="201">
                  <c:v>877</c:v>
                </c:pt>
                <c:pt idx="202">
                  <c:v>877</c:v>
                </c:pt>
                <c:pt idx="203">
                  <c:v>877</c:v>
                </c:pt>
                <c:pt idx="204">
                  <c:v>824</c:v>
                </c:pt>
                <c:pt idx="205">
                  <c:v>824</c:v>
                </c:pt>
                <c:pt idx="206">
                  <c:v>824</c:v>
                </c:pt>
                <c:pt idx="207">
                  <c:v>824</c:v>
                </c:pt>
                <c:pt idx="208">
                  <c:v>824</c:v>
                </c:pt>
                <c:pt idx="209">
                  <c:v>824</c:v>
                </c:pt>
                <c:pt idx="210">
                  <c:v>824</c:v>
                </c:pt>
                <c:pt idx="211">
                  <c:v>814</c:v>
                </c:pt>
                <c:pt idx="212">
                  <c:v>814</c:v>
                </c:pt>
                <c:pt idx="213">
                  <c:v>814</c:v>
                </c:pt>
                <c:pt idx="214">
                  <c:v>814</c:v>
                </c:pt>
                <c:pt idx="215">
                  <c:v>814</c:v>
                </c:pt>
                <c:pt idx="216">
                  <c:v>814</c:v>
                </c:pt>
                <c:pt idx="217">
                  <c:v>814</c:v>
                </c:pt>
                <c:pt idx="218">
                  <c:v>778</c:v>
                </c:pt>
                <c:pt idx="219">
                  <c:v>778</c:v>
                </c:pt>
                <c:pt idx="220">
                  <c:v>778</c:v>
                </c:pt>
                <c:pt idx="221">
                  <c:v>778</c:v>
                </c:pt>
                <c:pt idx="222">
                  <c:v>778</c:v>
                </c:pt>
                <c:pt idx="223">
                  <c:v>778</c:v>
                </c:pt>
                <c:pt idx="224">
                  <c:v>778</c:v>
                </c:pt>
                <c:pt idx="225">
                  <c:v>764</c:v>
                </c:pt>
                <c:pt idx="226">
                  <c:v>764</c:v>
                </c:pt>
                <c:pt idx="227">
                  <c:v>764</c:v>
                </c:pt>
                <c:pt idx="228">
                  <c:v>764</c:v>
                </c:pt>
                <c:pt idx="229">
                  <c:v>764</c:v>
                </c:pt>
                <c:pt idx="230">
                  <c:v>764</c:v>
                </c:pt>
                <c:pt idx="231">
                  <c:v>764</c:v>
                </c:pt>
                <c:pt idx="232">
                  <c:v>698</c:v>
                </c:pt>
                <c:pt idx="233">
                  <c:v>698</c:v>
                </c:pt>
                <c:pt idx="234">
                  <c:v>698</c:v>
                </c:pt>
                <c:pt idx="235">
                  <c:v>698</c:v>
                </c:pt>
                <c:pt idx="236">
                  <c:v>698</c:v>
                </c:pt>
                <c:pt idx="237">
                  <c:v>698</c:v>
                </c:pt>
                <c:pt idx="238">
                  <c:v>698</c:v>
                </c:pt>
                <c:pt idx="239">
                  <c:v>709</c:v>
                </c:pt>
                <c:pt idx="240">
                  <c:v>709</c:v>
                </c:pt>
                <c:pt idx="241">
                  <c:v>709</c:v>
                </c:pt>
                <c:pt idx="242">
                  <c:v>709</c:v>
                </c:pt>
                <c:pt idx="243">
                  <c:v>709</c:v>
                </c:pt>
                <c:pt idx="244">
                  <c:v>709</c:v>
                </c:pt>
                <c:pt idx="245">
                  <c:v>709</c:v>
                </c:pt>
                <c:pt idx="246">
                  <c:v>702</c:v>
                </c:pt>
                <c:pt idx="247">
                  <c:v>702</c:v>
                </c:pt>
                <c:pt idx="248">
                  <c:v>702</c:v>
                </c:pt>
                <c:pt idx="249">
                  <c:v>702</c:v>
                </c:pt>
                <c:pt idx="250">
                  <c:v>702</c:v>
                </c:pt>
                <c:pt idx="251">
                  <c:v>702</c:v>
                </c:pt>
                <c:pt idx="252">
                  <c:v>702</c:v>
                </c:pt>
                <c:pt idx="253">
                  <c:v>718</c:v>
                </c:pt>
                <c:pt idx="254">
                  <c:v>718</c:v>
                </c:pt>
                <c:pt idx="255">
                  <c:v>718</c:v>
                </c:pt>
                <c:pt idx="256">
                  <c:v>718</c:v>
                </c:pt>
                <c:pt idx="257">
                  <c:v>718</c:v>
                </c:pt>
                <c:pt idx="258">
                  <c:v>718</c:v>
                </c:pt>
                <c:pt idx="259">
                  <c:v>718</c:v>
                </c:pt>
                <c:pt idx="260">
                  <c:v>704</c:v>
                </c:pt>
                <c:pt idx="261">
                  <c:v>704</c:v>
                </c:pt>
                <c:pt idx="262">
                  <c:v>704</c:v>
                </c:pt>
                <c:pt idx="263">
                  <c:v>704</c:v>
                </c:pt>
                <c:pt idx="264">
                  <c:v>704</c:v>
                </c:pt>
                <c:pt idx="265">
                  <c:v>704</c:v>
                </c:pt>
                <c:pt idx="266">
                  <c:v>704</c:v>
                </c:pt>
                <c:pt idx="267">
                  <c:v>674</c:v>
                </c:pt>
                <c:pt idx="268">
                  <c:v>674</c:v>
                </c:pt>
                <c:pt idx="269">
                  <c:v>674</c:v>
                </c:pt>
                <c:pt idx="270">
                  <c:v>674</c:v>
                </c:pt>
                <c:pt idx="271">
                  <c:v>674</c:v>
                </c:pt>
                <c:pt idx="272">
                  <c:v>674</c:v>
                </c:pt>
                <c:pt idx="273">
                  <c:v>674</c:v>
                </c:pt>
                <c:pt idx="274">
                  <c:v>656</c:v>
                </c:pt>
                <c:pt idx="275">
                  <c:v>656</c:v>
                </c:pt>
                <c:pt idx="276">
                  <c:v>656</c:v>
                </c:pt>
                <c:pt idx="277">
                  <c:v>656</c:v>
                </c:pt>
                <c:pt idx="278">
                  <c:v>656</c:v>
                </c:pt>
                <c:pt idx="279">
                  <c:v>656</c:v>
                </c:pt>
                <c:pt idx="280">
                  <c:v>656</c:v>
                </c:pt>
                <c:pt idx="281">
                  <c:v>696</c:v>
                </c:pt>
                <c:pt idx="282">
                  <c:v>696</c:v>
                </c:pt>
                <c:pt idx="283">
                  <c:v>696</c:v>
                </c:pt>
                <c:pt idx="284">
                  <c:v>696</c:v>
                </c:pt>
                <c:pt idx="285">
                  <c:v>696</c:v>
                </c:pt>
                <c:pt idx="286">
                  <c:v>696</c:v>
                </c:pt>
                <c:pt idx="287">
                  <c:v>696</c:v>
                </c:pt>
                <c:pt idx="288">
                  <c:v>658</c:v>
                </c:pt>
                <c:pt idx="289">
                  <c:v>658</c:v>
                </c:pt>
                <c:pt idx="290">
                  <c:v>658</c:v>
                </c:pt>
                <c:pt idx="291">
                  <c:v>658</c:v>
                </c:pt>
                <c:pt idx="292">
                  <c:v>658</c:v>
                </c:pt>
                <c:pt idx="293">
                  <c:v>658</c:v>
                </c:pt>
                <c:pt idx="294">
                  <c:v>658</c:v>
                </c:pt>
                <c:pt idx="295">
                  <c:v>662</c:v>
                </c:pt>
                <c:pt idx="296">
                  <c:v>662</c:v>
                </c:pt>
                <c:pt idx="297">
                  <c:v>662</c:v>
                </c:pt>
                <c:pt idx="298">
                  <c:v>662</c:v>
                </c:pt>
                <c:pt idx="299">
                  <c:v>662</c:v>
                </c:pt>
                <c:pt idx="300">
                  <c:v>662</c:v>
                </c:pt>
                <c:pt idx="301">
                  <c:v>662</c:v>
                </c:pt>
                <c:pt idx="302">
                  <c:v>628</c:v>
                </c:pt>
                <c:pt idx="303">
                  <c:v>628</c:v>
                </c:pt>
                <c:pt idx="304">
                  <c:v>628</c:v>
                </c:pt>
                <c:pt idx="305">
                  <c:v>628</c:v>
                </c:pt>
                <c:pt idx="306">
                  <c:v>628</c:v>
                </c:pt>
                <c:pt idx="307">
                  <c:v>628</c:v>
                </c:pt>
                <c:pt idx="308">
                  <c:v>628</c:v>
                </c:pt>
                <c:pt idx="309">
                  <c:v>629</c:v>
                </c:pt>
                <c:pt idx="310">
                  <c:v>629</c:v>
                </c:pt>
                <c:pt idx="311">
                  <c:v>629</c:v>
                </c:pt>
                <c:pt idx="312">
                  <c:v>629</c:v>
                </c:pt>
                <c:pt idx="313">
                  <c:v>629</c:v>
                </c:pt>
                <c:pt idx="314">
                  <c:v>629</c:v>
                </c:pt>
                <c:pt idx="315">
                  <c:v>629</c:v>
                </c:pt>
                <c:pt idx="316">
                  <c:v>604</c:v>
                </c:pt>
                <c:pt idx="317">
                  <c:v>604</c:v>
                </c:pt>
                <c:pt idx="318">
                  <c:v>604</c:v>
                </c:pt>
                <c:pt idx="319">
                  <c:v>604</c:v>
                </c:pt>
                <c:pt idx="320">
                  <c:v>604</c:v>
                </c:pt>
                <c:pt idx="321">
                  <c:v>604</c:v>
                </c:pt>
                <c:pt idx="322">
                  <c:v>604</c:v>
                </c:pt>
                <c:pt idx="323">
                  <c:v>586</c:v>
                </c:pt>
              </c:numCache>
            </c:numRef>
          </c:val>
          <c:smooth val="0"/>
        </c:ser>
        <c:ser>
          <c:idx val="1"/>
          <c:order val="1"/>
          <c:tx>
            <c:strRef>
              <c:f>石化!$AT$1</c:f>
              <c:strCache>
                <c:ptCount val="1"/>
                <c:pt idx="0">
                  <c:v>乙二醇EG 中纖 內銷 合約價(美元/公噸)</c:v>
                </c:pt>
              </c:strCache>
            </c:strRef>
          </c:tx>
          <c:marker>
            <c:symbol val="none"/>
          </c:marker>
          <c:cat>
            <c:numRef>
              <c:f>石化!$X$216:$X$539</c:f>
              <c:numCache>
                <c:formatCode>yyyy/m/d</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石化!$AT$216:$AT$539</c:f>
              <c:numCache>
                <c:formatCode>General</c:formatCode>
                <c:ptCount val="324"/>
                <c:pt idx="0">
                  <c:v>750</c:v>
                </c:pt>
                <c:pt idx="1">
                  <c:v>750</c:v>
                </c:pt>
                <c:pt idx="2">
                  <c:v>750</c:v>
                </c:pt>
                <c:pt idx="3">
                  <c:v>750</c:v>
                </c:pt>
                <c:pt idx="4">
                  <c:v>750</c:v>
                </c:pt>
                <c:pt idx="5">
                  <c:v>750</c:v>
                </c:pt>
                <c:pt idx="6">
                  <c:v>750</c:v>
                </c:pt>
                <c:pt idx="7">
                  <c:v>750</c:v>
                </c:pt>
                <c:pt idx="8">
                  <c:v>750</c:v>
                </c:pt>
                <c:pt idx="9">
                  <c:v>750</c:v>
                </c:pt>
                <c:pt idx="10">
                  <c:v>750</c:v>
                </c:pt>
                <c:pt idx="11">
                  <c:v>750</c:v>
                </c:pt>
                <c:pt idx="12">
                  <c:v>750</c:v>
                </c:pt>
                <c:pt idx="13">
                  <c:v>750</c:v>
                </c:pt>
                <c:pt idx="14">
                  <c:v>750</c:v>
                </c:pt>
                <c:pt idx="15">
                  <c:v>750</c:v>
                </c:pt>
                <c:pt idx="16">
                  <c:v>750</c:v>
                </c:pt>
                <c:pt idx="17">
                  <c:v>750</c:v>
                </c:pt>
                <c:pt idx="18">
                  <c:v>750</c:v>
                </c:pt>
                <c:pt idx="19">
                  <c:v>750</c:v>
                </c:pt>
                <c:pt idx="20">
                  <c:v>750</c:v>
                </c:pt>
                <c:pt idx="21">
                  <c:v>750</c:v>
                </c:pt>
                <c:pt idx="22">
                  <c:v>750</c:v>
                </c:pt>
                <c:pt idx="23">
                  <c:v>750</c:v>
                </c:pt>
                <c:pt idx="24">
                  <c:v>750</c:v>
                </c:pt>
                <c:pt idx="25">
                  <c:v>750</c:v>
                </c:pt>
                <c:pt idx="26">
                  <c:v>750</c:v>
                </c:pt>
                <c:pt idx="27">
                  <c:v>750</c:v>
                </c:pt>
                <c:pt idx="28">
                  <c:v>750</c:v>
                </c:pt>
                <c:pt idx="29">
                  <c:v>750</c:v>
                </c:pt>
                <c:pt idx="30">
                  <c:v>750</c:v>
                </c:pt>
                <c:pt idx="31">
                  <c:v>790</c:v>
                </c:pt>
                <c:pt idx="32">
                  <c:v>790</c:v>
                </c:pt>
                <c:pt idx="33">
                  <c:v>790</c:v>
                </c:pt>
                <c:pt idx="34">
                  <c:v>790</c:v>
                </c:pt>
                <c:pt idx="35">
                  <c:v>790</c:v>
                </c:pt>
                <c:pt idx="36">
                  <c:v>790</c:v>
                </c:pt>
                <c:pt idx="37">
                  <c:v>790</c:v>
                </c:pt>
                <c:pt idx="38">
                  <c:v>790</c:v>
                </c:pt>
                <c:pt idx="39">
                  <c:v>790</c:v>
                </c:pt>
                <c:pt idx="40">
                  <c:v>790</c:v>
                </c:pt>
                <c:pt idx="41">
                  <c:v>790</c:v>
                </c:pt>
                <c:pt idx="42">
                  <c:v>790</c:v>
                </c:pt>
                <c:pt idx="43">
                  <c:v>790</c:v>
                </c:pt>
                <c:pt idx="44">
                  <c:v>790</c:v>
                </c:pt>
                <c:pt idx="45">
                  <c:v>790</c:v>
                </c:pt>
                <c:pt idx="46">
                  <c:v>790</c:v>
                </c:pt>
                <c:pt idx="47">
                  <c:v>790</c:v>
                </c:pt>
                <c:pt idx="48">
                  <c:v>790</c:v>
                </c:pt>
                <c:pt idx="49">
                  <c:v>790</c:v>
                </c:pt>
                <c:pt idx="50">
                  <c:v>790</c:v>
                </c:pt>
                <c:pt idx="51">
                  <c:v>790</c:v>
                </c:pt>
                <c:pt idx="52">
                  <c:v>790</c:v>
                </c:pt>
                <c:pt idx="53">
                  <c:v>790</c:v>
                </c:pt>
                <c:pt idx="54">
                  <c:v>790</c:v>
                </c:pt>
                <c:pt idx="55">
                  <c:v>790</c:v>
                </c:pt>
                <c:pt idx="56">
                  <c:v>790</c:v>
                </c:pt>
                <c:pt idx="57">
                  <c:v>790</c:v>
                </c:pt>
                <c:pt idx="58">
                  <c:v>800</c:v>
                </c:pt>
                <c:pt idx="59">
                  <c:v>800</c:v>
                </c:pt>
                <c:pt idx="60">
                  <c:v>800</c:v>
                </c:pt>
                <c:pt idx="61">
                  <c:v>800</c:v>
                </c:pt>
                <c:pt idx="62">
                  <c:v>800</c:v>
                </c:pt>
                <c:pt idx="63">
                  <c:v>800</c:v>
                </c:pt>
                <c:pt idx="64">
                  <c:v>800</c:v>
                </c:pt>
                <c:pt idx="65">
                  <c:v>800</c:v>
                </c:pt>
                <c:pt idx="66">
                  <c:v>800</c:v>
                </c:pt>
                <c:pt idx="67">
                  <c:v>800</c:v>
                </c:pt>
                <c:pt idx="68">
                  <c:v>800</c:v>
                </c:pt>
                <c:pt idx="69">
                  <c:v>800</c:v>
                </c:pt>
                <c:pt idx="70">
                  <c:v>800</c:v>
                </c:pt>
                <c:pt idx="71">
                  <c:v>800</c:v>
                </c:pt>
                <c:pt idx="72">
                  <c:v>800</c:v>
                </c:pt>
                <c:pt idx="73">
                  <c:v>800</c:v>
                </c:pt>
                <c:pt idx="74">
                  <c:v>800</c:v>
                </c:pt>
                <c:pt idx="75">
                  <c:v>800</c:v>
                </c:pt>
                <c:pt idx="76">
                  <c:v>800</c:v>
                </c:pt>
                <c:pt idx="77">
                  <c:v>800</c:v>
                </c:pt>
                <c:pt idx="78">
                  <c:v>800</c:v>
                </c:pt>
                <c:pt idx="79">
                  <c:v>800</c:v>
                </c:pt>
                <c:pt idx="80">
                  <c:v>800</c:v>
                </c:pt>
                <c:pt idx="81">
                  <c:v>800</c:v>
                </c:pt>
                <c:pt idx="82">
                  <c:v>800</c:v>
                </c:pt>
                <c:pt idx="83">
                  <c:v>800</c:v>
                </c:pt>
                <c:pt idx="84">
                  <c:v>800</c:v>
                </c:pt>
                <c:pt idx="85">
                  <c:v>800</c:v>
                </c:pt>
                <c:pt idx="86">
                  <c:v>800</c:v>
                </c:pt>
                <c:pt idx="87">
                  <c:v>800</c:v>
                </c:pt>
                <c:pt idx="88">
                  <c:v>800</c:v>
                </c:pt>
                <c:pt idx="89">
                  <c:v>800</c:v>
                </c:pt>
                <c:pt idx="90">
                  <c:v>940</c:v>
                </c:pt>
                <c:pt idx="91">
                  <c:v>940</c:v>
                </c:pt>
                <c:pt idx="92">
                  <c:v>940</c:v>
                </c:pt>
                <c:pt idx="93">
                  <c:v>940</c:v>
                </c:pt>
                <c:pt idx="94">
                  <c:v>940</c:v>
                </c:pt>
                <c:pt idx="95">
                  <c:v>940</c:v>
                </c:pt>
                <c:pt idx="96">
                  <c:v>940</c:v>
                </c:pt>
                <c:pt idx="97">
                  <c:v>940</c:v>
                </c:pt>
                <c:pt idx="98">
                  <c:v>940</c:v>
                </c:pt>
                <c:pt idx="99">
                  <c:v>940</c:v>
                </c:pt>
                <c:pt idx="100">
                  <c:v>940</c:v>
                </c:pt>
                <c:pt idx="101">
                  <c:v>940</c:v>
                </c:pt>
                <c:pt idx="102">
                  <c:v>940</c:v>
                </c:pt>
                <c:pt idx="103">
                  <c:v>940</c:v>
                </c:pt>
                <c:pt idx="104">
                  <c:v>940</c:v>
                </c:pt>
                <c:pt idx="105">
                  <c:v>940</c:v>
                </c:pt>
                <c:pt idx="106">
                  <c:v>940</c:v>
                </c:pt>
                <c:pt idx="107">
                  <c:v>940</c:v>
                </c:pt>
                <c:pt idx="108">
                  <c:v>940</c:v>
                </c:pt>
                <c:pt idx="109">
                  <c:v>940</c:v>
                </c:pt>
                <c:pt idx="110">
                  <c:v>940</c:v>
                </c:pt>
                <c:pt idx="111">
                  <c:v>940</c:v>
                </c:pt>
                <c:pt idx="112">
                  <c:v>940</c:v>
                </c:pt>
                <c:pt idx="113">
                  <c:v>940</c:v>
                </c:pt>
                <c:pt idx="114">
                  <c:v>940</c:v>
                </c:pt>
                <c:pt idx="115">
                  <c:v>940</c:v>
                </c:pt>
                <c:pt idx="116">
                  <c:v>940</c:v>
                </c:pt>
                <c:pt idx="117">
                  <c:v>940</c:v>
                </c:pt>
                <c:pt idx="118">
                  <c:v>940</c:v>
                </c:pt>
                <c:pt idx="119">
                  <c:v>940</c:v>
                </c:pt>
                <c:pt idx="120">
                  <c:v>1020</c:v>
                </c:pt>
                <c:pt idx="121">
                  <c:v>1020</c:v>
                </c:pt>
                <c:pt idx="122">
                  <c:v>1020</c:v>
                </c:pt>
                <c:pt idx="123">
                  <c:v>1020</c:v>
                </c:pt>
                <c:pt idx="124">
                  <c:v>1020</c:v>
                </c:pt>
                <c:pt idx="125">
                  <c:v>1020</c:v>
                </c:pt>
                <c:pt idx="126">
                  <c:v>1020</c:v>
                </c:pt>
                <c:pt idx="127">
                  <c:v>1020</c:v>
                </c:pt>
                <c:pt idx="128">
                  <c:v>1020</c:v>
                </c:pt>
                <c:pt idx="129">
                  <c:v>1020</c:v>
                </c:pt>
                <c:pt idx="130">
                  <c:v>1020</c:v>
                </c:pt>
                <c:pt idx="131">
                  <c:v>1020</c:v>
                </c:pt>
                <c:pt idx="132">
                  <c:v>1020</c:v>
                </c:pt>
                <c:pt idx="133">
                  <c:v>1020</c:v>
                </c:pt>
                <c:pt idx="134">
                  <c:v>1020</c:v>
                </c:pt>
                <c:pt idx="135">
                  <c:v>1020</c:v>
                </c:pt>
                <c:pt idx="136">
                  <c:v>1020</c:v>
                </c:pt>
                <c:pt idx="137">
                  <c:v>1020</c:v>
                </c:pt>
                <c:pt idx="138">
                  <c:v>1020</c:v>
                </c:pt>
                <c:pt idx="139">
                  <c:v>1020</c:v>
                </c:pt>
                <c:pt idx="140">
                  <c:v>1020</c:v>
                </c:pt>
                <c:pt idx="141">
                  <c:v>1020</c:v>
                </c:pt>
                <c:pt idx="142">
                  <c:v>1020</c:v>
                </c:pt>
                <c:pt idx="143">
                  <c:v>1020</c:v>
                </c:pt>
                <c:pt idx="144">
                  <c:v>1020</c:v>
                </c:pt>
                <c:pt idx="145">
                  <c:v>1020</c:v>
                </c:pt>
                <c:pt idx="146">
                  <c:v>1020</c:v>
                </c:pt>
                <c:pt idx="147">
                  <c:v>1020</c:v>
                </c:pt>
                <c:pt idx="148">
                  <c:v>1020</c:v>
                </c:pt>
                <c:pt idx="149">
                  <c:v>1020</c:v>
                </c:pt>
                <c:pt idx="150">
                  <c:v>1020</c:v>
                </c:pt>
                <c:pt idx="151">
                  <c:v>1020</c:v>
                </c:pt>
                <c:pt idx="152">
                  <c:v>1020</c:v>
                </c:pt>
                <c:pt idx="153">
                  <c:v>1020</c:v>
                </c:pt>
                <c:pt idx="154">
                  <c:v>1020</c:v>
                </c:pt>
                <c:pt idx="155">
                  <c:v>1020</c:v>
                </c:pt>
                <c:pt idx="156">
                  <c:v>1020</c:v>
                </c:pt>
                <c:pt idx="157">
                  <c:v>1020</c:v>
                </c:pt>
                <c:pt idx="158">
                  <c:v>1020</c:v>
                </c:pt>
                <c:pt idx="159">
                  <c:v>1020</c:v>
                </c:pt>
                <c:pt idx="160">
                  <c:v>1020</c:v>
                </c:pt>
                <c:pt idx="161">
                  <c:v>1020</c:v>
                </c:pt>
                <c:pt idx="162">
                  <c:v>1020</c:v>
                </c:pt>
                <c:pt idx="163">
                  <c:v>1020</c:v>
                </c:pt>
                <c:pt idx="164">
                  <c:v>1020</c:v>
                </c:pt>
                <c:pt idx="165">
                  <c:v>1020</c:v>
                </c:pt>
                <c:pt idx="166">
                  <c:v>1020</c:v>
                </c:pt>
                <c:pt idx="167">
                  <c:v>1020</c:v>
                </c:pt>
                <c:pt idx="168">
                  <c:v>1020</c:v>
                </c:pt>
                <c:pt idx="169">
                  <c:v>1020</c:v>
                </c:pt>
                <c:pt idx="170">
                  <c:v>1020</c:v>
                </c:pt>
                <c:pt idx="171">
                  <c:v>1020</c:v>
                </c:pt>
                <c:pt idx="172">
                  <c:v>1020</c:v>
                </c:pt>
                <c:pt idx="173">
                  <c:v>1020</c:v>
                </c:pt>
                <c:pt idx="174">
                  <c:v>1020</c:v>
                </c:pt>
                <c:pt idx="175">
                  <c:v>1020</c:v>
                </c:pt>
                <c:pt idx="176">
                  <c:v>1020</c:v>
                </c:pt>
                <c:pt idx="177">
                  <c:v>1020</c:v>
                </c:pt>
                <c:pt idx="178">
                  <c:v>1020</c:v>
                </c:pt>
                <c:pt idx="179">
                  <c:v>1020</c:v>
                </c:pt>
                <c:pt idx="180">
                  <c:v>1020</c:v>
                </c:pt>
                <c:pt idx="181">
                  <c:v>875</c:v>
                </c:pt>
                <c:pt idx="182">
                  <c:v>875</c:v>
                </c:pt>
                <c:pt idx="183">
                  <c:v>875</c:v>
                </c:pt>
                <c:pt idx="184">
                  <c:v>875</c:v>
                </c:pt>
                <c:pt idx="185">
                  <c:v>875</c:v>
                </c:pt>
                <c:pt idx="186">
                  <c:v>875</c:v>
                </c:pt>
                <c:pt idx="187">
                  <c:v>875</c:v>
                </c:pt>
                <c:pt idx="188">
                  <c:v>875</c:v>
                </c:pt>
                <c:pt idx="189">
                  <c:v>875</c:v>
                </c:pt>
                <c:pt idx="190">
                  <c:v>875</c:v>
                </c:pt>
                <c:pt idx="191">
                  <c:v>875</c:v>
                </c:pt>
                <c:pt idx="192">
                  <c:v>875</c:v>
                </c:pt>
                <c:pt idx="193">
                  <c:v>875</c:v>
                </c:pt>
                <c:pt idx="194">
                  <c:v>875</c:v>
                </c:pt>
                <c:pt idx="195">
                  <c:v>875</c:v>
                </c:pt>
                <c:pt idx="196">
                  <c:v>875</c:v>
                </c:pt>
                <c:pt idx="197">
                  <c:v>875</c:v>
                </c:pt>
                <c:pt idx="198">
                  <c:v>875</c:v>
                </c:pt>
                <c:pt idx="199">
                  <c:v>875</c:v>
                </c:pt>
                <c:pt idx="200">
                  <c:v>875</c:v>
                </c:pt>
                <c:pt idx="201">
                  <c:v>875</c:v>
                </c:pt>
                <c:pt idx="202">
                  <c:v>875</c:v>
                </c:pt>
                <c:pt idx="203">
                  <c:v>875</c:v>
                </c:pt>
                <c:pt idx="204">
                  <c:v>875</c:v>
                </c:pt>
                <c:pt idx="205">
                  <c:v>875</c:v>
                </c:pt>
                <c:pt idx="206">
                  <c:v>875</c:v>
                </c:pt>
                <c:pt idx="207">
                  <c:v>875</c:v>
                </c:pt>
                <c:pt idx="208">
                  <c:v>875</c:v>
                </c:pt>
                <c:pt idx="209">
                  <c:v>875</c:v>
                </c:pt>
                <c:pt idx="210">
                  <c:v>875</c:v>
                </c:pt>
                <c:pt idx="211">
                  <c:v>875</c:v>
                </c:pt>
                <c:pt idx="212">
                  <c:v>765</c:v>
                </c:pt>
                <c:pt idx="213">
                  <c:v>765</c:v>
                </c:pt>
                <c:pt idx="214">
                  <c:v>765</c:v>
                </c:pt>
                <c:pt idx="215">
                  <c:v>765</c:v>
                </c:pt>
                <c:pt idx="216">
                  <c:v>765</c:v>
                </c:pt>
                <c:pt idx="217">
                  <c:v>765</c:v>
                </c:pt>
                <c:pt idx="218">
                  <c:v>765</c:v>
                </c:pt>
                <c:pt idx="219">
                  <c:v>765</c:v>
                </c:pt>
                <c:pt idx="220">
                  <c:v>765</c:v>
                </c:pt>
                <c:pt idx="221">
                  <c:v>765</c:v>
                </c:pt>
                <c:pt idx="222">
                  <c:v>765</c:v>
                </c:pt>
                <c:pt idx="223">
                  <c:v>765</c:v>
                </c:pt>
                <c:pt idx="224">
                  <c:v>765</c:v>
                </c:pt>
                <c:pt idx="225">
                  <c:v>765</c:v>
                </c:pt>
                <c:pt idx="226">
                  <c:v>765</c:v>
                </c:pt>
                <c:pt idx="227">
                  <c:v>765</c:v>
                </c:pt>
                <c:pt idx="228">
                  <c:v>765</c:v>
                </c:pt>
                <c:pt idx="229">
                  <c:v>765</c:v>
                </c:pt>
                <c:pt idx="230">
                  <c:v>765</c:v>
                </c:pt>
                <c:pt idx="231">
                  <c:v>765</c:v>
                </c:pt>
                <c:pt idx="232">
                  <c:v>765</c:v>
                </c:pt>
                <c:pt idx="233">
                  <c:v>765</c:v>
                </c:pt>
                <c:pt idx="234">
                  <c:v>765</c:v>
                </c:pt>
                <c:pt idx="235">
                  <c:v>765</c:v>
                </c:pt>
                <c:pt idx="236">
                  <c:v>765</c:v>
                </c:pt>
                <c:pt idx="237">
                  <c:v>765</c:v>
                </c:pt>
                <c:pt idx="238">
                  <c:v>765</c:v>
                </c:pt>
                <c:pt idx="239">
                  <c:v>765</c:v>
                </c:pt>
                <c:pt idx="240">
                  <c:v>765</c:v>
                </c:pt>
                <c:pt idx="241">
                  <c:v>765</c:v>
                </c:pt>
                <c:pt idx="242">
                  <c:v>765</c:v>
                </c:pt>
                <c:pt idx="243">
                  <c:v>765</c:v>
                </c:pt>
                <c:pt idx="244">
                  <c:v>765</c:v>
                </c:pt>
                <c:pt idx="245">
                  <c:v>765</c:v>
                </c:pt>
                <c:pt idx="246">
                  <c:v>765</c:v>
                </c:pt>
                <c:pt idx="247">
                  <c:v>765</c:v>
                </c:pt>
                <c:pt idx="248">
                  <c:v>765</c:v>
                </c:pt>
                <c:pt idx="249">
                  <c:v>765</c:v>
                </c:pt>
                <c:pt idx="250">
                  <c:v>765</c:v>
                </c:pt>
                <c:pt idx="251">
                  <c:v>765</c:v>
                </c:pt>
                <c:pt idx="252">
                  <c:v>765</c:v>
                </c:pt>
                <c:pt idx="253">
                  <c:v>765</c:v>
                </c:pt>
                <c:pt idx="254">
                  <c:v>765</c:v>
                </c:pt>
                <c:pt idx="255">
                  <c:v>765</c:v>
                </c:pt>
                <c:pt idx="256">
                  <c:v>765</c:v>
                </c:pt>
                <c:pt idx="257">
                  <c:v>765</c:v>
                </c:pt>
                <c:pt idx="258">
                  <c:v>765</c:v>
                </c:pt>
                <c:pt idx="259">
                  <c:v>765</c:v>
                </c:pt>
                <c:pt idx="260">
                  <c:v>765</c:v>
                </c:pt>
                <c:pt idx="261">
                  <c:v>765</c:v>
                </c:pt>
                <c:pt idx="262">
                  <c:v>765</c:v>
                </c:pt>
                <c:pt idx="263">
                  <c:v>765</c:v>
                </c:pt>
                <c:pt idx="264">
                  <c:v>765</c:v>
                </c:pt>
                <c:pt idx="265">
                  <c:v>765</c:v>
                </c:pt>
                <c:pt idx="266">
                  <c:v>765</c:v>
                </c:pt>
                <c:pt idx="267">
                  <c:v>765</c:v>
                </c:pt>
                <c:pt idx="268">
                  <c:v>765</c:v>
                </c:pt>
                <c:pt idx="269">
                  <c:v>765</c:v>
                </c:pt>
                <c:pt idx="270">
                  <c:v>765</c:v>
                </c:pt>
                <c:pt idx="271">
                  <c:v>765</c:v>
                </c:pt>
                <c:pt idx="272">
                  <c:v>765</c:v>
                </c:pt>
                <c:pt idx="273">
                  <c:v>680</c:v>
                </c:pt>
                <c:pt idx="274">
                  <c:v>680</c:v>
                </c:pt>
                <c:pt idx="275">
                  <c:v>680</c:v>
                </c:pt>
                <c:pt idx="276">
                  <c:v>680</c:v>
                </c:pt>
                <c:pt idx="277">
                  <c:v>680</c:v>
                </c:pt>
                <c:pt idx="278">
                  <c:v>680</c:v>
                </c:pt>
                <c:pt idx="279">
                  <c:v>680</c:v>
                </c:pt>
                <c:pt idx="280">
                  <c:v>680</c:v>
                </c:pt>
                <c:pt idx="281">
                  <c:v>680</c:v>
                </c:pt>
                <c:pt idx="282">
                  <c:v>680</c:v>
                </c:pt>
                <c:pt idx="283">
                  <c:v>680</c:v>
                </c:pt>
                <c:pt idx="284">
                  <c:v>680</c:v>
                </c:pt>
                <c:pt idx="285">
                  <c:v>680</c:v>
                </c:pt>
                <c:pt idx="286">
                  <c:v>680</c:v>
                </c:pt>
                <c:pt idx="287">
                  <c:v>680</c:v>
                </c:pt>
                <c:pt idx="288">
                  <c:v>680</c:v>
                </c:pt>
                <c:pt idx="289">
                  <c:v>680</c:v>
                </c:pt>
                <c:pt idx="290">
                  <c:v>680</c:v>
                </c:pt>
                <c:pt idx="291">
                  <c:v>680</c:v>
                </c:pt>
                <c:pt idx="292">
                  <c:v>680</c:v>
                </c:pt>
                <c:pt idx="293">
                  <c:v>680</c:v>
                </c:pt>
                <c:pt idx="294">
                  <c:v>680</c:v>
                </c:pt>
                <c:pt idx="295">
                  <c:v>680</c:v>
                </c:pt>
                <c:pt idx="296">
                  <c:v>680</c:v>
                </c:pt>
                <c:pt idx="297">
                  <c:v>680</c:v>
                </c:pt>
                <c:pt idx="298">
                  <c:v>680</c:v>
                </c:pt>
                <c:pt idx="299">
                  <c:v>680</c:v>
                </c:pt>
                <c:pt idx="300">
                  <c:v>680</c:v>
                </c:pt>
                <c:pt idx="301">
                  <c:v>680</c:v>
                </c:pt>
                <c:pt idx="302">
                  <c:v>680</c:v>
                </c:pt>
                <c:pt idx="303">
                  <c:v>680</c:v>
                </c:pt>
                <c:pt idx="304">
                  <c:v>680</c:v>
                </c:pt>
                <c:pt idx="305">
                  <c:v>680</c:v>
                </c:pt>
                <c:pt idx="306">
                  <c:v>680</c:v>
                </c:pt>
                <c:pt idx="307">
                  <c:v>680</c:v>
                </c:pt>
                <c:pt idx="308">
                  <c:v>680</c:v>
                </c:pt>
                <c:pt idx="309">
                  <c:v>680</c:v>
                </c:pt>
                <c:pt idx="310">
                  <c:v>680</c:v>
                </c:pt>
                <c:pt idx="311">
                  <c:v>680</c:v>
                </c:pt>
                <c:pt idx="312">
                  <c:v>680</c:v>
                </c:pt>
                <c:pt idx="313">
                  <c:v>680</c:v>
                </c:pt>
                <c:pt idx="314">
                  <c:v>680</c:v>
                </c:pt>
                <c:pt idx="315">
                  <c:v>680</c:v>
                </c:pt>
                <c:pt idx="316">
                  <c:v>680</c:v>
                </c:pt>
                <c:pt idx="317">
                  <c:v>680</c:v>
                </c:pt>
                <c:pt idx="318">
                  <c:v>680</c:v>
                </c:pt>
                <c:pt idx="319">
                  <c:v>680</c:v>
                </c:pt>
                <c:pt idx="320">
                  <c:v>680</c:v>
                </c:pt>
                <c:pt idx="321">
                  <c:v>680</c:v>
                </c:pt>
                <c:pt idx="322">
                  <c:v>680</c:v>
                </c:pt>
                <c:pt idx="323">
                  <c:v>680</c:v>
                </c:pt>
              </c:numCache>
            </c:numRef>
          </c:val>
          <c:smooth val="0"/>
        </c:ser>
        <c:dLbls>
          <c:showLegendKey val="0"/>
          <c:showVal val="0"/>
          <c:showCatName val="0"/>
          <c:showSerName val="0"/>
          <c:showPercent val="0"/>
          <c:showBubbleSize val="0"/>
        </c:dLbls>
        <c:marker val="1"/>
        <c:smooth val="0"/>
        <c:axId val="267606272"/>
        <c:axId val="267616256"/>
      </c:lineChart>
      <c:dateAx>
        <c:axId val="267606272"/>
        <c:scaling>
          <c:orientation val="minMax"/>
          <c:max val="42328"/>
        </c:scaling>
        <c:delete val="0"/>
        <c:axPos val="b"/>
        <c:numFmt formatCode="yyyy/m/d" sourceLinked="1"/>
        <c:majorTickMark val="out"/>
        <c:minorTickMark val="none"/>
        <c:tickLblPos val="nextTo"/>
        <c:crossAx val="267616256"/>
        <c:crosses val="autoZero"/>
        <c:auto val="1"/>
        <c:lblOffset val="100"/>
        <c:baseTimeUnit val="days"/>
        <c:majorUnit val="1"/>
        <c:majorTimeUnit val="months"/>
        <c:minorUnit val="1"/>
        <c:minorTimeUnit val="months"/>
      </c:dateAx>
      <c:valAx>
        <c:axId val="267616256"/>
        <c:scaling>
          <c:orientation val="minMax"/>
          <c:min val="650"/>
        </c:scaling>
        <c:delete val="0"/>
        <c:axPos val="l"/>
        <c:majorGridlines/>
        <c:numFmt formatCode="General" sourceLinked="1"/>
        <c:majorTickMark val="out"/>
        <c:minorTickMark val="none"/>
        <c:tickLblPos val="nextTo"/>
        <c:crossAx val="267606272"/>
        <c:crosses val="autoZero"/>
        <c:crossBetween val="between"/>
      </c:valAx>
    </c:plotArea>
    <c:legend>
      <c:legendPos val="b"/>
      <c:overlay val="0"/>
    </c:legend>
    <c:plotVisOnly val="1"/>
    <c:dispBlanksAs val="gap"/>
    <c:showDLblsOverMax val="0"/>
  </c:chart>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2136055060711838E-2"/>
          <c:y val="4.8062855779391213E-2"/>
          <c:w val="0.85659176695969164"/>
          <c:h val="0.6193690692509588"/>
        </c:manualLayout>
      </c:layout>
      <c:lineChart>
        <c:grouping val="standard"/>
        <c:varyColors val="0"/>
        <c:ser>
          <c:idx val="0"/>
          <c:order val="0"/>
          <c:tx>
            <c:strRef>
              <c:f>紙!$G$1</c:f>
              <c:strCache>
                <c:ptCount val="1"/>
                <c:pt idx="0">
                  <c:v>紙漿 短纖-闊葉樹漂白 國產 出廠價未稅(美元/公噸)</c:v>
                </c:pt>
              </c:strCache>
            </c:strRef>
          </c:tx>
          <c:spPr>
            <a:ln>
              <a:prstDash val="sysDash"/>
            </a:ln>
          </c:spPr>
          <c:marker>
            <c:symbol val="none"/>
          </c:marker>
          <c:cat>
            <c:numRef>
              <c:f>紙!$F$216:$F$539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紙!$G$216:$G$539</c:f>
              <c:numCache>
                <c:formatCode>General</c:formatCode>
                <c:ptCount val="324"/>
                <c:pt idx="0">
                  <c:v>666</c:v>
                </c:pt>
                <c:pt idx="1">
                  <c:v>666</c:v>
                </c:pt>
                <c:pt idx="2">
                  <c:v>666</c:v>
                </c:pt>
                <c:pt idx="3">
                  <c:v>666</c:v>
                </c:pt>
                <c:pt idx="4">
                  <c:v>666</c:v>
                </c:pt>
                <c:pt idx="5">
                  <c:v>666</c:v>
                </c:pt>
                <c:pt idx="6">
                  <c:v>666</c:v>
                </c:pt>
                <c:pt idx="7">
                  <c:v>666</c:v>
                </c:pt>
                <c:pt idx="8">
                  <c:v>666</c:v>
                </c:pt>
                <c:pt idx="9">
                  <c:v>666</c:v>
                </c:pt>
                <c:pt idx="10">
                  <c:v>666</c:v>
                </c:pt>
                <c:pt idx="11">
                  <c:v>666</c:v>
                </c:pt>
                <c:pt idx="12">
                  <c:v>666</c:v>
                </c:pt>
                <c:pt idx="13">
                  <c:v>666</c:v>
                </c:pt>
                <c:pt idx="14">
                  <c:v>666</c:v>
                </c:pt>
                <c:pt idx="15">
                  <c:v>666</c:v>
                </c:pt>
                <c:pt idx="16">
                  <c:v>666</c:v>
                </c:pt>
                <c:pt idx="17">
                  <c:v>666</c:v>
                </c:pt>
                <c:pt idx="18">
                  <c:v>666</c:v>
                </c:pt>
                <c:pt idx="19">
                  <c:v>666</c:v>
                </c:pt>
                <c:pt idx="20">
                  <c:v>666</c:v>
                </c:pt>
                <c:pt idx="21">
                  <c:v>666</c:v>
                </c:pt>
                <c:pt idx="22">
                  <c:v>666</c:v>
                </c:pt>
                <c:pt idx="23">
                  <c:v>666</c:v>
                </c:pt>
                <c:pt idx="24">
                  <c:v>666</c:v>
                </c:pt>
                <c:pt idx="25">
                  <c:v>666</c:v>
                </c:pt>
                <c:pt idx="26">
                  <c:v>666</c:v>
                </c:pt>
                <c:pt idx="27">
                  <c:v>666</c:v>
                </c:pt>
                <c:pt idx="28">
                  <c:v>666</c:v>
                </c:pt>
                <c:pt idx="29">
                  <c:v>666</c:v>
                </c:pt>
                <c:pt idx="30">
                  <c:v>666</c:v>
                </c:pt>
                <c:pt idx="31">
                  <c:v>671.13333333333355</c:v>
                </c:pt>
                <c:pt idx="32">
                  <c:v>671.13333333333355</c:v>
                </c:pt>
                <c:pt idx="33">
                  <c:v>671.13333333333355</c:v>
                </c:pt>
                <c:pt idx="34">
                  <c:v>671.13333333333355</c:v>
                </c:pt>
                <c:pt idx="35">
                  <c:v>671.13333333333355</c:v>
                </c:pt>
                <c:pt idx="36">
                  <c:v>671.13333333333355</c:v>
                </c:pt>
                <c:pt idx="37">
                  <c:v>671.13333333333355</c:v>
                </c:pt>
                <c:pt idx="38">
                  <c:v>671.13333333333355</c:v>
                </c:pt>
                <c:pt idx="39">
                  <c:v>671.13333333333355</c:v>
                </c:pt>
                <c:pt idx="40">
                  <c:v>671.13333333333355</c:v>
                </c:pt>
                <c:pt idx="41">
                  <c:v>671.13333333333355</c:v>
                </c:pt>
                <c:pt idx="42">
                  <c:v>671.13333333333355</c:v>
                </c:pt>
                <c:pt idx="43">
                  <c:v>671.13333333333355</c:v>
                </c:pt>
                <c:pt idx="44">
                  <c:v>671.13333333333355</c:v>
                </c:pt>
                <c:pt idx="45">
                  <c:v>671.13333333333355</c:v>
                </c:pt>
                <c:pt idx="46">
                  <c:v>671.13333333333355</c:v>
                </c:pt>
                <c:pt idx="47">
                  <c:v>671.13333333333355</c:v>
                </c:pt>
                <c:pt idx="48">
                  <c:v>671.13333333333355</c:v>
                </c:pt>
                <c:pt idx="49">
                  <c:v>671.13333333333355</c:v>
                </c:pt>
                <c:pt idx="50">
                  <c:v>671.13333333333355</c:v>
                </c:pt>
                <c:pt idx="51">
                  <c:v>671.13333333333355</c:v>
                </c:pt>
                <c:pt idx="52">
                  <c:v>671.13333333333355</c:v>
                </c:pt>
                <c:pt idx="53">
                  <c:v>671.13333333333355</c:v>
                </c:pt>
                <c:pt idx="54">
                  <c:v>671.13333333333355</c:v>
                </c:pt>
                <c:pt idx="55">
                  <c:v>671.13333333333355</c:v>
                </c:pt>
                <c:pt idx="56">
                  <c:v>671.13333333333355</c:v>
                </c:pt>
                <c:pt idx="57">
                  <c:v>671.13333333333355</c:v>
                </c:pt>
                <c:pt idx="58">
                  <c:v>671.13333333333355</c:v>
                </c:pt>
                <c:pt idx="59">
                  <c:v>668.66666666666663</c:v>
                </c:pt>
                <c:pt idx="60">
                  <c:v>668.66666666666663</c:v>
                </c:pt>
                <c:pt idx="61">
                  <c:v>668.66666666666663</c:v>
                </c:pt>
                <c:pt idx="62">
                  <c:v>668.66666666666663</c:v>
                </c:pt>
                <c:pt idx="63">
                  <c:v>668.66666666666663</c:v>
                </c:pt>
                <c:pt idx="64">
                  <c:v>668.66666666666663</c:v>
                </c:pt>
                <c:pt idx="65">
                  <c:v>668.66666666666663</c:v>
                </c:pt>
                <c:pt idx="66">
                  <c:v>668.66666666666663</c:v>
                </c:pt>
                <c:pt idx="67">
                  <c:v>668.66666666666663</c:v>
                </c:pt>
                <c:pt idx="68">
                  <c:v>668.66666666666663</c:v>
                </c:pt>
                <c:pt idx="69">
                  <c:v>668.66666666666663</c:v>
                </c:pt>
                <c:pt idx="70">
                  <c:v>668.66666666666663</c:v>
                </c:pt>
                <c:pt idx="71">
                  <c:v>668.66666666666663</c:v>
                </c:pt>
                <c:pt idx="72">
                  <c:v>668.66666666666663</c:v>
                </c:pt>
                <c:pt idx="73">
                  <c:v>668.66666666666663</c:v>
                </c:pt>
                <c:pt idx="74">
                  <c:v>668.66666666666663</c:v>
                </c:pt>
                <c:pt idx="75">
                  <c:v>668.66666666666663</c:v>
                </c:pt>
                <c:pt idx="76">
                  <c:v>668.66666666666663</c:v>
                </c:pt>
                <c:pt idx="77">
                  <c:v>668.66666666666663</c:v>
                </c:pt>
                <c:pt idx="78">
                  <c:v>668.66666666666663</c:v>
                </c:pt>
                <c:pt idx="79">
                  <c:v>668.66666666666663</c:v>
                </c:pt>
                <c:pt idx="80">
                  <c:v>668.66666666666663</c:v>
                </c:pt>
                <c:pt idx="81">
                  <c:v>668.66666666666663</c:v>
                </c:pt>
                <c:pt idx="82">
                  <c:v>668.66666666666663</c:v>
                </c:pt>
                <c:pt idx="83">
                  <c:v>668.66666666666663</c:v>
                </c:pt>
                <c:pt idx="84">
                  <c:v>668.66666666666663</c:v>
                </c:pt>
                <c:pt idx="85">
                  <c:v>668.66666666666663</c:v>
                </c:pt>
                <c:pt idx="86">
                  <c:v>668.66666666666663</c:v>
                </c:pt>
                <c:pt idx="87">
                  <c:v>668.66666666666663</c:v>
                </c:pt>
                <c:pt idx="88">
                  <c:v>668.66666666666663</c:v>
                </c:pt>
                <c:pt idx="89">
                  <c:v>668.66666666666663</c:v>
                </c:pt>
                <c:pt idx="90">
                  <c:v>688.9</c:v>
                </c:pt>
                <c:pt idx="91">
                  <c:v>688.9</c:v>
                </c:pt>
                <c:pt idx="92">
                  <c:v>688.9</c:v>
                </c:pt>
                <c:pt idx="93">
                  <c:v>688.9</c:v>
                </c:pt>
                <c:pt idx="94">
                  <c:v>688.9</c:v>
                </c:pt>
                <c:pt idx="95">
                  <c:v>688.9</c:v>
                </c:pt>
                <c:pt idx="96">
                  <c:v>688.9</c:v>
                </c:pt>
                <c:pt idx="97">
                  <c:v>688.9</c:v>
                </c:pt>
                <c:pt idx="98">
                  <c:v>688.9</c:v>
                </c:pt>
                <c:pt idx="99">
                  <c:v>688.9</c:v>
                </c:pt>
                <c:pt idx="100">
                  <c:v>688.9</c:v>
                </c:pt>
                <c:pt idx="101">
                  <c:v>688.9</c:v>
                </c:pt>
                <c:pt idx="102">
                  <c:v>688.9</c:v>
                </c:pt>
                <c:pt idx="103">
                  <c:v>688.9</c:v>
                </c:pt>
                <c:pt idx="104">
                  <c:v>688.9</c:v>
                </c:pt>
                <c:pt idx="105">
                  <c:v>688.9</c:v>
                </c:pt>
                <c:pt idx="106">
                  <c:v>688.9</c:v>
                </c:pt>
                <c:pt idx="107">
                  <c:v>688.9</c:v>
                </c:pt>
                <c:pt idx="108">
                  <c:v>688.9</c:v>
                </c:pt>
                <c:pt idx="109">
                  <c:v>688.9</c:v>
                </c:pt>
                <c:pt idx="110">
                  <c:v>688.9</c:v>
                </c:pt>
                <c:pt idx="111">
                  <c:v>688.9</c:v>
                </c:pt>
                <c:pt idx="112">
                  <c:v>688.9</c:v>
                </c:pt>
                <c:pt idx="113">
                  <c:v>688.9</c:v>
                </c:pt>
                <c:pt idx="114">
                  <c:v>688.9</c:v>
                </c:pt>
                <c:pt idx="115">
                  <c:v>688.9</c:v>
                </c:pt>
                <c:pt idx="116">
                  <c:v>688.9</c:v>
                </c:pt>
                <c:pt idx="117">
                  <c:v>688.9</c:v>
                </c:pt>
                <c:pt idx="118">
                  <c:v>688.9</c:v>
                </c:pt>
                <c:pt idx="119">
                  <c:v>688.9</c:v>
                </c:pt>
                <c:pt idx="120">
                  <c:v>701.3</c:v>
                </c:pt>
                <c:pt idx="121">
                  <c:v>701.3</c:v>
                </c:pt>
                <c:pt idx="122">
                  <c:v>701.3</c:v>
                </c:pt>
                <c:pt idx="123">
                  <c:v>701.3</c:v>
                </c:pt>
                <c:pt idx="124">
                  <c:v>701.3</c:v>
                </c:pt>
                <c:pt idx="125">
                  <c:v>701.3</c:v>
                </c:pt>
                <c:pt idx="126">
                  <c:v>701.3</c:v>
                </c:pt>
                <c:pt idx="127">
                  <c:v>701.3</c:v>
                </c:pt>
                <c:pt idx="128">
                  <c:v>701.3</c:v>
                </c:pt>
                <c:pt idx="129">
                  <c:v>701.3</c:v>
                </c:pt>
                <c:pt idx="130">
                  <c:v>701.3</c:v>
                </c:pt>
                <c:pt idx="131">
                  <c:v>701.3</c:v>
                </c:pt>
                <c:pt idx="132">
                  <c:v>701.3</c:v>
                </c:pt>
                <c:pt idx="133">
                  <c:v>701.3</c:v>
                </c:pt>
                <c:pt idx="134">
                  <c:v>701.3</c:v>
                </c:pt>
                <c:pt idx="135">
                  <c:v>701.3</c:v>
                </c:pt>
                <c:pt idx="136">
                  <c:v>701.3</c:v>
                </c:pt>
                <c:pt idx="137">
                  <c:v>701.3</c:v>
                </c:pt>
                <c:pt idx="138">
                  <c:v>701.3</c:v>
                </c:pt>
                <c:pt idx="139">
                  <c:v>701.3</c:v>
                </c:pt>
                <c:pt idx="140">
                  <c:v>701.3</c:v>
                </c:pt>
                <c:pt idx="141">
                  <c:v>701.3</c:v>
                </c:pt>
                <c:pt idx="142">
                  <c:v>701.3</c:v>
                </c:pt>
                <c:pt idx="143">
                  <c:v>701.3</c:v>
                </c:pt>
                <c:pt idx="144">
                  <c:v>701.3</c:v>
                </c:pt>
                <c:pt idx="145">
                  <c:v>701.3</c:v>
                </c:pt>
                <c:pt idx="146">
                  <c:v>701.3</c:v>
                </c:pt>
                <c:pt idx="147">
                  <c:v>701.3</c:v>
                </c:pt>
                <c:pt idx="148">
                  <c:v>701.3</c:v>
                </c:pt>
                <c:pt idx="149">
                  <c:v>701.3</c:v>
                </c:pt>
                <c:pt idx="150">
                  <c:v>701.3</c:v>
                </c:pt>
                <c:pt idx="151">
                  <c:v>712.73333333333369</c:v>
                </c:pt>
                <c:pt idx="152">
                  <c:v>712.73333333333369</c:v>
                </c:pt>
                <c:pt idx="153">
                  <c:v>712.73333333333369</c:v>
                </c:pt>
                <c:pt idx="154">
                  <c:v>712.73333333333369</c:v>
                </c:pt>
                <c:pt idx="155">
                  <c:v>712.73333333333369</c:v>
                </c:pt>
                <c:pt idx="156">
                  <c:v>712.73333333333369</c:v>
                </c:pt>
                <c:pt idx="157">
                  <c:v>712.73333333333369</c:v>
                </c:pt>
                <c:pt idx="158">
                  <c:v>712.73333333333369</c:v>
                </c:pt>
                <c:pt idx="159">
                  <c:v>712.73333333333369</c:v>
                </c:pt>
                <c:pt idx="160">
                  <c:v>712.73333333333369</c:v>
                </c:pt>
                <c:pt idx="161">
                  <c:v>712.73333333333369</c:v>
                </c:pt>
                <c:pt idx="162">
                  <c:v>712.73333333333369</c:v>
                </c:pt>
                <c:pt idx="163">
                  <c:v>712.73333333333369</c:v>
                </c:pt>
                <c:pt idx="164">
                  <c:v>712.73333333333369</c:v>
                </c:pt>
                <c:pt idx="165">
                  <c:v>712.73333333333369</c:v>
                </c:pt>
                <c:pt idx="166">
                  <c:v>712.73333333333369</c:v>
                </c:pt>
                <c:pt idx="167">
                  <c:v>712.73333333333369</c:v>
                </c:pt>
                <c:pt idx="168">
                  <c:v>712.73333333333369</c:v>
                </c:pt>
                <c:pt idx="169">
                  <c:v>712.73333333333369</c:v>
                </c:pt>
                <c:pt idx="170">
                  <c:v>712.73333333333369</c:v>
                </c:pt>
                <c:pt idx="171">
                  <c:v>712.73333333333369</c:v>
                </c:pt>
                <c:pt idx="172">
                  <c:v>712.73333333333369</c:v>
                </c:pt>
                <c:pt idx="173">
                  <c:v>712.73333333333369</c:v>
                </c:pt>
                <c:pt idx="174">
                  <c:v>712.73333333333369</c:v>
                </c:pt>
                <c:pt idx="175">
                  <c:v>712.73333333333369</c:v>
                </c:pt>
                <c:pt idx="176">
                  <c:v>712.73333333333369</c:v>
                </c:pt>
                <c:pt idx="177">
                  <c:v>712.73333333333369</c:v>
                </c:pt>
                <c:pt idx="178">
                  <c:v>712.73333333333369</c:v>
                </c:pt>
                <c:pt idx="179">
                  <c:v>712.73333333333369</c:v>
                </c:pt>
                <c:pt idx="180">
                  <c:v>712.73333333333369</c:v>
                </c:pt>
                <c:pt idx="181">
                  <c:v>721.73333333333369</c:v>
                </c:pt>
                <c:pt idx="182">
                  <c:v>721.73333333333369</c:v>
                </c:pt>
                <c:pt idx="183">
                  <c:v>721.73333333333369</c:v>
                </c:pt>
                <c:pt idx="184">
                  <c:v>721.73333333333369</c:v>
                </c:pt>
                <c:pt idx="185">
                  <c:v>721.73333333333369</c:v>
                </c:pt>
                <c:pt idx="186">
                  <c:v>721.73333333333369</c:v>
                </c:pt>
                <c:pt idx="187">
                  <c:v>721.73333333333369</c:v>
                </c:pt>
                <c:pt idx="188">
                  <c:v>721.73333333333369</c:v>
                </c:pt>
                <c:pt idx="189">
                  <c:v>721.73333333333369</c:v>
                </c:pt>
                <c:pt idx="190">
                  <c:v>721.73333333333369</c:v>
                </c:pt>
                <c:pt idx="191">
                  <c:v>721.73333333333369</c:v>
                </c:pt>
                <c:pt idx="192">
                  <c:v>721.73333333333369</c:v>
                </c:pt>
                <c:pt idx="193">
                  <c:v>721.73333333333369</c:v>
                </c:pt>
                <c:pt idx="194">
                  <c:v>721.73333333333369</c:v>
                </c:pt>
                <c:pt idx="195">
                  <c:v>721.73333333333369</c:v>
                </c:pt>
                <c:pt idx="196">
                  <c:v>721.73333333333369</c:v>
                </c:pt>
                <c:pt idx="197">
                  <c:v>721.73333333333369</c:v>
                </c:pt>
                <c:pt idx="198">
                  <c:v>721.73333333333369</c:v>
                </c:pt>
                <c:pt idx="199">
                  <c:v>721.73333333333369</c:v>
                </c:pt>
                <c:pt idx="200">
                  <c:v>721.73333333333369</c:v>
                </c:pt>
                <c:pt idx="201">
                  <c:v>721.73333333333369</c:v>
                </c:pt>
                <c:pt idx="202">
                  <c:v>721.73333333333369</c:v>
                </c:pt>
                <c:pt idx="203">
                  <c:v>721.73333333333369</c:v>
                </c:pt>
                <c:pt idx="204">
                  <c:v>721.73333333333369</c:v>
                </c:pt>
                <c:pt idx="205">
                  <c:v>721.73333333333369</c:v>
                </c:pt>
                <c:pt idx="206">
                  <c:v>721.73333333333369</c:v>
                </c:pt>
                <c:pt idx="207">
                  <c:v>721.73333333333369</c:v>
                </c:pt>
                <c:pt idx="208">
                  <c:v>721.73333333333369</c:v>
                </c:pt>
                <c:pt idx="209">
                  <c:v>721.73333333333369</c:v>
                </c:pt>
                <c:pt idx="210">
                  <c:v>721.73333333333369</c:v>
                </c:pt>
                <c:pt idx="211">
                  <c:v>721.73333333333369</c:v>
                </c:pt>
                <c:pt idx="212">
                  <c:v>727</c:v>
                </c:pt>
                <c:pt idx="213">
                  <c:v>727</c:v>
                </c:pt>
                <c:pt idx="214">
                  <c:v>727</c:v>
                </c:pt>
                <c:pt idx="215">
                  <c:v>727</c:v>
                </c:pt>
                <c:pt idx="216">
                  <c:v>727</c:v>
                </c:pt>
                <c:pt idx="217">
                  <c:v>727</c:v>
                </c:pt>
                <c:pt idx="218">
                  <c:v>727</c:v>
                </c:pt>
                <c:pt idx="219">
                  <c:v>727</c:v>
                </c:pt>
                <c:pt idx="220">
                  <c:v>727</c:v>
                </c:pt>
                <c:pt idx="221">
                  <c:v>727</c:v>
                </c:pt>
                <c:pt idx="222">
                  <c:v>727</c:v>
                </c:pt>
                <c:pt idx="223">
                  <c:v>727</c:v>
                </c:pt>
                <c:pt idx="224">
                  <c:v>727</c:v>
                </c:pt>
                <c:pt idx="225">
                  <c:v>727</c:v>
                </c:pt>
                <c:pt idx="226">
                  <c:v>727</c:v>
                </c:pt>
                <c:pt idx="227">
                  <c:v>727</c:v>
                </c:pt>
                <c:pt idx="228">
                  <c:v>727</c:v>
                </c:pt>
                <c:pt idx="229">
                  <c:v>727</c:v>
                </c:pt>
                <c:pt idx="230">
                  <c:v>727</c:v>
                </c:pt>
                <c:pt idx="231">
                  <c:v>727</c:v>
                </c:pt>
                <c:pt idx="232">
                  <c:v>727</c:v>
                </c:pt>
                <c:pt idx="233">
                  <c:v>727</c:v>
                </c:pt>
                <c:pt idx="234">
                  <c:v>727</c:v>
                </c:pt>
                <c:pt idx="235">
                  <c:v>727</c:v>
                </c:pt>
                <c:pt idx="236">
                  <c:v>727</c:v>
                </c:pt>
                <c:pt idx="237">
                  <c:v>727</c:v>
                </c:pt>
                <c:pt idx="238">
                  <c:v>727</c:v>
                </c:pt>
                <c:pt idx="239">
                  <c:v>727</c:v>
                </c:pt>
                <c:pt idx="240">
                  <c:v>727</c:v>
                </c:pt>
                <c:pt idx="241">
                  <c:v>727</c:v>
                </c:pt>
                <c:pt idx="242">
                  <c:v>727</c:v>
                </c:pt>
                <c:pt idx="243">
                  <c:v>740</c:v>
                </c:pt>
                <c:pt idx="244">
                  <c:v>740</c:v>
                </c:pt>
                <c:pt idx="245">
                  <c:v>740</c:v>
                </c:pt>
                <c:pt idx="246">
                  <c:v>740</c:v>
                </c:pt>
                <c:pt idx="247">
                  <c:v>740</c:v>
                </c:pt>
                <c:pt idx="248">
                  <c:v>740</c:v>
                </c:pt>
                <c:pt idx="249">
                  <c:v>740</c:v>
                </c:pt>
                <c:pt idx="250">
                  <c:v>740</c:v>
                </c:pt>
                <c:pt idx="251">
                  <c:v>740</c:v>
                </c:pt>
                <c:pt idx="252">
                  <c:v>740</c:v>
                </c:pt>
                <c:pt idx="253">
                  <c:v>740</c:v>
                </c:pt>
                <c:pt idx="254">
                  <c:v>740</c:v>
                </c:pt>
                <c:pt idx="255">
                  <c:v>740</c:v>
                </c:pt>
                <c:pt idx="256">
                  <c:v>740</c:v>
                </c:pt>
                <c:pt idx="257">
                  <c:v>740</c:v>
                </c:pt>
                <c:pt idx="258">
                  <c:v>740</c:v>
                </c:pt>
                <c:pt idx="259">
                  <c:v>740</c:v>
                </c:pt>
                <c:pt idx="260">
                  <c:v>740</c:v>
                </c:pt>
                <c:pt idx="261">
                  <c:v>740</c:v>
                </c:pt>
                <c:pt idx="262">
                  <c:v>740</c:v>
                </c:pt>
                <c:pt idx="263">
                  <c:v>740</c:v>
                </c:pt>
                <c:pt idx="264">
                  <c:v>740</c:v>
                </c:pt>
                <c:pt idx="265">
                  <c:v>740</c:v>
                </c:pt>
                <c:pt idx="266">
                  <c:v>740</c:v>
                </c:pt>
                <c:pt idx="267">
                  <c:v>740</c:v>
                </c:pt>
                <c:pt idx="268">
                  <c:v>740</c:v>
                </c:pt>
                <c:pt idx="269">
                  <c:v>740</c:v>
                </c:pt>
                <c:pt idx="270">
                  <c:v>740</c:v>
                </c:pt>
                <c:pt idx="271">
                  <c:v>740</c:v>
                </c:pt>
                <c:pt idx="272">
                  <c:v>740</c:v>
                </c:pt>
                <c:pt idx="273">
                  <c:v>740.13333333333355</c:v>
                </c:pt>
                <c:pt idx="274">
                  <c:v>740.13333333333355</c:v>
                </c:pt>
                <c:pt idx="275">
                  <c:v>740.13333333333355</c:v>
                </c:pt>
                <c:pt idx="276">
                  <c:v>740.13333333333355</c:v>
                </c:pt>
                <c:pt idx="277">
                  <c:v>740.13333333333355</c:v>
                </c:pt>
                <c:pt idx="278">
                  <c:v>740.13333333333355</c:v>
                </c:pt>
                <c:pt idx="279">
                  <c:v>740.13333333333355</c:v>
                </c:pt>
                <c:pt idx="280">
                  <c:v>740.13333333333355</c:v>
                </c:pt>
                <c:pt idx="281">
                  <c:v>740.13333333333355</c:v>
                </c:pt>
                <c:pt idx="282">
                  <c:v>740.13333333333355</c:v>
                </c:pt>
                <c:pt idx="283">
                  <c:v>740.13333333333355</c:v>
                </c:pt>
                <c:pt idx="284">
                  <c:v>740.13333333333355</c:v>
                </c:pt>
                <c:pt idx="285">
                  <c:v>740.13333333333355</c:v>
                </c:pt>
                <c:pt idx="286">
                  <c:v>740.13333333333355</c:v>
                </c:pt>
                <c:pt idx="287">
                  <c:v>740.13333333333355</c:v>
                </c:pt>
                <c:pt idx="288">
                  <c:v>740.13333333333355</c:v>
                </c:pt>
                <c:pt idx="289">
                  <c:v>740.13333333333355</c:v>
                </c:pt>
                <c:pt idx="290">
                  <c:v>740.13333333333355</c:v>
                </c:pt>
                <c:pt idx="291">
                  <c:v>740.13333333333355</c:v>
                </c:pt>
                <c:pt idx="292">
                  <c:v>740.13333333333355</c:v>
                </c:pt>
                <c:pt idx="293">
                  <c:v>740.13333333333355</c:v>
                </c:pt>
                <c:pt idx="294">
                  <c:v>740.13333333333355</c:v>
                </c:pt>
                <c:pt idx="295">
                  <c:v>740.13333333333355</c:v>
                </c:pt>
                <c:pt idx="296">
                  <c:v>740.13333333333355</c:v>
                </c:pt>
                <c:pt idx="297">
                  <c:v>740.13333333333355</c:v>
                </c:pt>
                <c:pt idx="298">
                  <c:v>740.13333333333355</c:v>
                </c:pt>
                <c:pt idx="299">
                  <c:v>740.13333333333355</c:v>
                </c:pt>
                <c:pt idx="300">
                  <c:v>740.13333333333355</c:v>
                </c:pt>
                <c:pt idx="301">
                  <c:v>740.13333333333355</c:v>
                </c:pt>
                <c:pt idx="302">
                  <c:v>740.13333333333355</c:v>
                </c:pt>
                <c:pt idx="303">
                  <c:v>740.13333333333355</c:v>
                </c:pt>
                <c:pt idx="304">
                  <c:v>740.13333333333355</c:v>
                </c:pt>
                <c:pt idx="305">
                  <c:v>740.13333333333355</c:v>
                </c:pt>
                <c:pt idx="306">
                  <c:v>740.13333333333355</c:v>
                </c:pt>
                <c:pt idx="307">
                  <c:v>740.13333333333355</c:v>
                </c:pt>
                <c:pt idx="308">
                  <c:v>740.13333333333355</c:v>
                </c:pt>
                <c:pt idx="309">
                  <c:v>740.13333333333355</c:v>
                </c:pt>
                <c:pt idx="310">
                  <c:v>740.13333333333355</c:v>
                </c:pt>
                <c:pt idx="311">
                  <c:v>740.13333333333355</c:v>
                </c:pt>
                <c:pt idx="312">
                  <c:v>740.13333333333355</c:v>
                </c:pt>
                <c:pt idx="313">
                  <c:v>740.13333333333355</c:v>
                </c:pt>
                <c:pt idx="314">
                  <c:v>740.13333333333355</c:v>
                </c:pt>
                <c:pt idx="315">
                  <c:v>740.13333333333355</c:v>
                </c:pt>
                <c:pt idx="316">
                  <c:v>740.13333333333355</c:v>
                </c:pt>
                <c:pt idx="317">
                  <c:v>740.13333333333355</c:v>
                </c:pt>
                <c:pt idx="318">
                  <c:v>740.13333333333355</c:v>
                </c:pt>
                <c:pt idx="319">
                  <c:v>740.13333333333355</c:v>
                </c:pt>
                <c:pt idx="320">
                  <c:v>740.13333333333355</c:v>
                </c:pt>
                <c:pt idx="321">
                  <c:v>740.13333333333355</c:v>
                </c:pt>
                <c:pt idx="322">
                  <c:v>740.13333333333355</c:v>
                </c:pt>
                <c:pt idx="323">
                  <c:v>740.13333333333355</c:v>
                </c:pt>
              </c:numCache>
            </c:numRef>
          </c:val>
          <c:smooth val="0"/>
        </c:ser>
        <c:ser>
          <c:idx val="1"/>
          <c:order val="1"/>
          <c:tx>
            <c:strRef>
              <c:f>紙!$H$1</c:f>
              <c:strCache>
                <c:ptCount val="1"/>
                <c:pt idx="0">
                  <c:v>紙漿 短纖-尤加利 台灣報價 CFR(美元/公噸)</c:v>
                </c:pt>
              </c:strCache>
            </c:strRef>
          </c:tx>
          <c:marker>
            <c:symbol val="none"/>
          </c:marker>
          <c:cat>
            <c:numRef>
              <c:f>紙!$F$216:$F$539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紙!$H$216:$H$539</c:f>
              <c:numCache>
                <c:formatCode>0_);[Red]\(0\)</c:formatCode>
                <c:ptCount val="324"/>
                <c:pt idx="0">
                  <c:v>630</c:v>
                </c:pt>
                <c:pt idx="1">
                  <c:v>630</c:v>
                </c:pt>
                <c:pt idx="2">
                  <c:v>630</c:v>
                </c:pt>
                <c:pt idx="3">
                  <c:v>630</c:v>
                </c:pt>
                <c:pt idx="4">
                  <c:v>630</c:v>
                </c:pt>
                <c:pt idx="5">
                  <c:v>630</c:v>
                </c:pt>
                <c:pt idx="6">
                  <c:v>630</c:v>
                </c:pt>
                <c:pt idx="7">
                  <c:v>630</c:v>
                </c:pt>
                <c:pt idx="8">
                  <c:v>630</c:v>
                </c:pt>
                <c:pt idx="9">
                  <c:v>630</c:v>
                </c:pt>
                <c:pt idx="10">
                  <c:v>630</c:v>
                </c:pt>
                <c:pt idx="11">
                  <c:v>630</c:v>
                </c:pt>
                <c:pt idx="12">
                  <c:v>630</c:v>
                </c:pt>
                <c:pt idx="13">
                  <c:v>630</c:v>
                </c:pt>
                <c:pt idx="14">
                  <c:v>630</c:v>
                </c:pt>
                <c:pt idx="15">
                  <c:v>630</c:v>
                </c:pt>
                <c:pt idx="16">
                  <c:v>630</c:v>
                </c:pt>
                <c:pt idx="17">
                  <c:v>630</c:v>
                </c:pt>
                <c:pt idx="18">
                  <c:v>630</c:v>
                </c:pt>
                <c:pt idx="19">
                  <c:v>630</c:v>
                </c:pt>
                <c:pt idx="20">
                  <c:v>630</c:v>
                </c:pt>
                <c:pt idx="21">
                  <c:v>630</c:v>
                </c:pt>
                <c:pt idx="22">
                  <c:v>630</c:v>
                </c:pt>
                <c:pt idx="23">
                  <c:v>630</c:v>
                </c:pt>
                <c:pt idx="24">
                  <c:v>630</c:v>
                </c:pt>
                <c:pt idx="25">
                  <c:v>630</c:v>
                </c:pt>
                <c:pt idx="26">
                  <c:v>630</c:v>
                </c:pt>
                <c:pt idx="27">
                  <c:v>630</c:v>
                </c:pt>
                <c:pt idx="28">
                  <c:v>630</c:v>
                </c:pt>
                <c:pt idx="29">
                  <c:v>630</c:v>
                </c:pt>
                <c:pt idx="30">
                  <c:v>630</c:v>
                </c:pt>
                <c:pt idx="31">
                  <c:v>630</c:v>
                </c:pt>
                <c:pt idx="32">
                  <c:v>630</c:v>
                </c:pt>
                <c:pt idx="33">
                  <c:v>630</c:v>
                </c:pt>
                <c:pt idx="34">
                  <c:v>630</c:v>
                </c:pt>
                <c:pt idx="35">
                  <c:v>630</c:v>
                </c:pt>
                <c:pt idx="36">
                  <c:v>630</c:v>
                </c:pt>
                <c:pt idx="37">
                  <c:v>630</c:v>
                </c:pt>
                <c:pt idx="38">
                  <c:v>630</c:v>
                </c:pt>
                <c:pt idx="39">
                  <c:v>630</c:v>
                </c:pt>
                <c:pt idx="40">
                  <c:v>630</c:v>
                </c:pt>
                <c:pt idx="41">
                  <c:v>630</c:v>
                </c:pt>
                <c:pt idx="42">
                  <c:v>630</c:v>
                </c:pt>
                <c:pt idx="43">
                  <c:v>630</c:v>
                </c:pt>
                <c:pt idx="44">
                  <c:v>630</c:v>
                </c:pt>
                <c:pt idx="45">
                  <c:v>630</c:v>
                </c:pt>
                <c:pt idx="46">
                  <c:v>630</c:v>
                </c:pt>
                <c:pt idx="47">
                  <c:v>630</c:v>
                </c:pt>
                <c:pt idx="48">
                  <c:v>630</c:v>
                </c:pt>
                <c:pt idx="49">
                  <c:v>630</c:v>
                </c:pt>
                <c:pt idx="50">
                  <c:v>630</c:v>
                </c:pt>
                <c:pt idx="51">
                  <c:v>630</c:v>
                </c:pt>
                <c:pt idx="52">
                  <c:v>630</c:v>
                </c:pt>
                <c:pt idx="53">
                  <c:v>630</c:v>
                </c:pt>
                <c:pt idx="54">
                  <c:v>630</c:v>
                </c:pt>
                <c:pt idx="55">
                  <c:v>630</c:v>
                </c:pt>
                <c:pt idx="56">
                  <c:v>630</c:v>
                </c:pt>
                <c:pt idx="57">
                  <c:v>630</c:v>
                </c:pt>
                <c:pt idx="58">
                  <c:v>630</c:v>
                </c:pt>
                <c:pt idx="59">
                  <c:v>630</c:v>
                </c:pt>
                <c:pt idx="60">
                  <c:v>630</c:v>
                </c:pt>
                <c:pt idx="61">
                  <c:v>630</c:v>
                </c:pt>
                <c:pt idx="62">
                  <c:v>630</c:v>
                </c:pt>
                <c:pt idx="63">
                  <c:v>630</c:v>
                </c:pt>
                <c:pt idx="64">
                  <c:v>630</c:v>
                </c:pt>
                <c:pt idx="65">
                  <c:v>630</c:v>
                </c:pt>
                <c:pt idx="66">
                  <c:v>630</c:v>
                </c:pt>
                <c:pt idx="67">
                  <c:v>630</c:v>
                </c:pt>
                <c:pt idx="68">
                  <c:v>630</c:v>
                </c:pt>
                <c:pt idx="69">
                  <c:v>630</c:v>
                </c:pt>
                <c:pt idx="70">
                  <c:v>630</c:v>
                </c:pt>
                <c:pt idx="71">
                  <c:v>630</c:v>
                </c:pt>
                <c:pt idx="72">
                  <c:v>630</c:v>
                </c:pt>
                <c:pt idx="73">
                  <c:v>630</c:v>
                </c:pt>
                <c:pt idx="74">
                  <c:v>630</c:v>
                </c:pt>
                <c:pt idx="75">
                  <c:v>630</c:v>
                </c:pt>
                <c:pt idx="76">
                  <c:v>630</c:v>
                </c:pt>
                <c:pt idx="77">
                  <c:v>630</c:v>
                </c:pt>
                <c:pt idx="78">
                  <c:v>630</c:v>
                </c:pt>
                <c:pt idx="79">
                  <c:v>630</c:v>
                </c:pt>
                <c:pt idx="80">
                  <c:v>630</c:v>
                </c:pt>
                <c:pt idx="81">
                  <c:v>630</c:v>
                </c:pt>
                <c:pt idx="82">
                  <c:v>630</c:v>
                </c:pt>
                <c:pt idx="83">
                  <c:v>630</c:v>
                </c:pt>
                <c:pt idx="84">
                  <c:v>630</c:v>
                </c:pt>
                <c:pt idx="85">
                  <c:v>630</c:v>
                </c:pt>
                <c:pt idx="86">
                  <c:v>630</c:v>
                </c:pt>
                <c:pt idx="87">
                  <c:v>630</c:v>
                </c:pt>
                <c:pt idx="88">
                  <c:v>630</c:v>
                </c:pt>
                <c:pt idx="89">
                  <c:v>630</c:v>
                </c:pt>
                <c:pt idx="90">
                  <c:v>680</c:v>
                </c:pt>
                <c:pt idx="91">
                  <c:v>680</c:v>
                </c:pt>
                <c:pt idx="92">
                  <c:v>680</c:v>
                </c:pt>
                <c:pt idx="93">
                  <c:v>680</c:v>
                </c:pt>
                <c:pt idx="94">
                  <c:v>680</c:v>
                </c:pt>
                <c:pt idx="95">
                  <c:v>680</c:v>
                </c:pt>
                <c:pt idx="96">
                  <c:v>680</c:v>
                </c:pt>
                <c:pt idx="97">
                  <c:v>680</c:v>
                </c:pt>
                <c:pt idx="98">
                  <c:v>680</c:v>
                </c:pt>
                <c:pt idx="99">
                  <c:v>680</c:v>
                </c:pt>
                <c:pt idx="100">
                  <c:v>680</c:v>
                </c:pt>
                <c:pt idx="101">
                  <c:v>680</c:v>
                </c:pt>
                <c:pt idx="102">
                  <c:v>680</c:v>
                </c:pt>
                <c:pt idx="103">
                  <c:v>680</c:v>
                </c:pt>
                <c:pt idx="104">
                  <c:v>680</c:v>
                </c:pt>
                <c:pt idx="105">
                  <c:v>680</c:v>
                </c:pt>
                <c:pt idx="106">
                  <c:v>680</c:v>
                </c:pt>
                <c:pt idx="107">
                  <c:v>680</c:v>
                </c:pt>
                <c:pt idx="108">
                  <c:v>680</c:v>
                </c:pt>
                <c:pt idx="109">
                  <c:v>680</c:v>
                </c:pt>
                <c:pt idx="110">
                  <c:v>680</c:v>
                </c:pt>
                <c:pt idx="111">
                  <c:v>680</c:v>
                </c:pt>
                <c:pt idx="112">
                  <c:v>680</c:v>
                </c:pt>
                <c:pt idx="113">
                  <c:v>680</c:v>
                </c:pt>
                <c:pt idx="114">
                  <c:v>680</c:v>
                </c:pt>
                <c:pt idx="115">
                  <c:v>680</c:v>
                </c:pt>
                <c:pt idx="116">
                  <c:v>680</c:v>
                </c:pt>
                <c:pt idx="117">
                  <c:v>680</c:v>
                </c:pt>
                <c:pt idx="118">
                  <c:v>680</c:v>
                </c:pt>
                <c:pt idx="119">
                  <c:v>680</c:v>
                </c:pt>
                <c:pt idx="120">
                  <c:v>680</c:v>
                </c:pt>
                <c:pt idx="121">
                  <c:v>680</c:v>
                </c:pt>
                <c:pt idx="122">
                  <c:v>680</c:v>
                </c:pt>
                <c:pt idx="123">
                  <c:v>680</c:v>
                </c:pt>
                <c:pt idx="124">
                  <c:v>680</c:v>
                </c:pt>
                <c:pt idx="125">
                  <c:v>680</c:v>
                </c:pt>
                <c:pt idx="126">
                  <c:v>680</c:v>
                </c:pt>
                <c:pt idx="127">
                  <c:v>680</c:v>
                </c:pt>
                <c:pt idx="128">
                  <c:v>680</c:v>
                </c:pt>
                <c:pt idx="129">
                  <c:v>680</c:v>
                </c:pt>
                <c:pt idx="130">
                  <c:v>680</c:v>
                </c:pt>
                <c:pt idx="131">
                  <c:v>680</c:v>
                </c:pt>
                <c:pt idx="132">
                  <c:v>680</c:v>
                </c:pt>
                <c:pt idx="133">
                  <c:v>680</c:v>
                </c:pt>
                <c:pt idx="134">
                  <c:v>680</c:v>
                </c:pt>
                <c:pt idx="135">
                  <c:v>680</c:v>
                </c:pt>
                <c:pt idx="136">
                  <c:v>680</c:v>
                </c:pt>
                <c:pt idx="137">
                  <c:v>680</c:v>
                </c:pt>
                <c:pt idx="138">
                  <c:v>680</c:v>
                </c:pt>
                <c:pt idx="139">
                  <c:v>680</c:v>
                </c:pt>
                <c:pt idx="140">
                  <c:v>680</c:v>
                </c:pt>
                <c:pt idx="141">
                  <c:v>680</c:v>
                </c:pt>
                <c:pt idx="142">
                  <c:v>680</c:v>
                </c:pt>
                <c:pt idx="143">
                  <c:v>680</c:v>
                </c:pt>
                <c:pt idx="144">
                  <c:v>680</c:v>
                </c:pt>
                <c:pt idx="145">
                  <c:v>680</c:v>
                </c:pt>
                <c:pt idx="146">
                  <c:v>680</c:v>
                </c:pt>
                <c:pt idx="147">
                  <c:v>680</c:v>
                </c:pt>
                <c:pt idx="148">
                  <c:v>680</c:v>
                </c:pt>
                <c:pt idx="149">
                  <c:v>680</c:v>
                </c:pt>
                <c:pt idx="150">
                  <c:v>680</c:v>
                </c:pt>
                <c:pt idx="151">
                  <c:v>675</c:v>
                </c:pt>
                <c:pt idx="152">
                  <c:v>675</c:v>
                </c:pt>
                <c:pt idx="153">
                  <c:v>675</c:v>
                </c:pt>
                <c:pt idx="154">
                  <c:v>675</c:v>
                </c:pt>
                <c:pt idx="155">
                  <c:v>675</c:v>
                </c:pt>
                <c:pt idx="156">
                  <c:v>675</c:v>
                </c:pt>
                <c:pt idx="157">
                  <c:v>675</c:v>
                </c:pt>
                <c:pt idx="158">
                  <c:v>675</c:v>
                </c:pt>
                <c:pt idx="159">
                  <c:v>675</c:v>
                </c:pt>
                <c:pt idx="160">
                  <c:v>675</c:v>
                </c:pt>
                <c:pt idx="161">
                  <c:v>675</c:v>
                </c:pt>
                <c:pt idx="162">
                  <c:v>675</c:v>
                </c:pt>
                <c:pt idx="163">
                  <c:v>675</c:v>
                </c:pt>
                <c:pt idx="164">
                  <c:v>675</c:v>
                </c:pt>
                <c:pt idx="165">
                  <c:v>675</c:v>
                </c:pt>
                <c:pt idx="166">
                  <c:v>675</c:v>
                </c:pt>
                <c:pt idx="167">
                  <c:v>675</c:v>
                </c:pt>
                <c:pt idx="168">
                  <c:v>675</c:v>
                </c:pt>
                <c:pt idx="169">
                  <c:v>675</c:v>
                </c:pt>
                <c:pt idx="170">
                  <c:v>675</c:v>
                </c:pt>
                <c:pt idx="171">
                  <c:v>675</c:v>
                </c:pt>
                <c:pt idx="172">
                  <c:v>675</c:v>
                </c:pt>
                <c:pt idx="173">
                  <c:v>675</c:v>
                </c:pt>
                <c:pt idx="174">
                  <c:v>675</c:v>
                </c:pt>
                <c:pt idx="175">
                  <c:v>675</c:v>
                </c:pt>
                <c:pt idx="176">
                  <c:v>675</c:v>
                </c:pt>
                <c:pt idx="177">
                  <c:v>675</c:v>
                </c:pt>
                <c:pt idx="178">
                  <c:v>675</c:v>
                </c:pt>
                <c:pt idx="179">
                  <c:v>680</c:v>
                </c:pt>
                <c:pt idx="180">
                  <c:v>680</c:v>
                </c:pt>
                <c:pt idx="181">
                  <c:v>680</c:v>
                </c:pt>
                <c:pt idx="182">
                  <c:v>680</c:v>
                </c:pt>
                <c:pt idx="183">
                  <c:v>680</c:v>
                </c:pt>
                <c:pt idx="184">
                  <c:v>680</c:v>
                </c:pt>
                <c:pt idx="185">
                  <c:v>680</c:v>
                </c:pt>
                <c:pt idx="186">
                  <c:v>680</c:v>
                </c:pt>
                <c:pt idx="187">
                  <c:v>680</c:v>
                </c:pt>
                <c:pt idx="188">
                  <c:v>680</c:v>
                </c:pt>
                <c:pt idx="189">
                  <c:v>680</c:v>
                </c:pt>
                <c:pt idx="190">
                  <c:v>680</c:v>
                </c:pt>
                <c:pt idx="191">
                  <c:v>680</c:v>
                </c:pt>
                <c:pt idx="192">
                  <c:v>680</c:v>
                </c:pt>
                <c:pt idx="193">
                  <c:v>680</c:v>
                </c:pt>
                <c:pt idx="194">
                  <c:v>680</c:v>
                </c:pt>
                <c:pt idx="195">
                  <c:v>680</c:v>
                </c:pt>
                <c:pt idx="196">
                  <c:v>680</c:v>
                </c:pt>
                <c:pt idx="197">
                  <c:v>680</c:v>
                </c:pt>
                <c:pt idx="198">
                  <c:v>680</c:v>
                </c:pt>
                <c:pt idx="199">
                  <c:v>680</c:v>
                </c:pt>
                <c:pt idx="200">
                  <c:v>680</c:v>
                </c:pt>
                <c:pt idx="201">
                  <c:v>680</c:v>
                </c:pt>
                <c:pt idx="202">
                  <c:v>680</c:v>
                </c:pt>
                <c:pt idx="203">
                  <c:v>680</c:v>
                </c:pt>
                <c:pt idx="204">
                  <c:v>680</c:v>
                </c:pt>
                <c:pt idx="205">
                  <c:v>680</c:v>
                </c:pt>
                <c:pt idx="206">
                  <c:v>680</c:v>
                </c:pt>
                <c:pt idx="207">
                  <c:v>680</c:v>
                </c:pt>
                <c:pt idx="208">
                  <c:v>680</c:v>
                </c:pt>
                <c:pt idx="209">
                  <c:v>680</c:v>
                </c:pt>
                <c:pt idx="210">
                  <c:v>680</c:v>
                </c:pt>
                <c:pt idx="211">
                  <c:v>680</c:v>
                </c:pt>
                <c:pt idx="212">
                  <c:v>680</c:v>
                </c:pt>
                <c:pt idx="213">
                  <c:v>680</c:v>
                </c:pt>
                <c:pt idx="214">
                  <c:v>680</c:v>
                </c:pt>
                <c:pt idx="215">
                  <c:v>680</c:v>
                </c:pt>
                <c:pt idx="216">
                  <c:v>680</c:v>
                </c:pt>
                <c:pt idx="217">
                  <c:v>680</c:v>
                </c:pt>
                <c:pt idx="218">
                  <c:v>680</c:v>
                </c:pt>
                <c:pt idx="219">
                  <c:v>680</c:v>
                </c:pt>
                <c:pt idx="220">
                  <c:v>680</c:v>
                </c:pt>
                <c:pt idx="221">
                  <c:v>680</c:v>
                </c:pt>
                <c:pt idx="222">
                  <c:v>680</c:v>
                </c:pt>
                <c:pt idx="223">
                  <c:v>680</c:v>
                </c:pt>
                <c:pt idx="224">
                  <c:v>680</c:v>
                </c:pt>
                <c:pt idx="225">
                  <c:v>680</c:v>
                </c:pt>
                <c:pt idx="226">
                  <c:v>680</c:v>
                </c:pt>
                <c:pt idx="227">
                  <c:v>680</c:v>
                </c:pt>
                <c:pt idx="228">
                  <c:v>680</c:v>
                </c:pt>
                <c:pt idx="229">
                  <c:v>680</c:v>
                </c:pt>
                <c:pt idx="230">
                  <c:v>680</c:v>
                </c:pt>
                <c:pt idx="231">
                  <c:v>680</c:v>
                </c:pt>
                <c:pt idx="232">
                  <c:v>680</c:v>
                </c:pt>
                <c:pt idx="233">
                  <c:v>680</c:v>
                </c:pt>
                <c:pt idx="234">
                  <c:v>680</c:v>
                </c:pt>
                <c:pt idx="235">
                  <c:v>680</c:v>
                </c:pt>
                <c:pt idx="236">
                  <c:v>680</c:v>
                </c:pt>
                <c:pt idx="237">
                  <c:v>680</c:v>
                </c:pt>
                <c:pt idx="238">
                  <c:v>680</c:v>
                </c:pt>
                <c:pt idx="239">
                  <c:v>680</c:v>
                </c:pt>
                <c:pt idx="240">
                  <c:v>680</c:v>
                </c:pt>
                <c:pt idx="241">
                  <c:v>680</c:v>
                </c:pt>
                <c:pt idx="242">
                  <c:v>680</c:v>
                </c:pt>
                <c:pt idx="243">
                  <c:v>680</c:v>
                </c:pt>
                <c:pt idx="244">
                  <c:v>680</c:v>
                </c:pt>
                <c:pt idx="245">
                  <c:v>680</c:v>
                </c:pt>
                <c:pt idx="246">
                  <c:v>680</c:v>
                </c:pt>
                <c:pt idx="247">
                  <c:v>680</c:v>
                </c:pt>
                <c:pt idx="248">
                  <c:v>680</c:v>
                </c:pt>
                <c:pt idx="249">
                  <c:v>680</c:v>
                </c:pt>
                <c:pt idx="250">
                  <c:v>680</c:v>
                </c:pt>
                <c:pt idx="251">
                  <c:v>680</c:v>
                </c:pt>
                <c:pt idx="252">
                  <c:v>680</c:v>
                </c:pt>
                <c:pt idx="253">
                  <c:v>680</c:v>
                </c:pt>
                <c:pt idx="254">
                  <c:v>680</c:v>
                </c:pt>
                <c:pt idx="255">
                  <c:v>680</c:v>
                </c:pt>
                <c:pt idx="256">
                  <c:v>680</c:v>
                </c:pt>
                <c:pt idx="257">
                  <c:v>680</c:v>
                </c:pt>
                <c:pt idx="258">
                  <c:v>680</c:v>
                </c:pt>
                <c:pt idx="259">
                  <c:v>680</c:v>
                </c:pt>
                <c:pt idx="260">
                  <c:v>680</c:v>
                </c:pt>
                <c:pt idx="261">
                  <c:v>680</c:v>
                </c:pt>
                <c:pt idx="262">
                  <c:v>680</c:v>
                </c:pt>
                <c:pt idx="263">
                  <c:v>680</c:v>
                </c:pt>
                <c:pt idx="264">
                  <c:v>680</c:v>
                </c:pt>
                <c:pt idx="265">
                  <c:v>680</c:v>
                </c:pt>
                <c:pt idx="266">
                  <c:v>680</c:v>
                </c:pt>
                <c:pt idx="267">
                  <c:v>680</c:v>
                </c:pt>
                <c:pt idx="268">
                  <c:v>680</c:v>
                </c:pt>
                <c:pt idx="269">
                  <c:v>680</c:v>
                </c:pt>
                <c:pt idx="270">
                  <c:v>680</c:v>
                </c:pt>
                <c:pt idx="271">
                  <c:v>680</c:v>
                </c:pt>
                <c:pt idx="272">
                  <c:v>680</c:v>
                </c:pt>
                <c:pt idx="273">
                  <c:v>630</c:v>
                </c:pt>
                <c:pt idx="274">
                  <c:v>630</c:v>
                </c:pt>
                <c:pt idx="275">
                  <c:v>630</c:v>
                </c:pt>
                <c:pt idx="276">
                  <c:v>630</c:v>
                </c:pt>
                <c:pt idx="277">
                  <c:v>630</c:v>
                </c:pt>
                <c:pt idx="278">
                  <c:v>630</c:v>
                </c:pt>
                <c:pt idx="279">
                  <c:v>630</c:v>
                </c:pt>
                <c:pt idx="280">
                  <c:v>630</c:v>
                </c:pt>
                <c:pt idx="281">
                  <c:v>630</c:v>
                </c:pt>
                <c:pt idx="282">
                  <c:v>630</c:v>
                </c:pt>
                <c:pt idx="283">
                  <c:v>630</c:v>
                </c:pt>
                <c:pt idx="284">
                  <c:v>630</c:v>
                </c:pt>
                <c:pt idx="285">
                  <c:v>630</c:v>
                </c:pt>
                <c:pt idx="286">
                  <c:v>630</c:v>
                </c:pt>
                <c:pt idx="287">
                  <c:v>630</c:v>
                </c:pt>
                <c:pt idx="288">
                  <c:v>630</c:v>
                </c:pt>
                <c:pt idx="289">
                  <c:v>630</c:v>
                </c:pt>
                <c:pt idx="290">
                  <c:v>630</c:v>
                </c:pt>
                <c:pt idx="291">
                  <c:v>630</c:v>
                </c:pt>
                <c:pt idx="292">
                  <c:v>630</c:v>
                </c:pt>
                <c:pt idx="293">
                  <c:v>630</c:v>
                </c:pt>
                <c:pt idx="294">
                  <c:v>630</c:v>
                </c:pt>
                <c:pt idx="295">
                  <c:v>630</c:v>
                </c:pt>
                <c:pt idx="296">
                  <c:v>630</c:v>
                </c:pt>
                <c:pt idx="297">
                  <c:v>630</c:v>
                </c:pt>
                <c:pt idx="298">
                  <c:v>630</c:v>
                </c:pt>
                <c:pt idx="299">
                  <c:v>630</c:v>
                </c:pt>
                <c:pt idx="300">
                  <c:v>630</c:v>
                </c:pt>
                <c:pt idx="301">
                  <c:v>630</c:v>
                </c:pt>
                <c:pt idx="302">
                  <c:v>630</c:v>
                </c:pt>
                <c:pt idx="303">
                  <c:v>630</c:v>
                </c:pt>
                <c:pt idx="304">
                  <c:v>630</c:v>
                </c:pt>
                <c:pt idx="305">
                  <c:v>630</c:v>
                </c:pt>
                <c:pt idx="306">
                  <c:v>630</c:v>
                </c:pt>
                <c:pt idx="307">
                  <c:v>630</c:v>
                </c:pt>
                <c:pt idx="308">
                  <c:v>630</c:v>
                </c:pt>
                <c:pt idx="309">
                  <c:v>630</c:v>
                </c:pt>
                <c:pt idx="310">
                  <c:v>630</c:v>
                </c:pt>
                <c:pt idx="311">
                  <c:v>630</c:v>
                </c:pt>
                <c:pt idx="312">
                  <c:v>630</c:v>
                </c:pt>
                <c:pt idx="313">
                  <c:v>630</c:v>
                </c:pt>
                <c:pt idx="314">
                  <c:v>630</c:v>
                </c:pt>
                <c:pt idx="315">
                  <c:v>630</c:v>
                </c:pt>
                <c:pt idx="316">
                  <c:v>630</c:v>
                </c:pt>
                <c:pt idx="317">
                  <c:v>630</c:v>
                </c:pt>
                <c:pt idx="318">
                  <c:v>630</c:v>
                </c:pt>
                <c:pt idx="319">
                  <c:v>630</c:v>
                </c:pt>
                <c:pt idx="320">
                  <c:v>630</c:v>
                </c:pt>
                <c:pt idx="321">
                  <c:v>630</c:v>
                </c:pt>
                <c:pt idx="322">
                  <c:v>630</c:v>
                </c:pt>
                <c:pt idx="323">
                  <c:v>630</c:v>
                </c:pt>
              </c:numCache>
            </c:numRef>
          </c:val>
          <c:smooth val="0"/>
        </c:ser>
        <c:dLbls>
          <c:showLegendKey val="0"/>
          <c:showVal val="0"/>
          <c:showCatName val="0"/>
          <c:showSerName val="0"/>
          <c:showPercent val="0"/>
          <c:showBubbleSize val="0"/>
        </c:dLbls>
        <c:marker val="1"/>
        <c:smooth val="0"/>
        <c:axId val="267637120"/>
        <c:axId val="267638656"/>
      </c:lineChart>
      <c:dateAx>
        <c:axId val="267637120"/>
        <c:scaling>
          <c:orientation val="minMax"/>
        </c:scaling>
        <c:delete val="0"/>
        <c:axPos val="b"/>
        <c:numFmt formatCode="m/d/yyyy" sourceLinked="1"/>
        <c:majorTickMark val="out"/>
        <c:minorTickMark val="none"/>
        <c:tickLblPos val="nextTo"/>
        <c:txPr>
          <a:bodyPr/>
          <a:lstStyle/>
          <a:p>
            <a:pPr>
              <a:defRPr sz="1000"/>
            </a:pPr>
            <a:endParaRPr lang="zh-TW"/>
          </a:p>
        </c:txPr>
        <c:crossAx val="267638656"/>
        <c:crosses val="autoZero"/>
        <c:auto val="1"/>
        <c:lblOffset val="100"/>
        <c:baseTimeUnit val="days"/>
        <c:majorUnit val="1"/>
        <c:majorTimeUnit val="months"/>
        <c:minorUnit val="1"/>
        <c:minorTimeUnit val="months"/>
      </c:dateAx>
      <c:valAx>
        <c:axId val="267638656"/>
        <c:scaling>
          <c:orientation val="minMax"/>
        </c:scaling>
        <c:delete val="0"/>
        <c:axPos val="l"/>
        <c:majorGridlines/>
        <c:numFmt formatCode="General" sourceLinked="1"/>
        <c:majorTickMark val="out"/>
        <c:minorTickMark val="none"/>
        <c:tickLblPos val="nextTo"/>
        <c:txPr>
          <a:bodyPr/>
          <a:lstStyle/>
          <a:p>
            <a:pPr>
              <a:defRPr sz="1000"/>
            </a:pPr>
            <a:endParaRPr lang="zh-TW"/>
          </a:p>
        </c:txPr>
        <c:crossAx val="267637120"/>
        <c:crosses val="autoZero"/>
        <c:crossBetween val="between"/>
      </c:valAx>
    </c:plotArea>
    <c:legend>
      <c:legendPos val="b"/>
      <c:layout>
        <c:manualLayout>
          <c:xMode val="edge"/>
          <c:yMode val="edge"/>
          <c:x val="0.15197810315630828"/>
          <c:y val="0.85414395315970149"/>
          <c:w val="0.73525947283882875"/>
          <c:h val="9.7779123763375719E-2"/>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2299672700275023E-2"/>
          <c:y val="4.8535605180499965E-2"/>
          <c:w val="0.85525540076721152"/>
          <c:h val="0.63007440909320389"/>
        </c:manualLayout>
      </c:layout>
      <c:lineChart>
        <c:grouping val="standard"/>
        <c:varyColors val="0"/>
        <c:ser>
          <c:idx val="0"/>
          <c:order val="0"/>
          <c:tx>
            <c:strRef>
              <c:f>紙!$I$1</c:f>
              <c:strCache>
                <c:ptCount val="1"/>
                <c:pt idx="0">
                  <c:v>廢紙 國產 北部 收購價(美元/公噸)</c:v>
                </c:pt>
              </c:strCache>
            </c:strRef>
          </c:tx>
          <c:spPr>
            <a:ln>
              <a:prstDash val="sysDash"/>
            </a:ln>
          </c:spPr>
          <c:marker>
            <c:symbol val="none"/>
          </c:marker>
          <c:cat>
            <c:numRef>
              <c:f>紙!$F$216:$F$539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紙!$I$216:$I$539</c:f>
              <c:numCache>
                <c:formatCode>General</c:formatCode>
                <c:ptCount val="324"/>
                <c:pt idx="0">
                  <c:v>106.66666666666667</c:v>
                </c:pt>
                <c:pt idx="1">
                  <c:v>100</c:v>
                </c:pt>
                <c:pt idx="2">
                  <c:v>100</c:v>
                </c:pt>
                <c:pt idx="3">
                  <c:v>100</c:v>
                </c:pt>
                <c:pt idx="4">
                  <c:v>106.66666666666667</c:v>
                </c:pt>
                <c:pt idx="5">
                  <c:v>106.66666666666667</c:v>
                </c:pt>
                <c:pt idx="6">
                  <c:v>106.66666666666667</c:v>
                </c:pt>
                <c:pt idx="7">
                  <c:v>106.66666666666667</c:v>
                </c:pt>
                <c:pt idx="8">
                  <c:v>106.66666666666667</c:v>
                </c:pt>
                <c:pt idx="9">
                  <c:v>106.66666666666667</c:v>
                </c:pt>
                <c:pt idx="10">
                  <c:v>106.66666666666667</c:v>
                </c:pt>
                <c:pt idx="11">
                  <c:v>106.66666666666667</c:v>
                </c:pt>
                <c:pt idx="12">
                  <c:v>106.66666666666667</c:v>
                </c:pt>
                <c:pt idx="13">
                  <c:v>106.66666666666667</c:v>
                </c:pt>
                <c:pt idx="14">
                  <c:v>106.66666666666667</c:v>
                </c:pt>
                <c:pt idx="15">
                  <c:v>106.66666666666667</c:v>
                </c:pt>
                <c:pt idx="16">
                  <c:v>106.66666666666667</c:v>
                </c:pt>
                <c:pt idx="17">
                  <c:v>106.66666666666667</c:v>
                </c:pt>
                <c:pt idx="18">
                  <c:v>106.66666666666667</c:v>
                </c:pt>
                <c:pt idx="19">
                  <c:v>106.66666666666667</c:v>
                </c:pt>
                <c:pt idx="20">
                  <c:v>106.66666666666667</c:v>
                </c:pt>
                <c:pt idx="21">
                  <c:v>106.66666666666667</c:v>
                </c:pt>
                <c:pt idx="22">
                  <c:v>106.66666666666667</c:v>
                </c:pt>
                <c:pt idx="23">
                  <c:v>106.66666666666667</c:v>
                </c:pt>
                <c:pt idx="24">
                  <c:v>106.66666666666667</c:v>
                </c:pt>
                <c:pt idx="25">
                  <c:v>106.66666666666667</c:v>
                </c:pt>
                <c:pt idx="26">
                  <c:v>106.66666666666667</c:v>
                </c:pt>
                <c:pt idx="27">
                  <c:v>106.66666666666667</c:v>
                </c:pt>
                <c:pt idx="28">
                  <c:v>106.66666666666667</c:v>
                </c:pt>
                <c:pt idx="29">
                  <c:v>106.66666666666667</c:v>
                </c:pt>
                <c:pt idx="30">
                  <c:v>106.66666666666667</c:v>
                </c:pt>
                <c:pt idx="31">
                  <c:v>106.66666666666667</c:v>
                </c:pt>
                <c:pt idx="32">
                  <c:v>106.66666666666667</c:v>
                </c:pt>
                <c:pt idx="33">
                  <c:v>106.66666666666667</c:v>
                </c:pt>
                <c:pt idx="34">
                  <c:v>106.66666666666667</c:v>
                </c:pt>
                <c:pt idx="35">
                  <c:v>106.66666666666667</c:v>
                </c:pt>
                <c:pt idx="36">
                  <c:v>106.66666666666667</c:v>
                </c:pt>
                <c:pt idx="37">
                  <c:v>106.66666666666667</c:v>
                </c:pt>
                <c:pt idx="38">
                  <c:v>106.66666666666667</c:v>
                </c:pt>
                <c:pt idx="39">
                  <c:v>106.66666666666667</c:v>
                </c:pt>
                <c:pt idx="40">
                  <c:v>106.66666666666667</c:v>
                </c:pt>
                <c:pt idx="41">
                  <c:v>106.66666666666667</c:v>
                </c:pt>
                <c:pt idx="42">
                  <c:v>106.66666666666667</c:v>
                </c:pt>
                <c:pt idx="43">
                  <c:v>106.66666666666667</c:v>
                </c:pt>
                <c:pt idx="44">
                  <c:v>106.66666666666667</c:v>
                </c:pt>
                <c:pt idx="45">
                  <c:v>106.66666666666667</c:v>
                </c:pt>
                <c:pt idx="46">
                  <c:v>106.66666666666667</c:v>
                </c:pt>
                <c:pt idx="47">
                  <c:v>106.66666666666667</c:v>
                </c:pt>
                <c:pt idx="48">
                  <c:v>106.66666666666667</c:v>
                </c:pt>
                <c:pt idx="49">
                  <c:v>106.66666666666667</c:v>
                </c:pt>
                <c:pt idx="50">
                  <c:v>106.66666666666667</c:v>
                </c:pt>
                <c:pt idx="51">
                  <c:v>106.66666666666667</c:v>
                </c:pt>
                <c:pt idx="52">
                  <c:v>106.66666666666667</c:v>
                </c:pt>
                <c:pt idx="53">
                  <c:v>106.66666666666667</c:v>
                </c:pt>
                <c:pt idx="54">
                  <c:v>106.66666666666667</c:v>
                </c:pt>
                <c:pt idx="55">
                  <c:v>106.66666666666667</c:v>
                </c:pt>
                <c:pt idx="56">
                  <c:v>106.66666666666667</c:v>
                </c:pt>
                <c:pt idx="57">
                  <c:v>106.66666666666667</c:v>
                </c:pt>
                <c:pt idx="58">
                  <c:v>106.66666666666667</c:v>
                </c:pt>
                <c:pt idx="59">
                  <c:v>106.66666666666667</c:v>
                </c:pt>
                <c:pt idx="60">
                  <c:v>106.66666666666667</c:v>
                </c:pt>
                <c:pt idx="61">
                  <c:v>106.66666666666667</c:v>
                </c:pt>
                <c:pt idx="62">
                  <c:v>106.66666666666667</c:v>
                </c:pt>
                <c:pt idx="63">
                  <c:v>106.66666666666667</c:v>
                </c:pt>
                <c:pt idx="64">
                  <c:v>106.66666666666667</c:v>
                </c:pt>
                <c:pt idx="65">
                  <c:v>106.66666666666667</c:v>
                </c:pt>
                <c:pt idx="66">
                  <c:v>106.66666666666667</c:v>
                </c:pt>
                <c:pt idx="67">
                  <c:v>106.66666666666667</c:v>
                </c:pt>
                <c:pt idx="68">
                  <c:v>106.66666666666667</c:v>
                </c:pt>
                <c:pt idx="69">
                  <c:v>106.66666666666667</c:v>
                </c:pt>
                <c:pt idx="70">
                  <c:v>106.66666666666667</c:v>
                </c:pt>
                <c:pt idx="71">
                  <c:v>106.66666666666667</c:v>
                </c:pt>
                <c:pt idx="72">
                  <c:v>106.66666666666667</c:v>
                </c:pt>
                <c:pt idx="73">
                  <c:v>106.66666666666667</c:v>
                </c:pt>
                <c:pt idx="74">
                  <c:v>106.66666666666667</c:v>
                </c:pt>
                <c:pt idx="75">
                  <c:v>106.66666666666667</c:v>
                </c:pt>
                <c:pt idx="76">
                  <c:v>106.66666666666667</c:v>
                </c:pt>
                <c:pt idx="77">
                  <c:v>106.66666666666667</c:v>
                </c:pt>
                <c:pt idx="78">
                  <c:v>106.66666666666667</c:v>
                </c:pt>
                <c:pt idx="79">
                  <c:v>106.66666666666667</c:v>
                </c:pt>
                <c:pt idx="80">
                  <c:v>106.66666666666667</c:v>
                </c:pt>
                <c:pt idx="81">
                  <c:v>106.66666666666667</c:v>
                </c:pt>
                <c:pt idx="82">
                  <c:v>106.66666666666667</c:v>
                </c:pt>
                <c:pt idx="83">
                  <c:v>106.66666666666667</c:v>
                </c:pt>
                <c:pt idx="84">
                  <c:v>106.66666666666667</c:v>
                </c:pt>
                <c:pt idx="85">
                  <c:v>106.66666666666667</c:v>
                </c:pt>
                <c:pt idx="86">
                  <c:v>106.66666666666667</c:v>
                </c:pt>
                <c:pt idx="87">
                  <c:v>106.66666666666667</c:v>
                </c:pt>
                <c:pt idx="88">
                  <c:v>106.66666666666667</c:v>
                </c:pt>
                <c:pt idx="89">
                  <c:v>106.66666666666667</c:v>
                </c:pt>
                <c:pt idx="90">
                  <c:v>106.66666666666667</c:v>
                </c:pt>
                <c:pt idx="91">
                  <c:v>106.66666666666667</c:v>
                </c:pt>
                <c:pt idx="92">
                  <c:v>106.66666666666667</c:v>
                </c:pt>
                <c:pt idx="93">
                  <c:v>106.66666666666667</c:v>
                </c:pt>
                <c:pt idx="94">
                  <c:v>106.66666666666667</c:v>
                </c:pt>
                <c:pt idx="95">
                  <c:v>106.66666666666667</c:v>
                </c:pt>
                <c:pt idx="96">
                  <c:v>106.66666666666667</c:v>
                </c:pt>
                <c:pt idx="97">
                  <c:v>106.66666666666667</c:v>
                </c:pt>
                <c:pt idx="98">
                  <c:v>106.66666666666667</c:v>
                </c:pt>
                <c:pt idx="99">
                  <c:v>106.66666666666667</c:v>
                </c:pt>
                <c:pt idx="100">
                  <c:v>106.66666666666667</c:v>
                </c:pt>
                <c:pt idx="101">
                  <c:v>106.66666666666667</c:v>
                </c:pt>
                <c:pt idx="102">
                  <c:v>106.66666666666667</c:v>
                </c:pt>
                <c:pt idx="103">
                  <c:v>106.66666666666667</c:v>
                </c:pt>
                <c:pt idx="104">
                  <c:v>106.66666666666667</c:v>
                </c:pt>
                <c:pt idx="105">
                  <c:v>106.66666666666667</c:v>
                </c:pt>
                <c:pt idx="106">
                  <c:v>106.66666666666667</c:v>
                </c:pt>
                <c:pt idx="107">
                  <c:v>106.66666666666667</c:v>
                </c:pt>
                <c:pt idx="108">
                  <c:v>106.66666666666667</c:v>
                </c:pt>
                <c:pt idx="109">
                  <c:v>106.66666666666667</c:v>
                </c:pt>
                <c:pt idx="110">
                  <c:v>106.66666666666667</c:v>
                </c:pt>
                <c:pt idx="111">
                  <c:v>106.66666666666667</c:v>
                </c:pt>
                <c:pt idx="112">
                  <c:v>106.66666666666667</c:v>
                </c:pt>
                <c:pt idx="113">
                  <c:v>106.66666666666667</c:v>
                </c:pt>
                <c:pt idx="114">
                  <c:v>106.66666666666667</c:v>
                </c:pt>
                <c:pt idx="115">
                  <c:v>106.66666666666667</c:v>
                </c:pt>
                <c:pt idx="116">
                  <c:v>106.66666666666667</c:v>
                </c:pt>
                <c:pt idx="117">
                  <c:v>106.66666666666667</c:v>
                </c:pt>
                <c:pt idx="118">
                  <c:v>106.66666666666667</c:v>
                </c:pt>
                <c:pt idx="119">
                  <c:v>106.66666666666667</c:v>
                </c:pt>
                <c:pt idx="120">
                  <c:v>106.66666666666667</c:v>
                </c:pt>
                <c:pt idx="121">
                  <c:v>106.66666666666667</c:v>
                </c:pt>
                <c:pt idx="122">
                  <c:v>106.66666666666667</c:v>
                </c:pt>
                <c:pt idx="123">
                  <c:v>106.66666666666667</c:v>
                </c:pt>
                <c:pt idx="124">
                  <c:v>106.66666666666667</c:v>
                </c:pt>
                <c:pt idx="125">
                  <c:v>106.66666666666667</c:v>
                </c:pt>
                <c:pt idx="126">
                  <c:v>106.66666666666667</c:v>
                </c:pt>
                <c:pt idx="127">
                  <c:v>106.66666666666667</c:v>
                </c:pt>
                <c:pt idx="128">
                  <c:v>106.66666666666667</c:v>
                </c:pt>
                <c:pt idx="129">
                  <c:v>106.66666666666667</c:v>
                </c:pt>
                <c:pt idx="130">
                  <c:v>106.66666666666667</c:v>
                </c:pt>
                <c:pt idx="131">
                  <c:v>106.66666666666667</c:v>
                </c:pt>
                <c:pt idx="132">
                  <c:v>106.66666666666667</c:v>
                </c:pt>
                <c:pt idx="133">
                  <c:v>106.66666666666667</c:v>
                </c:pt>
                <c:pt idx="134">
                  <c:v>106.66666666666667</c:v>
                </c:pt>
                <c:pt idx="135">
                  <c:v>106.66666666666667</c:v>
                </c:pt>
                <c:pt idx="136">
                  <c:v>106.66666666666667</c:v>
                </c:pt>
                <c:pt idx="137">
                  <c:v>106.66666666666667</c:v>
                </c:pt>
                <c:pt idx="138">
                  <c:v>106.66666666666667</c:v>
                </c:pt>
                <c:pt idx="139">
                  <c:v>106.66666666666667</c:v>
                </c:pt>
                <c:pt idx="140">
                  <c:v>106.66666666666667</c:v>
                </c:pt>
                <c:pt idx="141">
                  <c:v>106.66666666666667</c:v>
                </c:pt>
                <c:pt idx="142">
                  <c:v>106.66666666666667</c:v>
                </c:pt>
                <c:pt idx="143">
                  <c:v>106.66666666666667</c:v>
                </c:pt>
                <c:pt idx="144">
                  <c:v>106.66666666666667</c:v>
                </c:pt>
                <c:pt idx="145">
                  <c:v>106.66666666666667</c:v>
                </c:pt>
                <c:pt idx="146">
                  <c:v>106.66666666666667</c:v>
                </c:pt>
                <c:pt idx="147">
                  <c:v>106.66666666666667</c:v>
                </c:pt>
                <c:pt idx="148">
                  <c:v>106.66666666666667</c:v>
                </c:pt>
                <c:pt idx="149">
                  <c:v>106.66666666666667</c:v>
                </c:pt>
                <c:pt idx="150">
                  <c:v>106.66666666666667</c:v>
                </c:pt>
                <c:pt idx="151">
                  <c:v>106.66666666666667</c:v>
                </c:pt>
                <c:pt idx="152">
                  <c:v>106.66666666666667</c:v>
                </c:pt>
                <c:pt idx="153">
                  <c:v>106.66666666666667</c:v>
                </c:pt>
                <c:pt idx="154">
                  <c:v>106.66666666666667</c:v>
                </c:pt>
                <c:pt idx="155">
                  <c:v>106.66666666666667</c:v>
                </c:pt>
                <c:pt idx="156">
                  <c:v>106.66666666666667</c:v>
                </c:pt>
                <c:pt idx="157">
                  <c:v>106.66666666666667</c:v>
                </c:pt>
                <c:pt idx="158">
                  <c:v>106.66666666666667</c:v>
                </c:pt>
                <c:pt idx="159">
                  <c:v>106.66666666666667</c:v>
                </c:pt>
                <c:pt idx="160">
                  <c:v>106.66666666666667</c:v>
                </c:pt>
                <c:pt idx="161">
                  <c:v>106.66666666666667</c:v>
                </c:pt>
                <c:pt idx="162">
                  <c:v>106.66666666666667</c:v>
                </c:pt>
                <c:pt idx="163">
                  <c:v>106.66666666666667</c:v>
                </c:pt>
                <c:pt idx="164">
                  <c:v>106.66666666666667</c:v>
                </c:pt>
                <c:pt idx="165">
                  <c:v>106.66666666666667</c:v>
                </c:pt>
                <c:pt idx="166">
                  <c:v>106.66666666666667</c:v>
                </c:pt>
                <c:pt idx="167">
                  <c:v>106.66666666666667</c:v>
                </c:pt>
                <c:pt idx="168">
                  <c:v>106.66666666666667</c:v>
                </c:pt>
                <c:pt idx="169">
                  <c:v>106.66666666666667</c:v>
                </c:pt>
                <c:pt idx="170">
                  <c:v>106.66666666666667</c:v>
                </c:pt>
                <c:pt idx="171">
                  <c:v>106.66666666666667</c:v>
                </c:pt>
                <c:pt idx="172">
                  <c:v>106.66666666666667</c:v>
                </c:pt>
                <c:pt idx="173">
                  <c:v>106.66666666666667</c:v>
                </c:pt>
                <c:pt idx="174">
                  <c:v>106.66666666666667</c:v>
                </c:pt>
                <c:pt idx="175">
                  <c:v>106.66666666666667</c:v>
                </c:pt>
                <c:pt idx="176">
                  <c:v>106.66666666666667</c:v>
                </c:pt>
                <c:pt idx="177">
                  <c:v>106.66666666666667</c:v>
                </c:pt>
                <c:pt idx="178">
                  <c:v>106.66666666666667</c:v>
                </c:pt>
                <c:pt idx="179">
                  <c:v>106.66666666666667</c:v>
                </c:pt>
                <c:pt idx="180">
                  <c:v>106.66666666666667</c:v>
                </c:pt>
                <c:pt idx="181">
                  <c:v>106.66666666666667</c:v>
                </c:pt>
                <c:pt idx="182">
                  <c:v>106.66666666666667</c:v>
                </c:pt>
                <c:pt idx="183">
                  <c:v>106.66666666666667</c:v>
                </c:pt>
                <c:pt idx="184">
                  <c:v>106.66666666666667</c:v>
                </c:pt>
                <c:pt idx="185">
                  <c:v>106.66666666666667</c:v>
                </c:pt>
                <c:pt idx="186">
                  <c:v>106.66666666666667</c:v>
                </c:pt>
                <c:pt idx="187">
                  <c:v>106.66666666666667</c:v>
                </c:pt>
                <c:pt idx="188">
                  <c:v>106.66666666666667</c:v>
                </c:pt>
                <c:pt idx="189">
                  <c:v>106.66666666666667</c:v>
                </c:pt>
                <c:pt idx="190">
                  <c:v>106.66666666666667</c:v>
                </c:pt>
                <c:pt idx="191">
                  <c:v>106.66666666666667</c:v>
                </c:pt>
                <c:pt idx="192">
                  <c:v>106.66666666666667</c:v>
                </c:pt>
                <c:pt idx="193">
                  <c:v>106.66666666666667</c:v>
                </c:pt>
                <c:pt idx="194">
                  <c:v>106.66666666666667</c:v>
                </c:pt>
                <c:pt idx="195">
                  <c:v>106.66666666666667</c:v>
                </c:pt>
                <c:pt idx="196">
                  <c:v>106.66666666666667</c:v>
                </c:pt>
                <c:pt idx="197">
                  <c:v>106.66666666666667</c:v>
                </c:pt>
                <c:pt idx="198">
                  <c:v>106.66666666666667</c:v>
                </c:pt>
                <c:pt idx="199">
                  <c:v>106.66666666666667</c:v>
                </c:pt>
                <c:pt idx="200">
                  <c:v>106.66666666666667</c:v>
                </c:pt>
                <c:pt idx="201">
                  <c:v>106.66666666666667</c:v>
                </c:pt>
                <c:pt idx="202">
                  <c:v>106.66666666666667</c:v>
                </c:pt>
                <c:pt idx="203">
                  <c:v>106.66666666666667</c:v>
                </c:pt>
                <c:pt idx="204">
                  <c:v>106.66666666666667</c:v>
                </c:pt>
                <c:pt idx="205">
                  <c:v>106.66666666666667</c:v>
                </c:pt>
                <c:pt idx="206">
                  <c:v>106.66666666666667</c:v>
                </c:pt>
                <c:pt idx="207">
                  <c:v>106.66666666666667</c:v>
                </c:pt>
                <c:pt idx="208">
                  <c:v>106.66666666666667</c:v>
                </c:pt>
                <c:pt idx="209">
                  <c:v>106.66666666666667</c:v>
                </c:pt>
                <c:pt idx="210">
                  <c:v>106.66666666666667</c:v>
                </c:pt>
                <c:pt idx="211">
                  <c:v>106.66666666666667</c:v>
                </c:pt>
                <c:pt idx="212">
                  <c:v>106.66666666666667</c:v>
                </c:pt>
                <c:pt idx="213">
                  <c:v>106.66666666666667</c:v>
                </c:pt>
                <c:pt idx="214">
                  <c:v>106.66666666666667</c:v>
                </c:pt>
                <c:pt idx="215">
                  <c:v>106.66666666666667</c:v>
                </c:pt>
                <c:pt idx="216">
                  <c:v>106.66666666666667</c:v>
                </c:pt>
                <c:pt idx="217">
                  <c:v>106.66666666666667</c:v>
                </c:pt>
                <c:pt idx="218">
                  <c:v>106.66666666666667</c:v>
                </c:pt>
                <c:pt idx="219">
                  <c:v>106.66666666666667</c:v>
                </c:pt>
                <c:pt idx="220">
                  <c:v>106.66666666666667</c:v>
                </c:pt>
                <c:pt idx="221">
                  <c:v>106.66666666666667</c:v>
                </c:pt>
                <c:pt idx="222">
                  <c:v>106.66666666666667</c:v>
                </c:pt>
                <c:pt idx="223">
                  <c:v>106.66666666666667</c:v>
                </c:pt>
                <c:pt idx="224">
                  <c:v>106.66666666666667</c:v>
                </c:pt>
                <c:pt idx="225">
                  <c:v>106.66666666666667</c:v>
                </c:pt>
                <c:pt idx="226">
                  <c:v>106.66666666666667</c:v>
                </c:pt>
                <c:pt idx="227">
                  <c:v>106.66666666666667</c:v>
                </c:pt>
                <c:pt idx="228">
                  <c:v>106.66666666666667</c:v>
                </c:pt>
                <c:pt idx="229">
                  <c:v>106.66666666666667</c:v>
                </c:pt>
                <c:pt idx="230">
                  <c:v>106.66666666666667</c:v>
                </c:pt>
                <c:pt idx="231">
                  <c:v>106.66666666666667</c:v>
                </c:pt>
                <c:pt idx="232">
                  <c:v>106.66666666666667</c:v>
                </c:pt>
                <c:pt idx="233">
                  <c:v>106.66666666666667</c:v>
                </c:pt>
                <c:pt idx="234">
                  <c:v>106.66666666666667</c:v>
                </c:pt>
                <c:pt idx="235">
                  <c:v>106.66666666666667</c:v>
                </c:pt>
                <c:pt idx="236">
                  <c:v>106.66666666666667</c:v>
                </c:pt>
                <c:pt idx="237">
                  <c:v>106.66666666666667</c:v>
                </c:pt>
                <c:pt idx="238">
                  <c:v>106.66666666666667</c:v>
                </c:pt>
                <c:pt idx="239">
                  <c:v>106.66666666666667</c:v>
                </c:pt>
                <c:pt idx="240">
                  <c:v>106.66666666666667</c:v>
                </c:pt>
                <c:pt idx="241">
                  <c:v>106.66666666666667</c:v>
                </c:pt>
                <c:pt idx="242">
                  <c:v>106.66666666666667</c:v>
                </c:pt>
                <c:pt idx="243">
                  <c:v>106.66666666666667</c:v>
                </c:pt>
                <c:pt idx="244">
                  <c:v>106.66666666666667</c:v>
                </c:pt>
                <c:pt idx="245">
                  <c:v>106.66666666666667</c:v>
                </c:pt>
                <c:pt idx="246">
                  <c:v>106.66666666666667</c:v>
                </c:pt>
                <c:pt idx="247">
                  <c:v>106.66666666666667</c:v>
                </c:pt>
                <c:pt idx="248">
                  <c:v>106.66666666666667</c:v>
                </c:pt>
                <c:pt idx="249">
                  <c:v>106.66666666666667</c:v>
                </c:pt>
                <c:pt idx="250">
                  <c:v>106.66666666666667</c:v>
                </c:pt>
                <c:pt idx="251">
                  <c:v>106.66666666666667</c:v>
                </c:pt>
                <c:pt idx="252">
                  <c:v>106.66666666666667</c:v>
                </c:pt>
                <c:pt idx="253">
                  <c:v>106.66666666666667</c:v>
                </c:pt>
                <c:pt idx="254">
                  <c:v>106.66666666666667</c:v>
                </c:pt>
                <c:pt idx="255">
                  <c:v>106.66666666666667</c:v>
                </c:pt>
                <c:pt idx="256">
                  <c:v>106.66666666666667</c:v>
                </c:pt>
                <c:pt idx="257">
                  <c:v>106.66666666666667</c:v>
                </c:pt>
                <c:pt idx="258">
                  <c:v>106.66666666666667</c:v>
                </c:pt>
                <c:pt idx="259">
                  <c:v>106.66666666666667</c:v>
                </c:pt>
                <c:pt idx="260">
                  <c:v>106.66666666666667</c:v>
                </c:pt>
                <c:pt idx="261">
                  <c:v>106.66666666666667</c:v>
                </c:pt>
                <c:pt idx="262">
                  <c:v>106.66666666666667</c:v>
                </c:pt>
                <c:pt idx="263">
                  <c:v>106.66666666666667</c:v>
                </c:pt>
                <c:pt idx="264">
                  <c:v>106.66666666666667</c:v>
                </c:pt>
                <c:pt idx="265">
                  <c:v>106.66666666666667</c:v>
                </c:pt>
                <c:pt idx="266">
                  <c:v>106.66666666666667</c:v>
                </c:pt>
                <c:pt idx="267">
                  <c:v>106.66666666666667</c:v>
                </c:pt>
                <c:pt idx="268">
                  <c:v>106.66666666666667</c:v>
                </c:pt>
                <c:pt idx="269">
                  <c:v>106.66666666666667</c:v>
                </c:pt>
                <c:pt idx="270">
                  <c:v>106.66666666666667</c:v>
                </c:pt>
                <c:pt idx="271">
                  <c:v>106.66666666666667</c:v>
                </c:pt>
                <c:pt idx="272">
                  <c:v>106.66666666666667</c:v>
                </c:pt>
                <c:pt idx="273">
                  <c:v>106.66666666666667</c:v>
                </c:pt>
                <c:pt idx="274">
                  <c:v>106.66666666666667</c:v>
                </c:pt>
                <c:pt idx="275">
                  <c:v>106.66666666666667</c:v>
                </c:pt>
                <c:pt idx="276">
                  <c:v>106.66666666666667</c:v>
                </c:pt>
                <c:pt idx="277">
                  <c:v>106.66666666666667</c:v>
                </c:pt>
                <c:pt idx="278">
                  <c:v>106.66666666666667</c:v>
                </c:pt>
                <c:pt idx="279">
                  <c:v>106.66666666666667</c:v>
                </c:pt>
                <c:pt idx="280">
                  <c:v>106.66666666666667</c:v>
                </c:pt>
                <c:pt idx="281">
                  <c:v>106.66666666666667</c:v>
                </c:pt>
                <c:pt idx="282">
                  <c:v>106.66666666666667</c:v>
                </c:pt>
                <c:pt idx="283">
                  <c:v>106.66666666666667</c:v>
                </c:pt>
                <c:pt idx="284">
                  <c:v>106.66666666666667</c:v>
                </c:pt>
                <c:pt idx="285">
                  <c:v>106.66666666666667</c:v>
                </c:pt>
                <c:pt idx="286">
                  <c:v>106.66666666666667</c:v>
                </c:pt>
                <c:pt idx="287">
                  <c:v>106.66666666666667</c:v>
                </c:pt>
                <c:pt idx="288">
                  <c:v>106.66666666666667</c:v>
                </c:pt>
                <c:pt idx="289">
                  <c:v>106.66666666666667</c:v>
                </c:pt>
                <c:pt idx="290">
                  <c:v>106.66666666666667</c:v>
                </c:pt>
                <c:pt idx="291">
                  <c:v>106.66666666666667</c:v>
                </c:pt>
                <c:pt idx="292">
                  <c:v>106.66666666666667</c:v>
                </c:pt>
                <c:pt idx="293">
                  <c:v>106.66666666666667</c:v>
                </c:pt>
                <c:pt idx="294">
                  <c:v>106.66666666666667</c:v>
                </c:pt>
                <c:pt idx="295">
                  <c:v>106.66666666666667</c:v>
                </c:pt>
                <c:pt idx="296">
                  <c:v>106.66666666666667</c:v>
                </c:pt>
                <c:pt idx="297">
                  <c:v>106.66666666666667</c:v>
                </c:pt>
                <c:pt idx="298">
                  <c:v>106.66666666666667</c:v>
                </c:pt>
                <c:pt idx="299">
                  <c:v>106.66666666666667</c:v>
                </c:pt>
                <c:pt idx="300">
                  <c:v>106.66666666666667</c:v>
                </c:pt>
                <c:pt idx="301">
                  <c:v>106.66666666666667</c:v>
                </c:pt>
                <c:pt idx="302">
                  <c:v>106.66666666666667</c:v>
                </c:pt>
                <c:pt idx="303">
                  <c:v>106.66666666666667</c:v>
                </c:pt>
                <c:pt idx="304">
                  <c:v>106.66666666666667</c:v>
                </c:pt>
                <c:pt idx="305">
                  <c:v>106.66666666666667</c:v>
                </c:pt>
                <c:pt idx="306">
                  <c:v>106.66666666666667</c:v>
                </c:pt>
                <c:pt idx="307">
                  <c:v>106.66666666666667</c:v>
                </c:pt>
                <c:pt idx="308">
                  <c:v>106.66666666666667</c:v>
                </c:pt>
                <c:pt idx="309">
                  <c:v>106.66666666666667</c:v>
                </c:pt>
                <c:pt idx="310">
                  <c:v>106.66666666666667</c:v>
                </c:pt>
                <c:pt idx="311">
                  <c:v>106.66666666666667</c:v>
                </c:pt>
                <c:pt idx="312">
                  <c:v>106.66666666666667</c:v>
                </c:pt>
                <c:pt idx="313">
                  <c:v>106.66666666666667</c:v>
                </c:pt>
                <c:pt idx="314">
                  <c:v>106.66666666666667</c:v>
                </c:pt>
                <c:pt idx="315">
                  <c:v>106.66666666666667</c:v>
                </c:pt>
                <c:pt idx="316">
                  <c:v>106.66666666666667</c:v>
                </c:pt>
                <c:pt idx="317">
                  <c:v>106.66666666666667</c:v>
                </c:pt>
                <c:pt idx="318">
                  <c:v>106.66666666666667</c:v>
                </c:pt>
                <c:pt idx="319">
                  <c:v>106.66666666666667</c:v>
                </c:pt>
                <c:pt idx="320">
                  <c:v>106.66666666666667</c:v>
                </c:pt>
                <c:pt idx="321">
                  <c:v>106.66666666666667</c:v>
                </c:pt>
                <c:pt idx="322">
                  <c:v>106.66666666666667</c:v>
                </c:pt>
                <c:pt idx="323">
                  <c:v>106.66666666666667</c:v>
                </c:pt>
              </c:numCache>
            </c:numRef>
          </c:val>
          <c:smooth val="0"/>
        </c:ser>
        <c:ser>
          <c:idx val="1"/>
          <c:order val="1"/>
          <c:tx>
            <c:strRef>
              <c:f>紙!$J$1</c:f>
              <c:strCache>
                <c:ptCount val="1"/>
                <c:pt idx="0">
                  <c:v>廢紙 瓦楞紙箱及邊裁 美洲FOB 月均價(美元/公噸)</c:v>
                </c:pt>
              </c:strCache>
            </c:strRef>
          </c:tx>
          <c:marker>
            <c:symbol val="none"/>
          </c:marker>
          <c:cat>
            <c:numRef>
              <c:f>紙!$F$216:$F$539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紙!$J$216:$J$539</c:f>
              <c:numCache>
                <c:formatCode>General</c:formatCode>
                <c:ptCount val="324"/>
                <c:pt idx="0">
                  <c:v>199</c:v>
                </c:pt>
                <c:pt idx="1">
                  <c:v>199</c:v>
                </c:pt>
                <c:pt idx="2">
                  <c:v>199</c:v>
                </c:pt>
                <c:pt idx="3">
                  <c:v>199</c:v>
                </c:pt>
                <c:pt idx="4">
                  <c:v>199</c:v>
                </c:pt>
                <c:pt idx="5">
                  <c:v>199</c:v>
                </c:pt>
                <c:pt idx="6">
                  <c:v>199</c:v>
                </c:pt>
                <c:pt idx="7">
                  <c:v>199</c:v>
                </c:pt>
                <c:pt idx="8">
                  <c:v>199</c:v>
                </c:pt>
                <c:pt idx="9">
                  <c:v>199</c:v>
                </c:pt>
                <c:pt idx="10">
                  <c:v>199</c:v>
                </c:pt>
                <c:pt idx="11">
                  <c:v>199</c:v>
                </c:pt>
                <c:pt idx="12">
                  <c:v>199</c:v>
                </c:pt>
                <c:pt idx="13">
                  <c:v>199</c:v>
                </c:pt>
                <c:pt idx="14">
                  <c:v>199</c:v>
                </c:pt>
                <c:pt idx="15">
                  <c:v>199</c:v>
                </c:pt>
                <c:pt idx="16">
                  <c:v>199</c:v>
                </c:pt>
                <c:pt idx="17">
                  <c:v>199</c:v>
                </c:pt>
                <c:pt idx="18">
                  <c:v>199</c:v>
                </c:pt>
                <c:pt idx="19">
                  <c:v>199</c:v>
                </c:pt>
                <c:pt idx="20">
                  <c:v>199</c:v>
                </c:pt>
                <c:pt idx="21">
                  <c:v>199</c:v>
                </c:pt>
                <c:pt idx="22">
                  <c:v>199</c:v>
                </c:pt>
                <c:pt idx="23">
                  <c:v>199</c:v>
                </c:pt>
                <c:pt idx="24">
                  <c:v>199</c:v>
                </c:pt>
                <c:pt idx="25">
                  <c:v>199</c:v>
                </c:pt>
                <c:pt idx="26">
                  <c:v>199</c:v>
                </c:pt>
                <c:pt idx="27">
                  <c:v>199</c:v>
                </c:pt>
                <c:pt idx="28">
                  <c:v>199</c:v>
                </c:pt>
                <c:pt idx="29">
                  <c:v>199</c:v>
                </c:pt>
                <c:pt idx="30">
                  <c:v>199</c:v>
                </c:pt>
                <c:pt idx="31">
                  <c:v>198</c:v>
                </c:pt>
                <c:pt idx="32">
                  <c:v>198</c:v>
                </c:pt>
                <c:pt idx="33">
                  <c:v>198</c:v>
                </c:pt>
                <c:pt idx="34">
                  <c:v>198</c:v>
                </c:pt>
                <c:pt idx="35">
                  <c:v>198</c:v>
                </c:pt>
                <c:pt idx="36">
                  <c:v>198</c:v>
                </c:pt>
                <c:pt idx="37">
                  <c:v>198</c:v>
                </c:pt>
                <c:pt idx="38">
                  <c:v>198</c:v>
                </c:pt>
                <c:pt idx="39">
                  <c:v>198</c:v>
                </c:pt>
                <c:pt idx="40">
                  <c:v>198</c:v>
                </c:pt>
                <c:pt idx="41">
                  <c:v>198</c:v>
                </c:pt>
                <c:pt idx="42">
                  <c:v>198</c:v>
                </c:pt>
                <c:pt idx="43">
                  <c:v>198</c:v>
                </c:pt>
                <c:pt idx="44">
                  <c:v>198</c:v>
                </c:pt>
                <c:pt idx="45">
                  <c:v>198</c:v>
                </c:pt>
                <c:pt idx="46">
                  <c:v>198</c:v>
                </c:pt>
                <c:pt idx="47">
                  <c:v>198</c:v>
                </c:pt>
                <c:pt idx="48">
                  <c:v>198</c:v>
                </c:pt>
                <c:pt idx="49">
                  <c:v>198</c:v>
                </c:pt>
                <c:pt idx="50">
                  <c:v>198</c:v>
                </c:pt>
                <c:pt idx="51">
                  <c:v>198</c:v>
                </c:pt>
                <c:pt idx="52">
                  <c:v>198</c:v>
                </c:pt>
                <c:pt idx="53">
                  <c:v>198</c:v>
                </c:pt>
                <c:pt idx="54">
                  <c:v>198</c:v>
                </c:pt>
                <c:pt idx="55">
                  <c:v>198</c:v>
                </c:pt>
                <c:pt idx="56">
                  <c:v>198</c:v>
                </c:pt>
                <c:pt idx="57">
                  <c:v>198</c:v>
                </c:pt>
                <c:pt idx="58">
                  <c:v>198</c:v>
                </c:pt>
                <c:pt idx="59">
                  <c:v>220</c:v>
                </c:pt>
                <c:pt idx="60">
                  <c:v>220</c:v>
                </c:pt>
                <c:pt idx="61">
                  <c:v>220</c:v>
                </c:pt>
                <c:pt idx="62">
                  <c:v>220</c:v>
                </c:pt>
                <c:pt idx="63">
                  <c:v>220</c:v>
                </c:pt>
                <c:pt idx="64">
                  <c:v>220</c:v>
                </c:pt>
                <c:pt idx="65">
                  <c:v>220</c:v>
                </c:pt>
                <c:pt idx="66">
                  <c:v>220</c:v>
                </c:pt>
                <c:pt idx="67">
                  <c:v>220</c:v>
                </c:pt>
                <c:pt idx="68">
                  <c:v>220</c:v>
                </c:pt>
                <c:pt idx="69">
                  <c:v>220</c:v>
                </c:pt>
                <c:pt idx="70">
                  <c:v>220</c:v>
                </c:pt>
                <c:pt idx="71">
                  <c:v>220</c:v>
                </c:pt>
                <c:pt idx="72">
                  <c:v>220</c:v>
                </c:pt>
                <c:pt idx="73">
                  <c:v>220</c:v>
                </c:pt>
                <c:pt idx="74">
                  <c:v>220</c:v>
                </c:pt>
                <c:pt idx="75">
                  <c:v>220</c:v>
                </c:pt>
                <c:pt idx="76">
                  <c:v>220</c:v>
                </c:pt>
                <c:pt idx="77">
                  <c:v>220</c:v>
                </c:pt>
                <c:pt idx="78">
                  <c:v>220</c:v>
                </c:pt>
                <c:pt idx="79">
                  <c:v>220</c:v>
                </c:pt>
                <c:pt idx="80">
                  <c:v>220</c:v>
                </c:pt>
                <c:pt idx="81">
                  <c:v>220</c:v>
                </c:pt>
                <c:pt idx="82">
                  <c:v>220</c:v>
                </c:pt>
                <c:pt idx="83">
                  <c:v>220</c:v>
                </c:pt>
                <c:pt idx="84">
                  <c:v>220</c:v>
                </c:pt>
                <c:pt idx="85">
                  <c:v>220</c:v>
                </c:pt>
                <c:pt idx="86">
                  <c:v>220</c:v>
                </c:pt>
                <c:pt idx="87">
                  <c:v>220</c:v>
                </c:pt>
                <c:pt idx="88">
                  <c:v>220</c:v>
                </c:pt>
                <c:pt idx="89">
                  <c:v>220</c:v>
                </c:pt>
                <c:pt idx="90">
                  <c:v>185</c:v>
                </c:pt>
                <c:pt idx="91">
                  <c:v>185</c:v>
                </c:pt>
                <c:pt idx="92">
                  <c:v>185</c:v>
                </c:pt>
                <c:pt idx="93">
                  <c:v>185</c:v>
                </c:pt>
                <c:pt idx="94">
                  <c:v>185</c:v>
                </c:pt>
                <c:pt idx="95">
                  <c:v>185</c:v>
                </c:pt>
                <c:pt idx="96">
                  <c:v>185</c:v>
                </c:pt>
                <c:pt idx="97">
                  <c:v>185</c:v>
                </c:pt>
                <c:pt idx="98">
                  <c:v>185</c:v>
                </c:pt>
                <c:pt idx="99">
                  <c:v>185</c:v>
                </c:pt>
                <c:pt idx="100">
                  <c:v>185</c:v>
                </c:pt>
                <c:pt idx="101">
                  <c:v>185</c:v>
                </c:pt>
                <c:pt idx="102">
                  <c:v>185</c:v>
                </c:pt>
                <c:pt idx="103">
                  <c:v>185</c:v>
                </c:pt>
                <c:pt idx="104">
                  <c:v>185</c:v>
                </c:pt>
                <c:pt idx="105">
                  <c:v>185</c:v>
                </c:pt>
                <c:pt idx="106">
                  <c:v>185</c:v>
                </c:pt>
                <c:pt idx="107">
                  <c:v>185</c:v>
                </c:pt>
                <c:pt idx="108">
                  <c:v>185</c:v>
                </c:pt>
                <c:pt idx="109">
                  <c:v>185</c:v>
                </c:pt>
                <c:pt idx="110">
                  <c:v>185</c:v>
                </c:pt>
                <c:pt idx="111">
                  <c:v>185</c:v>
                </c:pt>
                <c:pt idx="112">
                  <c:v>185</c:v>
                </c:pt>
                <c:pt idx="113">
                  <c:v>185</c:v>
                </c:pt>
                <c:pt idx="114">
                  <c:v>185</c:v>
                </c:pt>
                <c:pt idx="115">
                  <c:v>185</c:v>
                </c:pt>
                <c:pt idx="116">
                  <c:v>185</c:v>
                </c:pt>
                <c:pt idx="117">
                  <c:v>185</c:v>
                </c:pt>
                <c:pt idx="118">
                  <c:v>185</c:v>
                </c:pt>
                <c:pt idx="119">
                  <c:v>185</c:v>
                </c:pt>
                <c:pt idx="120">
                  <c:v>181</c:v>
                </c:pt>
                <c:pt idx="121">
                  <c:v>181</c:v>
                </c:pt>
                <c:pt idx="122">
                  <c:v>181</c:v>
                </c:pt>
                <c:pt idx="123">
                  <c:v>181</c:v>
                </c:pt>
                <c:pt idx="124">
                  <c:v>181</c:v>
                </c:pt>
                <c:pt idx="125">
                  <c:v>181</c:v>
                </c:pt>
                <c:pt idx="126">
                  <c:v>181</c:v>
                </c:pt>
                <c:pt idx="127">
                  <c:v>181</c:v>
                </c:pt>
                <c:pt idx="128">
                  <c:v>181</c:v>
                </c:pt>
                <c:pt idx="129">
                  <c:v>181</c:v>
                </c:pt>
                <c:pt idx="130">
                  <c:v>181</c:v>
                </c:pt>
                <c:pt idx="131">
                  <c:v>181</c:v>
                </c:pt>
                <c:pt idx="132">
                  <c:v>181</c:v>
                </c:pt>
                <c:pt idx="133">
                  <c:v>181</c:v>
                </c:pt>
                <c:pt idx="134">
                  <c:v>181</c:v>
                </c:pt>
                <c:pt idx="135">
                  <c:v>181</c:v>
                </c:pt>
                <c:pt idx="136">
                  <c:v>181</c:v>
                </c:pt>
                <c:pt idx="137">
                  <c:v>181</c:v>
                </c:pt>
                <c:pt idx="138">
                  <c:v>181</c:v>
                </c:pt>
                <c:pt idx="139">
                  <c:v>181</c:v>
                </c:pt>
                <c:pt idx="140">
                  <c:v>181</c:v>
                </c:pt>
                <c:pt idx="141">
                  <c:v>181</c:v>
                </c:pt>
                <c:pt idx="142">
                  <c:v>181</c:v>
                </c:pt>
                <c:pt idx="143">
                  <c:v>181</c:v>
                </c:pt>
                <c:pt idx="144">
                  <c:v>181</c:v>
                </c:pt>
                <c:pt idx="145">
                  <c:v>181</c:v>
                </c:pt>
                <c:pt idx="146">
                  <c:v>181</c:v>
                </c:pt>
                <c:pt idx="147">
                  <c:v>181</c:v>
                </c:pt>
                <c:pt idx="148">
                  <c:v>181</c:v>
                </c:pt>
                <c:pt idx="149">
                  <c:v>181</c:v>
                </c:pt>
                <c:pt idx="150">
                  <c:v>181</c:v>
                </c:pt>
                <c:pt idx="151">
                  <c:v>185</c:v>
                </c:pt>
                <c:pt idx="152">
                  <c:v>185</c:v>
                </c:pt>
                <c:pt idx="153">
                  <c:v>185</c:v>
                </c:pt>
                <c:pt idx="154">
                  <c:v>185</c:v>
                </c:pt>
                <c:pt idx="155">
                  <c:v>185</c:v>
                </c:pt>
                <c:pt idx="156">
                  <c:v>185</c:v>
                </c:pt>
                <c:pt idx="157">
                  <c:v>185</c:v>
                </c:pt>
                <c:pt idx="158">
                  <c:v>185</c:v>
                </c:pt>
                <c:pt idx="159">
                  <c:v>185</c:v>
                </c:pt>
                <c:pt idx="160">
                  <c:v>185</c:v>
                </c:pt>
                <c:pt idx="161">
                  <c:v>185</c:v>
                </c:pt>
                <c:pt idx="162">
                  <c:v>185</c:v>
                </c:pt>
                <c:pt idx="163">
                  <c:v>185</c:v>
                </c:pt>
                <c:pt idx="164">
                  <c:v>185</c:v>
                </c:pt>
                <c:pt idx="165">
                  <c:v>185</c:v>
                </c:pt>
                <c:pt idx="166">
                  <c:v>185</c:v>
                </c:pt>
                <c:pt idx="167">
                  <c:v>185</c:v>
                </c:pt>
                <c:pt idx="168">
                  <c:v>185</c:v>
                </c:pt>
                <c:pt idx="169">
                  <c:v>185</c:v>
                </c:pt>
                <c:pt idx="170">
                  <c:v>185</c:v>
                </c:pt>
                <c:pt idx="171">
                  <c:v>185</c:v>
                </c:pt>
                <c:pt idx="172">
                  <c:v>185</c:v>
                </c:pt>
                <c:pt idx="173">
                  <c:v>185</c:v>
                </c:pt>
                <c:pt idx="174">
                  <c:v>185</c:v>
                </c:pt>
                <c:pt idx="175">
                  <c:v>185</c:v>
                </c:pt>
                <c:pt idx="176">
                  <c:v>185</c:v>
                </c:pt>
                <c:pt idx="177">
                  <c:v>185</c:v>
                </c:pt>
                <c:pt idx="178">
                  <c:v>185</c:v>
                </c:pt>
                <c:pt idx="179">
                  <c:v>185</c:v>
                </c:pt>
                <c:pt idx="180">
                  <c:v>185</c:v>
                </c:pt>
                <c:pt idx="181">
                  <c:v>187</c:v>
                </c:pt>
                <c:pt idx="182">
                  <c:v>187</c:v>
                </c:pt>
                <c:pt idx="183">
                  <c:v>187</c:v>
                </c:pt>
                <c:pt idx="184">
                  <c:v>187</c:v>
                </c:pt>
                <c:pt idx="185">
                  <c:v>187</c:v>
                </c:pt>
                <c:pt idx="186">
                  <c:v>187</c:v>
                </c:pt>
                <c:pt idx="187">
                  <c:v>187</c:v>
                </c:pt>
                <c:pt idx="188">
                  <c:v>187</c:v>
                </c:pt>
                <c:pt idx="189">
                  <c:v>187</c:v>
                </c:pt>
                <c:pt idx="190">
                  <c:v>187</c:v>
                </c:pt>
                <c:pt idx="191">
                  <c:v>187</c:v>
                </c:pt>
                <c:pt idx="192">
                  <c:v>187</c:v>
                </c:pt>
                <c:pt idx="193">
                  <c:v>187</c:v>
                </c:pt>
                <c:pt idx="194">
                  <c:v>187</c:v>
                </c:pt>
                <c:pt idx="195">
                  <c:v>187</c:v>
                </c:pt>
                <c:pt idx="196">
                  <c:v>187</c:v>
                </c:pt>
                <c:pt idx="197">
                  <c:v>187</c:v>
                </c:pt>
                <c:pt idx="198">
                  <c:v>187</c:v>
                </c:pt>
                <c:pt idx="199">
                  <c:v>187</c:v>
                </c:pt>
                <c:pt idx="200">
                  <c:v>187</c:v>
                </c:pt>
                <c:pt idx="201">
                  <c:v>187</c:v>
                </c:pt>
                <c:pt idx="202">
                  <c:v>187</c:v>
                </c:pt>
                <c:pt idx="203">
                  <c:v>187</c:v>
                </c:pt>
                <c:pt idx="204">
                  <c:v>187</c:v>
                </c:pt>
                <c:pt idx="205">
                  <c:v>187</c:v>
                </c:pt>
                <c:pt idx="206">
                  <c:v>187</c:v>
                </c:pt>
                <c:pt idx="207">
                  <c:v>187</c:v>
                </c:pt>
                <c:pt idx="208">
                  <c:v>187</c:v>
                </c:pt>
                <c:pt idx="209">
                  <c:v>187</c:v>
                </c:pt>
                <c:pt idx="210">
                  <c:v>187</c:v>
                </c:pt>
                <c:pt idx="211">
                  <c:v>187</c:v>
                </c:pt>
                <c:pt idx="212">
                  <c:v>220</c:v>
                </c:pt>
                <c:pt idx="213">
                  <c:v>220</c:v>
                </c:pt>
                <c:pt idx="214">
                  <c:v>220</c:v>
                </c:pt>
                <c:pt idx="215">
                  <c:v>220</c:v>
                </c:pt>
                <c:pt idx="216">
                  <c:v>220</c:v>
                </c:pt>
                <c:pt idx="217">
                  <c:v>220</c:v>
                </c:pt>
                <c:pt idx="218">
                  <c:v>220</c:v>
                </c:pt>
                <c:pt idx="219">
                  <c:v>220</c:v>
                </c:pt>
                <c:pt idx="220">
                  <c:v>220</c:v>
                </c:pt>
                <c:pt idx="221">
                  <c:v>220</c:v>
                </c:pt>
                <c:pt idx="222">
                  <c:v>220</c:v>
                </c:pt>
                <c:pt idx="223">
                  <c:v>220</c:v>
                </c:pt>
                <c:pt idx="224">
                  <c:v>220</c:v>
                </c:pt>
                <c:pt idx="225">
                  <c:v>220</c:v>
                </c:pt>
                <c:pt idx="226">
                  <c:v>220</c:v>
                </c:pt>
                <c:pt idx="227">
                  <c:v>220</c:v>
                </c:pt>
                <c:pt idx="228">
                  <c:v>220</c:v>
                </c:pt>
                <c:pt idx="229">
                  <c:v>220</c:v>
                </c:pt>
                <c:pt idx="230">
                  <c:v>220</c:v>
                </c:pt>
                <c:pt idx="231">
                  <c:v>220</c:v>
                </c:pt>
                <c:pt idx="232">
                  <c:v>220</c:v>
                </c:pt>
                <c:pt idx="233">
                  <c:v>220</c:v>
                </c:pt>
                <c:pt idx="234">
                  <c:v>220</c:v>
                </c:pt>
                <c:pt idx="235">
                  <c:v>220</c:v>
                </c:pt>
                <c:pt idx="236">
                  <c:v>220</c:v>
                </c:pt>
                <c:pt idx="237">
                  <c:v>220</c:v>
                </c:pt>
                <c:pt idx="238">
                  <c:v>220</c:v>
                </c:pt>
                <c:pt idx="239">
                  <c:v>220</c:v>
                </c:pt>
                <c:pt idx="240">
                  <c:v>220</c:v>
                </c:pt>
                <c:pt idx="241">
                  <c:v>220</c:v>
                </c:pt>
                <c:pt idx="242">
                  <c:v>220</c:v>
                </c:pt>
                <c:pt idx="243">
                  <c:v>255</c:v>
                </c:pt>
                <c:pt idx="244">
                  <c:v>255</c:v>
                </c:pt>
                <c:pt idx="245">
                  <c:v>255</c:v>
                </c:pt>
                <c:pt idx="246">
                  <c:v>255</c:v>
                </c:pt>
                <c:pt idx="247">
                  <c:v>255</c:v>
                </c:pt>
                <c:pt idx="248">
                  <c:v>255</c:v>
                </c:pt>
                <c:pt idx="249">
                  <c:v>255</c:v>
                </c:pt>
                <c:pt idx="250">
                  <c:v>255</c:v>
                </c:pt>
                <c:pt idx="251">
                  <c:v>255</c:v>
                </c:pt>
                <c:pt idx="252">
                  <c:v>255</c:v>
                </c:pt>
                <c:pt idx="253">
                  <c:v>255</c:v>
                </c:pt>
                <c:pt idx="254">
                  <c:v>255</c:v>
                </c:pt>
                <c:pt idx="255">
                  <c:v>255</c:v>
                </c:pt>
                <c:pt idx="256">
                  <c:v>255</c:v>
                </c:pt>
                <c:pt idx="257">
                  <c:v>255</c:v>
                </c:pt>
                <c:pt idx="258">
                  <c:v>255</c:v>
                </c:pt>
                <c:pt idx="259">
                  <c:v>255</c:v>
                </c:pt>
                <c:pt idx="260">
                  <c:v>255</c:v>
                </c:pt>
                <c:pt idx="261">
                  <c:v>255</c:v>
                </c:pt>
                <c:pt idx="262">
                  <c:v>255</c:v>
                </c:pt>
                <c:pt idx="263">
                  <c:v>255</c:v>
                </c:pt>
                <c:pt idx="264">
                  <c:v>255</c:v>
                </c:pt>
                <c:pt idx="265">
                  <c:v>255</c:v>
                </c:pt>
                <c:pt idx="266">
                  <c:v>255</c:v>
                </c:pt>
                <c:pt idx="267">
                  <c:v>255</c:v>
                </c:pt>
                <c:pt idx="268">
                  <c:v>255</c:v>
                </c:pt>
                <c:pt idx="269">
                  <c:v>255</c:v>
                </c:pt>
                <c:pt idx="270">
                  <c:v>255</c:v>
                </c:pt>
                <c:pt idx="271">
                  <c:v>255</c:v>
                </c:pt>
                <c:pt idx="272">
                  <c:v>255</c:v>
                </c:pt>
                <c:pt idx="273">
                  <c:v>255</c:v>
                </c:pt>
                <c:pt idx="274">
                  <c:v>255</c:v>
                </c:pt>
                <c:pt idx="275">
                  <c:v>255</c:v>
                </c:pt>
                <c:pt idx="276">
                  <c:v>255</c:v>
                </c:pt>
                <c:pt idx="277">
                  <c:v>255</c:v>
                </c:pt>
                <c:pt idx="278">
                  <c:v>255</c:v>
                </c:pt>
                <c:pt idx="279">
                  <c:v>255</c:v>
                </c:pt>
                <c:pt idx="280">
                  <c:v>255</c:v>
                </c:pt>
                <c:pt idx="281">
                  <c:v>255</c:v>
                </c:pt>
                <c:pt idx="282">
                  <c:v>255</c:v>
                </c:pt>
                <c:pt idx="283">
                  <c:v>255</c:v>
                </c:pt>
                <c:pt idx="284">
                  <c:v>255</c:v>
                </c:pt>
                <c:pt idx="285">
                  <c:v>255</c:v>
                </c:pt>
                <c:pt idx="286">
                  <c:v>255</c:v>
                </c:pt>
                <c:pt idx="287">
                  <c:v>255</c:v>
                </c:pt>
                <c:pt idx="288">
                  <c:v>255</c:v>
                </c:pt>
                <c:pt idx="289">
                  <c:v>255</c:v>
                </c:pt>
                <c:pt idx="290">
                  <c:v>255</c:v>
                </c:pt>
                <c:pt idx="291">
                  <c:v>255</c:v>
                </c:pt>
                <c:pt idx="292">
                  <c:v>255</c:v>
                </c:pt>
                <c:pt idx="293">
                  <c:v>255</c:v>
                </c:pt>
                <c:pt idx="294">
                  <c:v>255</c:v>
                </c:pt>
                <c:pt idx="295">
                  <c:v>255</c:v>
                </c:pt>
                <c:pt idx="296">
                  <c:v>255</c:v>
                </c:pt>
                <c:pt idx="297">
                  <c:v>255</c:v>
                </c:pt>
                <c:pt idx="298">
                  <c:v>255</c:v>
                </c:pt>
                <c:pt idx="299">
                  <c:v>255</c:v>
                </c:pt>
                <c:pt idx="300">
                  <c:v>255</c:v>
                </c:pt>
                <c:pt idx="301">
                  <c:v>255</c:v>
                </c:pt>
                <c:pt idx="302">
                  <c:v>255</c:v>
                </c:pt>
                <c:pt idx="303">
                  <c:v>255</c:v>
                </c:pt>
                <c:pt idx="304">
                  <c:v>255</c:v>
                </c:pt>
                <c:pt idx="305">
                  <c:v>255</c:v>
                </c:pt>
                <c:pt idx="306">
                  <c:v>255</c:v>
                </c:pt>
                <c:pt idx="307">
                  <c:v>255</c:v>
                </c:pt>
                <c:pt idx="308">
                  <c:v>255</c:v>
                </c:pt>
                <c:pt idx="309">
                  <c:v>255</c:v>
                </c:pt>
                <c:pt idx="310">
                  <c:v>255</c:v>
                </c:pt>
                <c:pt idx="311">
                  <c:v>255</c:v>
                </c:pt>
                <c:pt idx="312">
                  <c:v>255</c:v>
                </c:pt>
                <c:pt idx="313">
                  <c:v>255</c:v>
                </c:pt>
                <c:pt idx="314">
                  <c:v>255</c:v>
                </c:pt>
                <c:pt idx="315">
                  <c:v>255</c:v>
                </c:pt>
                <c:pt idx="316">
                  <c:v>255</c:v>
                </c:pt>
                <c:pt idx="317">
                  <c:v>255</c:v>
                </c:pt>
                <c:pt idx="318">
                  <c:v>255</c:v>
                </c:pt>
                <c:pt idx="319">
                  <c:v>255</c:v>
                </c:pt>
                <c:pt idx="320">
                  <c:v>255</c:v>
                </c:pt>
                <c:pt idx="321">
                  <c:v>255</c:v>
                </c:pt>
                <c:pt idx="322">
                  <c:v>255</c:v>
                </c:pt>
                <c:pt idx="323">
                  <c:v>255</c:v>
                </c:pt>
              </c:numCache>
            </c:numRef>
          </c:val>
          <c:smooth val="0"/>
        </c:ser>
        <c:dLbls>
          <c:showLegendKey val="0"/>
          <c:showVal val="0"/>
          <c:showCatName val="0"/>
          <c:showSerName val="0"/>
          <c:showPercent val="0"/>
          <c:showBubbleSize val="0"/>
        </c:dLbls>
        <c:marker val="1"/>
        <c:smooth val="0"/>
        <c:axId val="267864320"/>
        <c:axId val="267870208"/>
      </c:lineChart>
      <c:dateAx>
        <c:axId val="267864320"/>
        <c:scaling>
          <c:orientation val="minMax"/>
        </c:scaling>
        <c:delete val="0"/>
        <c:axPos val="b"/>
        <c:numFmt formatCode="m/d/yyyy" sourceLinked="1"/>
        <c:majorTickMark val="out"/>
        <c:minorTickMark val="none"/>
        <c:tickLblPos val="nextTo"/>
        <c:txPr>
          <a:bodyPr/>
          <a:lstStyle/>
          <a:p>
            <a:pPr>
              <a:defRPr sz="1000"/>
            </a:pPr>
            <a:endParaRPr lang="zh-TW"/>
          </a:p>
        </c:txPr>
        <c:crossAx val="267870208"/>
        <c:crosses val="autoZero"/>
        <c:auto val="1"/>
        <c:lblOffset val="100"/>
        <c:baseTimeUnit val="days"/>
        <c:majorUnit val="1"/>
        <c:majorTimeUnit val="months"/>
        <c:minorUnit val="1"/>
        <c:minorTimeUnit val="months"/>
      </c:dateAx>
      <c:valAx>
        <c:axId val="267870208"/>
        <c:scaling>
          <c:orientation val="minMax"/>
        </c:scaling>
        <c:delete val="0"/>
        <c:axPos val="l"/>
        <c:majorGridlines/>
        <c:numFmt formatCode="General" sourceLinked="1"/>
        <c:majorTickMark val="out"/>
        <c:minorTickMark val="none"/>
        <c:tickLblPos val="nextTo"/>
        <c:txPr>
          <a:bodyPr/>
          <a:lstStyle/>
          <a:p>
            <a:pPr>
              <a:defRPr sz="1000"/>
            </a:pPr>
            <a:endParaRPr lang="zh-TW"/>
          </a:p>
        </c:txPr>
        <c:crossAx val="267864320"/>
        <c:crosses val="autoZero"/>
        <c:crossBetween val="between"/>
      </c:valAx>
    </c:plotArea>
    <c:legend>
      <c:legendPos val="b"/>
      <c:layout>
        <c:manualLayout>
          <c:xMode val="edge"/>
          <c:yMode val="edge"/>
          <c:x val="0.19004662004662004"/>
          <c:y val="0.8516382781512436"/>
          <c:w val="0.70382284382284377"/>
          <c:h val="9.7210840442545049E-2"/>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2628871391076594E-2"/>
          <c:y val="5.2308691095592066E-2"/>
          <c:w val="0.84803779527559064"/>
          <c:h val="0.70823448860057814"/>
        </c:manualLayout>
      </c:layout>
      <c:lineChart>
        <c:grouping val="standard"/>
        <c:varyColors val="0"/>
        <c:ser>
          <c:idx val="0"/>
          <c:order val="0"/>
          <c:tx>
            <c:strRef>
              <c:f>水泥、砂石、混凝土!$D$1</c:f>
              <c:strCache>
                <c:ptCount val="1"/>
                <c:pt idx="0">
                  <c:v>河礫 碎石 桃園地區 廠交中盤價不含運費(元/立方公尺)</c:v>
                </c:pt>
              </c:strCache>
            </c:strRef>
          </c:tx>
          <c:marker>
            <c:symbol val="none"/>
          </c:marker>
          <c:cat>
            <c:numRef>
              <c:f>水泥、砂石、混凝土!$A$216:$A$542</c:f>
              <c:numCache>
                <c:formatCode>m/d/yyyy</c:formatCode>
                <c:ptCount val="327"/>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pt idx="324">
                  <c:v>42329</c:v>
                </c:pt>
                <c:pt idx="325">
                  <c:v>42330</c:v>
                </c:pt>
                <c:pt idx="326">
                  <c:v>42331</c:v>
                </c:pt>
              </c:numCache>
            </c:numRef>
          </c:cat>
          <c:val>
            <c:numRef>
              <c:f>水泥、砂石、混凝土!$D$216:$D$542</c:f>
              <c:numCache>
                <c:formatCode>General</c:formatCode>
                <c:ptCount val="327"/>
                <c:pt idx="0">
                  <c:v>660</c:v>
                </c:pt>
                <c:pt idx="1">
                  <c:v>660</c:v>
                </c:pt>
                <c:pt idx="2">
                  <c:v>660</c:v>
                </c:pt>
                <c:pt idx="3">
                  <c:v>660</c:v>
                </c:pt>
                <c:pt idx="4">
                  <c:v>660</c:v>
                </c:pt>
                <c:pt idx="5">
                  <c:v>660</c:v>
                </c:pt>
                <c:pt idx="6">
                  <c:v>660</c:v>
                </c:pt>
                <c:pt idx="7">
                  <c:v>660</c:v>
                </c:pt>
                <c:pt idx="8">
                  <c:v>660</c:v>
                </c:pt>
                <c:pt idx="9">
                  <c:v>660</c:v>
                </c:pt>
                <c:pt idx="10">
                  <c:v>660</c:v>
                </c:pt>
                <c:pt idx="11">
                  <c:v>660</c:v>
                </c:pt>
                <c:pt idx="12">
                  <c:v>660</c:v>
                </c:pt>
                <c:pt idx="13">
                  <c:v>660</c:v>
                </c:pt>
                <c:pt idx="14">
                  <c:v>660</c:v>
                </c:pt>
                <c:pt idx="15">
                  <c:v>660</c:v>
                </c:pt>
                <c:pt idx="16">
                  <c:v>660</c:v>
                </c:pt>
                <c:pt idx="17">
                  <c:v>660</c:v>
                </c:pt>
                <c:pt idx="18">
                  <c:v>660</c:v>
                </c:pt>
                <c:pt idx="19">
                  <c:v>660</c:v>
                </c:pt>
                <c:pt idx="20">
                  <c:v>660</c:v>
                </c:pt>
                <c:pt idx="21">
                  <c:v>660</c:v>
                </c:pt>
                <c:pt idx="22">
                  <c:v>660</c:v>
                </c:pt>
                <c:pt idx="23">
                  <c:v>660</c:v>
                </c:pt>
                <c:pt idx="24">
                  <c:v>660</c:v>
                </c:pt>
                <c:pt idx="25">
                  <c:v>660</c:v>
                </c:pt>
                <c:pt idx="26">
                  <c:v>660</c:v>
                </c:pt>
                <c:pt idx="27">
                  <c:v>660</c:v>
                </c:pt>
                <c:pt idx="28">
                  <c:v>660</c:v>
                </c:pt>
                <c:pt idx="29">
                  <c:v>660</c:v>
                </c:pt>
                <c:pt idx="30">
                  <c:v>660</c:v>
                </c:pt>
                <c:pt idx="31">
                  <c:v>660</c:v>
                </c:pt>
                <c:pt idx="32">
                  <c:v>660</c:v>
                </c:pt>
                <c:pt idx="33">
                  <c:v>660</c:v>
                </c:pt>
                <c:pt idx="34">
                  <c:v>660</c:v>
                </c:pt>
                <c:pt idx="35">
                  <c:v>660</c:v>
                </c:pt>
                <c:pt idx="36">
                  <c:v>660</c:v>
                </c:pt>
                <c:pt idx="37">
                  <c:v>660</c:v>
                </c:pt>
                <c:pt idx="38">
                  <c:v>660</c:v>
                </c:pt>
                <c:pt idx="39">
                  <c:v>660</c:v>
                </c:pt>
                <c:pt idx="40">
                  <c:v>660</c:v>
                </c:pt>
                <c:pt idx="41">
                  <c:v>660</c:v>
                </c:pt>
                <c:pt idx="42">
                  <c:v>660</c:v>
                </c:pt>
                <c:pt idx="43">
                  <c:v>660</c:v>
                </c:pt>
                <c:pt idx="44">
                  <c:v>660</c:v>
                </c:pt>
                <c:pt idx="45">
                  <c:v>660</c:v>
                </c:pt>
                <c:pt idx="46">
                  <c:v>660</c:v>
                </c:pt>
                <c:pt idx="47">
                  <c:v>660</c:v>
                </c:pt>
                <c:pt idx="48">
                  <c:v>660</c:v>
                </c:pt>
                <c:pt idx="49">
                  <c:v>660</c:v>
                </c:pt>
                <c:pt idx="50">
                  <c:v>660</c:v>
                </c:pt>
                <c:pt idx="51">
                  <c:v>660</c:v>
                </c:pt>
                <c:pt idx="52">
                  <c:v>660</c:v>
                </c:pt>
                <c:pt idx="53">
                  <c:v>660</c:v>
                </c:pt>
                <c:pt idx="54">
                  <c:v>660</c:v>
                </c:pt>
                <c:pt idx="55">
                  <c:v>660</c:v>
                </c:pt>
                <c:pt idx="56">
                  <c:v>660</c:v>
                </c:pt>
                <c:pt idx="57">
                  <c:v>660</c:v>
                </c:pt>
                <c:pt idx="58">
                  <c:v>660</c:v>
                </c:pt>
                <c:pt idx="59">
                  <c:v>660</c:v>
                </c:pt>
                <c:pt idx="60">
                  <c:v>660</c:v>
                </c:pt>
                <c:pt idx="61">
                  <c:v>660</c:v>
                </c:pt>
                <c:pt idx="62">
                  <c:v>660</c:v>
                </c:pt>
                <c:pt idx="63">
                  <c:v>660</c:v>
                </c:pt>
                <c:pt idx="64">
                  <c:v>660</c:v>
                </c:pt>
                <c:pt idx="65">
                  <c:v>660</c:v>
                </c:pt>
                <c:pt idx="66">
                  <c:v>660</c:v>
                </c:pt>
                <c:pt idx="67">
                  <c:v>660</c:v>
                </c:pt>
                <c:pt idx="68">
                  <c:v>660</c:v>
                </c:pt>
                <c:pt idx="69">
                  <c:v>660</c:v>
                </c:pt>
                <c:pt idx="70">
                  <c:v>660</c:v>
                </c:pt>
                <c:pt idx="71">
                  <c:v>660</c:v>
                </c:pt>
                <c:pt idx="72">
                  <c:v>660</c:v>
                </c:pt>
                <c:pt idx="73">
                  <c:v>660</c:v>
                </c:pt>
                <c:pt idx="74">
                  <c:v>660</c:v>
                </c:pt>
                <c:pt idx="75">
                  <c:v>660</c:v>
                </c:pt>
                <c:pt idx="76">
                  <c:v>660</c:v>
                </c:pt>
                <c:pt idx="77">
                  <c:v>660</c:v>
                </c:pt>
                <c:pt idx="78">
                  <c:v>660</c:v>
                </c:pt>
                <c:pt idx="79">
                  <c:v>660</c:v>
                </c:pt>
                <c:pt idx="80">
                  <c:v>660</c:v>
                </c:pt>
                <c:pt idx="81">
                  <c:v>660</c:v>
                </c:pt>
                <c:pt idx="82">
                  <c:v>660</c:v>
                </c:pt>
                <c:pt idx="83">
                  <c:v>660</c:v>
                </c:pt>
                <c:pt idx="84">
                  <c:v>660</c:v>
                </c:pt>
                <c:pt idx="85">
                  <c:v>660</c:v>
                </c:pt>
                <c:pt idx="86">
                  <c:v>660</c:v>
                </c:pt>
                <c:pt idx="87">
                  <c:v>660</c:v>
                </c:pt>
                <c:pt idx="88">
                  <c:v>660</c:v>
                </c:pt>
                <c:pt idx="89">
                  <c:v>660</c:v>
                </c:pt>
                <c:pt idx="90">
                  <c:v>630</c:v>
                </c:pt>
                <c:pt idx="91">
                  <c:v>630</c:v>
                </c:pt>
                <c:pt idx="92">
                  <c:v>630</c:v>
                </c:pt>
                <c:pt idx="93">
                  <c:v>630</c:v>
                </c:pt>
                <c:pt idx="94">
                  <c:v>630</c:v>
                </c:pt>
                <c:pt idx="95">
                  <c:v>630</c:v>
                </c:pt>
                <c:pt idx="96">
                  <c:v>630</c:v>
                </c:pt>
                <c:pt idx="97">
                  <c:v>630</c:v>
                </c:pt>
                <c:pt idx="98">
                  <c:v>630</c:v>
                </c:pt>
                <c:pt idx="99">
                  <c:v>630</c:v>
                </c:pt>
                <c:pt idx="100">
                  <c:v>630</c:v>
                </c:pt>
                <c:pt idx="101">
                  <c:v>630</c:v>
                </c:pt>
                <c:pt idx="102">
                  <c:v>630</c:v>
                </c:pt>
                <c:pt idx="103">
                  <c:v>630</c:v>
                </c:pt>
                <c:pt idx="104">
                  <c:v>630</c:v>
                </c:pt>
                <c:pt idx="105">
                  <c:v>630</c:v>
                </c:pt>
                <c:pt idx="106">
                  <c:v>630</c:v>
                </c:pt>
                <c:pt idx="107">
                  <c:v>630</c:v>
                </c:pt>
                <c:pt idx="108">
                  <c:v>630</c:v>
                </c:pt>
                <c:pt idx="109">
                  <c:v>630</c:v>
                </c:pt>
                <c:pt idx="110">
                  <c:v>630</c:v>
                </c:pt>
                <c:pt idx="111">
                  <c:v>630</c:v>
                </c:pt>
                <c:pt idx="112">
                  <c:v>630</c:v>
                </c:pt>
                <c:pt idx="113">
                  <c:v>630</c:v>
                </c:pt>
                <c:pt idx="114">
                  <c:v>630</c:v>
                </c:pt>
                <c:pt idx="115">
                  <c:v>630</c:v>
                </c:pt>
                <c:pt idx="116">
                  <c:v>630</c:v>
                </c:pt>
                <c:pt idx="117">
                  <c:v>630</c:v>
                </c:pt>
                <c:pt idx="118">
                  <c:v>630</c:v>
                </c:pt>
                <c:pt idx="119">
                  <c:v>630</c:v>
                </c:pt>
                <c:pt idx="120">
                  <c:v>645</c:v>
                </c:pt>
                <c:pt idx="121">
                  <c:v>645</c:v>
                </c:pt>
                <c:pt idx="122">
                  <c:v>645</c:v>
                </c:pt>
                <c:pt idx="123">
                  <c:v>645</c:v>
                </c:pt>
                <c:pt idx="124">
                  <c:v>645</c:v>
                </c:pt>
                <c:pt idx="125">
                  <c:v>645</c:v>
                </c:pt>
                <c:pt idx="126">
                  <c:v>645</c:v>
                </c:pt>
                <c:pt idx="127">
                  <c:v>645</c:v>
                </c:pt>
                <c:pt idx="128">
                  <c:v>645</c:v>
                </c:pt>
                <c:pt idx="129">
                  <c:v>645</c:v>
                </c:pt>
                <c:pt idx="130">
                  <c:v>645</c:v>
                </c:pt>
                <c:pt idx="131">
                  <c:v>645</c:v>
                </c:pt>
                <c:pt idx="132">
                  <c:v>645</c:v>
                </c:pt>
                <c:pt idx="133">
                  <c:v>645</c:v>
                </c:pt>
                <c:pt idx="134">
                  <c:v>645</c:v>
                </c:pt>
                <c:pt idx="135">
                  <c:v>645</c:v>
                </c:pt>
                <c:pt idx="136">
                  <c:v>645</c:v>
                </c:pt>
                <c:pt idx="137">
                  <c:v>645</c:v>
                </c:pt>
                <c:pt idx="138">
                  <c:v>645</c:v>
                </c:pt>
                <c:pt idx="139">
                  <c:v>645</c:v>
                </c:pt>
                <c:pt idx="140">
                  <c:v>645</c:v>
                </c:pt>
                <c:pt idx="141">
                  <c:v>645</c:v>
                </c:pt>
                <c:pt idx="142">
                  <c:v>645</c:v>
                </c:pt>
                <c:pt idx="143">
                  <c:v>645</c:v>
                </c:pt>
                <c:pt idx="144">
                  <c:v>645</c:v>
                </c:pt>
                <c:pt idx="145">
                  <c:v>645</c:v>
                </c:pt>
                <c:pt idx="146">
                  <c:v>645</c:v>
                </c:pt>
                <c:pt idx="147">
                  <c:v>645</c:v>
                </c:pt>
                <c:pt idx="148">
                  <c:v>645</c:v>
                </c:pt>
                <c:pt idx="149">
                  <c:v>645</c:v>
                </c:pt>
                <c:pt idx="150">
                  <c:v>645</c:v>
                </c:pt>
                <c:pt idx="151">
                  <c:v>645</c:v>
                </c:pt>
                <c:pt idx="152">
                  <c:v>645</c:v>
                </c:pt>
                <c:pt idx="153">
                  <c:v>645</c:v>
                </c:pt>
                <c:pt idx="154">
                  <c:v>645</c:v>
                </c:pt>
                <c:pt idx="155">
                  <c:v>645</c:v>
                </c:pt>
                <c:pt idx="156">
                  <c:v>645</c:v>
                </c:pt>
                <c:pt idx="157">
                  <c:v>645</c:v>
                </c:pt>
                <c:pt idx="158">
                  <c:v>645</c:v>
                </c:pt>
                <c:pt idx="159">
                  <c:v>645</c:v>
                </c:pt>
                <c:pt idx="160">
                  <c:v>645</c:v>
                </c:pt>
                <c:pt idx="161">
                  <c:v>645</c:v>
                </c:pt>
                <c:pt idx="162">
                  <c:v>645</c:v>
                </c:pt>
                <c:pt idx="163">
                  <c:v>645</c:v>
                </c:pt>
                <c:pt idx="164">
                  <c:v>645</c:v>
                </c:pt>
                <c:pt idx="165">
                  <c:v>645</c:v>
                </c:pt>
                <c:pt idx="166">
                  <c:v>645</c:v>
                </c:pt>
                <c:pt idx="167">
                  <c:v>645</c:v>
                </c:pt>
                <c:pt idx="168">
                  <c:v>645</c:v>
                </c:pt>
                <c:pt idx="169">
                  <c:v>645</c:v>
                </c:pt>
                <c:pt idx="170">
                  <c:v>645</c:v>
                </c:pt>
                <c:pt idx="171">
                  <c:v>645</c:v>
                </c:pt>
                <c:pt idx="172">
                  <c:v>645</c:v>
                </c:pt>
                <c:pt idx="173">
                  <c:v>645</c:v>
                </c:pt>
                <c:pt idx="174">
                  <c:v>645</c:v>
                </c:pt>
                <c:pt idx="175">
                  <c:v>645</c:v>
                </c:pt>
                <c:pt idx="176">
                  <c:v>645</c:v>
                </c:pt>
                <c:pt idx="177">
                  <c:v>645</c:v>
                </c:pt>
                <c:pt idx="178">
                  <c:v>645</c:v>
                </c:pt>
                <c:pt idx="179">
                  <c:v>645</c:v>
                </c:pt>
                <c:pt idx="180">
                  <c:v>645</c:v>
                </c:pt>
                <c:pt idx="181">
                  <c:v>645</c:v>
                </c:pt>
                <c:pt idx="182">
                  <c:v>645</c:v>
                </c:pt>
                <c:pt idx="183">
                  <c:v>645</c:v>
                </c:pt>
                <c:pt idx="184">
                  <c:v>645</c:v>
                </c:pt>
                <c:pt idx="185">
                  <c:v>645</c:v>
                </c:pt>
                <c:pt idx="186">
                  <c:v>645</c:v>
                </c:pt>
                <c:pt idx="187">
                  <c:v>645</c:v>
                </c:pt>
                <c:pt idx="188">
                  <c:v>645</c:v>
                </c:pt>
                <c:pt idx="189">
                  <c:v>645</c:v>
                </c:pt>
                <c:pt idx="190">
                  <c:v>645</c:v>
                </c:pt>
                <c:pt idx="191">
                  <c:v>645</c:v>
                </c:pt>
                <c:pt idx="192">
                  <c:v>645</c:v>
                </c:pt>
                <c:pt idx="193">
                  <c:v>645</c:v>
                </c:pt>
                <c:pt idx="194">
                  <c:v>645</c:v>
                </c:pt>
                <c:pt idx="195">
                  <c:v>645</c:v>
                </c:pt>
                <c:pt idx="196">
                  <c:v>645</c:v>
                </c:pt>
                <c:pt idx="197">
                  <c:v>645</c:v>
                </c:pt>
                <c:pt idx="198">
                  <c:v>645</c:v>
                </c:pt>
                <c:pt idx="199">
                  <c:v>645</c:v>
                </c:pt>
                <c:pt idx="200">
                  <c:v>645</c:v>
                </c:pt>
                <c:pt idx="201">
                  <c:v>645</c:v>
                </c:pt>
                <c:pt idx="202">
                  <c:v>645</c:v>
                </c:pt>
                <c:pt idx="203">
                  <c:v>645</c:v>
                </c:pt>
                <c:pt idx="204">
                  <c:v>645</c:v>
                </c:pt>
                <c:pt idx="205">
                  <c:v>645</c:v>
                </c:pt>
                <c:pt idx="206">
                  <c:v>645</c:v>
                </c:pt>
                <c:pt idx="207">
                  <c:v>645</c:v>
                </c:pt>
                <c:pt idx="208">
                  <c:v>645</c:v>
                </c:pt>
                <c:pt idx="209">
                  <c:v>645</c:v>
                </c:pt>
                <c:pt idx="210">
                  <c:v>645</c:v>
                </c:pt>
                <c:pt idx="211">
                  <c:v>645</c:v>
                </c:pt>
                <c:pt idx="212">
                  <c:v>600</c:v>
                </c:pt>
                <c:pt idx="213">
                  <c:v>600</c:v>
                </c:pt>
                <c:pt idx="214">
                  <c:v>600</c:v>
                </c:pt>
                <c:pt idx="215">
                  <c:v>600</c:v>
                </c:pt>
                <c:pt idx="216">
                  <c:v>600</c:v>
                </c:pt>
                <c:pt idx="217">
                  <c:v>600</c:v>
                </c:pt>
                <c:pt idx="218">
                  <c:v>600</c:v>
                </c:pt>
                <c:pt idx="219">
                  <c:v>600</c:v>
                </c:pt>
                <c:pt idx="220">
                  <c:v>600</c:v>
                </c:pt>
                <c:pt idx="221">
                  <c:v>600</c:v>
                </c:pt>
                <c:pt idx="222">
                  <c:v>600</c:v>
                </c:pt>
                <c:pt idx="223">
                  <c:v>600</c:v>
                </c:pt>
                <c:pt idx="224">
                  <c:v>600</c:v>
                </c:pt>
                <c:pt idx="225">
                  <c:v>600</c:v>
                </c:pt>
                <c:pt idx="226">
                  <c:v>600</c:v>
                </c:pt>
                <c:pt idx="227">
                  <c:v>600</c:v>
                </c:pt>
                <c:pt idx="228">
                  <c:v>600</c:v>
                </c:pt>
                <c:pt idx="229">
                  <c:v>600</c:v>
                </c:pt>
                <c:pt idx="230">
                  <c:v>600</c:v>
                </c:pt>
                <c:pt idx="231">
                  <c:v>600</c:v>
                </c:pt>
                <c:pt idx="232">
                  <c:v>600</c:v>
                </c:pt>
                <c:pt idx="233">
                  <c:v>600</c:v>
                </c:pt>
                <c:pt idx="234">
                  <c:v>600</c:v>
                </c:pt>
                <c:pt idx="235">
                  <c:v>600</c:v>
                </c:pt>
                <c:pt idx="236">
                  <c:v>600</c:v>
                </c:pt>
                <c:pt idx="237">
                  <c:v>600</c:v>
                </c:pt>
                <c:pt idx="238">
                  <c:v>600</c:v>
                </c:pt>
                <c:pt idx="239">
                  <c:v>600</c:v>
                </c:pt>
                <c:pt idx="240">
                  <c:v>600</c:v>
                </c:pt>
                <c:pt idx="241">
                  <c:v>600</c:v>
                </c:pt>
                <c:pt idx="242">
                  <c:v>600</c:v>
                </c:pt>
                <c:pt idx="243">
                  <c:v>600</c:v>
                </c:pt>
                <c:pt idx="244">
                  <c:v>600</c:v>
                </c:pt>
                <c:pt idx="245">
                  <c:v>600</c:v>
                </c:pt>
                <c:pt idx="246">
                  <c:v>600</c:v>
                </c:pt>
                <c:pt idx="247">
                  <c:v>600</c:v>
                </c:pt>
                <c:pt idx="248">
                  <c:v>600</c:v>
                </c:pt>
                <c:pt idx="249">
                  <c:v>600</c:v>
                </c:pt>
                <c:pt idx="250">
                  <c:v>600</c:v>
                </c:pt>
                <c:pt idx="251">
                  <c:v>600</c:v>
                </c:pt>
                <c:pt idx="252">
                  <c:v>600</c:v>
                </c:pt>
                <c:pt idx="253">
                  <c:v>600</c:v>
                </c:pt>
                <c:pt idx="254">
                  <c:v>600</c:v>
                </c:pt>
                <c:pt idx="255">
                  <c:v>600</c:v>
                </c:pt>
                <c:pt idx="256">
                  <c:v>600</c:v>
                </c:pt>
                <c:pt idx="257">
                  <c:v>600</c:v>
                </c:pt>
                <c:pt idx="258">
                  <c:v>600</c:v>
                </c:pt>
                <c:pt idx="259">
                  <c:v>600</c:v>
                </c:pt>
                <c:pt idx="260">
                  <c:v>600</c:v>
                </c:pt>
                <c:pt idx="261">
                  <c:v>600</c:v>
                </c:pt>
                <c:pt idx="262">
                  <c:v>600</c:v>
                </c:pt>
                <c:pt idx="263">
                  <c:v>600</c:v>
                </c:pt>
                <c:pt idx="264">
                  <c:v>600</c:v>
                </c:pt>
                <c:pt idx="265">
                  <c:v>600</c:v>
                </c:pt>
                <c:pt idx="266">
                  <c:v>600</c:v>
                </c:pt>
                <c:pt idx="267">
                  <c:v>600</c:v>
                </c:pt>
                <c:pt idx="268">
                  <c:v>600</c:v>
                </c:pt>
                <c:pt idx="269">
                  <c:v>600</c:v>
                </c:pt>
                <c:pt idx="270">
                  <c:v>600</c:v>
                </c:pt>
                <c:pt idx="271">
                  <c:v>600</c:v>
                </c:pt>
                <c:pt idx="272">
                  <c:v>600</c:v>
                </c:pt>
                <c:pt idx="273">
                  <c:v>600</c:v>
                </c:pt>
                <c:pt idx="274">
                  <c:v>600</c:v>
                </c:pt>
                <c:pt idx="275">
                  <c:v>600</c:v>
                </c:pt>
                <c:pt idx="276">
                  <c:v>600</c:v>
                </c:pt>
                <c:pt idx="277">
                  <c:v>600</c:v>
                </c:pt>
                <c:pt idx="278">
                  <c:v>600</c:v>
                </c:pt>
                <c:pt idx="279">
                  <c:v>600</c:v>
                </c:pt>
                <c:pt idx="280">
                  <c:v>600</c:v>
                </c:pt>
                <c:pt idx="281">
                  <c:v>600</c:v>
                </c:pt>
                <c:pt idx="282">
                  <c:v>600</c:v>
                </c:pt>
                <c:pt idx="283">
                  <c:v>600</c:v>
                </c:pt>
                <c:pt idx="284">
                  <c:v>600</c:v>
                </c:pt>
                <c:pt idx="285">
                  <c:v>600</c:v>
                </c:pt>
                <c:pt idx="286">
                  <c:v>600</c:v>
                </c:pt>
                <c:pt idx="287">
                  <c:v>600</c:v>
                </c:pt>
                <c:pt idx="288">
                  <c:v>600</c:v>
                </c:pt>
                <c:pt idx="289">
                  <c:v>600</c:v>
                </c:pt>
                <c:pt idx="290">
                  <c:v>600</c:v>
                </c:pt>
                <c:pt idx="291">
                  <c:v>600</c:v>
                </c:pt>
                <c:pt idx="292">
                  <c:v>600</c:v>
                </c:pt>
                <c:pt idx="293">
                  <c:v>600</c:v>
                </c:pt>
                <c:pt idx="294">
                  <c:v>600</c:v>
                </c:pt>
                <c:pt idx="295">
                  <c:v>600</c:v>
                </c:pt>
                <c:pt idx="296">
                  <c:v>600</c:v>
                </c:pt>
                <c:pt idx="297">
                  <c:v>600</c:v>
                </c:pt>
                <c:pt idx="298">
                  <c:v>600</c:v>
                </c:pt>
                <c:pt idx="299">
                  <c:v>600</c:v>
                </c:pt>
                <c:pt idx="300">
                  <c:v>600</c:v>
                </c:pt>
                <c:pt idx="301">
                  <c:v>600</c:v>
                </c:pt>
                <c:pt idx="302">
                  <c:v>600</c:v>
                </c:pt>
                <c:pt idx="303">
                  <c:v>600</c:v>
                </c:pt>
                <c:pt idx="304">
                  <c:v>600</c:v>
                </c:pt>
                <c:pt idx="305">
                  <c:v>600</c:v>
                </c:pt>
                <c:pt idx="306">
                  <c:v>600</c:v>
                </c:pt>
                <c:pt idx="307">
                  <c:v>600</c:v>
                </c:pt>
                <c:pt idx="308">
                  <c:v>600</c:v>
                </c:pt>
                <c:pt idx="309">
                  <c:v>600</c:v>
                </c:pt>
                <c:pt idx="310">
                  <c:v>600</c:v>
                </c:pt>
                <c:pt idx="311">
                  <c:v>600</c:v>
                </c:pt>
                <c:pt idx="312">
                  <c:v>600</c:v>
                </c:pt>
                <c:pt idx="313">
                  <c:v>600</c:v>
                </c:pt>
                <c:pt idx="314">
                  <c:v>600</c:v>
                </c:pt>
                <c:pt idx="315">
                  <c:v>600</c:v>
                </c:pt>
                <c:pt idx="316">
                  <c:v>600</c:v>
                </c:pt>
                <c:pt idx="317">
                  <c:v>600</c:v>
                </c:pt>
                <c:pt idx="318">
                  <c:v>600</c:v>
                </c:pt>
                <c:pt idx="319">
                  <c:v>600</c:v>
                </c:pt>
                <c:pt idx="320">
                  <c:v>600</c:v>
                </c:pt>
                <c:pt idx="321">
                  <c:v>600</c:v>
                </c:pt>
                <c:pt idx="322">
                  <c:v>600</c:v>
                </c:pt>
                <c:pt idx="323">
                  <c:v>600</c:v>
                </c:pt>
              </c:numCache>
            </c:numRef>
          </c:val>
          <c:smooth val="0"/>
        </c:ser>
        <c:dLbls>
          <c:showLegendKey val="0"/>
          <c:showVal val="0"/>
          <c:showCatName val="0"/>
          <c:showSerName val="0"/>
          <c:showPercent val="0"/>
          <c:showBubbleSize val="0"/>
        </c:dLbls>
        <c:marker val="1"/>
        <c:smooth val="0"/>
        <c:axId val="267881856"/>
        <c:axId val="267908224"/>
      </c:lineChart>
      <c:dateAx>
        <c:axId val="267881856"/>
        <c:scaling>
          <c:orientation val="minMax"/>
          <c:max val="42328"/>
        </c:scaling>
        <c:delete val="0"/>
        <c:axPos val="b"/>
        <c:numFmt formatCode="m/d/yyyy" sourceLinked="1"/>
        <c:majorTickMark val="out"/>
        <c:minorTickMark val="none"/>
        <c:tickLblPos val="nextTo"/>
        <c:crossAx val="267908224"/>
        <c:crosses val="autoZero"/>
        <c:auto val="1"/>
        <c:lblOffset val="100"/>
        <c:baseTimeUnit val="days"/>
        <c:majorUnit val="1"/>
        <c:majorTimeUnit val="months"/>
        <c:minorUnit val="1"/>
        <c:minorTimeUnit val="months"/>
      </c:dateAx>
      <c:valAx>
        <c:axId val="267908224"/>
        <c:scaling>
          <c:orientation val="minMax"/>
          <c:min val="570"/>
        </c:scaling>
        <c:delete val="0"/>
        <c:axPos val="l"/>
        <c:majorGridlines/>
        <c:numFmt formatCode="General" sourceLinked="1"/>
        <c:majorTickMark val="out"/>
        <c:minorTickMark val="none"/>
        <c:tickLblPos val="nextTo"/>
        <c:crossAx val="267881856"/>
        <c:crosses val="autoZero"/>
        <c:crossBetween val="between"/>
      </c:valAx>
    </c:plotArea>
    <c:legend>
      <c:legendPos val="b"/>
      <c:layout>
        <c:manualLayout>
          <c:xMode val="edge"/>
          <c:yMode val="edge"/>
          <c:x val="0.12178546949965731"/>
          <c:y val="0.92800320524978785"/>
          <c:w val="0.75642906100068552"/>
          <c:h val="7.1996794750212173E-2"/>
        </c:manualLayout>
      </c:layout>
      <c:overlay val="0"/>
    </c:legend>
    <c:plotVisOnly val="1"/>
    <c:dispBlanksAs val="gap"/>
    <c:showDLblsOverMax val="0"/>
  </c:chart>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148871391076432E-2"/>
          <c:y val="5.087065147784376E-2"/>
          <c:w val="0.84785112860892464"/>
          <c:h val="0.63770986119166995"/>
        </c:manualLayout>
      </c:layout>
      <c:lineChart>
        <c:grouping val="standard"/>
        <c:varyColors val="0"/>
        <c:ser>
          <c:idx val="0"/>
          <c:order val="0"/>
          <c:tx>
            <c:strRef>
              <c:f>水泥、砂石、混凝土!$E$1</c:f>
              <c:strCache>
                <c:ptCount val="1"/>
                <c:pt idx="0">
                  <c:v>預拌混凝土 台北地區 3000磅 未稅出廠價(元/立方公尺)</c:v>
                </c:pt>
              </c:strCache>
            </c:strRef>
          </c:tx>
          <c:marker>
            <c:symbol val="none"/>
          </c:marker>
          <c:cat>
            <c:numRef>
              <c:f>水泥、砂石、混凝土!$A$216:$A$539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水泥、砂石、混凝土!$E$216:$E$539</c:f>
              <c:numCache>
                <c:formatCode>General</c:formatCode>
                <c:ptCount val="324"/>
                <c:pt idx="0">
                  <c:v>1900</c:v>
                </c:pt>
                <c:pt idx="1">
                  <c:v>1900</c:v>
                </c:pt>
                <c:pt idx="2">
                  <c:v>1900</c:v>
                </c:pt>
                <c:pt idx="3">
                  <c:v>1900</c:v>
                </c:pt>
                <c:pt idx="4">
                  <c:v>1900</c:v>
                </c:pt>
                <c:pt idx="5">
                  <c:v>1900</c:v>
                </c:pt>
                <c:pt idx="6">
                  <c:v>1900</c:v>
                </c:pt>
                <c:pt idx="7">
                  <c:v>1900</c:v>
                </c:pt>
                <c:pt idx="8">
                  <c:v>1900</c:v>
                </c:pt>
                <c:pt idx="9">
                  <c:v>1900</c:v>
                </c:pt>
                <c:pt idx="10">
                  <c:v>1900</c:v>
                </c:pt>
                <c:pt idx="11">
                  <c:v>1900</c:v>
                </c:pt>
                <c:pt idx="12">
                  <c:v>1900</c:v>
                </c:pt>
                <c:pt idx="13">
                  <c:v>1900</c:v>
                </c:pt>
                <c:pt idx="14">
                  <c:v>1900</c:v>
                </c:pt>
                <c:pt idx="15">
                  <c:v>1900</c:v>
                </c:pt>
                <c:pt idx="16">
                  <c:v>1900</c:v>
                </c:pt>
                <c:pt idx="17">
                  <c:v>1900</c:v>
                </c:pt>
                <c:pt idx="18">
                  <c:v>1900</c:v>
                </c:pt>
                <c:pt idx="19">
                  <c:v>1900</c:v>
                </c:pt>
                <c:pt idx="20">
                  <c:v>1900</c:v>
                </c:pt>
                <c:pt idx="21">
                  <c:v>1900</c:v>
                </c:pt>
                <c:pt idx="22">
                  <c:v>1900</c:v>
                </c:pt>
                <c:pt idx="23">
                  <c:v>1900</c:v>
                </c:pt>
                <c:pt idx="24">
                  <c:v>1900</c:v>
                </c:pt>
                <c:pt idx="25">
                  <c:v>1900</c:v>
                </c:pt>
                <c:pt idx="26">
                  <c:v>1900</c:v>
                </c:pt>
                <c:pt idx="27">
                  <c:v>1900</c:v>
                </c:pt>
                <c:pt idx="28">
                  <c:v>1900</c:v>
                </c:pt>
                <c:pt idx="29">
                  <c:v>1900</c:v>
                </c:pt>
                <c:pt idx="30">
                  <c:v>1900</c:v>
                </c:pt>
                <c:pt idx="31">
                  <c:v>1900</c:v>
                </c:pt>
                <c:pt idx="32">
                  <c:v>1900</c:v>
                </c:pt>
                <c:pt idx="33">
                  <c:v>1900</c:v>
                </c:pt>
                <c:pt idx="34">
                  <c:v>1900</c:v>
                </c:pt>
                <c:pt idx="35">
                  <c:v>1900</c:v>
                </c:pt>
                <c:pt idx="36">
                  <c:v>1900</c:v>
                </c:pt>
                <c:pt idx="37">
                  <c:v>1900</c:v>
                </c:pt>
                <c:pt idx="38">
                  <c:v>1900</c:v>
                </c:pt>
                <c:pt idx="39">
                  <c:v>1900</c:v>
                </c:pt>
                <c:pt idx="40">
                  <c:v>1900</c:v>
                </c:pt>
                <c:pt idx="41">
                  <c:v>1900</c:v>
                </c:pt>
                <c:pt idx="42">
                  <c:v>1900</c:v>
                </c:pt>
                <c:pt idx="43">
                  <c:v>1900</c:v>
                </c:pt>
                <c:pt idx="44">
                  <c:v>1900</c:v>
                </c:pt>
                <c:pt idx="45">
                  <c:v>1900</c:v>
                </c:pt>
                <c:pt idx="46">
                  <c:v>1900</c:v>
                </c:pt>
                <c:pt idx="47">
                  <c:v>1900</c:v>
                </c:pt>
                <c:pt idx="48">
                  <c:v>1900</c:v>
                </c:pt>
                <c:pt idx="49">
                  <c:v>1900</c:v>
                </c:pt>
                <c:pt idx="50">
                  <c:v>1900</c:v>
                </c:pt>
                <c:pt idx="51">
                  <c:v>1900</c:v>
                </c:pt>
                <c:pt idx="52">
                  <c:v>1900</c:v>
                </c:pt>
                <c:pt idx="53">
                  <c:v>1900</c:v>
                </c:pt>
                <c:pt idx="54">
                  <c:v>1900</c:v>
                </c:pt>
                <c:pt idx="55">
                  <c:v>1900</c:v>
                </c:pt>
                <c:pt idx="56">
                  <c:v>1900</c:v>
                </c:pt>
                <c:pt idx="57">
                  <c:v>1900</c:v>
                </c:pt>
                <c:pt idx="58">
                  <c:v>1900</c:v>
                </c:pt>
                <c:pt idx="59">
                  <c:v>1900</c:v>
                </c:pt>
                <c:pt idx="60">
                  <c:v>1900</c:v>
                </c:pt>
                <c:pt idx="61">
                  <c:v>1900</c:v>
                </c:pt>
                <c:pt idx="62">
                  <c:v>1900</c:v>
                </c:pt>
                <c:pt idx="63">
                  <c:v>1900</c:v>
                </c:pt>
                <c:pt idx="64">
                  <c:v>1900</c:v>
                </c:pt>
                <c:pt idx="65">
                  <c:v>1900</c:v>
                </c:pt>
                <c:pt idx="66">
                  <c:v>1900</c:v>
                </c:pt>
                <c:pt idx="67">
                  <c:v>1900</c:v>
                </c:pt>
                <c:pt idx="68">
                  <c:v>1900</c:v>
                </c:pt>
                <c:pt idx="69">
                  <c:v>1900</c:v>
                </c:pt>
                <c:pt idx="70">
                  <c:v>1900</c:v>
                </c:pt>
                <c:pt idx="71">
                  <c:v>1900</c:v>
                </c:pt>
                <c:pt idx="72">
                  <c:v>1900</c:v>
                </c:pt>
                <c:pt idx="73">
                  <c:v>1900</c:v>
                </c:pt>
                <c:pt idx="74">
                  <c:v>1900</c:v>
                </c:pt>
                <c:pt idx="75">
                  <c:v>1900</c:v>
                </c:pt>
                <c:pt idx="76">
                  <c:v>1900</c:v>
                </c:pt>
                <c:pt idx="77">
                  <c:v>1900</c:v>
                </c:pt>
                <c:pt idx="78">
                  <c:v>1900</c:v>
                </c:pt>
                <c:pt idx="79">
                  <c:v>1900</c:v>
                </c:pt>
                <c:pt idx="80">
                  <c:v>1900</c:v>
                </c:pt>
                <c:pt idx="81">
                  <c:v>1900</c:v>
                </c:pt>
                <c:pt idx="82">
                  <c:v>1900</c:v>
                </c:pt>
                <c:pt idx="83">
                  <c:v>1900</c:v>
                </c:pt>
                <c:pt idx="84">
                  <c:v>1900</c:v>
                </c:pt>
                <c:pt idx="85">
                  <c:v>1900</c:v>
                </c:pt>
                <c:pt idx="86">
                  <c:v>1900</c:v>
                </c:pt>
                <c:pt idx="87">
                  <c:v>1900</c:v>
                </c:pt>
                <c:pt idx="88">
                  <c:v>1900</c:v>
                </c:pt>
                <c:pt idx="89">
                  <c:v>1900</c:v>
                </c:pt>
                <c:pt idx="90">
                  <c:v>1900</c:v>
                </c:pt>
                <c:pt idx="91">
                  <c:v>1900</c:v>
                </c:pt>
                <c:pt idx="92">
                  <c:v>1900</c:v>
                </c:pt>
                <c:pt idx="93">
                  <c:v>1900</c:v>
                </c:pt>
                <c:pt idx="94">
                  <c:v>1900</c:v>
                </c:pt>
                <c:pt idx="95">
                  <c:v>1900</c:v>
                </c:pt>
                <c:pt idx="96">
                  <c:v>1900</c:v>
                </c:pt>
                <c:pt idx="97">
                  <c:v>1900</c:v>
                </c:pt>
                <c:pt idx="98">
                  <c:v>1900</c:v>
                </c:pt>
                <c:pt idx="99">
                  <c:v>1900</c:v>
                </c:pt>
                <c:pt idx="100">
                  <c:v>1900</c:v>
                </c:pt>
                <c:pt idx="101">
                  <c:v>1900</c:v>
                </c:pt>
                <c:pt idx="102">
                  <c:v>1900</c:v>
                </c:pt>
                <c:pt idx="103">
                  <c:v>1900</c:v>
                </c:pt>
                <c:pt idx="104">
                  <c:v>1900</c:v>
                </c:pt>
                <c:pt idx="105">
                  <c:v>1900</c:v>
                </c:pt>
                <c:pt idx="106">
                  <c:v>1900</c:v>
                </c:pt>
                <c:pt idx="107">
                  <c:v>1900</c:v>
                </c:pt>
                <c:pt idx="108">
                  <c:v>1900</c:v>
                </c:pt>
                <c:pt idx="109">
                  <c:v>1900</c:v>
                </c:pt>
                <c:pt idx="110">
                  <c:v>1900</c:v>
                </c:pt>
                <c:pt idx="111">
                  <c:v>1900</c:v>
                </c:pt>
                <c:pt idx="112">
                  <c:v>1900</c:v>
                </c:pt>
                <c:pt idx="113">
                  <c:v>1900</c:v>
                </c:pt>
                <c:pt idx="114">
                  <c:v>1900</c:v>
                </c:pt>
                <c:pt idx="115">
                  <c:v>1900</c:v>
                </c:pt>
                <c:pt idx="116">
                  <c:v>1900</c:v>
                </c:pt>
                <c:pt idx="117">
                  <c:v>1900</c:v>
                </c:pt>
                <c:pt idx="118">
                  <c:v>1900</c:v>
                </c:pt>
                <c:pt idx="119">
                  <c:v>1900</c:v>
                </c:pt>
                <c:pt idx="120">
                  <c:v>1900</c:v>
                </c:pt>
                <c:pt idx="121">
                  <c:v>1900</c:v>
                </c:pt>
                <c:pt idx="122">
                  <c:v>1900</c:v>
                </c:pt>
                <c:pt idx="123">
                  <c:v>1900</c:v>
                </c:pt>
                <c:pt idx="124">
                  <c:v>1900</c:v>
                </c:pt>
                <c:pt idx="125">
                  <c:v>1900</c:v>
                </c:pt>
                <c:pt idx="126">
                  <c:v>1900</c:v>
                </c:pt>
                <c:pt idx="127">
                  <c:v>1900</c:v>
                </c:pt>
                <c:pt idx="128">
                  <c:v>1900</c:v>
                </c:pt>
                <c:pt idx="129">
                  <c:v>1900</c:v>
                </c:pt>
                <c:pt idx="130">
                  <c:v>1900</c:v>
                </c:pt>
                <c:pt idx="131">
                  <c:v>1900</c:v>
                </c:pt>
                <c:pt idx="132">
                  <c:v>1900</c:v>
                </c:pt>
                <c:pt idx="133">
                  <c:v>1900</c:v>
                </c:pt>
                <c:pt idx="134">
                  <c:v>1900</c:v>
                </c:pt>
                <c:pt idx="135">
                  <c:v>1900</c:v>
                </c:pt>
                <c:pt idx="136">
                  <c:v>1900</c:v>
                </c:pt>
                <c:pt idx="137">
                  <c:v>1900</c:v>
                </c:pt>
                <c:pt idx="138">
                  <c:v>1900</c:v>
                </c:pt>
                <c:pt idx="139">
                  <c:v>1900</c:v>
                </c:pt>
                <c:pt idx="140">
                  <c:v>1900</c:v>
                </c:pt>
                <c:pt idx="141">
                  <c:v>1900</c:v>
                </c:pt>
                <c:pt idx="142">
                  <c:v>1900</c:v>
                </c:pt>
                <c:pt idx="143">
                  <c:v>1900</c:v>
                </c:pt>
                <c:pt idx="144">
                  <c:v>1900</c:v>
                </c:pt>
                <c:pt idx="145">
                  <c:v>1900</c:v>
                </c:pt>
                <c:pt idx="146">
                  <c:v>1900</c:v>
                </c:pt>
                <c:pt idx="147">
                  <c:v>1900</c:v>
                </c:pt>
                <c:pt idx="148">
                  <c:v>1900</c:v>
                </c:pt>
                <c:pt idx="149">
                  <c:v>1900</c:v>
                </c:pt>
                <c:pt idx="150">
                  <c:v>1900</c:v>
                </c:pt>
                <c:pt idx="151">
                  <c:v>1900</c:v>
                </c:pt>
                <c:pt idx="152">
                  <c:v>1900</c:v>
                </c:pt>
                <c:pt idx="153">
                  <c:v>1900</c:v>
                </c:pt>
                <c:pt idx="154">
                  <c:v>1900</c:v>
                </c:pt>
                <c:pt idx="155">
                  <c:v>1900</c:v>
                </c:pt>
                <c:pt idx="156">
                  <c:v>1900</c:v>
                </c:pt>
                <c:pt idx="157">
                  <c:v>1900</c:v>
                </c:pt>
                <c:pt idx="158">
                  <c:v>1900</c:v>
                </c:pt>
                <c:pt idx="159">
                  <c:v>1900</c:v>
                </c:pt>
                <c:pt idx="160">
                  <c:v>1900</c:v>
                </c:pt>
                <c:pt idx="161">
                  <c:v>1900</c:v>
                </c:pt>
                <c:pt idx="162">
                  <c:v>1900</c:v>
                </c:pt>
                <c:pt idx="163">
                  <c:v>1900</c:v>
                </c:pt>
                <c:pt idx="164">
                  <c:v>1900</c:v>
                </c:pt>
                <c:pt idx="165">
                  <c:v>1900</c:v>
                </c:pt>
                <c:pt idx="166">
                  <c:v>1900</c:v>
                </c:pt>
                <c:pt idx="167">
                  <c:v>1900</c:v>
                </c:pt>
                <c:pt idx="168">
                  <c:v>1900</c:v>
                </c:pt>
                <c:pt idx="169">
                  <c:v>1900</c:v>
                </c:pt>
                <c:pt idx="170">
                  <c:v>1900</c:v>
                </c:pt>
                <c:pt idx="171">
                  <c:v>1900</c:v>
                </c:pt>
                <c:pt idx="172">
                  <c:v>1900</c:v>
                </c:pt>
                <c:pt idx="173">
                  <c:v>1900</c:v>
                </c:pt>
                <c:pt idx="174">
                  <c:v>1900</c:v>
                </c:pt>
                <c:pt idx="175">
                  <c:v>1900</c:v>
                </c:pt>
                <c:pt idx="176">
                  <c:v>1900</c:v>
                </c:pt>
                <c:pt idx="177">
                  <c:v>1900</c:v>
                </c:pt>
                <c:pt idx="178">
                  <c:v>1900</c:v>
                </c:pt>
                <c:pt idx="179">
                  <c:v>1900</c:v>
                </c:pt>
                <c:pt idx="180">
                  <c:v>1900</c:v>
                </c:pt>
                <c:pt idx="181">
                  <c:v>1900</c:v>
                </c:pt>
                <c:pt idx="182">
                  <c:v>1900</c:v>
                </c:pt>
                <c:pt idx="183">
                  <c:v>1900</c:v>
                </c:pt>
                <c:pt idx="184">
                  <c:v>1900</c:v>
                </c:pt>
                <c:pt idx="185">
                  <c:v>1900</c:v>
                </c:pt>
                <c:pt idx="186">
                  <c:v>1900</c:v>
                </c:pt>
                <c:pt idx="187">
                  <c:v>1900</c:v>
                </c:pt>
                <c:pt idx="188">
                  <c:v>1900</c:v>
                </c:pt>
                <c:pt idx="189">
                  <c:v>1900</c:v>
                </c:pt>
                <c:pt idx="190">
                  <c:v>1900</c:v>
                </c:pt>
                <c:pt idx="191">
                  <c:v>1900</c:v>
                </c:pt>
                <c:pt idx="192">
                  <c:v>1900</c:v>
                </c:pt>
                <c:pt idx="193">
                  <c:v>1900</c:v>
                </c:pt>
                <c:pt idx="194">
                  <c:v>1900</c:v>
                </c:pt>
                <c:pt idx="195">
                  <c:v>1900</c:v>
                </c:pt>
                <c:pt idx="196">
                  <c:v>1900</c:v>
                </c:pt>
                <c:pt idx="197">
                  <c:v>1900</c:v>
                </c:pt>
                <c:pt idx="198">
                  <c:v>1900</c:v>
                </c:pt>
                <c:pt idx="199">
                  <c:v>1900</c:v>
                </c:pt>
                <c:pt idx="200">
                  <c:v>1900</c:v>
                </c:pt>
                <c:pt idx="201">
                  <c:v>1900</c:v>
                </c:pt>
                <c:pt idx="202">
                  <c:v>1900</c:v>
                </c:pt>
                <c:pt idx="203">
                  <c:v>1900</c:v>
                </c:pt>
                <c:pt idx="204">
                  <c:v>1900</c:v>
                </c:pt>
                <c:pt idx="205">
                  <c:v>1900</c:v>
                </c:pt>
                <c:pt idx="206">
                  <c:v>1900</c:v>
                </c:pt>
                <c:pt idx="207">
                  <c:v>1900</c:v>
                </c:pt>
                <c:pt idx="208">
                  <c:v>1900</c:v>
                </c:pt>
                <c:pt idx="209">
                  <c:v>1900</c:v>
                </c:pt>
                <c:pt idx="210">
                  <c:v>1900</c:v>
                </c:pt>
                <c:pt idx="211">
                  <c:v>1900</c:v>
                </c:pt>
                <c:pt idx="212">
                  <c:v>1900</c:v>
                </c:pt>
                <c:pt idx="213">
                  <c:v>1900</c:v>
                </c:pt>
                <c:pt idx="214">
                  <c:v>1900</c:v>
                </c:pt>
                <c:pt idx="215">
                  <c:v>1900</c:v>
                </c:pt>
                <c:pt idx="216">
                  <c:v>1900</c:v>
                </c:pt>
                <c:pt idx="217">
                  <c:v>1900</c:v>
                </c:pt>
                <c:pt idx="218">
                  <c:v>1900</c:v>
                </c:pt>
                <c:pt idx="219">
                  <c:v>1900</c:v>
                </c:pt>
                <c:pt idx="220">
                  <c:v>1900</c:v>
                </c:pt>
                <c:pt idx="221">
                  <c:v>1900</c:v>
                </c:pt>
                <c:pt idx="222">
                  <c:v>1900</c:v>
                </c:pt>
                <c:pt idx="223">
                  <c:v>1900</c:v>
                </c:pt>
                <c:pt idx="224">
                  <c:v>1900</c:v>
                </c:pt>
                <c:pt idx="225">
                  <c:v>1900</c:v>
                </c:pt>
                <c:pt idx="226">
                  <c:v>1900</c:v>
                </c:pt>
                <c:pt idx="227">
                  <c:v>1900</c:v>
                </c:pt>
                <c:pt idx="228">
                  <c:v>1900</c:v>
                </c:pt>
                <c:pt idx="229">
                  <c:v>1900</c:v>
                </c:pt>
                <c:pt idx="230">
                  <c:v>1900</c:v>
                </c:pt>
                <c:pt idx="231">
                  <c:v>1900</c:v>
                </c:pt>
                <c:pt idx="232">
                  <c:v>1900</c:v>
                </c:pt>
                <c:pt idx="233">
                  <c:v>1900</c:v>
                </c:pt>
                <c:pt idx="234">
                  <c:v>1900</c:v>
                </c:pt>
                <c:pt idx="235">
                  <c:v>1900</c:v>
                </c:pt>
                <c:pt idx="236">
                  <c:v>1900</c:v>
                </c:pt>
                <c:pt idx="237">
                  <c:v>1900</c:v>
                </c:pt>
                <c:pt idx="238">
                  <c:v>1900</c:v>
                </c:pt>
                <c:pt idx="239">
                  <c:v>1900</c:v>
                </c:pt>
                <c:pt idx="240">
                  <c:v>1900</c:v>
                </c:pt>
                <c:pt idx="241">
                  <c:v>1900</c:v>
                </c:pt>
                <c:pt idx="242">
                  <c:v>1900</c:v>
                </c:pt>
                <c:pt idx="243">
                  <c:v>1900</c:v>
                </c:pt>
                <c:pt idx="244">
                  <c:v>1900</c:v>
                </c:pt>
                <c:pt idx="245">
                  <c:v>1900</c:v>
                </c:pt>
                <c:pt idx="246">
                  <c:v>1900</c:v>
                </c:pt>
                <c:pt idx="247">
                  <c:v>1900</c:v>
                </c:pt>
                <c:pt idx="248">
                  <c:v>1900</c:v>
                </c:pt>
                <c:pt idx="249">
                  <c:v>1900</c:v>
                </c:pt>
                <c:pt idx="250">
                  <c:v>1900</c:v>
                </c:pt>
                <c:pt idx="251">
                  <c:v>1900</c:v>
                </c:pt>
                <c:pt idx="252">
                  <c:v>1900</c:v>
                </c:pt>
                <c:pt idx="253">
                  <c:v>1900</c:v>
                </c:pt>
                <c:pt idx="254">
                  <c:v>1900</c:v>
                </c:pt>
                <c:pt idx="255">
                  <c:v>1900</c:v>
                </c:pt>
                <c:pt idx="256">
                  <c:v>1900</c:v>
                </c:pt>
                <c:pt idx="257">
                  <c:v>1900</c:v>
                </c:pt>
                <c:pt idx="258">
                  <c:v>1900</c:v>
                </c:pt>
                <c:pt idx="259">
                  <c:v>1900</c:v>
                </c:pt>
                <c:pt idx="260">
                  <c:v>1900</c:v>
                </c:pt>
                <c:pt idx="261">
                  <c:v>1900</c:v>
                </c:pt>
                <c:pt idx="262">
                  <c:v>1900</c:v>
                </c:pt>
                <c:pt idx="263">
                  <c:v>1900</c:v>
                </c:pt>
                <c:pt idx="264">
                  <c:v>1900</c:v>
                </c:pt>
                <c:pt idx="265">
                  <c:v>1900</c:v>
                </c:pt>
                <c:pt idx="266">
                  <c:v>1900</c:v>
                </c:pt>
                <c:pt idx="267">
                  <c:v>1900</c:v>
                </c:pt>
                <c:pt idx="268">
                  <c:v>1900</c:v>
                </c:pt>
                <c:pt idx="269">
                  <c:v>1900</c:v>
                </c:pt>
                <c:pt idx="270">
                  <c:v>1900</c:v>
                </c:pt>
                <c:pt idx="271">
                  <c:v>1900</c:v>
                </c:pt>
                <c:pt idx="272">
                  <c:v>1900</c:v>
                </c:pt>
                <c:pt idx="273">
                  <c:v>1900</c:v>
                </c:pt>
                <c:pt idx="274">
                  <c:v>1900</c:v>
                </c:pt>
                <c:pt idx="275">
                  <c:v>1900</c:v>
                </c:pt>
                <c:pt idx="276">
                  <c:v>1900</c:v>
                </c:pt>
                <c:pt idx="277">
                  <c:v>1900</c:v>
                </c:pt>
                <c:pt idx="278">
                  <c:v>1900</c:v>
                </c:pt>
                <c:pt idx="279">
                  <c:v>1900</c:v>
                </c:pt>
                <c:pt idx="280">
                  <c:v>1900</c:v>
                </c:pt>
                <c:pt idx="281">
                  <c:v>1900</c:v>
                </c:pt>
                <c:pt idx="282">
                  <c:v>1900</c:v>
                </c:pt>
                <c:pt idx="283">
                  <c:v>1900</c:v>
                </c:pt>
                <c:pt idx="284">
                  <c:v>1900</c:v>
                </c:pt>
                <c:pt idx="285">
                  <c:v>1900</c:v>
                </c:pt>
                <c:pt idx="286">
                  <c:v>1900</c:v>
                </c:pt>
                <c:pt idx="287">
                  <c:v>1900</c:v>
                </c:pt>
                <c:pt idx="288">
                  <c:v>1900</c:v>
                </c:pt>
                <c:pt idx="289">
                  <c:v>1900</c:v>
                </c:pt>
                <c:pt idx="290">
                  <c:v>1900</c:v>
                </c:pt>
                <c:pt idx="291">
                  <c:v>1900</c:v>
                </c:pt>
                <c:pt idx="292">
                  <c:v>1900</c:v>
                </c:pt>
                <c:pt idx="293">
                  <c:v>1900</c:v>
                </c:pt>
                <c:pt idx="294">
                  <c:v>1900</c:v>
                </c:pt>
                <c:pt idx="295">
                  <c:v>1900</c:v>
                </c:pt>
                <c:pt idx="296">
                  <c:v>1900</c:v>
                </c:pt>
                <c:pt idx="297">
                  <c:v>1900</c:v>
                </c:pt>
                <c:pt idx="298">
                  <c:v>1900</c:v>
                </c:pt>
                <c:pt idx="299">
                  <c:v>1900</c:v>
                </c:pt>
                <c:pt idx="300">
                  <c:v>1900</c:v>
                </c:pt>
                <c:pt idx="301">
                  <c:v>1900</c:v>
                </c:pt>
                <c:pt idx="302">
                  <c:v>1900</c:v>
                </c:pt>
                <c:pt idx="303">
                  <c:v>1900</c:v>
                </c:pt>
                <c:pt idx="304">
                  <c:v>1900</c:v>
                </c:pt>
                <c:pt idx="305">
                  <c:v>1900</c:v>
                </c:pt>
                <c:pt idx="306">
                  <c:v>1900</c:v>
                </c:pt>
                <c:pt idx="307">
                  <c:v>1900</c:v>
                </c:pt>
                <c:pt idx="308">
                  <c:v>1900</c:v>
                </c:pt>
                <c:pt idx="309">
                  <c:v>1900</c:v>
                </c:pt>
                <c:pt idx="310">
                  <c:v>1900</c:v>
                </c:pt>
                <c:pt idx="311">
                  <c:v>1900</c:v>
                </c:pt>
                <c:pt idx="312">
                  <c:v>1900</c:v>
                </c:pt>
                <c:pt idx="313">
                  <c:v>1900</c:v>
                </c:pt>
                <c:pt idx="314">
                  <c:v>1900</c:v>
                </c:pt>
                <c:pt idx="315">
                  <c:v>1900</c:v>
                </c:pt>
                <c:pt idx="316">
                  <c:v>1900</c:v>
                </c:pt>
                <c:pt idx="317">
                  <c:v>1900</c:v>
                </c:pt>
                <c:pt idx="318">
                  <c:v>1900</c:v>
                </c:pt>
                <c:pt idx="319">
                  <c:v>1900</c:v>
                </c:pt>
                <c:pt idx="320">
                  <c:v>1900</c:v>
                </c:pt>
                <c:pt idx="321">
                  <c:v>1900</c:v>
                </c:pt>
                <c:pt idx="322">
                  <c:v>1900</c:v>
                </c:pt>
                <c:pt idx="323">
                  <c:v>1900</c:v>
                </c:pt>
              </c:numCache>
            </c:numRef>
          </c:val>
          <c:smooth val="0"/>
        </c:ser>
        <c:dLbls>
          <c:showLegendKey val="0"/>
          <c:showVal val="0"/>
          <c:showCatName val="0"/>
          <c:showSerName val="0"/>
          <c:showPercent val="0"/>
          <c:showBubbleSize val="0"/>
        </c:dLbls>
        <c:marker val="1"/>
        <c:smooth val="0"/>
        <c:axId val="267797248"/>
        <c:axId val="267798784"/>
      </c:lineChart>
      <c:dateAx>
        <c:axId val="267797248"/>
        <c:scaling>
          <c:orientation val="minMax"/>
          <c:max val="42328"/>
        </c:scaling>
        <c:delete val="0"/>
        <c:axPos val="b"/>
        <c:numFmt formatCode="m/d/yyyy" sourceLinked="1"/>
        <c:majorTickMark val="out"/>
        <c:minorTickMark val="none"/>
        <c:tickLblPos val="nextTo"/>
        <c:crossAx val="267798784"/>
        <c:crosses val="autoZero"/>
        <c:auto val="1"/>
        <c:lblOffset val="100"/>
        <c:baseTimeUnit val="days"/>
        <c:majorUnit val="1"/>
        <c:majorTimeUnit val="months"/>
        <c:minorUnit val="1"/>
        <c:minorTimeUnit val="months"/>
      </c:dateAx>
      <c:valAx>
        <c:axId val="267798784"/>
        <c:scaling>
          <c:orientation val="minMax"/>
          <c:min val="1800"/>
        </c:scaling>
        <c:delete val="0"/>
        <c:axPos val="l"/>
        <c:majorGridlines/>
        <c:numFmt formatCode="General" sourceLinked="1"/>
        <c:majorTickMark val="out"/>
        <c:minorTickMark val="none"/>
        <c:tickLblPos val="nextTo"/>
        <c:crossAx val="267797248"/>
        <c:crosses val="autoZero"/>
        <c:crossBetween val="between"/>
      </c:valAx>
    </c:plotArea>
    <c:legend>
      <c:legendPos val="b"/>
      <c:layout>
        <c:manualLayout>
          <c:xMode val="edge"/>
          <c:yMode val="edge"/>
          <c:x val="0.10871185484229577"/>
          <c:y val="0.92376762861595996"/>
          <c:w val="0.78257609355649993"/>
          <c:h val="7.2237574057094162E-2"/>
        </c:manualLayout>
      </c:layout>
      <c:overlay val="0"/>
    </c:legend>
    <c:plotVisOnly val="1"/>
    <c:dispBlanksAs val="gap"/>
    <c:showDLblsOverMax val="0"/>
  </c:chart>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1851192513979228E-2"/>
          <c:y val="4.4858665394098482E-2"/>
          <c:w val="0.87266672674655821"/>
          <c:h val="0.63448030828207569"/>
        </c:manualLayout>
      </c:layout>
      <c:lineChart>
        <c:grouping val="standard"/>
        <c:varyColors val="0"/>
        <c:ser>
          <c:idx val="0"/>
          <c:order val="0"/>
          <c:tx>
            <c:strRef>
              <c:f>咖啡豆!$B$1</c:f>
              <c:strCache>
                <c:ptCount val="1"/>
                <c:pt idx="0">
                  <c:v>咖啡豆 ICO(國際咖啡組織) Composite 2001 現貨價(磅)(美分)</c:v>
                </c:pt>
              </c:strCache>
            </c:strRef>
          </c:tx>
          <c:marker>
            <c:symbol val="none"/>
          </c:marker>
          <c:cat>
            <c:numRef>
              <c:f>咖啡豆!$A$216:$A$539</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咖啡豆!$B$216:$B$539</c:f>
              <c:numCache>
                <c:formatCode>General</c:formatCode>
                <c:ptCount val="324"/>
                <c:pt idx="0">
                  <c:v>147.99</c:v>
                </c:pt>
                <c:pt idx="1">
                  <c:v>147.99</c:v>
                </c:pt>
                <c:pt idx="2">
                  <c:v>147.99</c:v>
                </c:pt>
                <c:pt idx="3">
                  <c:v>147.99</c:v>
                </c:pt>
                <c:pt idx="4">
                  <c:v>140.57</c:v>
                </c:pt>
                <c:pt idx="5">
                  <c:v>145.97</c:v>
                </c:pt>
                <c:pt idx="6">
                  <c:v>150.58000000000001</c:v>
                </c:pt>
                <c:pt idx="7">
                  <c:v>151.28</c:v>
                </c:pt>
                <c:pt idx="8">
                  <c:v>153.36000000000001</c:v>
                </c:pt>
                <c:pt idx="9">
                  <c:v>153.36000000000001</c:v>
                </c:pt>
                <c:pt idx="10">
                  <c:v>153.36000000000001</c:v>
                </c:pt>
                <c:pt idx="11">
                  <c:v>155.09</c:v>
                </c:pt>
                <c:pt idx="12">
                  <c:v>153.71</c:v>
                </c:pt>
                <c:pt idx="13">
                  <c:v>152.87</c:v>
                </c:pt>
                <c:pt idx="14">
                  <c:v>152.87</c:v>
                </c:pt>
                <c:pt idx="15">
                  <c:v>153.76</c:v>
                </c:pt>
                <c:pt idx="16">
                  <c:v>153.76</c:v>
                </c:pt>
                <c:pt idx="17">
                  <c:v>153.76</c:v>
                </c:pt>
                <c:pt idx="18">
                  <c:v>149.18</c:v>
                </c:pt>
                <c:pt idx="19">
                  <c:v>149.63</c:v>
                </c:pt>
                <c:pt idx="20">
                  <c:v>145.34</c:v>
                </c:pt>
                <c:pt idx="21">
                  <c:v>145.34</c:v>
                </c:pt>
                <c:pt idx="22">
                  <c:v>142.77000000000001</c:v>
                </c:pt>
                <c:pt idx="23">
                  <c:v>142.77000000000001</c:v>
                </c:pt>
                <c:pt idx="24">
                  <c:v>142.77000000000001</c:v>
                </c:pt>
                <c:pt idx="25">
                  <c:v>143.94999999999999</c:v>
                </c:pt>
                <c:pt idx="26">
                  <c:v>143.72999999999999</c:v>
                </c:pt>
                <c:pt idx="27">
                  <c:v>147.57</c:v>
                </c:pt>
                <c:pt idx="28">
                  <c:v>147.57</c:v>
                </c:pt>
                <c:pt idx="29">
                  <c:v>143.09</c:v>
                </c:pt>
                <c:pt idx="30">
                  <c:v>143.09</c:v>
                </c:pt>
                <c:pt idx="31">
                  <c:v>143.09</c:v>
                </c:pt>
                <c:pt idx="32">
                  <c:v>143.43</c:v>
                </c:pt>
                <c:pt idx="33">
                  <c:v>143.43</c:v>
                </c:pt>
                <c:pt idx="34">
                  <c:v>143.58000000000001</c:v>
                </c:pt>
                <c:pt idx="35">
                  <c:v>143.58000000000001</c:v>
                </c:pt>
                <c:pt idx="36">
                  <c:v>146.15</c:v>
                </c:pt>
                <c:pt idx="37">
                  <c:v>146.15</c:v>
                </c:pt>
                <c:pt idx="38">
                  <c:v>146.15</c:v>
                </c:pt>
                <c:pt idx="39">
                  <c:v>147.58000000000001</c:v>
                </c:pt>
                <c:pt idx="40">
                  <c:v>148.25</c:v>
                </c:pt>
                <c:pt idx="41">
                  <c:v>143.80000000000001</c:v>
                </c:pt>
                <c:pt idx="42">
                  <c:v>143.80000000000001</c:v>
                </c:pt>
                <c:pt idx="43">
                  <c:v>146.99</c:v>
                </c:pt>
                <c:pt idx="44">
                  <c:v>146.99</c:v>
                </c:pt>
                <c:pt idx="45">
                  <c:v>146.99</c:v>
                </c:pt>
                <c:pt idx="46">
                  <c:v>146.76</c:v>
                </c:pt>
                <c:pt idx="47">
                  <c:v>147.85</c:v>
                </c:pt>
                <c:pt idx="48">
                  <c:v>142.15</c:v>
                </c:pt>
                <c:pt idx="49">
                  <c:v>140.82</c:v>
                </c:pt>
                <c:pt idx="50">
                  <c:v>137.84</c:v>
                </c:pt>
                <c:pt idx="51">
                  <c:v>137.84</c:v>
                </c:pt>
                <c:pt idx="52">
                  <c:v>137.84</c:v>
                </c:pt>
                <c:pt idx="53">
                  <c:v>137.58000000000001</c:v>
                </c:pt>
                <c:pt idx="54">
                  <c:v>134.84</c:v>
                </c:pt>
                <c:pt idx="55">
                  <c:v>134.49</c:v>
                </c:pt>
                <c:pt idx="56">
                  <c:v>130.85</c:v>
                </c:pt>
                <c:pt idx="57">
                  <c:v>128.75</c:v>
                </c:pt>
                <c:pt idx="58">
                  <c:v>128.75</c:v>
                </c:pt>
                <c:pt idx="59">
                  <c:v>128.75</c:v>
                </c:pt>
                <c:pt idx="60">
                  <c:v>129.6</c:v>
                </c:pt>
                <c:pt idx="61">
                  <c:v>127.73</c:v>
                </c:pt>
                <c:pt idx="62">
                  <c:v>123.35</c:v>
                </c:pt>
                <c:pt idx="63">
                  <c:v>123.35</c:v>
                </c:pt>
                <c:pt idx="64">
                  <c:v>125.39</c:v>
                </c:pt>
                <c:pt idx="65">
                  <c:v>125.39</c:v>
                </c:pt>
                <c:pt idx="66">
                  <c:v>125.39</c:v>
                </c:pt>
                <c:pt idx="67">
                  <c:v>128.6</c:v>
                </c:pt>
                <c:pt idx="68">
                  <c:v>127.46</c:v>
                </c:pt>
                <c:pt idx="69">
                  <c:v>126.1</c:v>
                </c:pt>
                <c:pt idx="70">
                  <c:v>123.82</c:v>
                </c:pt>
                <c:pt idx="71">
                  <c:v>122.97</c:v>
                </c:pt>
                <c:pt idx="72">
                  <c:v>122.97</c:v>
                </c:pt>
                <c:pt idx="73">
                  <c:v>122.97</c:v>
                </c:pt>
                <c:pt idx="74">
                  <c:v>120.5</c:v>
                </c:pt>
                <c:pt idx="75">
                  <c:v>126.88</c:v>
                </c:pt>
                <c:pt idx="76">
                  <c:v>127.53</c:v>
                </c:pt>
                <c:pt idx="77">
                  <c:v>127.53</c:v>
                </c:pt>
                <c:pt idx="78">
                  <c:v>131.78</c:v>
                </c:pt>
                <c:pt idx="79">
                  <c:v>131.78</c:v>
                </c:pt>
                <c:pt idx="80">
                  <c:v>131.78</c:v>
                </c:pt>
                <c:pt idx="81">
                  <c:v>131.59</c:v>
                </c:pt>
                <c:pt idx="82">
                  <c:v>131.59</c:v>
                </c:pt>
                <c:pt idx="83">
                  <c:v>128.33000000000001</c:v>
                </c:pt>
                <c:pt idx="84">
                  <c:v>128.33000000000001</c:v>
                </c:pt>
                <c:pt idx="85">
                  <c:v>130.16</c:v>
                </c:pt>
                <c:pt idx="86">
                  <c:v>130.16</c:v>
                </c:pt>
                <c:pt idx="87">
                  <c:v>130.16</c:v>
                </c:pt>
                <c:pt idx="88">
                  <c:v>128.38999999999999</c:v>
                </c:pt>
                <c:pt idx="89">
                  <c:v>124.66</c:v>
                </c:pt>
                <c:pt idx="90">
                  <c:v>124.13</c:v>
                </c:pt>
                <c:pt idx="91">
                  <c:v>126.07</c:v>
                </c:pt>
                <c:pt idx="92">
                  <c:v>126.07</c:v>
                </c:pt>
                <c:pt idx="93">
                  <c:v>126.07</c:v>
                </c:pt>
                <c:pt idx="94">
                  <c:v>126.07</c:v>
                </c:pt>
                <c:pt idx="95">
                  <c:v>126.07</c:v>
                </c:pt>
                <c:pt idx="96">
                  <c:v>132.46</c:v>
                </c:pt>
                <c:pt idx="97">
                  <c:v>131.76</c:v>
                </c:pt>
                <c:pt idx="98">
                  <c:v>131.76</c:v>
                </c:pt>
                <c:pt idx="99">
                  <c:v>128.37</c:v>
                </c:pt>
                <c:pt idx="100">
                  <c:v>128.37</c:v>
                </c:pt>
                <c:pt idx="101">
                  <c:v>128.37</c:v>
                </c:pt>
                <c:pt idx="102">
                  <c:v>127.82</c:v>
                </c:pt>
                <c:pt idx="103">
                  <c:v>126.99</c:v>
                </c:pt>
                <c:pt idx="104">
                  <c:v>126.71</c:v>
                </c:pt>
                <c:pt idx="105">
                  <c:v>126.71</c:v>
                </c:pt>
                <c:pt idx="106">
                  <c:v>129.77000000000001</c:v>
                </c:pt>
                <c:pt idx="107">
                  <c:v>129.77000000000001</c:v>
                </c:pt>
                <c:pt idx="108">
                  <c:v>129.77000000000001</c:v>
                </c:pt>
                <c:pt idx="109">
                  <c:v>129.81</c:v>
                </c:pt>
                <c:pt idx="110">
                  <c:v>129.81</c:v>
                </c:pt>
                <c:pt idx="111">
                  <c:v>131.09</c:v>
                </c:pt>
                <c:pt idx="112">
                  <c:v>131.09</c:v>
                </c:pt>
                <c:pt idx="113">
                  <c:v>130.61000000000001</c:v>
                </c:pt>
                <c:pt idx="114">
                  <c:v>130.61000000000001</c:v>
                </c:pt>
                <c:pt idx="115">
                  <c:v>130.61000000000001</c:v>
                </c:pt>
                <c:pt idx="116">
                  <c:v>130.74</c:v>
                </c:pt>
                <c:pt idx="117">
                  <c:v>126.05</c:v>
                </c:pt>
                <c:pt idx="118">
                  <c:v>127.82</c:v>
                </c:pt>
                <c:pt idx="119">
                  <c:v>127.82</c:v>
                </c:pt>
                <c:pt idx="120">
                  <c:v>129.31</c:v>
                </c:pt>
                <c:pt idx="121">
                  <c:v>129.31</c:v>
                </c:pt>
                <c:pt idx="122">
                  <c:v>129.31</c:v>
                </c:pt>
                <c:pt idx="123">
                  <c:v>129.31</c:v>
                </c:pt>
                <c:pt idx="124">
                  <c:v>126.25</c:v>
                </c:pt>
                <c:pt idx="125">
                  <c:v>125.53</c:v>
                </c:pt>
                <c:pt idx="126">
                  <c:v>125.53</c:v>
                </c:pt>
                <c:pt idx="127">
                  <c:v>122.83</c:v>
                </c:pt>
                <c:pt idx="128">
                  <c:v>122.83</c:v>
                </c:pt>
                <c:pt idx="129">
                  <c:v>122.83</c:v>
                </c:pt>
                <c:pt idx="130">
                  <c:v>124.98</c:v>
                </c:pt>
                <c:pt idx="131">
                  <c:v>124.85</c:v>
                </c:pt>
                <c:pt idx="132">
                  <c:v>125.39</c:v>
                </c:pt>
                <c:pt idx="133">
                  <c:v>125.39</c:v>
                </c:pt>
                <c:pt idx="134">
                  <c:v>126.17</c:v>
                </c:pt>
                <c:pt idx="135">
                  <c:v>126.17</c:v>
                </c:pt>
                <c:pt idx="136">
                  <c:v>126.17</c:v>
                </c:pt>
                <c:pt idx="137">
                  <c:v>127.55</c:v>
                </c:pt>
                <c:pt idx="138">
                  <c:v>130.59</c:v>
                </c:pt>
                <c:pt idx="139">
                  <c:v>130.59</c:v>
                </c:pt>
                <c:pt idx="140">
                  <c:v>130.59</c:v>
                </c:pt>
                <c:pt idx="141">
                  <c:v>121.35</c:v>
                </c:pt>
                <c:pt idx="142">
                  <c:v>121.35</c:v>
                </c:pt>
                <c:pt idx="143">
                  <c:v>121.35</c:v>
                </c:pt>
                <c:pt idx="144">
                  <c:v>121.35</c:v>
                </c:pt>
                <c:pt idx="145">
                  <c:v>118.03</c:v>
                </c:pt>
                <c:pt idx="146">
                  <c:v>116.99</c:v>
                </c:pt>
                <c:pt idx="147">
                  <c:v>116.99</c:v>
                </c:pt>
                <c:pt idx="148">
                  <c:v>117.9</c:v>
                </c:pt>
                <c:pt idx="149">
                  <c:v>117.9</c:v>
                </c:pt>
                <c:pt idx="150">
                  <c:v>117.9</c:v>
                </c:pt>
                <c:pt idx="151">
                  <c:v>118.94</c:v>
                </c:pt>
                <c:pt idx="152">
                  <c:v>122.58</c:v>
                </c:pt>
                <c:pt idx="153">
                  <c:v>124.39</c:v>
                </c:pt>
                <c:pt idx="154">
                  <c:v>124.39</c:v>
                </c:pt>
                <c:pt idx="155">
                  <c:v>126.39</c:v>
                </c:pt>
                <c:pt idx="156">
                  <c:v>126.39</c:v>
                </c:pt>
                <c:pt idx="157">
                  <c:v>126.39</c:v>
                </c:pt>
                <c:pt idx="158">
                  <c:v>125.98</c:v>
                </c:pt>
                <c:pt idx="159">
                  <c:v>126.95</c:v>
                </c:pt>
                <c:pt idx="160">
                  <c:v>127.83</c:v>
                </c:pt>
                <c:pt idx="161">
                  <c:v>127.83</c:v>
                </c:pt>
                <c:pt idx="162">
                  <c:v>124.16</c:v>
                </c:pt>
                <c:pt idx="163">
                  <c:v>124.16</c:v>
                </c:pt>
                <c:pt idx="164">
                  <c:v>124.16</c:v>
                </c:pt>
                <c:pt idx="165">
                  <c:v>125.21</c:v>
                </c:pt>
                <c:pt idx="166">
                  <c:v>122.58</c:v>
                </c:pt>
                <c:pt idx="167">
                  <c:v>123.75</c:v>
                </c:pt>
                <c:pt idx="168">
                  <c:v>122.05</c:v>
                </c:pt>
                <c:pt idx="169">
                  <c:v>123.83</c:v>
                </c:pt>
                <c:pt idx="170">
                  <c:v>123.83</c:v>
                </c:pt>
                <c:pt idx="171">
                  <c:v>123.83</c:v>
                </c:pt>
                <c:pt idx="172">
                  <c:v>122.74</c:v>
                </c:pt>
                <c:pt idx="173">
                  <c:v>125.15</c:v>
                </c:pt>
                <c:pt idx="174">
                  <c:v>122.65</c:v>
                </c:pt>
                <c:pt idx="175">
                  <c:v>122.65</c:v>
                </c:pt>
                <c:pt idx="176">
                  <c:v>126.64</c:v>
                </c:pt>
                <c:pt idx="177">
                  <c:v>126.64</c:v>
                </c:pt>
                <c:pt idx="178">
                  <c:v>126.64</c:v>
                </c:pt>
                <c:pt idx="179">
                  <c:v>126.56</c:v>
                </c:pt>
                <c:pt idx="180">
                  <c:v>125.15</c:v>
                </c:pt>
                <c:pt idx="181">
                  <c:v>124.66</c:v>
                </c:pt>
                <c:pt idx="182">
                  <c:v>124.66</c:v>
                </c:pt>
                <c:pt idx="183">
                  <c:v>121.32</c:v>
                </c:pt>
                <c:pt idx="184">
                  <c:v>121.32</c:v>
                </c:pt>
                <c:pt idx="185">
                  <c:v>121.32</c:v>
                </c:pt>
                <c:pt idx="186">
                  <c:v>121.5</c:v>
                </c:pt>
                <c:pt idx="187">
                  <c:v>118.95</c:v>
                </c:pt>
                <c:pt idx="188">
                  <c:v>118.95</c:v>
                </c:pt>
                <c:pt idx="189">
                  <c:v>118.72</c:v>
                </c:pt>
                <c:pt idx="190">
                  <c:v>119.04</c:v>
                </c:pt>
                <c:pt idx="191">
                  <c:v>119.04</c:v>
                </c:pt>
                <c:pt idx="192">
                  <c:v>119.04</c:v>
                </c:pt>
                <c:pt idx="193">
                  <c:v>119.78</c:v>
                </c:pt>
                <c:pt idx="194">
                  <c:v>122.05</c:v>
                </c:pt>
                <c:pt idx="195">
                  <c:v>124.1</c:v>
                </c:pt>
                <c:pt idx="196">
                  <c:v>124.1</c:v>
                </c:pt>
                <c:pt idx="197">
                  <c:v>121.96</c:v>
                </c:pt>
                <c:pt idx="198">
                  <c:v>121.96</c:v>
                </c:pt>
                <c:pt idx="199">
                  <c:v>121.96</c:v>
                </c:pt>
                <c:pt idx="200">
                  <c:v>121.96</c:v>
                </c:pt>
                <c:pt idx="201">
                  <c:v>120.72</c:v>
                </c:pt>
                <c:pt idx="202">
                  <c:v>119.52</c:v>
                </c:pt>
                <c:pt idx="203">
                  <c:v>119.52</c:v>
                </c:pt>
                <c:pt idx="204">
                  <c:v>117.4</c:v>
                </c:pt>
                <c:pt idx="205">
                  <c:v>117.4</c:v>
                </c:pt>
                <c:pt idx="206">
                  <c:v>117.4</c:v>
                </c:pt>
                <c:pt idx="207">
                  <c:v>117.86</c:v>
                </c:pt>
                <c:pt idx="208">
                  <c:v>116.03</c:v>
                </c:pt>
                <c:pt idx="209">
                  <c:v>116.03</c:v>
                </c:pt>
                <c:pt idx="210">
                  <c:v>116.03</c:v>
                </c:pt>
                <c:pt idx="211">
                  <c:v>119.27</c:v>
                </c:pt>
                <c:pt idx="212">
                  <c:v>119.27</c:v>
                </c:pt>
                <c:pt idx="213">
                  <c:v>119.27</c:v>
                </c:pt>
                <c:pt idx="214">
                  <c:v>119.62</c:v>
                </c:pt>
                <c:pt idx="215">
                  <c:v>118.95</c:v>
                </c:pt>
                <c:pt idx="216">
                  <c:v>119.4</c:v>
                </c:pt>
                <c:pt idx="217">
                  <c:v>120.35</c:v>
                </c:pt>
                <c:pt idx="218">
                  <c:v>119.67</c:v>
                </c:pt>
                <c:pt idx="219">
                  <c:v>119.67</c:v>
                </c:pt>
                <c:pt idx="220">
                  <c:v>119.67</c:v>
                </c:pt>
                <c:pt idx="221">
                  <c:v>122.2</c:v>
                </c:pt>
                <c:pt idx="222">
                  <c:v>125.44</c:v>
                </c:pt>
                <c:pt idx="223">
                  <c:v>128.07</c:v>
                </c:pt>
                <c:pt idx="224">
                  <c:v>128.07</c:v>
                </c:pt>
                <c:pt idx="225">
                  <c:v>127.98</c:v>
                </c:pt>
                <c:pt idx="226">
                  <c:v>127.98</c:v>
                </c:pt>
                <c:pt idx="227">
                  <c:v>127.98</c:v>
                </c:pt>
                <c:pt idx="228">
                  <c:v>128.16</c:v>
                </c:pt>
                <c:pt idx="229">
                  <c:v>126.93</c:v>
                </c:pt>
                <c:pt idx="230">
                  <c:v>126.86</c:v>
                </c:pt>
                <c:pt idx="231">
                  <c:v>126.86</c:v>
                </c:pt>
                <c:pt idx="232">
                  <c:v>122.1</c:v>
                </c:pt>
                <c:pt idx="233">
                  <c:v>122.1</c:v>
                </c:pt>
                <c:pt idx="234">
                  <c:v>122.1</c:v>
                </c:pt>
                <c:pt idx="235">
                  <c:v>117.6</c:v>
                </c:pt>
                <c:pt idx="236">
                  <c:v>115.01</c:v>
                </c:pt>
                <c:pt idx="237">
                  <c:v>114.21</c:v>
                </c:pt>
                <c:pt idx="238">
                  <c:v>114.21</c:v>
                </c:pt>
                <c:pt idx="239">
                  <c:v>116.98</c:v>
                </c:pt>
                <c:pt idx="240">
                  <c:v>116.98</c:v>
                </c:pt>
                <c:pt idx="241">
                  <c:v>116.98</c:v>
                </c:pt>
                <c:pt idx="242">
                  <c:v>116.98</c:v>
                </c:pt>
                <c:pt idx="243">
                  <c:v>116.05</c:v>
                </c:pt>
                <c:pt idx="244">
                  <c:v>114.34</c:v>
                </c:pt>
                <c:pt idx="245">
                  <c:v>114.34</c:v>
                </c:pt>
                <c:pt idx="246">
                  <c:v>112.86</c:v>
                </c:pt>
                <c:pt idx="247">
                  <c:v>112.86</c:v>
                </c:pt>
                <c:pt idx="248">
                  <c:v>112.86</c:v>
                </c:pt>
                <c:pt idx="249">
                  <c:v>113.16</c:v>
                </c:pt>
                <c:pt idx="250">
                  <c:v>112.66</c:v>
                </c:pt>
                <c:pt idx="251">
                  <c:v>114.18</c:v>
                </c:pt>
                <c:pt idx="252">
                  <c:v>114.18</c:v>
                </c:pt>
                <c:pt idx="253">
                  <c:v>110.87</c:v>
                </c:pt>
                <c:pt idx="254">
                  <c:v>110.87</c:v>
                </c:pt>
                <c:pt idx="255">
                  <c:v>110.87</c:v>
                </c:pt>
                <c:pt idx="256">
                  <c:v>110.73</c:v>
                </c:pt>
                <c:pt idx="257">
                  <c:v>113.95</c:v>
                </c:pt>
                <c:pt idx="258">
                  <c:v>112.72</c:v>
                </c:pt>
                <c:pt idx="259">
                  <c:v>112.72</c:v>
                </c:pt>
                <c:pt idx="260">
                  <c:v>112.16</c:v>
                </c:pt>
                <c:pt idx="261">
                  <c:v>112.16</c:v>
                </c:pt>
                <c:pt idx="262">
                  <c:v>112.16</c:v>
                </c:pt>
                <c:pt idx="263">
                  <c:v>111.92</c:v>
                </c:pt>
                <c:pt idx="264">
                  <c:v>112.23</c:v>
                </c:pt>
                <c:pt idx="265">
                  <c:v>111.29</c:v>
                </c:pt>
                <c:pt idx="266">
                  <c:v>111.72</c:v>
                </c:pt>
                <c:pt idx="267">
                  <c:v>113.08</c:v>
                </c:pt>
                <c:pt idx="268">
                  <c:v>113.08</c:v>
                </c:pt>
                <c:pt idx="269">
                  <c:v>113.08</c:v>
                </c:pt>
                <c:pt idx="270">
                  <c:v>116.7</c:v>
                </c:pt>
                <c:pt idx="271">
                  <c:v>113.94</c:v>
                </c:pt>
                <c:pt idx="272">
                  <c:v>115.29</c:v>
                </c:pt>
                <c:pt idx="273">
                  <c:v>115.29</c:v>
                </c:pt>
                <c:pt idx="274">
                  <c:v>114.8</c:v>
                </c:pt>
                <c:pt idx="275">
                  <c:v>114.8</c:v>
                </c:pt>
                <c:pt idx="276">
                  <c:v>114.8</c:v>
                </c:pt>
                <c:pt idx="277">
                  <c:v>114.8</c:v>
                </c:pt>
                <c:pt idx="278">
                  <c:v>119.92</c:v>
                </c:pt>
                <c:pt idx="279">
                  <c:v>119.95</c:v>
                </c:pt>
                <c:pt idx="280">
                  <c:v>117.62</c:v>
                </c:pt>
                <c:pt idx="281">
                  <c:v>119.72</c:v>
                </c:pt>
                <c:pt idx="282">
                  <c:v>119.72</c:v>
                </c:pt>
                <c:pt idx="283">
                  <c:v>119.72</c:v>
                </c:pt>
                <c:pt idx="284">
                  <c:v>122.45</c:v>
                </c:pt>
                <c:pt idx="285">
                  <c:v>122.45</c:v>
                </c:pt>
                <c:pt idx="286">
                  <c:v>124.25</c:v>
                </c:pt>
                <c:pt idx="287">
                  <c:v>124.25</c:v>
                </c:pt>
                <c:pt idx="288">
                  <c:v>124.57</c:v>
                </c:pt>
                <c:pt idx="289">
                  <c:v>124.57</c:v>
                </c:pt>
                <c:pt idx="290">
                  <c:v>124.57</c:v>
                </c:pt>
                <c:pt idx="291">
                  <c:v>119.26</c:v>
                </c:pt>
                <c:pt idx="292">
                  <c:v>117.72</c:v>
                </c:pt>
                <c:pt idx="293">
                  <c:v>117.51</c:v>
                </c:pt>
                <c:pt idx="294">
                  <c:v>117.51</c:v>
                </c:pt>
                <c:pt idx="295">
                  <c:v>114.71</c:v>
                </c:pt>
                <c:pt idx="296">
                  <c:v>114.71</c:v>
                </c:pt>
                <c:pt idx="297">
                  <c:v>114.71</c:v>
                </c:pt>
                <c:pt idx="298">
                  <c:v>113.48</c:v>
                </c:pt>
                <c:pt idx="299">
                  <c:v>113.95</c:v>
                </c:pt>
                <c:pt idx="300">
                  <c:v>114.03</c:v>
                </c:pt>
                <c:pt idx="301">
                  <c:v>114.03</c:v>
                </c:pt>
                <c:pt idx="302">
                  <c:v>116.36</c:v>
                </c:pt>
                <c:pt idx="303">
                  <c:v>116.36</c:v>
                </c:pt>
                <c:pt idx="304">
                  <c:v>116.36</c:v>
                </c:pt>
                <c:pt idx="305">
                  <c:v>117.67</c:v>
                </c:pt>
                <c:pt idx="306">
                  <c:v>116.26</c:v>
                </c:pt>
                <c:pt idx="307">
                  <c:v>117.69</c:v>
                </c:pt>
                <c:pt idx="308">
                  <c:v>117.69</c:v>
                </c:pt>
                <c:pt idx="309">
                  <c:v>118.3</c:v>
                </c:pt>
                <c:pt idx="310">
                  <c:v>118.3</c:v>
                </c:pt>
                <c:pt idx="311">
                  <c:v>118.3</c:v>
                </c:pt>
                <c:pt idx="312">
                  <c:v>115.45</c:v>
                </c:pt>
                <c:pt idx="313">
                  <c:v>115.44</c:v>
                </c:pt>
                <c:pt idx="314">
                  <c:v>114.69</c:v>
                </c:pt>
                <c:pt idx="315">
                  <c:v>114.69</c:v>
                </c:pt>
                <c:pt idx="316">
                  <c:v>113.2</c:v>
                </c:pt>
                <c:pt idx="317">
                  <c:v>113.2</c:v>
                </c:pt>
                <c:pt idx="318">
                  <c:v>113.2</c:v>
                </c:pt>
                <c:pt idx="319">
                  <c:v>110.75</c:v>
                </c:pt>
                <c:pt idx="320">
                  <c:v>112.94</c:v>
                </c:pt>
                <c:pt idx="321">
                  <c:v>112.53</c:v>
                </c:pt>
                <c:pt idx="322">
                  <c:v>112.53</c:v>
                </c:pt>
                <c:pt idx="323">
                  <c:v>115.12</c:v>
                </c:pt>
              </c:numCache>
            </c:numRef>
          </c:val>
          <c:smooth val="0"/>
        </c:ser>
        <c:dLbls>
          <c:showLegendKey val="0"/>
          <c:showVal val="0"/>
          <c:showCatName val="0"/>
          <c:showSerName val="0"/>
          <c:showPercent val="0"/>
          <c:showBubbleSize val="0"/>
        </c:dLbls>
        <c:marker val="1"/>
        <c:smooth val="0"/>
        <c:axId val="267827072"/>
        <c:axId val="267828608"/>
      </c:lineChart>
      <c:dateAx>
        <c:axId val="267827072"/>
        <c:scaling>
          <c:orientation val="minMax"/>
        </c:scaling>
        <c:delete val="0"/>
        <c:axPos val="b"/>
        <c:numFmt formatCode="m/d/yyyy" sourceLinked="1"/>
        <c:majorTickMark val="out"/>
        <c:minorTickMark val="none"/>
        <c:tickLblPos val="nextTo"/>
        <c:txPr>
          <a:bodyPr/>
          <a:lstStyle/>
          <a:p>
            <a:pPr>
              <a:defRPr sz="1000"/>
            </a:pPr>
            <a:endParaRPr lang="zh-TW"/>
          </a:p>
        </c:txPr>
        <c:crossAx val="267828608"/>
        <c:crosses val="autoZero"/>
        <c:auto val="1"/>
        <c:lblOffset val="100"/>
        <c:baseTimeUnit val="days"/>
        <c:majorUnit val="1"/>
        <c:majorTimeUnit val="months"/>
        <c:minorUnit val="1"/>
        <c:minorTimeUnit val="months"/>
      </c:dateAx>
      <c:valAx>
        <c:axId val="267828608"/>
        <c:scaling>
          <c:orientation val="minMax"/>
        </c:scaling>
        <c:delete val="0"/>
        <c:axPos val="l"/>
        <c:majorGridlines/>
        <c:numFmt formatCode="General" sourceLinked="1"/>
        <c:majorTickMark val="out"/>
        <c:minorTickMark val="none"/>
        <c:tickLblPos val="nextTo"/>
        <c:txPr>
          <a:bodyPr/>
          <a:lstStyle/>
          <a:p>
            <a:pPr>
              <a:defRPr sz="1000"/>
            </a:pPr>
            <a:endParaRPr lang="zh-TW"/>
          </a:p>
        </c:txPr>
        <c:crossAx val="267827072"/>
        <c:crosses val="autoZero"/>
        <c:crossBetween val="between"/>
      </c:valAx>
    </c:plotArea>
    <c:legend>
      <c:legendPos val="b"/>
      <c:layout>
        <c:manualLayout>
          <c:xMode val="edge"/>
          <c:yMode val="edge"/>
          <c:x val="5.4388932416967621E-2"/>
          <c:y val="0.8588228514200249"/>
          <c:w val="0.89999983481088897"/>
          <c:h val="0.11224058824707979"/>
        </c:manualLayout>
      </c:layout>
      <c:overlay val="0"/>
      <c:txPr>
        <a:bodyPr/>
        <a:lstStyle/>
        <a:p>
          <a:pPr>
            <a:defRPr sz="1000"/>
          </a:pPr>
          <a:endParaRPr lang="zh-TW"/>
        </a:p>
      </c:txPr>
    </c:legend>
    <c:plotVisOnly val="1"/>
    <c:dispBlanksAs val="gap"/>
    <c:showDLblsOverMax val="0"/>
  </c:chart>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8256032234923268E-2"/>
          <c:y val="0.12547462817147856"/>
          <c:w val="0.87773960333518219"/>
          <c:h val="0.75854549431321172"/>
        </c:manualLayout>
      </c:layout>
      <c:lineChart>
        <c:grouping val="standard"/>
        <c:varyColors val="0"/>
        <c:ser>
          <c:idx val="1"/>
          <c:order val="0"/>
          <c:tx>
            <c:strRef>
              <c:f>Sheet3!$B$1</c:f>
              <c:strCache>
                <c:ptCount val="1"/>
                <c:pt idx="0">
                  <c:v>美元/噸</c:v>
                </c:pt>
              </c:strCache>
            </c:strRef>
          </c:tx>
          <c:marker>
            <c:symbol val="square"/>
            <c:size val="25"/>
            <c:spPr>
              <a:noFill/>
            </c:spPr>
          </c:marker>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Sheet3!$A$2:$A$11</c:f>
              <c:numCache>
                <c:formatCode>General</c:formatCode>
                <c:ptCount val="10"/>
                <c:pt idx="0">
                  <c:v>2011</c:v>
                </c:pt>
                <c:pt idx="1">
                  <c:v>2012</c:v>
                </c:pt>
                <c:pt idx="2">
                  <c:v>2013</c:v>
                </c:pt>
                <c:pt idx="3">
                  <c:v>2014</c:v>
                </c:pt>
                <c:pt idx="4">
                  <c:v>2015</c:v>
                </c:pt>
                <c:pt idx="5">
                  <c:v>2016</c:v>
                </c:pt>
                <c:pt idx="6">
                  <c:v>2017</c:v>
                </c:pt>
                <c:pt idx="7">
                  <c:v>2018</c:v>
                </c:pt>
                <c:pt idx="8">
                  <c:v>2019</c:v>
                </c:pt>
                <c:pt idx="9">
                  <c:v>2020</c:v>
                </c:pt>
              </c:numCache>
            </c:numRef>
          </c:cat>
          <c:val>
            <c:numRef>
              <c:f>Sheet3!$B$2:$B$11</c:f>
              <c:numCache>
                <c:formatCode>General</c:formatCode>
                <c:ptCount val="10"/>
                <c:pt idx="0">
                  <c:v>749.6</c:v>
                </c:pt>
                <c:pt idx="1">
                  <c:v>663.3</c:v>
                </c:pt>
                <c:pt idx="2">
                  <c:v>614.6</c:v>
                </c:pt>
                <c:pt idx="3">
                  <c:v>570.4</c:v>
                </c:pt>
                <c:pt idx="4">
                  <c:v>412.5</c:v>
                </c:pt>
                <c:pt idx="5">
                  <c:v>362.5</c:v>
                </c:pt>
                <c:pt idx="6">
                  <c:v>395</c:v>
                </c:pt>
                <c:pt idx="7">
                  <c:v>580</c:v>
                </c:pt>
                <c:pt idx="8">
                  <c:v>550</c:v>
                </c:pt>
                <c:pt idx="9">
                  <c:v>570</c:v>
                </c:pt>
              </c:numCache>
            </c:numRef>
          </c:val>
          <c:smooth val="0"/>
        </c:ser>
        <c:dLbls>
          <c:showLegendKey val="0"/>
          <c:showVal val="0"/>
          <c:showCatName val="0"/>
          <c:showSerName val="0"/>
          <c:showPercent val="0"/>
          <c:showBubbleSize val="0"/>
        </c:dLbls>
        <c:marker val="1"/>
        <c:smooth val="0"/>
        <c:axId val="267844992"/>
        <c:axId val="268002432"/>
      </c:lineChart>
      <c:catAx>
        <c:axId val="267844992"/>
        <c:scaling>
          <c:orientation val="minMax"/>
        </c:scaling>
        <c:delete val="0"/>
        <c:axPos val="b"/>
        <c:numFmt formatCode="General" sourceLinked="1"/>
        <c:majorTickMark val="out"/>
        <c:minorTickMark val="none"/>
        <c:tickLblPos val="nextTo"/>
        <c:crossAx val="268002432"/>
        <c:crosses val="autoZero"/>
        <c:auto val="1"/>
        <c:lblAlgn val="ctr"/>
        <c:lblOffset val="100"/>
        <c:noMultiLvlLbl val="0"/>
      </c:catAx>
      <c:valAx>
        <c:axId val="268002432"/>
        <c:scaling>
          <c:orientation val="minMax"/>
          <c:min val="300"/>
        </c:scaling>
        <c:delete val="0"/>
        <c:axPos val="l"/>
        <c:majorGridlines/>
        <c:title>
          <c:tx>
            <c:rich>
              <a:bodyPr rot="0" vert="horz"/>
              <a:lstStyle/>
              <a:p>
                <a:pPr>
                  <a:defRPr/>
                </a:pPr>
                <a:r>
                  <a:rPr lang="zh-TW" altLang="en-US">
                    <a:latin typeface="標楷體" pitchFamily="65" charset="-120"/>
                    <a:ea typeface="標楷體" pitchFamily="65" charset="-120"/>
                  </a:rPr>
                  <a:t>美元</a:t>
                </a:r>
                <a:r>
                  <a:rPr lang="en-US" altLang="zh-TW">
                    <a:latin typeface="標楷體" pitchFamily="65" charset="-120"/>
                    <a:ea typeface="標楷體" pitchFamily="65" charset="-120"/>
                  </a:rPr>
                  <a:t>/</a:t>
                </a:r>
                <a:r>
                  <a:rPr lang="zh-TW" altLang="en-US">
                    <a:latin typeface="標楷體" pitchFamily="65" charset="-120"/>
                    <a:ea typeface="標楷體" pitchFamily="65" charset="-120"/>
                  </a:rPr>
                  <a:t>噸</a:t>
                </a:r>
              </a:p>
            </c:rich>
          </c:tx>
          <c:layout>
            <c:manualLayout>
              <c:xMode val="edge"/>
              <c:yMode val="edge"/>
              <c:x val="3.2733224222585962E-2"/>
              <c:y val="2.326589384660251E-2"/>
            </c:manualLayout>
          </c:layout>
          <c:overlay val="0"/>
        </c:title>
        <c:numFmt formatCode="General" sourceLinked="1"/>
        <c:majorTickMark val="out"/>
        <c:minorTickMark val="none"/>
        <c:tickLblPos val="nextTo"/>
        <c:crossAx val="267844992"/>
        <c:crosses val="autoZero"/>
        <c:crossBetween val="between"/>
      </c:valAx>
      <c:spPr>
        <a:ln>
          <a:solidFill>
            <a:schemeClr val="accent1">
              <a:lumMod val="75000"/>
            </a:schemeClr>
          </a:solidFill>
        </a:ln>
      </c:spPr>
    </c:plotArea>
    <c:plotVisOnly val="1"/>
    <c:dispBlanksAs val="gap"/>
    <c:showDLblsOverMax val="0"/>
  </c:chart>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5988642690305663E-2"/>
          <c:y val="0.13078655917680496"/>
          <c:w val="0.93920683413098494"/>
          <c:h val="0.62177478537157127"/>
        </c:manualLayout>
      </c:layout>
      <c:lineChart>
        <c:grouping val="standard"/>
        <c:varyColors val="0"/>
        <c:ser>
          <c:idx val="1"/>
          <c:order val="0"/>
          <c:tx>
            <c:strRef>
              <c:f>米!$B$2</c:f>
              <c:strCache>
                <c:ptCount val="1"/>
                <c:pt idx="0">
                  <c:v>便利店－三好米</c:v>
                </c:pt>
              </c:strCache>
            </c:strRef>
          </c:tx>
          <c:spPr>
            <a:ln>
              <a:prstDash val="sysDot"/>
            </a:ln>
          </c:spPr>
          <c:marker>
            <c:symbol val="none"/>
          </c:marker>
          <c:cat>
            <c:strRef>
              <c:f>米!$A$77:$A$173</c:f>
              <c:strCache>
                <c:ptCount val="97"/>
                <c:pt idx="0">
                  <c:v>102/1/14</c:v>
                </c:pt>
                <c:pt idx="1">
                  <c:v>102/1/21</c:v>
                </c:pt>
                <c:pt idx="2">
                  <c:v>102/1/28</c:v>
                </c:pt>
                <c:pt idx="3">
                  <c:v>102/2/5</c:v>
                </c:pt>
                <c:pt idx="4">
                  <c:v>102/2/12</c:v>
                </c:pt>
                <c:pt idx="5">
                  <c:v>102/2/19</c:v>
                </c:pt>
                <c:pt idx="6">
                  <c:v>102/2/26</c:v>
                </c:pt>
                <c:pt idx="7">
                  <c:v>102/3/05</c:v>
                </c:pt>
                <c:pt idx="8">
                  <c:v>102/3/11</c:v>
                </c:pt>
                <c:pt idx="9">
                  <c:v>102/3/18</c:v>
                </c:pt>
                <c:pt idx="10">
                  <c:v>102/3/25</c:v>
                </c:pt>
                <c:pt idx="11">
                  <c:v>102/4/1</c:v>
                </c:pt>
                <c:pt idx="12">
                  <c:v>102/4/8</c:v>
                </c:pt>
                <c:pt idx="13">
                  <c:v>102/4/15</c:v>
                </c:pt>
                <c:pt idx="14">
                  <c:v>102/4/22</c:v>
                </c:pt>
                <c:pt idx="15">
                  <c:v>102/4/29</c:v>
                </c:pt>
                <c:pt idx="16">
                  <c:v>102/5/6</c:v>
                </c:pt>
                <c:pt idx="17">
                  <c:v>102/5/13</c:v>
                </c:pt>
                <c:pt idx="18">
                  <c:v>102/5/20</c:v>
                </c:pt>
                <c:pt idx="19">
                  <c:v>102/5/27</c:v>
                </c:pt>
                <c:pt idx="20">
                  <c:v>102/6/3</c:v>
                </c:pt>
                <c:pt idx="21">
                  <c:v>102/6/10</c:v>
                </c:pt>
                <c:pt idx="22">
                  <c:v>102/6/17</c:v>
                </c:pt>
                <c:pt idx="23">
                  <c:v>102/6/24</c:v>
                </c:pt>
                <c:pt idx="24">
                  <c:v>102/7/1</c:v>
                </c:pt>
                <c:pt idx="25">
                  <c:v>102/7/8</c:v>
                </c:pt>
                <c:pt idx="26">
                  <c:v>102/7/15</c:v>
                </c:pt>
                <c:pt idx="27">
                  <c:v>102/7/22</c:v>
                </c:pt>
                <c:pt idx="28">
                  <c:v>102/7/29</c:v>
                </c:pt>
                <c:pt idx="29">
                  <c:v>102/8/5</c:v>
                </c:pt>
                <c:pt idx="30">
                  <c:v>102/8/12</c:v>
                </c:pt>
                <c:pt idx="31">
                  <c:v>102/8/19</c:v>
                </c:pt>
                <c:pt idx="32">
                  <c:v>102/8/26</c:v>
                </c:pt>
                <c:pt idx="33">
                  <c:v>102/9/2</c:v>
                </c:pt>
                <c:pt idx="34">
                  <c:v>102/9/9</c:v>
                </c:pt>
                <c:pt idx="35">
                  <c:v>102/9/16</c:v>
                </c:pt>
                <c:pt idx="36">
                  <c:v>102/9/23</c:v>
                </c:pt>
                <c:pt idx="37">
                  <c:v>102/9/30</c:v>
                </c:pt>
                <c:pt idx="38">
                  <c:v>102/10/7</c:v>
                </c:pt>
                <c:pt idx="39">
                  <c:v>102/10/14</c:v>
                </c:pt>
                <c:pt idx="40">
                  <c:v>102/10/21</c:v>
                </c:pt>
                <c:pt idx="41">
                  <c:v>102/10/28</c:v>
                </c:pt>
                <c:pt idx="42">
                  <c:v>102/11/04</c:v>
                </c:pt>
                <c:pt idx="43">
                  <c:v>102/11/11</c:v>
                </c:pt>
                <c:pt idx="44">
                  <c:v>102/11/18</c:v>
                </c:pt>
                <c:pt idx="45">
                  <c:v>102/11/25</c:v>
                </c:pt>
                <c:pt idx="46">
                  <c:v>102/12/2</c:v>
                </c:pt>
                <c:pt idx="47">
                  <c:v>102/12/9</c:v>
                </c:pt>
                <c:pt idx="48">
                  <c:v>102/12/16</c:v>
                </c:pt>
                <c:pt idx="49">
                  <c:v>102/12/23</c:v>
                </c:pt>
                <c:pt idx="50">
                  <c:v>102/12/30</c:v>
                </c:pt>
                <c:pt idx="51">
                  <c:v>103/1/6</c:v>
                </c:pt>
                <c:pt idx="52">
                  <c:v>103/1/20</c:v>
                </c:pt>
                <c:pt idx="53">
                  <c:v>103/2/10</c:v>
                </c:pt>
                <c:pt idx="54">
                  <c:v>103/2/24</c:v>
                </c:pt>
                <c:pt idx="55">
                  <c:v>103/3/3</c:v>
                </c:pt>
                <c:pt idx="56">
                  <c:v>103/3/17</c:v>
                </c:pt>
                <c:pt idx="57">
                  <c:v>103/4/7</c:v>
                </c:pt>
                <c:pt idx="58">
                  <c:v>103/4/21</c:v>
                </c:pt>
                <c:pt idx="59">
                  <c:v>103/5/5</c:v>
                </c:pt>
                <c:pt idx="60">
                  <c:v>103/5/19</c:v>
                </c:pt>
                <c:pt idx="61">
                  <c:v>103/6/9</c:v>
                </c:pt>
                <c:pt idx="62">
                  <c:v>103/6/23</c:v>
                </c:pt>
                <c:pt idx="63">
                  <c:v>103/7/7</c:v>
                </c:pt>
                <c:pt idx="64">
                  <c:v>103/7/21</c:v>
                </c:pt>
                <c:pt idx="65">
                  <c:v>103/8/4</c:v>
                </c:pt>
                <c:pt idx="66">
                  <c:v>103/8/18</c:v>
                </c:pt>
                <c:pt idx="67">
                  <c:v>103/9/9</c:v>
                </c:pt>
                <c:pt idx="68">
                  <c:v>103/9/22</c:v>
                </c:pt>
                <c:pt idx="69">
                  <c:v>103/10/6</c:v>
                </c:pt>
                <c:pt idx="70">
                  <c:v>103/10/20</c:v>
                </c:pt>
                <c:pt idx="71">
                  <c:v>103/11/3</c:v>
                </c:pt>
                <c:pt idx="72">
                  <c:v>103/11/17</c:v>
                </c:pt>
                <c:pt idx="73">
                  <c:v>103/12/8</c:v>
                </c:pt>
                <c:pt idx="74">
                  <c:v>103/12/22</c:v>
                </c:pt>
                <c:pt idx="75">
                  <c:v>104/1/5</c:v>
                </c:pt>
                <c:pt idx="76">
                  <c:v>104/1/19</c:v>
                </c:pt>
                <c:pt idx="77">
                  <c:v>104/2/2</c:v>
                </c:pt>
                <c:pt idx="78">
                  <c:v>104/2/16</c:v>
                </c:pt>
                <c:pt idx="79">
                  <c:v>104/3/9</c:v>
                </c:pt>
                <c:pt idx="80">
                  <c:v>104/3/23</c:v>
                </c:pt>
                <c:pt idx="81">
                  <c:v>104/4/7</c:v>
                </c:pt>
                <c:pt idx="82">
                  <c:v>104/4/20</c:v>
                </c:pt>
                <c:pt idx="83">
                  <c:v>104/5/11</c:v>
                </c:pt>
                <c:pt idx="84">
                  <c:v>104/5/25</c:v>
                </c:pt>
                <c:pt idx="85">
                  <c:v>104/6/8</c:v>
                </c:pt>
                <c:pt idx="86">
                  <c:v>104/6/15</c:v>
                </c:pt>
                <c:pt idx="87">
                  <c:v>104/7/6</c:v>
                </c:pt>
                <c:pt idx="88">
                  <c:v>104/7/20</c:v>
                </c:pt>
                <c:pt idx="89">
                  <c:v>104/8/3</c:v>
                </c:pt>
                <c:pt idx="90">
                  <c:v>104/8/17</c:v>
                </c:pt>
                <c:pt idx="91">
                  <c:v>104/9/7</c:v>
                </c:pt>
                <c:pt idx="92">
                  <c:v>104/9/21</c:v>
                </c:pt>
                <c:pt idx="93">
                  <c:v>104/10/5</c:v>
                </c:pt>
                <c:pt idx="94">
                  <c:v>104/10/19</c:v>
                </c:pt>
                <c:pt idx="95">
                  <c:v>104/11/9</c:v>
                </c:pt>
                <c:pt idx="96">
                  <c:v>104/11/23</c:v>
                </c:pt>
              </c:strCache>
            </c:strRef>
          </c:cat>
          <c:val>
            <c:numRef>
              <c:f>米!$B$77:$B$173</c:f>
              <c:numCache>
                <c:formatCode>0.00_);[Red]\(0.00\)</c:formatCode>
                <c:ptCount val="97"/>
                <c:pt idx="0">
                  <c:v>179</c:v>
                </c:pt>
                <c:pt idx="1">
                  <c:v>179</c:v>
                </c:pt>
                <c:pt idx="2">
                  <c:v>179</c:v>
                </c:pt>
                <c:pt idx="3">
                  <c:v>179</c:v>
                </c:pt>
                <c:pt idx="4">
                  <c:v>179</c:v>
                </c:pt>
                <c:pt idx="5">
                  <c:v>179</c:v>
                </c:pt>
                <c:pt idx="6">
                  <c:v>179</c:v>
                </c:pt>
                <c:pt idx="7">
                  <c:v>179</c:v>
                </c:pt>
                <c:pt idx="8">
                  <c:v>179</c:v>
                </c:pt>
                <c:pt idx="9">
                  <c:v>179</c:v>
                </c:pt>
                <c:pt idx="10">
                  <c:v>179</c:v>
                </c:pt>
                <c:pt idx="11">
                  <c:v>179</c:v>
                </c:pt>
                <c:pt idx="12">
                  <c:v>179</c:v>
                </c:pt>
                <c:pt idx="13">
                  <c:v>179</c:v>
                </c:pt>
                <c:pt idx="14">
                  <c:v>179</c:v>
                </c:pt>
                <c:pt idx="15">
                  <c:v>179</c:v>
                </c:pt>
                <c:pt idx="16">
                  <c:v>179</c:v>
                </c:pt>
                <c:pt idx="17">
                  <c:v>179</c:v>
                </c:pt>
                <c:pt idx="18">
                  <c:v>177</c:v>
                </c:pt>
                <c:pt idx="19">
                  <c:v>177</c:v>
                </c:pt>
                <c:pt idx="20">
                  <c:v>177</c:v>
                </c:pt>
                <c:pt idx="21">
                  <c:v>177</c:v>
                </c:pt>
                <c:pt idx="22">
                  <c:v>177</c:v>
                </c:pt>
                <c:pt idx="23">
                  <c:v>177</c:v>
                </c:pt>
                <c:pt idx="24">
                  <c:v>177</c:v>
                </c:pt>
                <c:pt idx="25">
                  <c:v>177</c:v>
                </c:pt>
                <c:pt idx="26">
                  <c:v>169</c:v>
                </c:pt>
                <c:pt idx="27">
                  <c:v>169</c:v>
                </c:pt>
                <c:pt idx="28">
                  <c:v>169</c:v>
                </c:pt>
                <c:pt idx="29">
                  <c:v>169</c:v>
                </c:pt>
                <c:pt idx="30">
                  <c:v>177</c:v>
                </c:pt>
                <c:pt idx="31">
                  <c:v>167</c:v>
                </c:pt>
                <c:pt idx="32">
                  <c:v>159</c:v>
                </c:pt>
                <c:pt idx="33">
                  <c:v>159</c:v>
                </c:pt>
                <c:pt idx="34">
                  <c:v>166.66666666666666</c:v>
                </c:pt>
                <c:pt idx="35">
                  <c:v>153.66666666666666</c:v>
                </c:pt>
                <c:pt idx="36">
                  <c:v>153.66666666666666</c:v>
                </c:pt>
                <c:pt idx="37">
                  <c:v>177</c:v>
                </c:pt>
                <c:pt idx="38">
                  <c:v>177</c:v>
                </c:pt>
                <c:pt idx="39">
                  <c:v>177</c:v>
                </c:pt>
                <c:pt idx="40">
                  <c:v>177</c:v>
                </c:pt>
                <c:pt idx="41">
                  <c:v>177</c:v>
                </c:pt>
                <c:pt idx="42">
                  <c:v>177</c:v>
                </c:pt>
                <c:pt idx="43">
                  <c:v>177</c:v>
                </c:pt>
                <c:pt idx="44">
                  <c:v>177</c:v>
                </c:pt>
                <c:pt idx="45">
                  <c:v>177</c:v>
                </c:pt>
                <c:pt idx="46">
                  <c:v>177</c:v>
                </c:pt>
                <c:pt idx="47">
                  <c:v>177</c:v>
                </c:pt>
                <c:pt idx="48">
                  <c:v>177</c:v>
                </c:pt>
                <c:pt idx="49">
                  <c:v>177</c:v>
                </c:pt>
                <c:pt idx="50">
                  <c:v>177</c:v>
                </c:pt>
                <c:pt idx="51">
                  <c:v>177</c:v>
                </c:pt>
                <c:pt idx="52">
                  <c:v>177</c:v>
                </c:pt>
                <c:pt idx="53">
                  <c:v>177</c:v>
                </c:pt>
                <c:pt idx="54">
                  <c:v>177</c:v>
                </c:pt>
                <c:pt idx="55">
                  <c:v>177</c:v>
                </c:pt>
                <c:pt idx="56">
                  <c:v>177</c:v>
                </c:pt>
                <c:pt idx="57">
                  <c:v>177</c:v>
                </c:pt>
                <c:pt idx="58">
                  <c:v>177</c:v>
                </c:pt>
                <c:pt idx="59">
                  <c:v>177</c:v>
                </c:pt>
                <c:pt idx="60">
                  <c:v>177</c:v>
                </c:pt>
                <c:pt idx="61">
                  <c:v>177</c:v>
                </c:pt>
                <c:pt idx="62">
                  <c:v>177</c:v>
                </c:pt>
                <c:pt idx="63">
                  <c:v>177</c:v>
                </c:pt>
                <c:pt idx="64">
                  <c:v>177</c:v>
                </c:pt>
                <c:pt idx="65">
                  <c:v>177</c:v>
                </c:pt>
                <c:pt idx="66">
                  <c:v>177</c:v>
                </c:pt>
                <c:pt idx="67">
                  <c:v>192.33333333333334</c:v>
                </c:pt>
                <c:pt idx="68">
                  <c:v>192.33333333333334</c:v>
                </c:pt>
                <c:pt idx="69">
                  <c:v>192.33333333333334</c:v>
                </c:pt>
                <c:pt idx="70">
                  <c:v>199</c:v>
                </c:pt>
                <c:pt idx="71">
                  <c:v>199</c:v>
                </c:pt>
                <c:pt idx="72">
                  <c:v>199</c:v>
                </c:pt>
                <c:pt idx="73">
                  <c:v>199</c:v>
                </c:pt>
                <c:pt idx="74">
                  <c:v>199</c:v>
                </c:pt>
                <c:pt idx="75">
                  <c:v>199</c:v>
                </c:pt>
                <c:pt idx="76">
                  <c:v>199</c:v>
                </c:pt>
                <c:pt idx="77">
                  <c:v>199</c:v>
                </c:pt>
                <c:pt idx="78">
                  <c:v>199</c:v>
                </c:pt>
                <c:pt idx="79">
                  <c:v>199</c:v>
                </c:pt>
                <c:pt idx="80">
                  <c:v>199</c:v>
                </c:pt>
                <c:pt idx="81">
                  <c:v>199</c:v>
                </c:pt>
                <c:pt idx="82">
                  <c:v>199</c:v>
                </c:pt>
                <c:pt idx="83">
                  <c:v>199</c:v>
                </c:pt>
                <c:pt idx="84">
                  <c:v>199</c:v>
                </c:pt>
                <c:pt idx="85">
                  <c:v>199</c:v>
                </c:pt>
                <c:pt idx="86">
                  <c:v>199</c:v>
                </c:pt>
                <c:pt idx="87">
                  <c:v>192.33333333333334</c:v>
                </c:pt>
                <c:pt idx="88">
                  <c:v>192.33333333333334</c:v>
                </c:pt>
                <c:pt idx="89">
                  <c:v>192.33333333333334</c:v>
                </c:pt>
                <c:pt idx="90">
                  <c:v>175.66666666666666</c:v>
                </c:pt>
                <c:pt idx="91">
                  <c:v>175.66666666666666</c:v>
                </c:pt>
                <c:pt idx="92">
                  <c:v>192.33333333333334</c:v>
                </c:pt>
                <c:pt idx="93">
                  <c:v>192.33333333333334</c:v>
                </c:pt>
                <c:pt idx="94">
                  <c:v>192.33333333333334</c:v>
                </c:pt>
                <c:pt idx="95">
                  <c:v>192.33333333333334</c:v>
                </c:pt>
                <c:pt idx="96">
                  <c:v>192.33333333333334</c:v>
                </c:pt>
              </c:numCache>
            </c:numRef>
          </c:val>
          <c:smooth val="0"/>
        </c:ser>
        <c:ser>
          <c:idx val="2"/>
          <c:order val="1"/>
          <c:tx>
            <c:strRef>
              <c:f>米!$C$2</c:f>
              <c:strCache>
                <c:ptCount val="1"/>
                <c:pt idx="0">
                  <c:v>超市－三好米</c:v>
                </c:pt>
              </c:strCache>
            </c:strRef>
          </c:tx>
          <c:marker>
            <c:symbol val="none"/>
          </c:marker>
          <c:cat>
            <c:strRef>
              <c:f>米!$A$77:$A$173</c:f>
              <c:strCache>
                <c:ptCount val="97"/>
                <c:pt idx="0">
                  <c:v>102/1/14</c:v>
                </c:pt>
                <c:pt idx="1">
                  <c:v>102/1/21</c:v>
                </c:pt>
                <c:pt idx="2">
                  <c:v>102/1/28</c:v>
                </c:pt>
                <c:pt idx="3">
                  <c:v>102/2/5</c:v>
                </c:pt>
                <c:pt idx="4">
                  <c:v>102/2/12</c:v>
                </c:pt>
                <c:pt idx="5">
                  <c:v>102/2/19</c:v>
                </c:pt>
                <c:pt idx="6">
                  <c:v>102/2/26</c:v>
                </c:pt>
                <c:pt idx="7">
                  <c:v>102/3/05</c:v>
                </c:pt>
                <c:pt idx="8">
                  <c:v>102/3/11</c:v>
                </c:pt>
                <c:pt idx="9">
                  <c:v>102/3/18</c:v>
                </c:pt>
                <c:pt idx="10">
                  <c:v>102/3/25</c:v>
                </c:pt>
                <c:pt idx="11">
                  <c:v>102/4/1</c:v>
                </c:pt>
                <c:pt idx="12">
                  <c:v>102/4/8</c:v>
                </c:pt>
                <c:pt idx="13">
                  <c:v>102/4/15</c:v>
                </c:pt>
                <c:pt idx="14">
                  <c:v>102/4/22</c:v>
                </c:pt>
                <c:pt idx="15">
                  <c:v>102/4/29</c:v>
                </c:pt>
                <c:pt idx="16">
                  <c:v>102/5/6</c:v>
                </c:pt>
                <c:pt idx="17">
                  <c:v>102/5/13</c:v>
                </c:pt>
                <c:pt idx="18">
                  <c:v>102/5/20</c:v>
                </c:pt>
                <c:pt idx="19">
                  <c:v>102/5/27</c:v>
                </c:pt>
                <c:pt idx="20">
                  <c:v>102/6/3</c:v>
                </c:pt>
                <c:pt idx="21">
                  <c:v>102/6/10</c:v>
                </c:pt>
                <c:pt idx="22">
                  <c:v>102/6/17</c:v>
                </c:pt>
                <c:pt idx="23">
                  <c:v>102/6/24</c:v>
                </c:pt>
                <c:pt idx="24">
                  <c:v>102/7/1</c:v>
                </c:pt>
                <c:pt idx="25">
                  <c:v>102/7/8</c:v>
                </c:pt>
                <c:pt idx="26">
                  <c:v>102/7/15</c:v>
                </c:pt>
                <c:pt idx="27">
                  <c:v>102/7/22</c:v>
                </c:pt>
                <c:pt idx="28">
                  <c:v>102/7/29</c:v>
                </c:pt>
                <c:pt idx="29">
                  <c:v>102/8/5</c:v>
                </c:pt>
                <c:pt idx="30">
                  <c:v>102/8/12</c:v>
                </c:pt>
                <c:pt idx="31">
                  <c:v>102/8/19</c:v>
                </c:pt>
                <c:pt idx="32">
                  <c:v>102/8/26</c:v>
                </c:pt>
                <c:pt idx="33">
                  <c:v>102/9/2</c:v>
                </c:pt>
                <c:pt idx="34">
                  <c:v>102/9/9</c:v>
                </c:pt>
                <c:pt idx="35">
                  <c:v>102/9/16</c:v>
                </c:pt>
                <c:pt idx="36">
                  <c:v>102/9/23</c:v>
                </c:pt>
                <c:pt idx="37">
                  <c:v>102/9/30</c:v>
                </c:pt>
                <c:pt idx="38">
                  <c:v>102/10/7</c:v>
                </c:pt>
                <c:pt idx="39">
                  <c:v>102/10/14</c:v>
                </c:pt>
                <c:pt idx="40">
                  <c:v>102/10/21</c:v>
                </c:pt>
                <c:pt idx="41">
                  <c:v>102/10/28</c:v>
                </c:pt>
                <c:pt idx="42">
                  <c:v>102/11/04</c:v>
                </c:pt>
                <c:pt idx="43">
                  <c:v>102/11/11</c:v>
                </c:pt>
                <c:pt idx="44">
                  <c:v>102/11/18</c:v>
                </c:pt>
                <c:pt idx="45">
                  <c:v>102/11/25</c:v>
                </c:pt>
                <c:pt idx="46">
                  <c:v>102/12/2</c:v>
                </c:pt>
                <c:pt idx="47">
                  <c:v>102/12/9</c:v>
                </c:pt>
                <c:pt idx="48">
                  <c:v>102/12/16</c:v>
                </c:pt>
                <c:pt idx="49">
                  <c:v>102/12/23</c:v>
                </c:pt>
                <c:pt idx="50">
                  <c:v>102/12/30</c:v>
                </c:pt>
                <c:pt idx="51">
                  <c:v>103/1/6</c:v>
                </c:pt>
                <c:pt idx="52">
                  <c:v>103/1/20</c:v>
                </c:pt>
                <c:pt idx="53">
                  <c:v>103/2/10</c:v>
                </c:pt>
                <c:pt idx="54">
                  <c:v>103/2/24</c:v>
                </c:pt>
                <c:pt idx="55">
                  <c:v>103/3/3</c:v>
                </c:pt>
                <c:pt idx="56">
                  <c:v>103/3/17</c:v>
                </c:pt>
                <c:pt idx="57">
                  <c:v>103/4/7</c:v>
                </c:pt>
                <c:pt idx="58">
                  <c:v>103/4/21</c:v>
                </c:pt>
                <c:pt idx="59">
                  <c:v>103/5/5</c:v>
                </c:pt>
                <c:pt idx="60">
                  <c:v>103/5/19</c:v>
                </c:pt>
                <c:pt idx="61">
                  <c:v>103/6/9</c:v>
                </c:pt>
                <c:pt idx="62">
                  <c:v>103/6/23</c:v>
                </c:pt>
                <c:pt idx="63">
                  <c:v>103/7/7</c:v>
                </c:pt>
                <c:pt idx="64">
                  <c:v>103/7/21</c:v>
                </c:pt>
                <c:pt idx="65">
                  <c:v>103/8/4</c:v>
                </c:pt>
                <c:pt idx="66">
                  <c:v>103/8/18</c:v>
                </c:pt>
                <c:pt idx="67">
                  <c:v>103/9/9</c:v>
                </c:pt>
                <c:pt idx="68">
                  <c:v>103/9/22</c:v>
                </c:pt>
                <c:pt idx="69">
                  <c:v>103/10/6</c:v>
                </c:pt>
                <c:pt idx="70">
                  <c:v>103/10/20</c:v>
                </c:pt>
                <c:pt idx="71">
                  <c:v>103/11/3</c:v>
                </c:pt>
                <c:pt idx="72">
                  <c:v>103/11/17</c:v>
                </c:pt>
                <c:pt idx="73">
                  <c:v>103/12/8</c:v>
                </c:pt>
                <c:pt idx="74">
                  <c:v>103/12/22</c:v>
                </c:pt>
                <c:pt idx="75">
                  <c:v>104/1/5</c:v>
                </c:pt>
                <c:pt idx="76">
                  <c:v>104/1/19</c:v>
                </c:pt>
                <c:pt idx="77">
                  <c:v>104/2/2</c:v>
                </c:pt>
                <c:pt idx="78">
                  <c:v>104/2/16</c:v>
                </c:pt>
                <c:pt idx="79">
                  <c:v>104/3/9</c:v>
                </c:pt>
                <c:pt idx="80">
                  <c:v>104/3/23</c:v>
                </c:pt>
                <c:pt idx="81">
                  <c:v>104/4/7</c:v>
                </c:pt>
                <c:pt idx="82">
                  <c:v>104/4/20</c:v>
                </c:pt>
                <c:pt idx="83">
                  <c:v>104/5/11</c:v>
                </c:pt>
                <c:pt idx="84">
                  <c:v>104/5/25</c:v>
                </c:pt>
                <c:pt idx="85">
                  <c:v>104/6/8</c:v>
                </c:pt>
                <c:pt idx="86">
                  <c:v>104/6/15</c:v>
                </c:pt>
                <c:pt idx="87">
                  <c:v>104/7/6</c:v>
                </c:pt>
                <c:pt idx="88">
                  <c:v>104/7/20</c:v>
                </c:pt>
                <c:pt idx="89">
                  <c:v>104/8/3</c:v>
                </c:pt>
                <c:pt idx="90">
                  <c:v>104/8/17</c:v>
                </c:pt>
                <c:pt idx="91">
                  <c:v>104/9/7</c:v>
                </c:pt>
                <c:pt idx="92">
                  <c:v>104/9/21</c:v>
                </c:pt>
                <c:pt idx="93">
                  <c:v>104/10/5</c:v>
                </c:pt>
                <c:pt idx="94">
                  <c:v>104/10/19</c:v>
                </c:pt>
                <c:pt idx="95">
                  <c:v>104/11/9</c:v>
                </c:pt>
                <c:pt idx="96">
                  <c:v>104/11/23</c:v>
                </c:pt>
              </c:strCache>
            </c:strRef>
          </c:cat>
          <c:val>
            <c:numRef>
              <c:f>米!$C$77:$C$173</c:f>
              <c:numCache>
                <c:formatCode>0.00_);[Red]\(0.00\)</c:formatCode>
                <c:ptCount val="97"/>
                <c:pt idx="0">
                  <c:v>190.11111111111111</c:v>
                </c:pt>
                <c:pt idx="1">
                  <c:v>190.11111111111111</c:v>
                </c:pt>
                <c:pt idx="2">
                  <c:v>182.56</c:v>
                </c:pt>
                <c:pt idx="3">
                  <c:v>172</c:v>
                </c:pt>
                <c:pt idx="4">
                  <c:v>183</c:v>
                </c:pt>
                <c:pt idx="5">
                  <c:v>183.5</c:v>
                </c:pt>
                <c:pt idx="6">
                  <c:v>173.5</c:v>
                </c:pt>
                <c:pt idx="7">
                  <c:v>173.5</c:v>
                </c:pt>
                <c:pt idx="8">
                  <c:v>188.5</c:v>
                </c:pt>
                <c:pt idx="9">
                  <c:v>188.5</c:v>
                </c:pt>
                <c:pt idx="10">
                  <c:v>181</c:v>
                </c:pt>
                <c:pt idx="11">
                  <c:v>184</c:v>
                </c:pt>
                <c:pt idx="12">
                  <c:v>176.5</c:v>
                </c:pt>
                <c:pt idx="13">
                  <c:v>173.5</c:v>
                </c:pt>
                <c:pt idx="14">
                  <c:v>191</c:v>
                </c:pt>
                <c:pt idx="15">
                  <c:v>191</c:v>
                </c:pt>
                <c:pt idx="16">
                  <c:v>192.5</c:v>
                </c:pt>
                <c:pt idx="17">
                  <c:v>187.5</c:v>
                </c:pt>
                <c:pt idx="18">
                  <c:v>187</c:v>
                </c:pt>
                <c:pt idx="19">
                  <c:v>178.5</c:v>
                </c:pt>
                <c:pt idx="20">
                  <c:v>185.5</c:v>
                </c:pt>
                <c:pt idx="21">
                  <c:v>185.5</c:v>
                </c:pt>
                <c:pt idx="22">
                  <c:v>183</c:v>
                </c:pt>
                <c:pt idx="23">
                  <c:v>183</c:v>
                </c:pt>
                <c:pt idx="24">
                  <c:v>169</c:v>
                </c:pt>
                <c:pt idx="25">
                  <c:v>169</c:v>
                </c:pt>
                <c:pt idx="26">
                  <c:v>184.5</c:v>
                </c:pt>
                <c:pt idx="27">
                  <c:v>184.5</c:v>
                </c:pt>
                <c:pt idx="28">
                  <c:v>181</c:v>
                </c:pt>
                <c:pt idx="29">
                  <c:v>181</c:v>
                </c:pt>
                <c:pt idx="30">
                  <c:v>185.5</c:v>
                </c:pt>
                <c:pt idx="31">
                  <c:v>175.5</c:v>
                </c:pt>
                <c:pt idx="32">
                  <c:v>161.5</c:v>
                </c:pt>
                <c:pt idx="33">
                  <c:v>168.5</c:v>
                </c:pt>
                <c:pt idx="34">
                  <c:v>188</c:v>
                </c:pt>
                <c:pt idx="35">
                  <c:v>173.5</c:v>
                </c:pt>
                <c:pt idx="36">
                  <c:v>169</c:v>
                </c:pt>
                <c:pt idx="37">
                  <c:v>169</c:v>
                </c:pt>
                <c:pt idx="38">
                  <c:v>188</c:v>
                </c:pt>
                <c:pt idx="39">
                  <c:v>185.5</c:v>
                </c:pt>
                <c:pt idx="40">
                  <c:v>191</c:v>
                </c:pt>
                <c:pt idx="41">
                  <c:v>188.5</c:v>
                </c:pt>
                <c:pt idx="42">
                  <c:v>169</c:v>
                </c:pt>
                <c:pt idx="43">
                  <c:v>169</c:v>
                </c:pt>
                <c:pt idx="44">
                  <c:v>188.5</c:v>
                </c:pt>
                <c:pt idx="45">
                  <c:v>188.5</c:v>
                </c:pt>
                <c:pt idx="46">
                  <c:v>193.5</c:v>
                </c:pt>
                <c:pt idx="47">
                  <c:v>193.5</c:v>
                </c:pt>
                <c:pt idx="48">
                  <c:v>191.5</c:v>
                </c:pt>
                <c:pt idx="49">
                  <c:v>191.5</c:v>
                </c:pt>
                <c:pt idx="50">
                  <c:v>191</c:v>
                </c:pt>
                <c:pt idx="51">
                  <c:v>194</c:v>
                </c:pt>
                <c:pt idx="52">
                  <c:v>175.66666666666666</c:v>
                </c:pt>
                <c:pt idx="53">
                  <c:v>195.66666666666666</c:v>
                </c:pt>
                <c:pt idx="54">
                  <c:v>199</c:v>
                </c:pt>
                <c:pt idx="55">
                  <c:v>191.66666666666666</c:v>
                </c:pt>
                <c:pt idx="56">
                  <c:v>176.33333333333334</c:v>
                </c:pt>
                <c:pt idx="57">
                  <c:v>199</c:v>
                </c:pt>
                <c:pt idx="58">
                  <c:v>184.33333333333334</c:v>
                </c:pt>
                <c:pt idx="59">
                  <c:v>184.33333333333334</c:v>
                </c:pt>
                <c:pt idx="60">
                  <c:v>184.33333333333334</c:v>
                </c:pt>
                <c:pt idx="61">
                  <c:v>195.33333333333334</c:v>
                </c:pt>
                <c:pt idx="62">
                  <c:v>195.33333333333334</c:v>
                </c:pt>
                <c:pt idx="63">
                  <c:v>188</c:v>
                </c:pt>
                <c:pt idx="64">
                  <c:v>192</c:v>
                </c:pt>
                <c:pt idx="65">
                  <c:v>192</c:v>
                </c:pt>
                <c:pt idx="66">
                  <c:v>192</c:v>
                </c:pt>
                <c:pt idx="67">
                  <c:v>192</c:v>
                </c:pt>
                <c:pt idx="68">
                  <c:v>195.66666666666666</c:v>
                </c:pt>
                <c:pt idx="69">
                  <c:v>199</c:v>
                </c:pt>
                <c:pt idx="70">
                  <c:v>191.66666666666666</c:v>
                </c:pt>
                <c:pt idx="71">
                  <c:v>212.66666666666666</c:v>
                </c:pt>
                <c:pt idx="72">
                  <c:v>212.33333333333334</c:v>
                </c:pt>
                <c:pt idx="73">
                  <c:v>212.33333333333334</c:v>
                </c:pt>
                <c:pt idx="74">
                  <c:v>212.33333333333334</c:v>
                </c:pt>
                <c:pt idx="75">
                  <c:v>212.33333333333334</c:v>
                </c:pt>
                <c:pt idx="76">
                  <c:v>212.33333333333334</c:v>
                </c:pt>
                <c:pt idx="77">
                  <c:v>199.14285714285714</c:v>
                </c:pt>
                <c:pt idx="78">
                  <c:v>211.14285714285714</c:v>
                </c:pt>
                <c:pt idx="79">
                  <c:v>222</c:v>
                </c:pt>
                <c:pt idx="80">
                  <c:v>206.42857142857142</c:v>
                </c:pt>
                <c:pt idx="81">
                  <c:v>223.57142857142858</c:v>
                </c:pt>
                <c:pt idx="82">
                  <c:v>219.28571428571428</c:v>
                </c:pt>
                <c:pt idx="83">
                  <c:v>219.33333333333334</c:v>
                </c:pt>
                <c:pt idx="84">
                  <c:v>223.57142857142858</c:v>
                </c:pt>
                <c:pt idx="85">
                  <c:v>219.85714285714286</c:v>
                </c:pt>
                <c:pt idx="86">
                  <c:v>219.85714285714286</c:v>
                </c:pt>
                <c:pt idx="87">
                  <c:v>218.42857142857142</c:v>
                </c:pt>
                <c:pt idx="88">
                  <c:v>224.14285714285714</c:v>
                </c:pt>
                <c:pt idx="89">
                  <c:v>218.42857142857142</c:v>
                </c:pt>
                <c:pt idx="90">
                  <c:v>222.71428571428572</c:v>
                </c:pt>
                <c:pt idx="91">
                  <c:v>199.85714285714286</c:v>
                </c:pt>
                <c:pt idx="92">
                  <c:v>222.71428571428572</c:v>
                </c:pt>
                <c:pt idx="93">
                  <c:v>200.57142857142858</c:v>
                </c:pt>
                <c:pt idx="94">
                  <c:v>219</c:v>
                </c:pt>
                <c:pt idx="95">
                  <c:v>214.25</c:v>
                </c:pt>
                <c:pt idx="96">
                  <c:v>221</c:v>
                </c:pt>
              </c:numCache>
            </c:numRef>
          </c:val>
          <c:smooth val="0"/>
        </c:ser>
        <c:ser>
          <c:idx val="0"/>
          <c:order val="2"/>
          <c:tx>
            <c:strRef>
              <c:f>米!$D$2</c:f>
              <c:strCache>
                <c:ptCount val="1"/>
                <c:pt idx="0">
                  <c:v>量販店－三好米</c:v>
                </c:pt>
              </c:strCache>
            </c:strRef>
          </c:tx>
          <c:marker>
            <c:symbol val="none"/>
          </c:marker>
          <c:cat>
            <c:strRef>
              <c:f>米!$A$77:$A$173</c:f>
              <c:strCache>
                <c:ptCount val="97"/>
                <c:pt idx="0">
                  <c:v>102/1/14</c:v>
                </c:pt>
                <c:pt idx="1">
                  <c:v>102/1/21</c:v>
                </c:pt>
                <c:pt idx="2">
                  <c:v>102/1/28</c:v>
                </c:pt>
                <c:pt idx="3">
                  <c:v>102/2/5</c:v>
                </c:pt>
                <c:pt idx="4">
                  <c:v>102/2/12</c:v>
                </c:pt>
                <c:pt idx="5">
                  <c:v>102/2/19</c:v>
                </c:pt>
                <c:pt idx="6">
                  <c:v>102/2/26</c:v>
                </c:pt>
                <c:pt idx="7">
                  <c:v>102/3/05</c:v>
                </c:pt>
                <c:pt idx="8">
                  <c:v>102/3/11</c:v>
                </c:pt>
                <c:pt idx="9">
                  <c:v>102/3/18</c:v>
                </c:pt>
                <c:pt idx="10">
                  <c:v>102/3/25</c:v>
                </c:pt>
                <c:pt idx="11">
                  <c:v>102/4/1</c:v>
                </c:pt>
                <c:pt idx="12">
                  <c:v>102/4/8</c:v>
                </c:pt>
                <c:pt idx="13">
                  <c:v>102/4/15</c:v>
                </c:pt>
                <c:pt idx="14">
                  <c:v>102/4/22</c:v>
                </c:pt>
                <c:pt idx="15">
                  <c:v>102/4/29</c:v>
                </c:pt>
                <c:pt idx="16">
                  <c:v>102/5/6</c:v>
                </c:pt>
                <c:pt idx="17">
                  <c:v>102/5/13</c:v>
                </c:pt>
                <c:pt idx="18">
                  <c:v>102/5/20</c:v>
                </c:pt>
                <c:pt idx="19">
                  <c:v>102/5/27</c:v>
                </c:pt>
                <c:pt idx="20">
                  <c:v>102/6/3</c:v>
                </c:pt>
                <c:pt idx="21">
                  <c:v>102/6/10</c:v>
                </c:pt>
                <c:pt idx="22">
                  <c:v>102/6/17</c:v>
                </c:pt>
                <c:pt idx="23">
                  <c:v>102/6/24</c:v>
                </c:pt>
                <c:pt idx="24">
                  <c:v>102/7/1</c:v>
                </c:pt>
                <c:pt idx="25">
                  <c:v>102/7/8</c:v>
                </c:pt>
                <c:pt idx="26">
                  <c:v>102/7/15</c:v>
                </c:pt>
                <c:pt idx="27">
                  <c:v>102/7/22</c:v>
                </c:pt>
                <c:pt idx="28">
                  <c:v>102/7/29</c:v>
                </c:pt>
                <c:pt idx="29">
                  <c:v>102/8/5</c:v>
                </c:pt>
                <c:pt idx="30">
                  <c:v>102/8/12</c:v>
                </c:pt>
                <c:pt idx="31">
                  <c:v>102/8/19</c:v>
                </c:pt>
                <c:pt idx="32">
                  <c:v>102/8/26</c:v>
                </c:pt>
                <c:pt idx="33">
                  <c:v>102/9/2</c:v>
                </c:pt>
                <c:pt idx="34">
                  <c:v>102/9/9</c:v>
                </c:pt>
                <c:pt idx="35">
                  <c:v>102/9/16</c:v>
                </c:pt>
                <c:pt idx="36">
                  <c:v>102/9/23</c:v>
                </c:pt>
                <c:pt idx="37">
                  <c:v>102/9/30</c:v>
                </c:pt>
                <c:pt idx="38">
                  <c:v>102/10/7</c:v>
                </c:pt>
                <c:pt idx="39">
                  <c:v>102/10/14</c:v>
                </c:pt>
                <c:pt idx="40">
                  <c:v>102/10/21</c:v>
                </c:pt>
                <c:pt idx="41">
                  <c:v>102/10/28</c:v>
                </c:pt>
                <c:pt idx="42">
                  <c:v>102/11/04</c:v>
                </c:pt>
                <c:pt idx="43">
                  <c:v>102/11/11</c:v>
                </c:pt>
                <c:pt idx="44">
                  <c:v>102/11/18</c:v>
                </c:pt>
                <c:pt idx="45">
                  <c:v>102/11/25</c:v>
                </c:pt>
                <c:pt idx="46">
                  <c:v>102/12/2</c:v>
                </c:pt>
                <c:pt idx="47">
                  <c:v>102/12/9</c:v>
                </c:pt>
                <c:pt idx="48">
                  <c:v>102/12/16</c:v>
                </c:pt>
                <c:pt idx="49">
                  <c:v>102/12/23</c:v>
                </c:pt>
                <c:pt idx="50">
                  <c:v>102/12/30</c:v>
                </c:pt>
                <c:pt idx="51">
                  <c:v>103/1/6</c:v>
                </c:pt>
                <c:pt idx="52">
                  <c:v>103/1/20</c:v>
                </c:pt>
                <c:pt idx="53">
                  <c:v>103/2/10</c:v>
                </c:pt>
                <c:pt idx="54">
                  <c:v>103/2/24</c:v>
                </c:pt>
                <c:pt idx="55">
                  <c:v>103/3/3</c:v>
                </c:pt>
                <c:pt idx="56">
                  <c:v>103/3/17</c:v>
                </c:pt>
                <c:pt idx="57">
                  <c:v>103/4/7</c:v>
                </c:pt>
                <c:pt idx="58">
                  <c:v>103/4/21</c:v>
                </c:pt>
                <c:pt idx="59">
                  <c:v>103/5/5</c:v>
                </c:pt>
                <c:pt idx="60">
                  <c:v>103/5/19</c:v>
                </c:pt>
                <c:pt idx="61">
                  <c:v>103/6/9</c:v>
                </c:pt>
                <c:pt idx="62">
                  <c:v>103/6/23</c:v>
                </c:pt>
                <c:pt idx="63">
                  <c:v>103/7/7</c:v>
                </c:pt>
                <c:pt idx="64">
                  <c:v>103/7/21</c:v>
                </c:pt>
                <c:pt idx="65">
                  <c:v>103/8/4</c:v>
                </c:pt>
                <c:pt idx="66">
                  <c:v>103/8/18</c:v>
                </c:pt>
                <c:pt idx="67">
                  <c:v>103/9/9</c:v>
                </c:pt>
                <c:pt idx="68">
                  <c:v>103/9/22</c:v>
                </c:pt>
                <c:pt idx="69">
                  <c:v>103/10/6</c:v>
                </c:pt>
                <c:pt idx="70">
                  <c:v>103/10/20</c:v>
                </c:pt>
                <c:pt idx="71">
                  <c:v>103/11/3</c:v>
                </c:pt>
                <c:pt idx="72">
                  <c:v>103/11/17</c:v>
                </c:pt>
                <c:pt idx="73">
                  <c:v>103/12/8</c:v>
                </c:pt>
                <c:pt idx="74">
                  <c:v>103/12/22</c:v>
                </c:pt>
                <c:pt idx="75">
                  <c:v>104/1/5</c:v>
                </c:pt>
                <c:pt idx="76">
                  <c:v>104/1/19</c:v>
                </c:pt>
                <c:pt idx="77">
                  <c:v>104/2/2</c:v>
                </c:pt>
                <c:pt idx="78">
                  <c:v>104/2/16</c:v>
                </c:pt>
                <c:pt idx="79">
                  <c:v>104/3/9</c:v>
                </c:pt>
                <c:pt idx="80">
                  <c:v>104/3/23</c:v>
                </c:pt>
                <c:pt idx="81">
                  <c:v>104/4/7</c:v>
                </c:pt>
                <c:pt idx="82">
                  <c:v>104/4/20</c:v>
                </c:pt>
                <c:pt idx="83">
                  <c:v>104/5/11</c:v>
                </c:pt>
                <c:pt idx="84">
                  <c:v>104/5/25</c:v>
                </c:pt>
                <c:pt idx="85">
                  <c:v>104/6/8</c:v>
                </c:pt>
                <c:pt idx="86">
                  <c:v>104/6/15</c:v>
                </c:pt>
                <c:pt idx="87">
                  <c:v>104/7/6</c:v>
                </c:pt>
                <c:pt idx="88">
                  <c:v>104/7/20</c:v>
                </c:pt>
                <c:pt idx="89">
                  <c:v>104/8/3</c:v>
                </c:pt>
                <c:pt idx="90">
                  <c:v>104/8/17</c:v>
                </c:pt>
                <c:pt idx="91">
                  <c:v>104/9/7</c:v>
                </c:pt>
                <c:pt idx="92">
                  <c:v>104/9/21</c:v>
                </c:pt>
                <c:pt idx="93">
                  <c:v>104/10/5</c:v>
                </c:pt>
                <c:pt idx="94">
                  <c:v>104/10/19</c:v>
                </c:pt>
                <c:pt idx="95">
                  <c:v>104/11/9</c:v>
                </c:pt>
                <c:pt idx="96">
                  <c:v>104/11/23</c:v>
                </c:pt>
              </c:strCache>
            </c:strRef>
          </c:cat>
          <c:val>
            <c:numRef>
              <c:f>米!$D$77:$D$173</c:f>
              <c:numCache>
                <c:formatCode>0.00_);[Red]\(0.00\)</c:formatCode>
                <c:ptCount val="97"/>
                <c:pt idx="0">
                  <c:v>185.16666666666666</c:v>
                </c:pt>
                <c:pt idx="1">
                  <c:v>189.83333333333334</c:v>
                </c:pt>
                <c:pt idx="2">
                  <c:v>190.33</c:v>
                </c:pt>
                <c:pt idx="3">
                  <c:v>193.6</c:v>
                </c:pt>
                <c:pt idx="4">
                  <c:v>200.8</c:v>
                </c:pt>
                <c:pt idx="5">
                  <c:v>208.6</c:v>
                </c:pt>
                <c:pt idx="6">
                  <c:v>182.6</c:v>
                </c:pt>
                <c:pt idx="7">
                  <c:v>198.6</c:v>
                </c:pt>
                <c:pt idx="8">
                  <c:v>202.6</c:v>
                </c:pt>
                <c:pt idx="9">
                  <c:v>204.6</c:v>
                </c:pt>
                <c:pt idx="10">
                  <c:v>206.6</c:v>
                </c:pt>
                <c:pt idx="11">
                  <c:v>201.2</c:v>
                </c:pt>
                <c:pt idx="12">
                  <c:v>208.6</c:v>
                </c:pt>
                <c:pt idx="13">
                  <c:v>208.6</c:v>
                </c:pt>
                <c:pt idx="14">
                  <c:v>208.6</c:v>
                </c:pt>
                <c:pt idx="15">
                  <c:v>205.2</c:v>
                </c:pt>
                <c:pt idx="16">
                  <c:v>214.25</c:v>
                </c:pt>
                <c:pt idx="17">
                  <c:v>216.375</c:v>
                </c:pt>
                <c:pt idx="18">
                  <c:v>180.75</c:v>
                </c:pt>
                <c:pt idx="19">
                  <c:v>194.25</c:v>
                </c:pt>
                <c:pt idx="20">
                  <c:v>199.625</c:v>
                </c:pt>
                <c:pt idx="21">
                  <c:v>200.375</c:v>
                </c:pt>
                <c:pt idx="22">
                  <c:v>206.75</c:v>
                </c:pt>
                <c:pt idx="23">
                  <c:v>214.625</c:v>
                </c:pt>
                <c:pt idx="24">
                  <c:v>222.75</c:v>
                </c:pt>
                <c:pt idx="25">
                  <c:v>218.875</c:v>
                </c:pt>
                <c:pt idx="26">
                  <c:v>206.25</c:v>
                </c:pt>
                <c:pt idx="27">
                  <c:v>196</c:v>
                </c:pt>
                <c:pt idx="28">
                  <c:v>190.75</c:v>
                </c:pt>
                <c:pt idx="29">
                  <c:v>190.75</c:v>
                </c:pt>
                <c:pt idx="30">
                  <c:v>190.75</c:v>
                </c:pt>
                <c:pt idx="31">
                  <c:v>186.5</c:v>
                </c:pt>
                <c:pt idx="32">
                  <c:v>192.5</c:v>
                </c:pt>
                <c:pt idx="33">
                  <c:v>215</c:v>
                </c:pt>
                <c:pt idx="34">
                  <c:v>216.875</c:v>
                </c:pt>
                <c:pt idx="35">
                  <c:v>221.375</c:v>
                </c:pt>
                <c:pt idx="36">
                  <c:v>221.75</c:v>
                </c:pt>
                <c:pt idx="37">
                  <c:v>222.75</c:v>
                </c:pt>
                <c:pt idx="38">
                  <c:v>223</c:v>
                </c:pt>
                <c:pt idx="39">
                  <c:v>223.5</c:v>
                </c:pt>
                <c:pt idx="40">
                  <c:v>219.75</c:v>
                </c:pt>
                <c:pt idx="41">
                  <c:v>215</c:v>
                </c:pt>
                <c:pt idx="42">
                  <c:v>205</c:v>
                </c:pt>
                <c:pt idx="43">
                  <c:v>208</c:v>
                </c:pt>
                <c:pt idx="44">
                  <c:v>211.25</c:v>
                </c:pt>
                <c:pt idx="45">
                  <c:v>208.875</c:v>
                </c:pt>
                <c:pt idx="46">
                  <c:v>217.5</c:v>
                </c:pt>
                <c:pt idx="47">
                  <c:v>209.875</c:v>
                </c:pt>
                <c:pt idx="48">
                  <c:v>210.375</c:v>
                </c:pt>
                <c:pt idx="49">
                  <c:v>210</c:v>
                </c:pt>
                <c:pt idx="50">
                  <c:v>209.75</c:v>
                </c:pt>
                <c:pt idx="51">
                  <c:v>207.75</c:v>
                </c:pt>
                <c:pt idx="52">
                  <c:v>209.5</c:v>
                </c:pt>
                <c:pt idx="53">
                  <c:v>209.5</c:v>
                </c:pt>
                <c:pt idx="54">
                  <c:v>210.375</c:v>
                </c:pt>
                <c:pt idx="55">
                  <c:v>219.125</c:v>
                </c:pt>
                <c:pt idx="56">
                  <c:v>211.25</c:v>
                </c:pt>
                <c:pt idx="57">
                  <c:v>211.5</c:v>
                </c:pt>
                <c:pt idx="58">
                  <c:v>206</c:v>
                </c:pt>
                <c:pt idx="59">
                  <c:v>209.85714285714286</c:v>
                </c:pt>
                <c:pt idx="60">
                  <c:v>215.71428571428572</c:v>
                </c:pt>
                <c:pt idx="61">
                  <c:v>209.71428571428572</c:v>
                </c:pt>
                <c:pt idx="62">
                  <c:v>208.85714285714286</c:v>
                </c:pt>
                <c:pt idx="63">
                  <c:v>206</c:v>
                </c:pt>
                <c:pt idx="64">
                  <c:v>205.28571428571428</c:v>
                </c:pt>
                <c:pt idx="65">
                  <c:v>208.85714285714286</c:v>
                </c:pt>
                <c:pt idx="66">
                  <c:v>212.28571428571428</c:v>
                </c:pt>
                <c:pt idx="67">
                  <c:v>210.28571428571428</c:v>
                </c:pt>
                <c:pt idx="68">
                  <c:v>202.85714285714286</c:v>
                </c:pt>
                <c:pt idx="69">
                  <c:v>204.71428571428572</c:v>
                </c:pt>
                <c:pt idx="70">
                  <c:v>213</c:v>
                </c:pt>
                <c:pt idx="71">
                  <c:v>213</c:v>
                </c:pt>
                <c:pt idx="72">
                  <c:v>212.14285714285714</c:v>
                </c:pt>
                <c:pt idx="73">
                  <c:v>211.42857142857142</c:v>
                </c:pt>
                <c:pt idx="74">
                  <c:v>211.42857142857142</c:v>
                </c:pt>
                <c:pt idx="75">
                  <c:v>211.57142857142858</c:v>
                </c:pt>
                <c:pt idx="76">
                  <c:v>209.28571428571428</c:v>
                </c:pt>
                <c:pt idx="77">
                  <c:v>210.16666666666666</c:v>
                </c:pt>
                <c:pt idx="78">
                  <c:v>206.16666666666666</c:v>
                </c:pt>
                <c:pt idx="79">
                  <c:v>210.5</c:v>
                </c:pt>
                <c:pt idx="80">
                  <c:v>204.66666666666666</c:v>
                </c:pt>
                <c:pt idx="81">
                  <c:v>198.5</c:v>
                </c:pt>
                <c:pt idx="82">
                  <c:v>209.5</c:v>
                </c:pt>
                <c:pt idx="83">
                  <c:v>218</c:v>
                </c:pt>
                <c:pt idx="84">
                  <c:v>210</c:v>
                </c:pt>
                <c:pt idx="85">
                  <c:v>220.85714285714286</c:v>
                </c:pt>
                <c:pt idx="86">
                  <c:v>218.42857142857142</c:v>
                </c:pt>
                <c:pt idx="87">
                  <c:v>222.28571428571428</c:v>
                </c:pt>
                <c:pt idx="88">
                  <c:v>225.42857142857142</c:v>
                </c:pt>
                <c:pt idx="89">
                  <c:v>214</c:v>
                </c:pt>
                <c:pt idx="90">
                  <c:v>202.14285714285714</c:v>
                </c:pt>
                <c:pt idx="91">
                  <c:v>215.85714285714286</c:v>
                </c:pt>
                <c:pt idx="92">
                  <c:v>224.85714285714286</c:v>
                </c:pt>
                <c:pt idx="93">
                  <c:v>217.28571428571428</c:v>
                </c:pt>
                <c:pt idx="94">
                  <c:v>205.57142857142858</c:v>
                </c:pt>
                <c:pt idx="95">
                  <c:v>215</c:v>
                </c:pt>
                <c:pt idx="96">
                  <c:v>218</c:v>
                </c:pt>
              </c:numCache>
            </c:numRef>
          </c:val>
          <c:smooth val="0"/>
        </c:ser>
        <c:dLbls>
          <c:showLegendKey val="0"/>
          <c:showVal val="0"/>
          <c:showCatName val="0"/>
          <c:showSerName val="0"/>
          <c:showPercent val="0"/>
          <c:showBubbleSize val="0"/>
        </c:dLbls>
        <c:marker val="1"/>
        <c:smooth val="0"/>
        <c:axId val="272963840"/>
        <c:axId val="272969728"/>
      </c:lineChart>
      <c:dateAx>
        <c:axId val="272963840"/>
        <c:scaling>
          <c:orientation val="minMax"/>
        </c:scaling>
        <c:delete val="0"/>
        <c:axPos val="b"/>
        <c:numFmt formatCode="#,##0.00_);\(#,##0.00\)" sourceLinked="0"/>
        <c:majorTickMark val="out"/>
        <c:minorTickMark val="none"/>
        <c:tickLblPos val="nextTo"/>
        <c:txPr>
          <a:bodyPr rot="-2700000"/>
          <a:lstStyle/>
          <a:p>
            <a:pPr>
              <a:defRPr/>
            </a:pPr>
            <a:endParaRPr lang="zh-TW"/>
          </a:p>
        </c:txPr>
        <c:crossAx val="272969728"/>
        <c:crosses val="autoZero"/>
        <c:auto val="0"/>
        <c:lblOffset val="100"/>
        <c:baseTimeUnit val="days"/>
        <c:majorUnit val="3"/>
      </c:dateAx>
      <c:valAx>
        <c:axId val="272969728"/>
        <c:scaling>
          <c:orientation val="minMax"/>
          <c:max val="230"/>
          <c:min val="150"/>
        </c:scaling>
        <c:delete val="0"/>
        <c:axPos val="l"/>
        <c:numFmt formatCode="#,##0_);\(#,##0\)" sourceLinked="0"/>
        <c:majorTickMark val="out"/>
        <c:minorTickMark val="none"/>
        <c:tickLblPos val="nextTo"/>
        <c:crossAx val="272963840"/>
        <c:crosses val="autoZero"/>
        <c:crossBetween val="between"/>
      </c:valAx>
      <c:spPr>
        <a:noFill/>
        <a:ln w="25400">
          <a:noFill/>
        </a:ln>
      </c:spPr>
    </c:plotArea>
    <c:legend>
      <c:legendPos val="r"/>
      <c:layout>
        <c:manualLayout>
          <c:xMode val="edge"/>
          <c:yMode val="edge"/>
          <c:x val="6.0370009737098343E-2"/>
          <c:y val="2.3323795400906452E-2"/>
          <c:w val="0.89242877267358189"/>
          <c:h val="9.6210029449236623E-2"/>
        </c:manualLayout>
      </c:layout>
      <c:overlay val="0"/>
      <c:txPr>
        <a:bodyPr/>
        <a:lstStyle/>
        <a:p>
          <a:pPr>
            <a:defRPr sz="1100"/>
          </a:pPr>
          <a:endParaRPr lang="zh-TW"/>
        </a:p>
      </c:txPr>
    </c:legend>
    <c:plotVisOnly val="1"/>
    <c:dispBlanksAs val="gap"/>
    <c:showDLblsOverMax val="0"/>
  </c:chart>
  <c:spPr>
    <a:noFill/>
    <a:ln w="9525">
      <a:noFill/>
    </a:ln>
  </c:spPr>
  <c:txPr>
    <a:bodyPr/>
    <a:lstStyle/>
    <a:p>
      <a:pPr>
        <a:defRPr>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632458442694664"/>
          <c:y val="0.16008089897853667"/>
          <c:w val="0.83311986001749783"/>
          <c:h val="0.72453352421856354"/>
        </c:manualLayout>
      </c:layout>
      <c:barChart>
        <c:barDir val="col"/>
        <c:grouping val="clustered"/>
        <c:varyColors val="0"/>
        <c:ser>
          <c:idx val="0"/>
          <c:order val="0"/>
          <c:tx>
            <c:strRef>
              <c:f>'1981_2010'!$A$34</c:f>
              <c:strCache>
                <c:ptCount val="1"/>
                <c:pt idx="0">
                  <c:v>1981-2014</c:v>
                </c:pt>
              </c:strCache>
            </c:strRef>
          </c:tx>
          <c:spPr>
            <a:solidFill>
              <a:srgbClr val="FFC000"/>
            </a:solidFill>
            <a:ln>
              <a:noFill/>
            </a:ln>
            <a:effectLst/>
          </c:spPr>
          <c:invertIfNegative val="0"/>
          <c:val>
            <c:numRef>
              <c:f>'1981_2010'!$B$34:$G$34</c:f>
              <c:numCache>
                <c:formatCode>0.0</c:formatCode>
                <c:ptCount val="6"/>
                <c:pt idx="0">
                  <c:v>2572.938235294117</c:v>
                </c:pt>
                <c:pt idx="1">
                  <c:v>3307.9382352941202</c:v>
                </c:pt>
                <c:pt idx="2">
                  <c:v>3017.1411764705963</c:v>
                </c:pt>
                <c:pt idx="3">
                  <c:v>3544.6676470588191</c:v>
                </c:pt>
                <c:pt idx="4">
                  <c:v>6189.5</c:v>
                </c:pt>
                <c:pt idx="5">
                  <c:v>7700.95</c:v>
                </c:pt>
              </c:numCache>
            </c:numRef>
          </c:val>
        </c:ser>
        <c:dLbls>
          <c:showLegendKey val="0"/>
          <c:showVal val="0"/>
          <c:showCatName val="0"/>
          <c:showSerName val="0"/>
          <c:showPercent val="0"/>
          <c:showBubbleSize val="0"/>
        </c:dLbls>
        <c:gapWidth val="116"/>
        <c:axId val="273008128"/>
        <c:axId val="273009664"/>
      </c:barChart>
      <c:lineChart>
        <c:grouping val="standard"/>
        <c:varyColors val="0"/>
        <c:ser>
          <c:idx val="1"/>
          <c:order val="1"/>
          <c:tx>
            <c:strRef>
              <c:f>'1981_2010'!$A$35</c:f>
              <c:strCache>
                <c:ptCount val="1"/>
                <c:pt idx="0">
                  <c:v>2015</c:v>
                </c:pt>
              </c:strCache>
            </c:strRef>
          </c:tx>
          <c:spPr>
            <a:ln w="44450" cap="rnd">
              <a:solidFill>
                <a:srgbClr val="C00000"/>
              </a:solidFill>
              <a:round/>
            </a:ln>
            <a:effectLst/>
          </c:spPr>
          <c:marker>
            <c:symbol val="circle"/>
            <c:size val="14"/>
            <c:spPr>
              <a:solidFill>
                <a:srgbClr val="C00000"/>
              </a:solidFill>
              <a:ln w="9525">
                <a:noFill/>
              </a:ln>
              <a:effectLst/>
            </c:spPr>
          </c:marker>
          <c:dLbls>
            <c:dLbl>
              <c:idx val="2"/>
              <c:layout>
                <c:manualLayout>
                  <c:x val="-8.1000000000000044E-2"/>
                  <c:y val="-5.622666958296887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3"/>
              <c:layout>
                <c:manualLayout>
                  <c:x val="-8.6555555555555788E-2"/>
                  <c:y val="6.8773330417031375E-2"/>
                </c:manualLayout>
              </c:layout>
              <c:dLblPos val="r"/>
              <c:showLegendKey val="0"/>
              <c:showVal val="1"/>
              <c:showCatName val="0"/>
              <c:showSerName val="0"/>
              <c:showPercent val="0"/>
              <c:showBubbleSize val="0"/>
              <c:extLst>
                <c:ext xmlns:c15="http://schemas.microsoft.com/office/drawing/2012/chart" uri="{CE6537A1-D6FC-4f65-9D91-7224C49458BB}"/>
              </c:extLst>
            </c:dLbl>
            <c:dLbl>
              <c:idx val="4"/>
              <c:layout>
                <c:manualLayout>
                  <c:x val="-8.1000000000000127E-2"/>
                  <c:y val="-6.5485928842228189E-2"/>
                </c:manualLayout>
              </c:layout>
              <c:dLblPos val="r"/>
              <c:showLegendKey val="0"/>
              <c:showVal val="1"/>
              <c:showCatName val="0"/>
              <c:showSerName val="0"/>
              <c:showPercent val="0"/>
              <c:showBubbleSize val="0"/>
              <c:extLst>
                <c:ext xmlns:c15="http://schemas.microsoft.com/office/drawing/2012/chart" uri="{CE6537A1-D6FC-4f65-9D91-7224C49458BB}"/>
              </c:extLst>
            </c:dLbl>
            <c:dLbl>
              <c:idx val="5"/>
              <c:layout>
                <c:manualLayout>
                  <c:x val="-4.6760061242344837E-2"/>
                  <c:y val="5.951407115777211E-2"/>
                </c:manualLayout>
              </c:layout>
              <c:dLblPos val="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'1981_2010'!$B$35:$G$35</c:f>
              <c:numCache>
                <c:formatCode>0.0</c:formatCode>
                <c:ptCount val="6"/>
                <c:pt idx="0">
                  <c:v>1296.5</c:v>
                </c:pt>
                <c:pt idx="1">
                  <c:v>1338.0000000000005</c:v>
                </c:pt>
                <c:pt idx="2">
                  <c:v>2951.6</c:v>
                </c:pt>
                <c:pt idx="3">
                  <c:v>2417.5999999999995</c:v>
                </c:pt>
                <c:pt idx="4">
                  <c:v>8724.6999999999789</c:v>
                </c:pt>
                <c:pt idx="5">
                  <c:v>1367.2000000000003</c:v>
                </c:pt>
              </c:numCache>
            </c:numRef>
          </c:val>
          <c:smooth val="0"/>
        </c:ser>
        <c:dLbls>
          <c:showLegendKey val="0"/>
          <c:showVal val="0"/>
          <c:showCatName val="0"/>
          <c:showSerName val="0"/>
          <c:showPercent val="0"/>
          <c:showBubbleSize val="0"/>
        </c:dLbls>
        <c:marker val="1"/>
        <c:smooth val="0"/>
        <c:axId val="273008128"/>
        <c:axId val="273009664"/>
      </c:lineChart>
      <c:catAx>
        <c:axId val="273008128"/>
        <c:scaling>
          <c:orientation val="minMax"/>
        </c:scaling>
        <c:delete val="0"/>
        <c:axPos val="b"/>
        <c:majorTickMark val="in"/>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3009664"/>
        <c:crosses val="autoZero"/>
        <c:auto val="1"/>
        <c:lblAlgn val="ctr"/>
        <c:lblOffset val="100"/>
        <c:noMultiLvlLbl val="0"/>
      </c:catAx>
      <c:valAx>
        <c:axId val="273009664"/>
        <c:scaling>
          <c:orientation val="minMax"/>
        </c:scaling>
        <c:delete val="0"/>
        <c:axPos val="l"/>
        <c:majorGridlines>
          <c:spPr>
            <a:ln w="9525" cap="flat" cmpd="sng" algn="ctr">
              <a:solidFill>
                <a:schemeClr val="bg1">
                  <a:lumMod val="50000"/>
                </a:schemeClr>
              </a:solidFill>
              <a:prstDash val="dash"/>
              <a:round/>
            </a:ln>
            <a:effectLst/>
          </c:spPr>
        </c:majorGridlines>
        <c:numFmt formatCode="0.0" sourceLinked="1"/>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3008128"/>
        <c:crosses val="autoZero"/>
        <c:crossBetween val="between"/>
      </c:valAx>
      <c:spPr>
        <a:noFill/>
        <a:ln>
          <a:noFill/>
        </a:ln>
        <a:effectLst/>
      </c:spPr>
    </c:plotArea>
    <c:legend>
      <c:legendPos val="t"/>
      <c:layout>
        <c:manualLayout>
          <c:xMode val="edge"/>
          <c:yMode val="edge"/>
          <c:x val="0.28144641294838152"/>
          <c:y val="4.2748747315676454E-2"/>
          <c:w val="0.50099606299212596"/>
          <c:h val="8.2639982502187237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legend>
    <c:plotVisOnly val="1"/>
    <c:dispBlanksAs val="gap"/>
    <c:showDLblsOverMax val="0"/>
  </c:chart>
  <c:spPr>
    <a:solidFill>
      <a:schemeClr val="bg1"/>
    </a:solidFill>
    <a:ln w="9525" cap="flat" cmpd="sng" algn="ctr">
      <a:noFill/>
      <a:round/>
    </a:ln>
    <a:effectLst/>
  </c:spPr>
  <c:txPr>
    <a:bodyPr/>
    <a:lstStyle/>
    <a:p>
      <a:pPr>
        <a:defRPr/>
      </a:pPr>
      <a:endParaRPr lang="zh-TW"/>
    </a:p>
  </c:txPr>
  <c:externalData r:id="rId1">
    <c:autoUpdate val="0"/>
  </c:externalData>
  <c:userShapes r:id="rId2"/>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2839158243058619E-2"/>
          <c:y val="5.536332179930796E-2"/>
          <c:w val="0.92362664772377401"/>
          <c:h val="0.75795238306939661"/>
        </c:manualLayout>
      </c:layout>
      <c:lineChart>
        <c:grouping val="standard"/>
        <c:varyColors val="0"/>
        <c:ser>
          <c:idx val="0"/>
          <c:order val="0"/>
          <c:tx>
            <c:strRef>
              <c:f>蛋!$B$1</c:f>
              <c:strCache>
                <c:ptCount val="1"/>
                <c:pt idx="0">
                  <c:v>便利店</c:v>
                </c:pt>
              </c:strCache>
            </c:strRef>
          </c:tx>
          <c:spPr>
            <a:ln>
              <a:prstDash val="sysDash"/>
            </a:ln>
          </c:spPr>
          <c:marker>
            <c:symbol val="none"/>
          </c:marker>
          <c:cat>
            <c:strRef>
              <c:f>蛋!$A$33:$A$173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蛋!$B$33:$B$173</c:f>
              <c:numCache>
                <c:formatCode>0.00</c:formatCode>
                <c:ptCount val="141"/>
                <c:pt idx="0">
                  <c:v>54</c:v>
                </c:pt>
                <c:pt idx="1">
                  <c:v>53</c:v>
                </c:pt>
                <c:pt idx="2">
                  <c:v>53</c:v>
                </c:pt>
                <c:pt idx="3">
                  <c:v>53</c:v>
                </c:pt>
                <c:pt idx="4">
                  <c:v>53</c:v>
                </c:pt>
                <c:pt idx="5">
                  <c:v>48.5</c:v>
                </c:pt>
                <c:pt idx="6">
                  <c:v>51.5</c:v>
                </c:pt>
                <c:pt idx="7">
                  <c:v>53</c:v>
                </c:pt>
                <c:pt idx="8">
                  <c:v>53</c:v>
                </c:pt>
                <c:pt idx="9">
                  <c:v>53</c:v>
                </c:pt>
                <c:pt idx="10">
                  <c:v>52.25</c:v>
                </c:pt>
                <c:pt idx="11">
                  <c:v>51.5</c:v>
                </c:pt>
                <c:pt idx="12">
                  <c:v>50</c:v>
                </c:pt>
                <c:pt idx="13">
                  <c:v>50</c:v>
                </c:pt>
                <c:pt idx="14">
                  <c:v>50</c:v>
                </c:pt>
                <c:pt idx="15">
                  <c:v>50</c:v>
                </c:pt>
                <c:pt idx="16">
                  <c:v>50</c:v>
                </c:pt>
                <c:pt idx="17">
                  <c:v>50</c:v>
                </c:pt>
                <c:pt idx="18">
                  <c:v>49.25</c:v>
                </c:pt>
                <c:pt idx="19">
                  <c:v>48.5</c:v>
                </c:pt>
                <c:pt idx="20">
                  <c:v>47.75</c:v>
                </c:pt>
                <c:pt idx="21">
                  <c:v>51</c:v>
                </c:pt>
                <c:pt idx="22">
                  <c:v>53.5</c:v>
                </c:pt>
                <c:pt idx="23">
                  <c:v>54</c:v>
                </c:pt>
                <c:pt idx="24">
                  <c:v>54</c:v>
                </c:pt>
                <c:pt idx="25">
                  <c:v>54</c:v>
                </c:pt>
                <c:pt idx="26">
                  <c:v>53.25</c:v>
                </c:pt>
                <c:pt idx="27">
                  <c:v>52.5</c:v>
                </c:pt>
                <c:pt idx="28">
                  <c:v>51</c:v>
                </c:pt>
                <c:pt idx="29">
                  <c:v>51</c:v>
                </c:pt>
                <c:pt idx="30">
                  <c:v>52.5</c:v>
                </c:pt>
                <c:pt idx="31">
                  <c:v>53.25</c:v>
                </c:pt>
                <c:pt idx="32">
                  <c:v>53.25</c:v>
                </c:pt>
                <c:pt idx="33">
                  <c:v>51.75</c:v>
                </c:pt>
                <c:pt idx="34">
                  <c:v>51.75</c:v>
                </c:pt>
                <c:pt idx="35">
                  <c:v>51.75</c:v>
                </c:pt>
                <c:pt idx="36">
                  <c:v>51</c:v>
                </c:pt>
                <c:pt idx="37">
                  <c:v>48.75</c:v>
                </c:pt>
                <c:pt idx="38">
                  <c:v>51</c:v>
                </c:pt>
                <c:pt idx="39">
                  <c:v>51</c:v>
                </c:pt>
                <c:pt idx="40">
                  <c:v>51.75</c:v>
                </c:pt>
                <c:pt idx="41">
                  <c:v>54</c:v>
                </c:pt>
                <c:pt idx="42">
                  <c:v>54</c:v>
                </c:pt>
                <c:pt idx="43">
                  <c:v>54</c:v>
                </c:pt>
                <c:pt idx="44">
                  <c:v>54</c:v>
                </c:pt>
                <c:pt idx="45">
                  <c:v>54</c:v>
                </c:pt>
                <c:pt idx="46">
                  <c:v>54</c:v>
                </c:pt>
                <c:pt idx="47">
                  <c:v>54</c:v>
                </c:pt>
                <c:pt idx="48">
                  <c:v>54</c:v>
                </c:pt>
                <c:pt idx="49">
                  <c:v>54</c:v>
                </c:pt>
                <c:pt idx="50">
                  <c:v>54</c:v>
                </c:pt>
                <c:pt idx="51">
                  <c:v>54</c:v>
                </c:pt>
                <c:pt idx="52">
                  <c:v>54</c:v>
                </c:pt>
                <c:pt idx="53">
                  <c:v>54</c:v>
                </c:pt>
                <c:pt idx="54">
                  <c:v>54</c:v>
                </c:pt>
                <c:pt idx="55">
                  <c:v>56</c:v>
                </c:pt>
                <c:pt idx="56">
                  <c:v>56</c:v>
                </c:pt>
                <c:pt idx="57">
                  <c:v>56</c:v>
                </c:pt>
                <c:pt idx="58">
                  <c:v>56</c:v>
                </c:pt>
                <c:pt idx="59">
                  <c:v>56</c:v>
                </c:pt>
                <c:pt idx="60">
                  <c:v>53</c:v>
                </c:pt>
                <c:pt idx="61">
                  <c:v>52</c:v>
                </c:pt>
                <c:pt idx="62">
                  <c:v>50</c:v>
                </c:pt>
                <c:pt idx="63">
                  <c:v>49.333333333333336</c:v>
                </c:pt>
                <c:pt idx="64">
                  <c:v>48.666666666666664</c:v>
                </c:pt>
                <c:pt idx="65">
                  <c:v>49</c:v>
                </c:pt>
                <c:pt idx="66">
                  <c:v>49</c:v>
                </c:pt>
                <c:pt idx="67">
                  <c:v>47.33</c:v>
                </c:pt>
                <c:pt idx="68">
                  <c:v>45.666666666666664</c:v>
                </c:pt>
                <c:pt idx="69">
                  <c:v>45.666666666666664</c:v>
                </c:pt>
                <c:pt idx="70">
                  <c:v>46.333333333333336</c:v>
                </c:pt>
                <c:pt idx="71">
                  <c:v>47</c:v>
                </c:pt>
                <c:pt idx="72">
                  <c:v>50.666666666666664</c:v>
                </c:pt>
                <c:pt idx="73">
                  <c:v>53.666666666666664</c:v>
                </c:pt>
                <c:pt idx="74">
                  <c:v>54</c:v>
                </c:pt>
                <c:pt idx="75">
                  <c:v>53</c:v>
                </c:pt>
                <c:pt idx="76">
                  <c:v>52</c:v>
                </c:pt>
                <c:pt idx="77">
                  <c:v>52</c:v>
                </c:pt>
                <c:pt idx="78">
                  <c:v>52.333333333333336</c:v>
                </c:pt>
                <c:pt idx="79">
                  <c:v>54.333333333333336</c:v>
                </c:pt>
                <c:pt idx="80">
                  <c:v>54.333333333333336</c:v>
                </c:pt>
                <c:pt idx="81">
                  <c:v>52.666666666666664</c:v>
                </c:pt>
                <c:pt idx="82">
                  <c:v>51.666666666666664</c:v>
                </c:pt>
                <c:pt idx="83">
                  <c:v>49.666666666666664</c:v>
                </c:pt>
                <c:pt idx="84">
                  <c:v>48.666666666666664</c:v>
                </c:pt>
                <c:pt idx="85">
                  <c:v>48.666666666666664</c:v>
                </c:pt>
                <c:pt idx="86">
                  <c:v>50.666666666666664</c:v>
                </c:pt>
                <c:pt idx="87">
                  <c:v>51.666666666666664</c:v>
                </c:pt>
                <c:pt idx="88">
                  <c:v>51.666666666666664</c:v>
                </c:pt>
                <c:pt idx="89">
                  <c:v>52.666666666666664</c:v>
                </c:pt>
                <c:pt idx="90">
                  <c:v>49.666666666666664</c:v>
                </c:pt>
                <c:pt idx="91">
                  <c:v>49.666666666666664</c:v>
                </c:pt>
                <c:pt idx="92">
                  <c:v>51.666666666666664</c:v>
                </c:pt>
                <c:pt idx="93">
                  <c:v>53.666666666666664</c:v>
                </c:pt>
                <c:pt idx="94">
                  <c:v>53.666666666666664</c:v>
                </c:pt>
                <c:pt idx="95">
                  <c:v>53.666666666666664</c:v>
                </c:pt>
                <c:pt idx="96">
                  <c:v>55.666666666666664</c:v>
                </c:pt>
                <c:pt idx="97">
                  <c:v>55.666666666666664</c:v>
                </c:pt>
                <c:pt idx="98">
                  <c:v>55.666666666666664</c:v>
                </c:pt>
                <c:pt idx="99">
                  <c:v>55.666666666666664</c:v>
                </c:pt>
                <c:pt idx="100">
                  <c:v>58.333333333333336</c:v>
                </c:pt>
                <c:pt idx="101">
                  <c:v>61.666666666666664</c:v>
                </c:pt>
                <c:pt idx="102">
                  <c:v>58.333333333333336</c:v>
                </c:pt>
                <c:pt idx="103">
                  <c:v>54</c:v>
                </c:pt>
                <c:pt idx="104">
                  <c:v>55</c:v>
                </c:pt>
                <c:pt idx="105">
                  <c:v>57</c:v>
                </c:pt>
                <c:pt idx="106">
                  <c:v>57.666666666666664</c:v>
                </c:pt>
                <c:pt idx="107">
                  <c:v>56</c:v>
                </c:pt>
                <c:pt idx="108">
                  <c:v>55.666666666666664</c:v>
                </c:pt>
                <c:pt idx="109">
                  <c:v>60.666666666666664</c:v>
                </c:pt>
                <c:pt idx="110">
                  <c:v>60.666666666666664</c:v>
                </c:pt>
                <c:pt idx="111">
                  <c:v>57.666666666666664</c:v>
                </c:pt>
                <c:pt idx="112">
                  <c:v>55.666666666666664</c:v>
                </c:pt>
                <c:pt idx="113">
                  <c:v>57.666666666666664</c:v>
                </c:pt>
                <c:pt idx="114">
                  <c:v>60.666666666666664</c:v>
                </c:pt>
                <c:pt idx="115">
                  <c:v>59.666666666666664</c:v>
                </c:pt>
                <c:pt idx="116">
                  <c:v>56.666666666666664</c:v>
                </c:pt>
                <c:pt idx="117">
                  <c:v>57.666666666666664</c:v>
                </c:pt>
                <c:pt idx="118">
                  <c:v>57.666666666666664</c:v>
                </c:pt>
                <c:pt idx="119">
                  <c:v>58.333333333333336</c:v>
                </c:pt>
                <c:pt idx="120">
                  <c:v>62.333333333333336</c:v>
                </c:pt>
                <c:pt idx="121">
                  <c:v>63.666666666666664</c:v>
                </c:pt>
                <c:pt idx="122">
                  <c:v>63.666666666666664</c:v>
                </c:pt>
                <c:pt idx="123">
                  <c:v>67</c:v>
                </c:pt>
                <c:pt idx="124">
                  <c:v>63.666666666666664</c:v>
                </c:pt>
                <c:pt idx="125">
                  <c:v>62.666666666666664</c:v>
                </c:pt>
                <c:pt idx="126">
                  <c:v>59.666666666666664</c:v>
                </c:pt>
                <c:pt idx="127">
                  <c:v>60.666666666666664</c:v>
                </c:pt>
                <c:pt idx="128">
                  <c:v>57</c:v>
                </c:pt>
                <c:pt idx="129">
                  <c:v>54.666666666666664</c:v>
                </c:pt>
                <c:pt idx="130">
                  <c:v>53.666666666666664</c:v>
                </c:pt>
                <c:pt idx="131">
                  <c:v>51.666666666666664</c:v>
                </c:pt>
                <c:pt idx="132">
                  <c:v>53.666666666666664</c:v>
                </c:pt>
                <c:pt idx="133">
                  <c:v>55</c:v>
                </c:pt>
                <c:pt idx="134">
                  <c:v>55.666666666666664</c:v>
                </c:pt>
                <c:pt idx="135">
                  <c:v>59.666666666666664</c:v>
                </c:pt>
                <c:pt idx="136">
                  <c:v>59.666666666666664</c:v>
                </c:pt>
                <c:pt idx="137">
                  <c:v>58.333333333333336</c:v>
                </c:pt>
                <c:pt idx="138">
                  <c:v>57</c:v>
                </c:pt>
                <c:pt idx="139">
                  <c:v>61</c:v>
                </c:pt>
                <c:pt idx="140">
                  <c:v>61.666666666666664</c:v>
                </c:pt>
              </c:numCache>
            </c:numRef>
          </c:val>
          <c:smooth val="0"/>
        </c:ser>
        <c:ser>
          <c:idx val="1"/>
          <c:order val="1"/>
          <c:tx>
            <c:strRef>
              <c:f>蛋!$C$1</c:f>
              <c:strCache>
                <c:ptCount val="1"/>
                <c:pt idx="0">
                  <c:v>超市</c:v>
                </c:pt>
              </c:strCache>
            </c:strRef>
          </c:tx>
          <c:spPr>
            <a:ln>
              <a:prstDash val="sysDot"/>
            </a:ln>
          </c:spPr>
          <c:marker>
            <c:symbol val="none"/>
          </c:marker>
          <c:cat>
            <c:strRef>
              <c:f>蛋!$A$33:$A$173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蛋!$C$33:$C$173</c:f>
              <c:numCache>
                <c:formatCode>0.00</c:formatCode>
                <c:ptCount val="141"/>
                <c:pt idx="0">
                  <c:v>44.642857142857146</c:v>
                </c:pt>
                <c:pt idx="1">
                  <c:v>43.43</c:v>
                </c:pt>
                <c:pt idx="2">
                  <c:v>43.64</c:v>
                </c:pt>
                <c:pt idx="3">
                  <c:v>41.71</c:v>
                </c:pt>
                <c:pt idx="4">
                  <c:v>40.14</c:v>
                </c:pt>
                <c:pt idx="5">
                  <c:v>41.230769230769198</c:v>
                </c:pt>
                <c:pt idx="6">
                  <c:v>43.5</c:v>
                </c:pt>
                <c:pt idx="7">
                  <c:v>42.46153846153846</c:v>
                </c:pt>
                <c:pt idx="8">
                  <c:v>42</c:v>
                </c:pt>
                <c:pt idx="9">
                  <c:v>43.2</c:v>
                </c:pt>
                <c:pt idx="10">
                  <c:v>41.466666666666669</c:v>
                </c:pt>
                <c:pt idx="11">
                  <c:v>41.6</c:v>
                </c:pt>
                <c:pt idx="12">
                  <c:v>41.733333333333334</c:v>
                </c:pt>
                <c:pt idx="13">
                  <c:v>41.5625</c:v>
                </c:pt>
                <c:pt idx="14">
                  <c:v>38.6875</c:v>
                </c:pt>
                <c:pt idx="15">
                  <c:v>38.733333333333334</c:v>
                </c:pt>
                <c:pt idx="16">
                  <c:v>39.75</c:v>
                </c:pt>
                <c:pt idx="17">
                  <c:v>40.4375</c:v>
                </c:pt>
                <c:pt idx="18">
                  <c:v>38.125</c:v>
                </c:pt>
                <c:pt idx="19">
                  <c:v>37.882352941176471</c:v>
                </c:pt>
                <c:pt idx="20">
                  <c:v>40.4375</c:v>
                </c:pt>
                <c:pt idx="21">
                  <c:v>42.3125</c:v>
                </c:pt>
                <c:pt idx="22">
                  <c:v>44.4375</c:v>
                </c:pt>
                <c:pt idx="23">
                  <c:v>45.25</c:v>
                </c:pt>
                <c:pt idx="24">
                  <c:v>45.3125</c:v>
                </c:pt>
                <c:pt idx="25">
                  <c:v>45</c:v>
                </c:pt>
                <c:pt idx="26">
                  <c:v>43.375</c:v>
                </c:pt>
                <c:pt idx="27">
                  <c:v>43.375</c:v>
                </c:pt>
                <c:pt idx="28">
                  <c:v>40.3125</c:v>
                </c:pt>
                <c:pt idx="29">
                  <c:v>39.6875</c:v>
                </c:pt>
                <c:pt idx="30">
                  <c:v>44.5625</c:v>
                </c:pt>
                <c:pt idx="31">
                  <c:v>44.125</c:v>
                </c:pt>
                <c:pt idx="32">
                  <c:v>43.0625</c:v>
                </c:pt>
                <c:pt idx="33">
                  <c:v>41</c:v>
                </c:pt>
                <c:pt idx="34">
                  <c:v>38.6875</c:v>
                </c:pt>
                <c:pt idx="35">
                  <c:v>42.625</c:v>
                </c:pt>
                <c:pt idx="36">
                  <c:v>39.375</c:v>
                </c:pt>
                <c:pt idx="37">
                  <c:v>41.5</c:v>
                </c:pt>
                <c:pt idx="38">
                  <c:v>41.4375</c:v>
                </c:pt>
                <c:pt idx="39">
                  <c:v>41.9375</c:v>
                </c:pt>
                <c:pt idx="40">
                  <c:v>43.375</c:v>
                </c:pt>
                <c:pt idx="41">
                  <c:v>43.625</c:v>
                </c:pt>
                <c:pt idx="42">
                  <c:v>43.9375</c:v>
                </c:pt>
                <c:pt idx="43">
                  <c:v>44.25</c:v>
                </c:pt>
                <c:pt idx="44">
                  <c:v>45.2</c:v>
                </c:pt>
                <c:pt idx="45">
                  <c:v>45.56666666666667</c:v>
                </c:pt>
                <c:pt idx="46">
                  <c:v>45.5</c:v>
                </c:pt>
                <c:pt idx="47">
                  <c:v>45.46875</c:v>
                </c:pt>
                <c:pt idx="48">
                  <c:v>44.25</c:v>
                </c:pt>
                <c:pt idx="49">
                  <c:v>44.25</c:v>
                </c:pt>
                <c:pt idx="50">
                  <c:v>45.75</c:v>
                </c:pt>
                <c:pt idx="51">
                  <c:v>45.4</c:v>
                </c:pt>
                <c:pt idx="52">
                  <c:v>44.5</c:v>
                </c:pt>
                <c:pt idx="53">
                  <c:v>45.625</c:v>
                </c:pt>
                <c:pt idx="54">
                  <c:v>47.25</c:v>
                </c:pt>
                <c:pt idx="55">
                  <c:v>45.1875</c:v>
                </c:pt>
                <c:pt idx="56">
                  <c:v>43.25</c:v>
                </c:pt>
                <c:pt idx="57">
                  <c:v>44.411764705882355</c:v>
                </c:pt>
                <c:pt idx="58">
                  <c:v>48.4375</c:v>
                </c:pt>
                <c:pt idx="59">
                  <c:v>46.125</c:v>
                </c:pt>
                <c:pt idx="60">
                  <c:v>43.875</c:v>
                </c:pt>
                <c:pt idx="61">
                  <c:v>41.5</c:v>
                </c:pt>
                <c:pt idx="62">
                  <c:v>42</c:v>
                </c:pt>
                <c:pt idx="63">
                  <c:v>42.352941176470587</c:v>
                </c:pt>
                <c:pt idx="64">
                  <c:v>39.941176470588232</c:v>
                </c:pt>
                <c:pt idx="65">
                  <c:v>39.705882352941174</c:v>
                </c:pt>
                <c:pt idx="66">
                  <c:v>40.176470588235297</c:v>
                </c:pt>
                <c:pt idx="67">
                  <c:v>38.588239999999999</c:v>
                </c:pt>
                <c:pt idx="68">
                  <c:v>39.666666666666664</c:v>
                </c:pt>
                <c:pt idx="69">
                  <c:v>38.25</c:v>
                </c:pt>
                <c:pt idx="70">
                  <c:v>37.9375</c:v>
                </c:pt>
                <c:pt idx="71">
                  <c:v>40.75</c:v>
                </c:pt>
                <c:pt idx="72">
                  <c:v>42.75</c:v>
                </c:pt>
                <c:pt idx="73">
                  <c:v>43.53125</c:v>
                </c:pt>
                <c:pt idx="74">
                  <c:v>44.3125</c:v>
                </c:pt>
                <c:pt idx="75">
                  <c:v>42.133333333333333</c:v>
                </c:pt>
                <c:pt idx="76">
                  <c:v>41.5625</c:v>
                </c:pt>
                <c:pt idx="77">
                  <c:v>38.266666666666666</c:v>
                </c:pt>
                <c:pt idx="78">
                  <c:v>39.93333333333333</c:v>
                </c:pt>
                <c:pt idx="79">
                  <c:v>39.333333333333336</c:v>
                </c:pt>
                <c:pt idx="80">
                  <c:v>39.133333333333333</c:v>
                </c:pt>
                <c:pt idx="81">
                  <c:v>39.93333333333333</c:v>
                </c:pt>
                <c:pt idx="82">
                  <c:v>38.466666666666669</c:v>
                </c:pt>
                <c:pt idx="83">
                  <c:v>39</c:v>
                </c:pt>
                <c:pt idx="84">
                  <c:v>39.666666666666664</c:v>
                </c:pt>
                <c:pt idx="85">
                  <c:v>39</c:v>
                </c:pt>
                <c:pt idx="86">
                  <c:v>41.2</c:v>
                </c:pt>
                <c:pt idx="87">
                  <c:v>38.266666666666666</c:v>
                </c:pt>
                <c:pt idx="88">
                  <c:v>39.866666666666667</c:v>
                </c:pt>
                <c:pt idx="89">
                  <c:v>38.642857142857146</c:v>
                </c:pt>
                <c:pt idx="90">
                  <c:v>37.785714285714285</c:v>
                </c:pt>
                <c:pt idx="91">
                  <c:v>38.642857142857146</c:v>
                </c:pt>
                <c:pt idx="92">
                  <c:v>41.071428571428569</c:v>
                </c:pt>
                <c:pt idx="93">
                  <c:v>40.5</c:v>
                </c:pt>
                <c:pt idx="94">
                  <c:v>41.357142857142854</c:v>
                </c:pt>
                <c:pt idx="95">
                  <c:v>41.857142857142854</c:v>
                </c:pt>
                <c:pt idx="96">
                  <c:v>42.692307692307693</c:v>
                </c:pt>
                <c:pt idx="97">
                  <c:v>43.583333333333336</c:v>
                </c:pt>
                <c:pt idx="98">
                  <c:v>43.692307692307693</c:v>
                </c:pt>
                <c:pt idx="99">
                  <c:v>44.307692307692307</c:v>
                </c:pt>
                <c:pt idx="100">
                  <c:v>45.384615384615387</c:v>
                </c:pt>
                <c:pt idx="101">
                  <c:v>48.307692307692307</c:v>
                </c:pt>
                <c:pt idx="102">
                  <c:v>42.307692307692307</c:v>
                </c:pt>
                <c:pt idx="103">
                  <c:v>42.384615384615387</c:v>
                </c:pt>
                <c:pt idx="104">
                  <c:v>43</c:v>
                </c:pt>
                <c:pt idx="105">
                  <c:v>42.307692307692307</c:v>
                </c:pt>
                <c:pt idx="106">
                  <c:v>45.384615384615387</c:v>
                </c:pt>
                <c:pt idx="107">
                  <c:v>41.307692307692307</c:v>
                </c:pt>
                <c:pt idx="108">
                  <c:v>45.230769230769234</c:v>
                </c:pt>
                <c:pt idx="109">
                  <c:v>48.384615384615387</c:v>
                </c:pt>
                <c:pt idx="110">
                  <c:v>50.07692307692308</c:v>
                </c:pt>
                <c:pt idx="111">
                  <c:v>45.46153846153846</c:v>
                </c:pt>
                <c:pt idx="112">
                  <c:v>40.53846153846154</c:v>
                </c:pt>
                <c:pt idx="113">
                  <c:v>47.07692307692308</c:v>
                </c:pt>
                <c:pt idx="114">
                  <c:v>48.846153846153847</c:v>
                </c:pt>
                <c:pt idx="115">
                  <c:v>47.153846153846153</c:v>
                </c:pt>
                <c:pt idx="116">
                  <c:v>44.384615384615387</c:v>
                </c:pt>
                <c:pt idx="117">
                  <c:v>46.384615384615387</c:v>
                </c:pt>
                <c:pt idx="118">
                  <c:v>45.692307692307693</c:v>
                </c:pt>
                <c:pt idx="119">
                  <c:v>47.07692307692308</c:v>
                </c:pt>
                <c:pt idx="120">
                  <c:v>48.083333333333336</c:v>
                </c:pt>
                <c:pt idx="121">
                  <c:v>49.166666666666664</c:v>
                </c:pt>
                <c:pt idx="122">
                  <c:v>49.363636363636367</c:v>
                </c:pt>
                <c:pt idx="123">
                  <c:v>48.727272727272727</c:v>
                </c:pt>
                <c:pt idx="124">
                  <c:v>51</c:v>
                </c:pt>
                <c:pt idx="125">
                  <c:v>45.5</c:v>
                </c:pt>
                <c:pt idx="126">
                  <c:v>44.8</c:v>
                </c:pt>
                <c:pt idx="127">
                  <c:v>46.8</c:v>
                </c:pt>
                <c:pt idx="128">
                  <c:v>40.299999999999997</c:v>
                </c:pt>
                <c:pt idx="129">
                  <c:v>41.2</c:v>
                </c:pt>
                <c:pt idx="130">
                  <c:v>39.299999999999997</c:v>
                </c:pt>
                <c:pt idx="131">
                  <c:v>37.700000000000003</c:v>
                </c:pt>
                <c:pt idx="132">
                  <c:v>39</c:v>
                </c:pt>
                <c:pt idx="133">
                  <c:v>40.9</c:v>
                </c:pt>
                <c:pt idx="134">
                  <c:v>46</c:v>
                </c:pt>
                <c:pt idx="135">
                  <c:v>45.2</c:v>
                </c:pt>
                <c:pt idx="136">
                  <c:v>45</c:v>
                </c:pt>
                <c:pt idx="137">
                  <c:v>43.7</c:v>
                </c:pt>
                <c:pt idx="138">
                  <c:v>42</c:v>
                </c:pt>
                <c:pt idx="139">
                  <c:v>45.6</c:v>
                </c:pt>
                <c:pt idx="140">
                  <c:v>47.6</c:v>
                </c:pt>
              </c:numCache>
            </c:numRef>
          </c:val>
          <c:smooth val="0"/>
        </c:ser>
        <c:ser>
          <c:idx val="2"/>
          <c:order val="2"/>
          <c:tx>
            <c:strRef>
              <c:f>蛋!$D$1</c:f>
              <c:strCache>
                <c:ptCount val="1"/>
                <c:pt idx="0">
                  <c:v>量販店</c:v>
                </c:pt>
              </c:strCache>
            </c:strRef>
          </c:tx>
          <c:marker>
            <c:symbol val="none"/>
          </c:marker>
          <c:cat>
            <c:strRef>
              <c:f>蛋!$A$33:$A$173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蛋!$D$33:$D$173</c:f>
              <c:numCache>
                <c:formatCode>0.00</c:formatCode>
                <c:ptCount val="141"/>
                <c:pt idx="0">
                  <c:v>40.555555555555557</c:v>
                </c:pt>
                <c:pt idx="1">
                  <c:v>41.56</c:v>
                </c:pt>
                <c:pt idx="2">
                  <c:v>38.22</c:v>
                </c:pt>
                <c:pt idx="3">
                  <c:v>38.22</c:v>
                </c:pt>
                <c:pt idx="4">
                  <c:v>37.78</c:v>
                </c:pt>
                <c:pt idx="5">
                  <c:v>37.111111111111114</c:v>
                </c:pt>
                <c:pt idx="6">
                  <c:v>38.777777777777779</c:v>
                </c:pt>
                <c:pt idx="7">
                  <c:v>38</c:v>
                </c:pt>
                <c:pt idx="8">
                  <c:v>38.111111111111114</c:v>
                </c:pt>
                <c:pt idx="9">
                  <c:v>39.6</c:v>
                </c:pt>
                <c:pt idx="10">
                  <c:v>36.454545454545453</c:v>
                </c:pt>
                <c:pt idx="11">
                  <c:v>35.18181818181818</c:v>
                </c:pt>
                <c:pt idx="12">
                  <c:v>35.111111111111114</c:v>
                </c:pt>
                <c:pt idx="13">
                  <c:v>35.555555555555557</c:v>
                </c:pt>
                <c:pt idx="14">
                  <c:v>35.4</c:v>
                </c:pt>
                <c:pt idx="15">
                  <c:v>34.75</c:v>
                </c:pt>
                <c:pt idx="16">
                  <c:v>34.299999999999997</c:v>
                </c:pt>
                <c:pt idx="17">
                  <c:v>35.5</c:v>
                </c:pt>
                <c:pt idx="18">
                  <c:v>34.700000000000003</c:v>
                </c:pt>
                <c:pt idx="19">
                  <c:v>33.200000000000003</c:v>
                </c:pt>
                <c:pt idx="20">
                  <c:v>32.799999999999997</c:v>
                </c:pt>
                <c:pt idx="21">
                  <c:v>34.4</c:v>
                </c:pt>
                <c:pt idx="22">
                  <c:v>35.1</c:v>
                </c:pt>
                <c:pt idx="23">
                  <c:v>37.200000000000003</c:v>
                </c:pt>
                <c:pt idx="24">
                  <c:v>37.555555555555557</c:v>
                </c:pt>
                <c:pt idx="25">
                  <c:v>37.5</c:v>
                </c:pt>
                <c:pt idx="26">
                  <c:v>35.4</c:v>
                </c:pt>
                <c:pt idx="27">
                  <c:v>37.916666666666664</c:v>
                </c:pt>
                <c:pt idx="28">
                  <c:v>36</c:v>
                </c:pt>
                <c:pt idx="29">
                  <c:v>35.5</c:v>
                </c:pt>
                <c:pt idx="30">
                  <c:v>35.6</c:v>
                </c:pt>
                <c:pt idx="31">
                  <c:v>36.555555555555557</c:v>
                </c:pt>
                <c:pt idx="32">
                  <c:v>37.9</c:v>
                </c:pt>
                <c:pt idx="33">
                  <c:v>36.777777777777779</c:v>
                </c:pt>
                <c:pt idx="34">
                  <c:v>37</c:v>
                </c:pt>
                <c:pt idx="35">
                  <c:v>35.299999999999997</c:v>
                </c:pt>
                <c:pt idx="36">
                  <c:v>37</c:v>
                </c:pt>
                <c:pt idx="37">
                  <c:v>36.93</c:v>
                </c:pt>
                <c:pt idx="38">
                  <c:v>37.299999999999997</c:v>
                </c:pt>
                <c:pt idx="39">
                  <c:v>36.799999999999997</c:v>
                </c:pt>
                <c:pt idx="40">
                  <c:v>38</c:v>
                </c:pt>
                <c:pt idx="41">
                  <c:v>39.4</c:v>
                </c:pt>
                <c:pt idx="42">
                  <c:v>39.6</c:v>
                </c:pt>
                <c:pt idx="43">
                  <c:v>40.200000000000003</c:v>
                </c:pt>
                <c:pt idx="44">
                  <c:v>40.200000000000003</c:v>
                </c:pt>
                <c:pt idx="45">
                  <c:v>40.299999999999997</c:v>
                </c:pt>
                <c:pt idx="46">
                  <c:v>40.1</c:v>
                </c:pt>
                <c:pt idx="47">
                  <c:v>40.5</c:v>
                </c:pt>
                <c:pt idx="48">
                  <c:v>40.4</c:v>
                </c:pt>
                <c:pt idx="49">
                  <c:v>39.9</c:v>
                </c:pt>
                <c:pt idx="50">
                  <c:v>40.200000000000003</c:v>
                </c:pt>
                <c:pt idx="51">
                  <c:v>37.799999999999997</c:v>
                </c:pt>
                <c:pt idx="52">
                  <c:v>38.299999999999997</c:v>
                </c:pt>
                <c:pt idx="53">
                  <c:v>39.799999999999997</c:v>
                </c:pt>
                <c:pt idx="54">
                  <c:v>41.5</c:v>
                </c:pt>
                <c:pt idx="55">
                  <c:v>41</c:v>
                </c:pt>
                <c:pt idx="56">
                  <c:v>41.3</c:v>
                </c:pt>
                <c:pt idx="57">
                  <c:v>38.9</c:v>
                </c:pt>
                <c:pt idx="58">
                  <c:v>41.4</c:v>
                </c:pt>
                <c:pt idx="59">
                  <c:v>40</c:v>
                </c:pt>
                <c:pt idx="60">
                  <c:v>39.9</c:v>
                </c:pt>
                <c:pt idx="61">
                  <c:v>37.200000000000003</c:v>
                </c:pt>
                <c:pt idx="62">
                  <c:v>37.888888888888886</c:v>
                </c:pt>
                <c:pt idx="63">
                  <c:v>39.200000000000003</c:v>
                </c:pt>
                <c:pt idx="64">
                  <c:v>38.799999999999997</c:v>
                </c:pt>
                <c:pt idx="65">
                  <c:v>39.1</c:v>
                </c:pt>
                <c:pt idx="66">
                  <c:v>38.555555555555557</c:v>
                </c:pt>
                <c:pt idx="67">
                  <c:v>37.299999999999997</c:v>
                </c:pt>
                <c:pt idx="68">
                  <c:v>38.333333333333336</c:v>
                </c:pt>
                <c:pt idx="69">
                  <c:v>36.5</c:v>
                </c:pt>
                <c:pt idx="70">
                  <c:v>35.299999999999997</c:v>
                </c:pt>
                <c:pt idx="71">
                  <c:v>38.1</c:v>
                </c:pt>
                <c:pt idx="72">
                  <c:v>40.6</c:v>
                </c:pt>
                <c:pt idx="73">
                  <c:v>40.299999999999997</c:v>
                </c:pt>
                <c:pt idx="74">
                  <c:v>40.6</c:v>
                </c:pt>
                <c:pt idx="75">
                  <c:v>38.666666666666664</c:v>
                </c:pt>
                <c:pt idx="76">
                  <c:v>39.1</c:v>
                </c:pt>
                <c:pt idx="77">
                  <c:v>39</c:v>
                </c:pt>
                <c:pt idx="78">
                  <c:v>39.799999999999997</c:v>
                </c:pt>
                <c:pt idx="79">
                  <c:v>39.700000000000003</c:v>
                </c:pt>
                <c:pt idx="80">
                  <c:v>39.700000000000003</c:v>
                </c:pt>
                <c:pt idx="81">
                  <c:v>38.4</c:v>
                </c:pt>
                <c:pt idx="82">
                  <c:v>38.299999999999997</c:v>
                </c:pt>
                <c:pt idx="83">
                  <c:v>37.9</c:v>
                </c:pt>
                <c:pt idx="84">
                  <c:v>38.700000000000003</c:v>
                </c:pt>
                <c:pt idx="85">
                  <c:v>38</c:v>
                </c:pt>
                <c:pt idx="86">
                  <c:v>39.700000000000003</c:v>
                </c:pt>
                <c:pt idx="87">
                  <c:v>41.2</c:v>
                </c:pt>
                <c:pt idx="88">
                  <c:v>41.1</c:v>
                </c:pt>
                <c:pt idx="89">
                  <c:v>39.799999999999997</c:v>
                </c:pt>
                <c:pt idx="90">
                  <c:v>38.5</c:v>
                </c:pt>
                <c:pt idx="91">
                  <c:v>38.700000000000003</c:v>
                </c:pt>
                <c:pt idx="92">
                  <c:v>40.299999999999997</c:v>
                </c:pt>
                <c:pt idx="93">
                  <c:v>40.799999999999997</c:v>
                </c:pt>
                <c:pt idx="94">
                  <c:v>40.700000000000003</c:v>
                </c:pt>
                <c:pt idx="95">
                  <c:v>41.5</c:v>
                </c:pt>
                <c:pt idx="96">
                  <c:v>42.5</c:v>
                </c:pt>
                <c:pt idx="97">
                  <c:v>41.727272727272727</c:v>
                </c:pt>
                <c:pt idx="98">
                  <c:v>42.363636363636367</c:v>
                </c:pt>
                <c:pt idx="99">
                  <c:v>41.272727272727273</c:v>
                </c:pt>
                <c:pt idx="100">
                  <c:v>45.2</c:v>
                </c:pt>
                <c:pt idx="101">
                  <c:v>42.8</c:v>
                </c:pt>
                <c:pt idx="102">
                  <c:v>40.200000000000003</c:v>
                </c:pt>
                <c:pt idx="103">
                  <c:v>41.2</c:v>
                </c:pt>
                <c:pt idx="104">
                  <c:v>41.2</c:v>
                </c:pt>
                <c:pt idx="105">
                  <c:v>42.7</c:v>
                </c:pt>
                <c:pt idx="106">
                  <c:v>41.9</c:v>
                </c:pt>
                <c:pt idx="107">
                  <c:v>41.5</c:v>
                </c:pt>
                <c:pt idx="108">
                  <c:v>43.7</c:v>
                </c:pt>
                <c:pt idx="109">
                  <c:v>45.3</c:v>
                </c:pt>
                <c:pt idx="110">
                  <c:v>45.9</c:v>
                </c:pt>
                <c:pt idx="111">
                  <c:v>45.2</c:v>
                </c:pt>
                <c:pt idx="112">
                  <c:v>43.7</c:v>
                </c:pt>
                <c:pt idx="113">
                  <c:v>45.6</c:v>
                </c:pt>
                <c:pt idx="114">
                  <c:v>47.2</c:v>
                </c:pt>
                <c:pt idx="115">
                  <c:v>45.5</c:v>
                </c:pt>
                <c:pt idx="116">
                  <c:v>38.200000000000003</c:v>
                </c:pt>
                <c:pt idx="117">
                  <c:v>40.1</c:v>
                </c:pt>
                <c:pt idx="118">
                  <c:v>40.9</c:v>
                </c:pt>
                <c:pt idx="119">
                  <c:v>42.9</c:v>
                </c:pt>
                <c:pt idx="120">
                  <c:v>44.4</c:v>
                </c:pt>
                <c:pt idx="121">
                  <c:v>44.7</c:v>
                </c:pt>
                <c:pt idx="122">
                  <c:v>44.3</c:v>
                </c:pt>
                <c:pt idx="123">
                  <c:v>44.2</c:v>
                </c:pt>
                <c:pt idx="124">
                  <c:v>45.5</c:v>
                </c:pt>
                <c:pt idx="125">
                  <c:v>43.8</c:v>
                </c:pt>
                <c:pt idx="126">
                  <c:v>40.6</c:v>
                </c:pt>
                <c:pt idx="127">
                  <c:v>40.5</c:v>
                </c:pt>
                <c:pt idx="128">
                  <c:v>37.6</c:v>
                </c:pt>
                <c:pt idx="129">
                  <c:v>36.200000000000003</c:v>
                </c:pt>
                <c:pt idx="130">
                  <c:v>35.9</c:v>
                </c:pt>
                <c:pt idx="131">
                  <c:v>31.5</c:v>
                </c:pt>
                <c:pt idx="132">
                  <c:v>33.5</c:v>
                </c:pt>
                <c:pt idx="133">
                  <c:v>35.6</c:v>
                </c:pt>
                <c:pt idx="134">
                  <c:v>39.5</c:v>
                </c:pt>
                <c:pt idx="135">
                  <c:v>40.1</c:v>
                </c:pt>
                <c:pt idx="136">
                  <c:v>40.299999999999997</c:v>
                </c:pt>
                <c:pt idx="137">
                  <c:v>39.799999999999997</c:v>
                </c:pt>
                <c:pt idx="138">
                  <c:v>37.700000000000003</c:v>
                </c:pt>
                <c:pt idx="139">
                  <c:v>37.9</c:v>
                </c:pt>
                <c:pt idx="140">
                  <c:v>41.8</c:v>
                </c:pt>
              </c:numCache>
            </c:numRef>
          </c:val>
          <c:smooth val="0"/>
        </c:ser>
        <c:dLbls>
          <c:showLegendKey val="0"/>
          <c:showVal val="0"/>
          <c:showCatName val="0"/>
          <c:showSerName val="0"/>
          <c:showPercent val="0"/>
          <c:showBubbleSize val="0"/>
        </c:dLbls>
        <c:marker val="1"/>
        <c:smooth val="0"/>
        <c:axId val="268039296"/>
        <c:axId val="268040832"/>
      </c:lineChart>
      <c:dateAx>
        <c:axId val="268039296"/>
        <c:scaling>
          <c:orientation val="minMax"/>
        </c:scaling>
        <c:delete val="0"/>
        <c:axPos val="b"/>
        <c:numFmt formatCode="yyyy/m/d" sourceLinked="0"/>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68040832"/>
        <c:crosses val="autoZero"/>
        <c:auto val="0"/>
        <c:lblOffset val="100"/>
        <c:baseTimeUnit val="days"/>
        <c:majorUnit val="5"/>
      </c:dateAx>
      <c:valAx>
        <c:axId val="268040832"/>
        <c:scaling>
          <c:orientation val="minMax"/>
          <c:max val="70"/>
          <c:min val="30"/>
        </c:scaling>
        <c:delete val="0"/>
        <c:axPos val="l"/>
        <c:numFmt formatCode="#,##0_);\(#,##0\)" sourceLinked="0"/>
        <c:majorTickMark val="out"/>
        <c:minorTickMark val="none"/>
        <c:tickLblPos val="nextTo"/>
        <c:txPr>
          <a:bodyPr/>
          <a:lstStyle/>
          <a:p>
            <a:pPr>
              <a:defRPr>
                <a:latin typeface="Times New Roman" pitchFamily="18" charset="0"/>
                <a:cs typeface="Times New Roman" pitchFamily="18" charset="0"/>
              </a:defRPr>
            </a:pPr>
            <a:endParaRPr lang="zh-TW"/>
          </a:p>
        </c:txPr>
        <c:crossAx val="268039296"/>
        <c:crosses val="autoZero"/>
        <c:crossBetween val="between"/>
      </c:valAx>
      <c:spPr>
        <a:noFill/>
        <a:ln w="25400">
          <a:noFill/>
        </a:ln>
      </c:spPr>
    </c:plotArea>
    <c:legend>
      <c:legendPos val="r"/>
      <c:layout>
        <c:manualLayout>
          <c:xMode val="edge"/>
          <c:yMode val="edge"/>
          <c:x val="5.9718888850684056E-2"/>
          <c:y val="7.5877539529012154E-3"/>
          <c:w val="0.42974230841232186"/>
          <c:h val="0.11532753907491666"/>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715980477273553"/>
          <c:y val="0.18851457756969567"/>
          <c:w val="0.79934510231770484"/>
          <c:h val="0.52230791970116364"/>
        </c:manualLayout>
      </c:layout>
      <c:lineChart>
        <c:grouping val="standard"/>
        <c:varyColors val="0"/>
        <c:ser>
          <c:idx val="0"/>
          <c:order val="0"/>
          <c:tx>
            <c:v>白毛鴨總貨</c:v>
          </c:tx>
          <c:spPr>
            <a:ln w="28575" cap="rnd">
              <a:solidFill>
                <a:srgbClr val="C00000"/>
              </a:solidFill>
              <a:round/>
            </a:ln>
            <a:effectLst/>
          </c:spPr>
          <c:marker>
            <c:symbol val="none"/>
          </c:marker>
          <c:cat>
            <c:strRef>
              <c:f>工作表1!$A$7:$A$279</c:f>
              <c:strCache>
                <c:ptCount val="273"/>
                <c:pt idx="0">
                  <c:v>103/12/3</c:v>
                </c:pt>
                <c:pt idx="1">
                  <c:v>103/12/4</c:v>
                </c:pt>
                <c:pt idx="2">
                  <c:v>103/12/5</c:v>
                </c:pt>
                <c:pt idx="3">
                  <c:v>103/12/6</c:v>
                </c:pt>
                <c:pt idx="4">
                  <c:v>103/12/7</c:v>
                </c:pt>
                <c:pt idx="5">
                  <c:v>103/12/9</c:v>
                </c:pt>
                <c:pt idx="6">
                  <c:v>103/12/10</c:v>
                </c:pt>
                <c:pt idx="7">
                  <c:v>103/12/11</c:v>
                </c:pt>
                <c:pt idx="8">
                  <c:v>103/12/12</c:v>
                </c:pt>
                <c:pt idx="9">
                  <c:v>103/12/13</c:v>
                </c:pt>
                <c:pt idx="10">
                  <c:v>103/12/14</c:v>
                </c:pt>
                <c:pt idx="11">
                  <c:v>103/12/16</c:v>
                </c:pt>
                <c:pt idx="12">
                  <c:v>103/12/17</c:v>
                </c:pt>
                <c:pt idx="13">
                  <c:v>103/12/18</c:v>
                </c:pt>
                <c:pt idx="14">
                  <c:v>103/12/19</c:v>
                </c:pt>
                <c:pt idx="15">
                  <c:v>103/12/20</c:v>
                </c:pt>
                <c:pt idx="16">
                  <c:v>103/12/21</c:v>
                </c:pt>
                <c:pt idx="17">
                  <c:v>103/12/23</c:v>
                </c:pt>
                <c:pt idx="18">
                  <c:v>103/12/24</c:v>
                </c:pt>
                <c:pt idx="19">
                  <c:v>103/12/25</c:v>
                </c:pt>
                <c:pt idx="20">
                  <c:v>103/12/26</c:v>
                </c:pt>
                <c:pt idx="21">
                  <c:v>103/12/27</c:v>
                </c:pt>
                <c:pt idx="22">
                  <c:v>103/12/28</c:v>
                </c:pt>
                <c:pt idx="23">
                  <c:v>103/12/30</c:v>
                </c:pt>
                <c:pt idx="24">
                  <c:v>103/12/31</c:v>
                </c:pt>
                <c:pt idx="25">
                  <c:v>104/1/1</c:v>
                </c:pt>
                <c:pt idx="26">
                  <c:v>104/1/2</c:v>
                </c:pt>
                <c:pt idx="27">
                  <c:v>104/1/3</c:v>
                </c:pt>
                <c:pt idx="28">
                  <c:v>104/1/4</c:v>
                </c:pt>
                <c:pt idx="29">
                  <c:v>104/1/6</c:v>
                </c:pt>
                <c:pt idx="30">
                  <c:v>104/1/7</c:v>
                </c:pt>
                <c:pt idx="31">
                  <c:v>104/1/8</c:v>
                </c:pt>
                <c:pt idx="32">
                  <c:v>104/1/9</c:v>
                </c:pt>
                <c:pt idx="33">
                  <c:v>104/1/10</c:v>
                </c:pt>
                <c:pt idx="34">
                  <c:v>104/1/11</c:v>
                </c:pt>
                <c:pt idx="35">
                  <c:v>104/1/15</c:v>
                </c:pt>
                <c:pt idx="36">
                  <c:v>104/1/16</c:v>
                </c:pt>
                <c:pt idx="37">
                  <c:v>104/1/17</c:v>
                </c:pt>
                <c:pt idx="38">
                  <c:v>104/1/18</c:v>
                </c:pt>
                <c:pt idx="39">
                  <c:v>104/1/20</c:v>
                </c:pt>
                <c:pt idx="40">
                  <c:v>104/1/21</c:v>
                </c:pt>
                <c:pt idx="41">
                  <c:v>104/1/22</c:v>
                </c:pt>
                <c:pt idx="42">
                  <c:v>104/1/23</c:v>
                </c:pt>
                <c:pt idx="43">
                  <c:v>104/1/24</c:v>
                </c:pt>
                <c:pt idx="44">
                  <c:v>104/1/29</c:v>
                </c:pt>
                <c:pt idx="45">
                  <c:v>104/1/30</c:v>
                </c:pt>
                <c:pt idx="46">
                  <c:v>104/1/31</c:v>
                </c:pt>
                <c:pt idx="47">
                  <c:v>104/2/1</c:v>
                </c:pt>
                <c:pt idx="48">
                  <c:v>104/2/3</c:v>
                </c:pt>
                <c:pt idx="49">
                  <c:v>104/2/4</c:v>
                </c:pt>
                <c:pt idx="50">
                  <c:v>104/2/5</c:v>
                </c:pt>
                <c:pt idx="51">
                  <c:v>104/2/6</c:v>
                </c:pt>
                <c:pt idx="52">
                  <c:v>104/2/7</c:v>
                </c:pt>
                <c:pt idx="53">
                  <c:v>104/2/8</c:v>
                </c:pt>
                <c:pt idx="54">
                  <c:v>104/2/10</c:v>
                </c:pt>
                <c:pt idx="55">
                  <c:v>104/2/11</c:v>
                </c:pt>
                <c:pt idx="56">
                  <c:v>104/2/12</c:v>
                </c:pt>
                <c:pt idx="57">
                  <c:v>104/2/13</c:v>
                </c:pt>
                <c:pt idx="58">
                  <c:v>104/2/14</c:v>
                </c:pt>
                <c:pt idx="59">
                  <c:v>104/2/15</c:v>
                </c:pt>
                <c:pt idx="60">
                  <c:v>104/2/16</c:v>
                </c:pt>
                <c:pt idx="61">
                  <c:v>104/2/17</c:v>
                </c:pt>
                <c:pt idx="62">
                  <c:v>104/2/25</c:v>
                </c:pt>
                <c:pt idx="63">
                  <c:v>104/2/26</c:v>
                </c:pt>
                <c:pt idx="64">
                  <c:v>104/2/28</c:v>
                </c:pt>
                <c:pt idx="65">
                  <c:v>104/3/1</c:v>
                </c:pt>
                <c:pt idx="66">
                  <c:v>104/3/3</c:v>
                </c:pt>
                <c:pt idx="67">
                  <c:v>104/3/4</c:v>
                </c:pt>
                <c:pt idx="68">
                  <c:v>104/3/5</c:v>
                </c:pt>
                <c:pt idx="69">
                  <c:v>104/3/6</c:v>
                </c:pt>
                <c:pt idx="70">
                  <c:v>104/3/10</c:v>
                </c:pt>
                <c:pt idx="71">
                  <c:v>104/3/11</c:v>
                </c:pt>
                <c:pt idx="72">
                  <c:v>104/3/12</c:v>
                </c:pt>
                <c:pt idx="73">
                  <c:v>104/3/13</c:v>
                </c:pt>
                <c:pt idx="74">
                  <c:v>104/3/14</c:v>
                </c:pt>
                <c:pt idx="75">
                  <c:v>104/3/15</c:v>
                </c:pt>
                <c:pt idx="76">
                  <c:v>104/3/17</c:v>
                </c:pt>
                <c:pt idx="77">
                  <c:v>104/3/18</c:v>
                </c:pt>
                <c:pt idx="78">
                  <c:v>104/3/19</c:v>
                </c:pt>
                <c:pt idx="79">
                  <c:v>104/3/20</c:v>
                </c:pt>
                <c:pt idx="80">
                  <c:v>104/3/21</c:v>
                </c:pt>
                <c:pt idx="81">
                  <c:v>104/3/22</c:v>
                </c:pt>
                <c:pt idx="82">
                  <c:v>104/3/25</c:v>
                </c:pt>
                <c:pt idx="83">
                  <c:v>104/3/26</c:v>
                </c:pt>
                <c:pt idx="84">
                  <c:v>104/3/27</c:v>
                </c:pt>
                <c:pt idx="85">
                  <c:v>104/3/28</c:v>
                </c:pt>
                <c:pt idx="86">
                  <c:v>104/3/29</c:v>
                </c:pt>
                <c:pt idx="87">
                  <c:v>104/3/31</c:v>
                </c:pt>
                <c:pt idx="88">
                  <c:v>104/4/1</c:v>
                </c:pt>
                <c:pt idx="89">
                  <c:v>104/4/2</c:v>
                </c:pt>
                <c:pt idx="90">
                  <c:v>104/4/3</c:v>
                </c:pt>
                <c:pt idx="91">
                  <c:v>104/4/4</c:v>
                </c:pt>
                <c:pt idx="92">
                  <c:v>104/4/7</c:v>
                </c:pt>
                <c:pt idx="93">
                  <c:v>104/4/8</c:v>
                </c:pt>
                <c:pt idx="94">
                  <c:v>104/4/9</c:v>
                </c:pt>
                <c:pt idx="95">
                  <c:v>104/4/10</c:v>
                </c:pt>
                <c:pt idx="96">
                  <c:v>104/4/11</c:v>
                </c:pt>
                <c:pt idx="97">
                  <c:v>104/4/12</c:v>
                </c:pt>
                <c:pt idx="98">
                  <c:v>104/4/14</c:v>
                </c:pt>
                <c:pt idx="99">
                  <c:v>104/4/15</c:v>
                </c:pt>
                <c:pt idx="100">
                  <c:v>104/4/16</c:v>
                </c:pt>
                <c:pt idx="101">
                  <c:v>104/4/17</c:v>
                </c:pt>
                <c:pt idx="102">
                  <c:v>104/4/18</c:v>
                </c:pt>
                <c:pt idx="103">
                  <c:v>104/4/19</c:v>
                </c:pt>
                <c:pt idx="104">
                  <c:v>104/4/21</c:v>
                </c:pt>
                <c:pt idx="105">
                  <c:v>104/4/22</c:v>
                </c:pt>
                <c:pt idx="106">
                  <c:v>104/4/23</c:v>
                </c:pt>
                <c:pt idx="107">
                  <c:v>104/4/24</c:v>
                </c:pt>
                <c:pt idx="108">
                  <c:v>104/4/25</c:v>
                </c:pt>
                <c:pt idx="109">
                  <c:v>104/4/26</c:v>
                </c:pt>
                <c:pt idx="110">
                  <c:v>104/4/28</c:v>
                </c:pt>
                <c:pt idx="111">
                  <c:v>104/4/29</c:v>
                </c:pt>
                <c:pt idx="112">
                  <c:v>104/4/30</c:v>
                </c:pt>
                <c:pt idx="113">
                  <c:v>104/5/1</c:v>
                </c:pt>
                <c:pt idx="114">
                  <c:v>104/5/2</c:v>
                </c:pt>
                <c:pt idx="115">
                  <c:v>104/5/3</c:v>
                </c:pt>
                <c:pt idx="116">
                  <c:v>104/5/6</c:v>
                </c:pt>
                <c:pt idx="117">
                  <c:v>104/5/7</c:v>
                </c:pt>
                <c:pt idx="118">
                  <c:v>104/5/8</c:v>
                </c:pt>
                <c:pt idx="119">
                  <c:v>104/5/9</c:v>
                </c:pt>
                <c:pt idx="120">
                  <c:v>104/5/10</c:v>
                </c:pt>
                <c:pt idx="121">
                  <c:v>104/5/13</c:v>
                </c:pt>
                <c:pt idx="122">
                  <c:v>104/5/14</c:v>
                </c:pt>
                <c:pt idx="123">
                  <c:v>104/5/15</c:v>
                </c:pt>
                <c:pt idx="124">
                  <c:v>104/5/16</c:v>
                </c:pt>
                <c:pt idx="125">
                  <c:v>104/5/17</c:v>
                </c:pt>
                <c:pt idx="126">
                  <c:v>104/5/20</c:v>
                </c:pt>
                <c:pt idx="127">
                  <c:v>104/5/21</c:v>
                </c:pt>
                <c:pt idx="128">
                  <c:v>104/5/22</c:v>
                </c:pt>
                <c:pt idx="129">
                  <c:v>104/5/23</c:v>
                </c:pt>
                <c:pt idx="130">
                  <c:v>104/5/24</c:v>
                </c:pt>
                <c:pt idx="131">
                  <c:v>104/5/26</c:v>
                </c:pt>
                <c:pt idx="132">
                  <c:v>104/5/27</c:v>
                </c:pt>
                <c:pt idx="133">
                  <c:v>104/5/28</c:v>
                </c:pt>
                <c:pt idx="134">
                  <c:v>104/5/29</c:v>
                </c:pt>
                <c:pt idx="135">
                  <c:v>104/5/30</c:v>
                </c:pt>
                <c:pt idx="136">
                  <c:v>104/5/31</c:v>
                </c:pt>
                <c:pt idx="137">
                  <c:v>104/6/3</c:v>
                </c:pt>
                <c:pt idx="138">
                  <c:v>104/6/4</c:v>
                </c:pt>
                <c:pt idx="139">
                  <c:v>104/6/5</c:v>
                </c:pt>
                <c:pt idx="140">
                  <c:v>104/6/6</c:v>
                </c:pt>
                <c:pt idx="141">
                  <c:v>104/6/7</c:v>
                </c:pt>
                <c:pt idx="142">
                  <c:v>104/6/10</c:v>
                </c:pt>
                <c:pt idx="143">
                  <c:v>104/6/11</c:v>
                </c:pt>
                <c:pt idx="144">
                  <c:v>104/6/12</c:v>
                </c:pt>
                <c:pt idx="145">
                  <c:v>104/6/13</c:v>
                </c:pt>
                <c:pt idx="146">
                  <c:v>104/6/14</c:v>
                </c:pt>
                <c:pt idx="147">
                  <c:v>104/6/16</c:v>
                </c:pt>
                <c:pt idx="148">
                  <c:v>104/6/17</c:v>
                </c:pt>
                <c:pt idx="149">
                  <c:v>104/6/18</c:v>
                </c:pt>
                <c:pt idx="150">
                  <c:v>104/6/19</c:v>
                </c:pt>
                <c:pt idx="151">
                  <c:v>104/6/20</c:v>
                </c:pt>
                <c:pt idx="152">
                  <c:v>104/6/24</c:v>
                </c:pt>
                <c:pt idx="153">
                  <c:v>104/6/25</c:v>
                </c:pt>
                <c:pt idx="154">
                  <c:v>104/6/26</c:v>
                </c:pt>
                <c:pt idx="155">
                  <c:v>104/6/27</c:v>
                </c:pt>
                <c:pt idx="156">
                  <c:v>104/6/28</c:v>
                </c:pt>
                <c:pt idx="157">
                  <c:v>104/6/30</c:v>
                </c:pt>
                <c:pt idx="158">
                  <c:v>104/7/1</c:v>
                </c:pt>
                <c:pt idx="159">
                  <c:v>104/7/2</c:v>
                </c:pt>
                <c:pt idx="160">
                  <c:v>104/7/3</c:v>
                </c:pt>
                <c:pt idx="161">
                  <c:v>104/7/4</c:v>
                </c:pt>
                <c:pt idx="162">
                  <c:v>104/7/5</c:v>
                </c:pt>
                <c:pt idx="163">
                  <c:v>104/7/7</c:v>
                </c:pt>
                <c:pt idx="164">
                  <c:v>104/7/8</c:v>
                </c:pt>
                <c:pt idx="165">
                  <c:v>104/7/9</c:v>
                </c:pt>
                <c:pt idx="166">
                  <c:v>104/7/10</c:v>
                </c:pt>
                <c:pt idx="167">
                  <c:v>104/7/11</c:v>
                </c:pt>
                <c:pt idx="168">
                  <c:v>104/7/12</c:v>
                </c:pt>
                <c:pt idx="169">
                  <c:v>104/7/14</c:v>
                </c:pt>
                <c:pt idx="170">
                  <c:v>104/7/15</c:v>
                </c:pt>
                <c:pt idx="171">
                  <c:v>104/7/16</c:v>
                </c:pt>
                <c:pt idx="172">
                  <c:v>104/7/17</c:v>
                </c:pt>
                <c:pt idx="173">
                  <c:v>104/7/18</c:v>
                </c:pt>
                <c:pt idx="174">
                  <c:v>104/7/19</c:v>
                </c:pt>
                <c:pt idx="175">
                  <c:v>104/7/21</c:v>
                </c:pt>
                <c:pt idx="176">
                  <c:v>104/7/22</c:v>
                </c:pt>
                <c:pt idx="177">
                  <c:v>104/7/23</c:v>
                </c:pt>
                <c:pt idx="178">
                  <c:v>104/7/24</c:v>
                </c:pt>
                <c:pt idx="179">
                  <c:v>104/7/25</c:v>
                </c:pt>
                <c:pt idx="180">
                  <c:v>104/7/26</c:v>
                </c:pt>
                <c:pt idx="181">
                  <c:v>104/7/28</c:v>
                </c:pt>
                <c:pt idx="182">
                  <c:v>104/7/29</c:v>
                </c:pt>
                <c:pt idx="183">
                  <c:v>104/7/30</c:v>
                </c:pt>
                <c:pt idx="184">
                  <c:v>104/7/31</c:v>
                </c:pt>
                <c:pt idx="185">
                  <c:v>104/8/1</c:v>
                </c:pt>
                <c:pt idx="186">
                  <c:v>104/8/2</c:v>
                </c:pt>
                <c:pt idx="187">
                  <c:v>104/8/5</c:v>
                </c:pt>
                <c:pt idx="188">
                  <c:v>104/8/6</c:v>
                </c:pt>
                <c:pt idx="189">
                  <c:v>104/8/7</c:v>
                </c:pt>
                <c:pt idx="190">
                  <c:v>104/8/11</c:v>
                </c:pt>
                <c:pt idx="191">
                  <c:v>104/8/12</c:v>
                </c:pt>
                <c:pt idx="192">
                  <c:v>104/8/13</c:v>
                </c:pt>
                <c:pt idx="193">
                  <c:v>104/8/14</c:v>
                </c:pt>
                <c:pt idx="194">
                  <c:v>104/8/15</c:v>
                </c:pt>
                <c:pt idx="195">
                  <c:v>104/8/16</c:v>
                </c:pt>
                <c:pt idx="196">
                  <c:v>104/8/18</c:v>
                </c:pt>
                <c:pt idx="197">
                  <c:v>104/8/19</c:v>
                </c:pt>
                <c:pt idx="198">
                  <c:v>104/8/20</c:v>
                </c:pt>
                <c:pt idx="199">
                  <c:v>104/8/21</c:v>
                </c:pt>
                <c:pt idx="200">
                  <c:v>104/8/22</c:v>
                </c:pt>
                <c:pt idx="201">
                  <c:v>104/8/23</c:v>
                </c:pt>
                <c:pt idx="202">
                  <c:v>104/8/26</c:v>
                </c:pt>
                <c:pt idx="203">
                  <c:v>104/8/27</c:v>
                </c:pt>
                <c:pt idx="204">
                  <c:v>104/8/28</c:v>
                </c:pt>
                <c:pt idx="205">
                  <c:v>104/9/1</c:v>
                </c:pt>
                <c:pt idx="206">
                  <c:v>104/9/2</c:v>
                </c:pt>
                <c:pt idx="207">
                  <c:v>104/9/3</c:v>
                </c:pt>
                <c:pt idx="208">
                  <c:v>104/9/4</c:v>
                </c:pt>
                <c:pt idx="209">
                  <c:v>104/9/5</c:v>
                </c:pt>
                <c:pt idx="210">
                  <c:v>104/9/6</c:v>
                </c:pt>
                <c:pt idx="211">
                  <c:v>104/9/8</c:v>
                </c:pt>
                <c:pt idx="212">
                  <c:v>104/9/9</c:v>
                </c:pt>
                <c:pt idx="213">
                  <c:v>104/9/10</c:v>
                </c:pt>
                <c:pt idx="214">
                  <c:v>104/9/11</c:v>
                </c:pt>
                <c:pt idx="215">
                  <c:v>104/9/12</c:v>
                </c:pt>
                <c:pt idx="216">
                  <c:v>104/9/13</c:v>
                </c:pt>
                <c:pt idx="217">
                  <c:v>104/9/15</c:v>
                </c:pt>
                <c:pt idx="218">
                  <c:v>104/9/16</c:v>
                </c:pt>
                <c:pt idx="219">
                  <c:v>104/9/17</c:v>
                </c:pt>
                <c:pt idx="220">
                  <c:v>104/9/18</c:v>
                </c:pt>
                <c:pt idx="221">
                  <c:v>104/9/19</c:v>
                </c:pt>
                <c:pt idx="222">
                  <c:v>104/9/20</c:v>
                </c:pt>
                <c:pt idx="223">
                  <c:v>104/9/22</c:v>
                </c:pt>
                <c:pt idx="224">
                  <c:v>104/9/23</c:v>
                </c:pt>
                <c:pt idx="225">
                  <c:v>104/9/24</c:v>
                </c:pt>
                <c:pt idx="226">
                  <c:v>104/9/25</c:v>
                </c:pt>
                <c:pt idx="227">
                  <c:v>104/9/26</c:v>
                </c:pt>
                <c:pt idx="228">
                  <c:v>104/9/27</c:v>
                </c:pt>
                <c:pt idx="229">
                  <c:v>104/10/1</c:v>
                </c:pt>
                <c:pt idx="230">
                  <c:v>104/10/2</c:v>
                </c:pt>
                <c:pt idx="231">
                  <c:v>104/10/3</c:v>
                </c:pt>
                <c:pt idx="232">
                  <c:v>104/10/4</c:v>
                </c:pt>
                <c:pt idx="233">
                  <c:v>104/10/6</c:v>
                </c:pt>
                <c:pt idx="234">
                  <c:v>104/10/7</c:v>
                </c:pt>
                <c:pt idx="235">
                  <c:v>104/10/8</c:v>
                </c:pt>
                <c:pt idx="236">
                  <c:v>104/10/9</c:v>
                </c:pt>
                <c:pt idx="237">
                  <c:v>104/10/10</c:v>
                </c:pt>
                <c:pt idx="238">
                  <c:v>104/10/11</c:v>
                </c:pt>
                <c:pt idx="239">
                  <c:v>104/10/14</c:v>
                </c:pt>
                <c:pt idx="240">
                  <c:v>104/10/15</c:v>
                </c:pt>
                <c:pt idx="241">
                  <c:v>104/10/16</c:v>
                </c:pt>
                <c:pt idx="242">
                  <c:v>104/10/17</c:v>
                </c:pt>
                <c:pt idx="243">
                  <c:v>104/10/18</c:v>
                </c:pt>
                <c:pt idx="244">
                  <c:v>104/10/21</c:v>
                </c:pt>
                <c:pt idx="245">
                  <c:v>104/10/22</c:v>
                </c:pt>
                <c:pt idx="246">
                  <c:v>104/10/23</c:v>
                </c:pt>
                <c:pt idx="247">
                  <c:v>104/10/24</c:v>
                </c:pt>
                <c:pt idx="248">
                  <c:v>104/10/25</c:v>
                </c:pt>
                <c:pt idx="249">
                  <c:v>104/10/27</c:v>
                </c:pt>
                <c:pt idx="250">
                  <c:v>104/10/28</c:v>
                </c:pt>
                <c:pt idx="251">
                  <c:v>104/10/29</c:v>
                </c:pt>
                <c:pt idx="252">
                  <c:v>104/10/30</c:v>
                </c:pt>
                <c:pt idx="253">
                  <c:v>104/10/31</c:v>
                </c:pt>
                <c:pt idx="254">
                  <c:v>104/11/1</c:v>
                </c:pt>
                <c:pt idx="255">
                  <c:v>104/11/3</c:v>
                </c:pt>
                <c:pt idx="256">
                  <c:v>104/11/4</c:v>
                </c:pt>
                <c:pt idx="257">
                  <c:v>104/11/5</c:v>
                </c:pt>
                <c:pt idx="258">
                  <c:v>104/11/6</c:v>
                </c:pt>
                <c:pt idx="259">
                  <c:v>104/11/7</c:v>
                </c:pt>
                <c:pt idx="260">
                  <c:v>104/11/8</c:v>
                </c:pt>
                <c:pt idx="261">
                  <c:v>104/11/11</c:v>
                </c:pt>
                <c:pt idx="262">
                  <c:v>104/11/12</c:v>
                </c:pt>
                <c:pt idx="263">
                  <c:v>104/11/13</c:v>
                </c:pt>
                <c:pt idx="264">
                  <c:v>104/11/14</c:v>
                </c:pt>
                <c:pt idx="265">
                  <c:v>104/11/15</c:v>
                </c:pt>
                <c:pt idx="266">
                  <c:v>104/11/19</c:v>
                </c:pt>
                <c:pt idx="267">
                  <c:v>104/11/20</c:v>
                </c:pt>
                <c:pt idx="268">
                  <c:v>104/11/21</c:v>
                </c:pt>
                <c:pt idx="269">
                  <c:v>104/11/22</c:v>
                </c:pt>
                <c:pt idx="270">
                  <c:v>104/11/24</c:v>
                </c:pt>
                <c:pt idx="271">
                  <c:v>104/11/25</c:v>
                </c:pt>
                <c:pt idx="272">
                  <c:v>104/11/26</c:v>
                </c:pt>
              </c:strCache>
            </c:strRef>
          </c:cat>
          <c:val>
            <c:numRef>
              <c:f>工作表1!$E$7:$E$279</c:f>
              <c:numCache>
                <c:formatCode>General</c:formatCode>
                <c:ptCount val="273"/>
                <c:pt idx="0">
                  <c:v>76.67</c:v>
                </c:pt>
                <c:pt idx="1">
                  <c:v>76.67</c:v>
                </c:pt>
                <c:pt idx="2">
                  <c:v>76.67</c:v>
                </c:pt>
                <c:pt idx="3">
                  <c:v>76.67</c:v>
                </c:pt>
                <c:pt idx="4">
                  <c:v>76.67</c:v>
                </c:pt>
                <c:pt idx="5">
                  <c:v>76.67</c:v>
                </c:pt>
                <c:pt idx="6">
                  <c:v>76.67</c:v>
                </c:pt>
                <c:pt idx="7">
                  <c:v>76.67</c:v>
                </c:pt>
                <c:pt idx="8">
                  <c:v>76.67</c:v>
                </c:pt>
                <c:pt idx="9">
                  <c:v>76.67</c:v>
                </c:pt>
                <c:pt idx="10">
                  <c:v>76.67</c:v>
                </c:pt>
                <c:pt idx="11">
                  <c:v>76.67</c:v>
                </c:pt>
                <c:pt idx="12">
                  <c:v>76.67</c:v>
                </c:pt>
                <c:pt idx="13">
                  <c:v>76.67</c:v>
                </c:pt>
                <c:pt idx="14">
                  <c:v>76.67</c:v>
                </c:pt>
                <c:pt idx="15">
                  <c:v>76.67</c:v>
                </c:pt>
                <c:pt idx="16">
                  <c:v>76.67</c:v>
                </c:pt>
                <c:pt idx="17">
                  <c:v>76.67</c:v>
                </c:pt>
                <c:pt idx="18">
                  <c:v>76.67</c:v>
                </c:pt>
                <c:pt idx="19">
                  <c:v>76.67</c:v>
                </c:pt>
                <c:pt idx="20">
                  <c:v>76.67</c:v>
                </c:pt>
                <c:pt idx="21">
                  <c:v>76.67</c:v>
                </c:pt>
                <c:pt idx="22">
                  <c:v>76.67</c:v>
                </c:pt>
                <c:pt idx="23">
                  <c:v>76.67</c:v>
                </c:pt>
                <c:pt idx="24">
                  <c:v>76.67</c:v>
                </c:pt>
                <c:pt idx="25">
                  <c:v>76.67</c:v>
                </c:pt>
                <c:pt idx="26">
                  <c:v>76.67</c:v>
                </c:pt>
                <c:pt idx="27">
                  <c:v>76.67</c:v>
                </c:pt>
                <c:pt idx="28">
                  <c:v>76.67</c:v>
                </c:pt>
                <c:pt idx="29">
                  <c:v>76.67</c:v>
                </c:pt>
                <c:pt idx="30">
                  <c:v>76.67</c:v>
                </c:pt>
                <c:pt idx="31">
                  <c:v>76.67</c:v>
                </c:pt>
                <c:pt idx="32">
                  <c:v>76.67</c:v>
                </c:pt>
                <c:pt idx="33">
                  <c:v>76.67</c:v>
                </c:pt>
                <c:pt idx="34">
                  <c:v>76.67</c:v>
                </c:pt>
                <c:pt idx="35">
                  <c:v>76.67</c:v>
                </c:pt>
                <c:pt idx="36">
                  <c:v>76.67</c:v>
                </c:pt>
                <c:pt idx="37">
                  <c:v>76.67</c:v>
                </c:pt>
                <c:pt idx="38">
                  <c:v>76.67</c:v>
                </c:pt>
                <c:pt idx="39">
                  <c:v>76.67</c:v>
                </c:pt>
                <c:pt idx="40">
                  <c:v>76.67</c:v>
                </c:pt>
                <c:pt idx="41">
                  <c:v>76.67</c:v>
                </c:pt>
                <c:pt idx="42">
                  <c:v>76.67</c:v>
                </c:pt>
                <c:pt idx="43">
                  <c:v>76.67</c:v>
                </c:pt>
                <c:pt idx="44">
                  <c:v>76.67</c:v>
                </c:pt>
                <c:pt idx="45">
                  <c:v>76.67</c:v>
                </c:pt>
                <c:pt idx="46">
                  <c:v>76.67</c:v>
                </c:pt>
                <c:pt idx="47">
                  <c:v>76.67</c:v>
                </c:pt>
                <c:pt idx="48">
                  <c:v>76.67</c:v>
                </c:pt>
                <c:pt idx="49">
                  <c:v>76.67</c:v>
                </c:pt>
                <c:pt idx="50">
                  <c:v>76.67</c:v>
                </c:pt>
                <c:pt idx="51">
                  <c:v>76.67</c:v>
                </c:pt>
                <c:pt idx="52">
                  <c:v>76.67</c:v>
                </c:pt>
                <c:pt idx="53">
                  <c:v>76.67</c:v>
                </c:pt>
                <c:pt idx="54">
                  <c:v>76.67</c:v>
                </c:pt>
                <c:pt idx="55">
                  <c:v>76.67</c:v>
                </c:pt>
                <c:pt idx="56">
                  <c:v>76.67</c:v>
                </c:pt>
                <c:pt idx="57">
                  <c:v>76.67</c:v>
                </c:pt>
                <c:pt idx="58">
                  <c:v>76.67</c:v>
                </c:pt>
                <c:pt idx="59">
                  <c:v>76.67</c:v>
                </c:pt>
                <c:pt idx="60">
                  <c:v>76.67</c:v>
                </c:pt>
                <c:pt idx="61">
                  <c:v>76.67</c:v>
                </c:pt>
                <c:pt idx="62">
                  <c:v>76.67</c:v>
                </c:pt>
                <c:pt idx="63">
                  <c:v>76.67</c:v>
                </c:pt>
                <c:pt idx="64">
                  <c:v>76.67</c:v>
                </c:pt>
                <c:pt idx="65">
                  <c:v>76.67</c:v>
                </c:pt>
                <c:pt idx="66">
                  <c:v>76.67</c:v>
                </c:pt>
                <c:pt idx="67">
                  <c:v>76.67</c:v>
                </c:pt>
                <c:pt idx="68">
                  <c:v>76.67</c:v>
                </c:pt>
                <c:pt idx="69">
                  <c:v>76.67</c:v>
                </c:pt>
                <c:pt idx="70">
                  <c:v>76.67</c:v>
                </c:pt>
                <c:pt idx="71">
                  <c:v>76.67</c:v>
                </c:pt>
                <c:pt idx="72">
                  <c:v>76.67</c:v>
                </c:pt>
                <c:pt idx="73">
                  <c:v>76.67</c:v>
                </c:pt>
                <c:pt idx="74">
                  <c:v>76.67</c:v>
                </c:pt>
                <c:pt idx="75">
                  <c:v>76.67</c:v>
                </c:pt>
                <c:pt idx="76">
                  <c:v>78.33</c:v>
                </c:pt>
                <c:pt idx="77">
                  <c:v>78.33</c:v>
                </c:pt>
                <c:pt idx="78">
                  <c:v>78.33</c:v>
                </c:pt>
                <c:pt idx="79">
                  <c:v>78.33</c:v>
                </c:pt>
                <c:pt idx="80">
                  <c:v>78.33</c:v>
                </c:pt>
                <c:pt idx="81">
                  <c:v>78.33</c:v>
                </c:pt>
                <c:pt idx="82">
                  <c:v>78.33</c:v>
                </c:pt>
                <c:pt idx="83">
                  <c:v>78.33</c:v>
                </c:pt>
                <c:pt idx="84">
                  <c:v>78.33</c:v>
                </c:pt>
                <c:pt idx="85">
                  <c:v>78.33</c:v>
                </c:pt>
                <c:pt idx="86">
                  <c:v>78.33</c:v>
                </c:pt>
                <c:pt idx="87">
                  <c:v>78.33</c:v>
                </c:pt>
                <c:pt idx="88">
                  <c:v>78.33</c:v>
                </c:pt>
                <c:pt idx="89">
                  <c:v>78.33</c:v>
                </c:pt>
                <c:pt idx="90">
                  <c:v>78.33</c:v>
                </c:pt>
                <c:pt idx="91">
                  <c:v>78.33</c:v>
                </c:pt>
                <c:pt idx="92">
                  <c:v>78.33</c:v>
                </c:pt>
                <c:pt idx="93">
                  <c:v>78.33</c:v>
                </c:pt>
                <c:pt idx="94">
                  <c:v>78.33</c:v>
                </c:pt>
                <c:pt idx="95">
                  <c:v>78.33</c:v>
                </c:pt>
                <c:pt idx="96">
                  <c:v>78.33</c:v>
                </c:pt>
                <c:pt idx="97">
                  <c:v>78.33</c:v>
                </c:pt>
                <c:pt idx="98">
                  <c:v>78.33</c:v>
                </c:pt>
                <c:pt idx="99">
                  <c:v>78.33</c:v>
                </c:pt>
                <c:pt idx="100">
                  <c:v>80</c:v>
                </c:pt>
                <c:pt idx="101">
                  <c:v>80</c:v>
                </c:pt>
                <c:pt idx="102">
                  <c:v>80</c:v>
                </c:pt>
                <c:pt idx="103">
                  <c:v>80</c:v>
                </c:pt>
                <c:pt idx="104">
                  <c:v>80</c:v>
                </c:pt>
                <c:pt idx="105">
                  <c:v>80</c:v>
                </c:pt>
                <c:pt idx="106">
                  <c:v>80</c:v>
                </c:pt>
                <c:pt idx="107">
                  <c:v>80</c:v>
                </c:pt>
                <c:pt idx="108">
                  <c:v>80</c:v>
                </c:pt>
                <c:pt idx="109">
                  <c:v>80</c:v>
                </c:pt>
                <c:pt idx="110">
                  <c:v>80</c:v>
                </c:pt>
                <c:pt idx="111">
                  <c:v>80</c:v>
                </c:pt>
                <c:pt idx="112">
                  <c:v>80</c:v>
                </c:pt>
                <c:pt idx="113">
                  <c:v>81.67</c:v>
                </c:pt>
                <c:pt idx="114">
                  <c:v>81.67</c:v>
                </c:pt>
                <c:pt idx="115">
                  <c:v>81.67</c:v>
                </c:pt>
                <c:pt idx="116">
                  <c:v>81.67</c:v>
                </c:pt>
                <c:pt idx="117">
                  <c:v>81.67</c:v>
                </c:pt>
                <c:pt idx="118">
                  <c:v>81.67</c:v>
                </c:pt>
                <c:pt idx="119">
                  <c:v>81.67</c:v>
                </c:pt>
                <c:pt idx="120">
                  <c:v>81.67</c:v>
                </c:pt>
                <c:pt idx="121">
                  <c:v>81.67</c:v>
                </c:pt>
                <c:pt idx="122">
                  <c:v>81.67</c:v>
                </c:pt>
                <c:pt idx="123">
                  <c:v>81.67</c:v>
                </c:pt>
                <c:pt idx="124">
                  <c:v>81.67</c:v>
                </c:pt>
                <c:pt idx="125">
                  <c:v>81.67</c:v>
                </c:pt>
                <c:pt idx="126">
                  <c:v>81.67</c:v>
                </c:pt>
                <c:pt idx="127">
                  <c:v>81.67</c:v>
                </c:pt>
                <c:pt idx="128">
                  <c:v>81.67</c:v>
                </c:pt>
                <c:pt idx="129">
                  <c:v>81.67</c:v>
                </c:pt>
                <c:pt idx="130">
                  <c:v>81.67</c:v>
                </c:pt>
                <c:pt idx="131">
                  <c:v>81.67</c:v>
                </c:pt>
                <c:pt idx="132">
                  <c:v>81.67</c:v>
                </c:pt>
                <c:pt idx="133">
                  <c:v>81.67</c:v>
                </c:pt>
                <c:pt idx="134">
                  <c:v>81.67</c:v>
                </c:pt>
                <c:pt idx="135">
                  <c:v>81.67</c:v>
                </c:pt>
                <c:pt idx="136">
                  <c:v>81.67</c:v>
                </c:pt>
                <c:pt idx="137">
                  <c:v>81.67</c:v>
                </c:pt>
                <c:pt idx="138">
                  <c:v>81.67</c:v>
                </c:pt>
                <c:pt idx="139">
                  <c:v>81.67</c:v>
                </c:pt>
                <c:pt idx="140">
                  <c:v>81.67</c:v>
                </c:pt>
                <c:pt idx="141">
                  <c:v>81.67</c:v>
                </c:pt>
                <c:pt idx="142">
                  <c:v>81.67</c:v>
                </c:pt>
                <c:pt idx="143">
                  <c:v>81.67</c:v>
                </c:pt>
                <c:pt idx="144">
                  <c:v>81.67</c:v>
                </c:pt>
                <c:pt idx="145">
                  <c:v>81.67</c:v>
                </c:pt>
                <c:pt idx="146">
                  <c:v>81.67</c:v>
                </c:pt>
                <c:pt idx="147">
                  <c:v>81.67</c:v>
                </c:pt>
                <c:pt idx="148">
                  <c:v>81.67</c:v>
                </c:pt>
                <c:pt idx="149">
                  <c:v>81.67</c:v>
                </c:pt>
                <c:pt idx="150">
                  <c:v>81.67</c:v>
                </c:pt>
                <c:pt idx="151">
                  <c:v>81.67</c:v>
                </c:pt>
                <c:pt idx="152">
                  <c:v>81.67</c:v>
                </c:pt>
                <c:pt idx="153">
                  <c:v>81.67</c:v>
                </c:pt>
                <c:pt idx="154">
                  <c:v>81.67</c:v>
                </c:pt>
                <c:pt idx="155">
                  <c:v>81.67</c:v>
                </c:pt>
                <c:pt idx="156">
                  <c:v>81.67</c:v>
                </c:pt>
                <c:pt idx="157">
                  <c:v>81.67</c:v>
                </c:pt>
                <c:pt idx="158">
                  <c:v>81.67</c:v>
                </c:pt>
                <c:pt idx="159">
                  <c:v>81.67</c:v>
                </c:pt>
                <c:pt idx="160">
                  <c:v>81.67</c:v>
                </c:pt>
                <c:pt idx="161">
                  <c:v>81.67</c:v>
                </c:pt>
                <c:pt idx="162">
                  <c:v>81.67</c:v>
                </c:pt>
                <c:pt idx="163">
                  <c:v>81.67</c:v>
                </c:pt>
                <c:pt idx="164">
                  <c:v>81.67</c:v>
                </c:pt>
                <c:pt idx="165">
                  <c:v>81.67</c:v>
                </c:pt>
                <c:pt idx="166">
                  <c:v>81.67</c:v>
                </c:pt>
                <c:pt idx="167">
                  <c:v>81.67</c:v>
                </c:pt>
                <c:pt idx="168">
                  <c:v>81.67</c:v>
                </c:pt>
                <c:pt idx="169">
                  <c:v>81.67</c:v>
                </c:pt>
                <c:pt idx="170">
                  <c:v>81.67</c:v>
                </c:pt>
                <c:pt idx="171">
                  <c:v>81.67</c:v>
                </c:pt>
                <c:pt idx="172">
                  <c:v>81.67</c:v>
                </c:pt>
                <c:pt idx="173">
                  <c:v>81.67</c:v>
                </c:pt>
                <c:pt idx="174">
                  <c:v>81.67</c:v>
                </c:pt>
                <c:pt idx="175">
                  <c:v>81.67</c:v>
                </c:pt>
                <c:pt idx="176">
                  <c:v>81.67</c:v>
                </c:pt>
                <c:pt idx="177">
                  <c:v>81.67</c:v>
                </c:pt>
                <c:pt idx="178">
                  <c:v>81.67</c:v>
                </c:pt>
                <c:pt idx="179">
                  <c:v>81.67</c:v>
                </c:pt>
                <c:pt idx="180">
                  <c:v>81.67</c:v>
                </c:pt>
                <c:pt idx="181">
                  <c:v>81.67</c:v>
                </c:pt>
                <c:pt idx="182">
                  <c:v>81.67</c:v>
                </c:pt>
                <c:pt idx="183">
                  <c:v>81.67</c:v>
                </c:pt>
                <c:pt idx="184">
                  <c:v>81.67</c:v>
                </c:pt>
                <c:pt idx="185">
                  <c:v>81.67</c:v>
                </c:pt>
                <c:pt idx="186">
                  <c:v>81.67</c:v>
                </c:pt>
                <c:pt idx="187">
                  <c:v>81.67</c:v>
                </c:pt>
                <c:pt idx="188">
                  <c:v>81.67</c:v>
                </c:pt>
                <c:pt idx="189">
                  <c:v>81.67</c:v>
                </c:pt>
                <c:pt idx="190">
                  <c:v>81.67</c:v>
                </c:pt>
                <c:pt idx="191">
                  <c:v>81.67</c:v>
                </c:pt>
                <c:pt idx="192">
                  <c:v>81.67</c:v>
                </c:pt>
                <c:pt idx="193">
                  <c:v>81.67</c:v>
                </c:pt>
                <c:pt idx="194">
                  <c:v>81.67</c:v>
                </c:pt>
                <c:pt idx="195">
                  <c:v>81.67</c:v>
                </c:pt>
                <c:pt idx="196">
                  <c:v>81.67</c:v>
                </c:pt>
                <c:pt idx="197">
                  <c:v>81.67</c:v>
                </c:pt>
                <c:pt idx="198">
                  <c:v>81.67</c:v>
                </c:pt>
                <c:pt idx="199">
                  <c:v>81.67</c:v>
                </c:pt>
                <c:pt idx="200">
                  <c:v>81.67</c:v>
                </c:pt>
                <c:pt idx="201">
                  <c:v>81.67</c:v>
                </c:pt>
                <c:pt idx="202">
                  <c:v>81.67</c:v>
                </c:pt>
                <c:pt idx="203">
                  <c:v>81.67</c:v>
                </c:pt>
                <c:pt idx="204">
                  <c:v>81.67</c:v>
                </c:pt>
                <c:pt idx="205">
                  <c:v>81.67</c:v>
                </c:pt>
                <c:pt idx="206">
                  <c:v>81.67</c:v>
                </c:pt>
                <c:pt idx="207">
                  <c:v>81.67</c:v>
                </c:pt>
                <c:pt idx="208">
                  <c:v>81.67</c:v>
                </c:pt>
                <c:pt idx="209">
                  <c:v>81.67</c:v>
                </c:pt>
                <c:pt idx="210">
                  <c:v>81.67</c:v>
                </c:pt>
                <c:pt idx="211">
                  <c:v>81.67</c:v>
                </c:pt>
                <c:pt idx="212">
                  <c:v>81.67</c:v>
                </c:pt>
                <c:pt idx="213">
                  <c:v>81.67</c:v>
                </c:pt>
                <c:pt idx="214">
                  <c:v>81.67</c:v>
                </c:pt>
                <c:pt idx="215">
                  <c:v>81.67</c:v>
                </c:pt>
                <c:pt idx="216">
                  <c:v>81.67</c:v>
                </c:pt>
                <c:pt idx="217">
                  <c:v>81.67</c:v>
                </c:pt>
                <c:pt idx="218">
                  <c:v>81.67</c:v>
                </c:pt>
                <c:pt idx="219">
                  <c:v>81.67</c:v>
                </c:pt>
                <c:pt idx="220">
                  <c:v>81.67</c:v>
                </c:pt>
                <c:pt idx="221">
                  <c:v>81.67</c:v>
                </c:pt>
                <c:pt idx="222">
                  <c:v>81.67</c:v>
                </c:pt>
                <c:pt idx="223">
                  <c:v>81.67</c:v>
                </c:pt>
                <c:pt idx="224">
                  <c:v>81.67</c:v>
                </c:pt>
                <c:pt idx="225">
                  <c:v>81.67</c:v>
                </c:pt>
                <c:pt idx="226">
                  <c:v>81.67</c:v>
                </c:pt>
                <c:pt idx="227">
                  <c:v>81.67</c:v>
                </c:pt>
                <c:pt idx="228">
                  <c:v>81.67</c:v>
                </c:pt>
                <c:pt idx="229">
                  <c:v>81.67</c:v>
                </c:pt>
                <c:pt idx="230">
                  <c:v>81.67</c:v>
                </c:pt>
                <c:pt idx="231">
                  <c:v>81.67</c:v>
                </c:pt>
                <c:pt idx="232">
                  <c:v>81.67</c:v>
                </c:pt>
                <c:pt idx="233">
                  <c:v>81.67</c:v>
                </c:pt>
                <c:pt idx="234">
                  <c:v>81.67</c:v>
                </c:pt>
                <c:pt idx="235">
                  <c:v>81.67</c:v>
                </c:pt>
                <c:pt idx="236">
                  <c:v>81.67</c:v>
                </c:pt>
                <c:pt idx="237">
                  <c:v>81.67</c:v>
                </c:pt>
                <c:pt idx="238">
                  <c:v>81.67</c:v>
                </c:pt>
                <c:pt idx="239">
                  <c:v>81.67</c:v>
                </c:pt>
                <c:pt idx="240">
                  <c:v>81.67</c:v>
                </c:pt>
                <c:pt idx="241">
                  <c:v>81.67</c:v>
                </c:pt>
                <c:pt idx="242">
                  <c:v>81.67</c:v>
                </c:pt>
                <c:pt idx="243">
                  <c:v>81.67</c:v>
                </c:pt>
                <c:pt idx="244">
                  <c:v>81.67</c:v>
                </c:pt>
                <c:pt idx="245">
                  <c:v>81.67</c:v>
                </c:pt>
                <c:pt idx="246">
                  <c:v>81.67</c:v>
                </c:pt>
                <c:pt idx="247">
                  <c:v>81.67</c:v>
                </c:pt>
                <c:pt idx="248">
                  <c:v>81.67</c:v>
                </c:pt>
                <c:pt idx="249">
                  <c:v>81.67</c:v>
                </c:pt>
                <c:pt idx="250">
                  <c:v>81.67</c:v>
                </c:pt>
                <c:pt idx="251">
                  <c:v>81.67</c:v>
                </c:pt>
                <c:pt idx="252">
                  <c:v>81.67</c:v>
                </c:pt>
                <c:pt idx="253">
                  <c:v>81.67</c:v>
                </c:pt>
                <c:pt idx="254">
                  <c:v>81.67</c:v>
                </c:pt>
                <c:pt idx="255">
                  <c:v>81.67</c:v>
                </c:pt>
                <c:pt idx="256">
                  <c:v>81.67</c:v>
                </c:pt>
                <c:pt idx="257">
                  <c:v>81.67</c:v>
                </c:pt>
                <c:pt idx="258">
                  <c:v>81.67</c:v>
                </c:pt>
                <c:pt idx="259">
                  <c:v>81.67</c:v>
                </c:pt>
                <c:pt idx="260">
                  <c:v>81.67</c:v>
                </c:pt>
                <c:pt idx="261">
                  <c:v>81.67</c:v>
                </c:pt>
                <c:pt idx="262">
                  <c:v>81.67</c:v>
                </c:pt>
                <c:pt idx="263">
                  <c:v>81.67</c:v>
                </c:pt>
                <c:pt idx="264">
                  <c:v>81.67</c:v>
                </c:pt>
                <c:pt idx="265">
                  <c:v>81.67</c:v>
                </c:pt>
                <c:pt idx="266">
                  <c:v>81.67</c:v>
                </c:pt>
                <c:pt idx="267">
                  <c:v>81.67</c:v>
                </c:pt>
                <c:pt idx="268">
                  <c:v>81.67</c:v>
                </c:pt>
                <c:pt idx="269">
                  <c:v>81.67</c:v>
                </c:pt>
                <c:pt idx="270">
                  <c:v>81.67</c:v>
                </c:pt>
                <c:pt idx="271">
                  <c:v>81.67</c:v>
                </c:pt>
                <c:pt idx="272">
                  <c:v>81.67</c:v>
                </c:pt>
              </c:numCache>
            </c:numRef>
          </c:val>
          <c:smooth val="0"/>
        </c:ser>
        <c:ser>
          <c:idx val="1"/>
          <c:order val="1"/>
          <c:tx>
            <c:v>土雞總貨</c:v>
          </c:tx>
          <c:spPr>
            <a:ln w="28575" cap="rnd">
              <a:solidFill>
                <a:schemeClr val="accent2"/>
              </a:solidFill>
              <a:round/>
            </a:ln>
            <a:effectLst/>
          </c:spPr>
          <c:marker>
            <c:symbol val="none"/>
          </c:marker>
          <c:cat>
            <c:strRef>
              <c:f>工作表1!$A$7:$A$279</c:f>
              <c:strCache>
                <c:ptCount val="273"/>
                <c:pt idx="0">
                  <c:v>103/12/3</c:v>
                </c:pt>
                <c:pt idx="1">
                  <c:v>103/12/4</c:v>
                </c:pt>
                <c:pt idx="2">
                  <c:v>103/12/5</c:v>
                </c:pt>
                <c:pt idx="3">
                  <c:v>103/12/6</c:v>
                </c:pt>
                <c:pt idx="4">
                  <c:v>103/12/7</c:v>
                </c:pt>
                <c:pt idx="5">
                  <c:v>103/12/9</c:v>
                </c:pt>
                <c:pt idx="6">
                  <c:v>103/12/10</c:v>
                </c:pt>
                <c:pt idx="7">
                  <c:v>103/12/11</c:v>
                </c:pt>
                <c:pt idx="8">
                  <c:v>103/12/12</c:v>
                </c:pt>
                <c:pt idx="9">
                  <c:v>103/12/13</c:v>
                </c:pt>
                <c:pt idx="10">
                  <c:v>103/12/14</c:v>
                </c:pt>
                <c:pt idx="11">
                  <c:v>103/12/16</c:v>
                </c:pt>
                <c:pt idx="12">
                  <c:v>103/12/17</c:v>
                </c:pt>
                <c:pt idx="13">
                  <c:v>103/12/18</c:v>
                </c:pt>
                <c:pt idx="14">
                  <c:v>103/12/19</c:v>
                </c:pt>
                <c:pt idx="15">
                  <c:v>103/12/20</c:v>
                </c:pt>
                <c:pt idx="16">
                  <c:v>103/12/21</c:v>
                </c:pt>
                <c:pt idx="17">
                  <c:v>103/12/23</c:v>
                </c:pt>
                <c:pt idx="18">
                  <c:v>103/12/24</c:v>
                </c:pt>
                <c:pt idx="19">
                  <c:v>103/12/25</c:v>
                </c:pt>
                <c:pt idx="20">
                  <c:v>103/12/26</c:v>
                </c:pt>
                <c:pt idx="21">
                  <c:v>103/12/27</c:v>
                </c:pt>
                <c:pt idx="22">
                  <c:v>103/12/28</c:v>
                </c:pt>
                <c:pt idx="23">
                  <c:v>103/12/30</c:v>
                </c:pt>
                <c:pt idx="24">
                  <c:v>103/12/31</c:v>
                </c:pt>
                <c:pt idx="25">
                  <c:v>104/1/1</c:v>
                </c:pt>
                <c:pt idx="26">
                  <c:v>104/1/2</c:v>
                </c:pt>
                <c:pt idx="27">
                  <c:v>104/1/3</c:v>
                </c:pt>
                <c:pt idx="28">
                  <c:v>104/1/4</c:v>
                </c:pt>
                <c:pt idx="29">
                  <c:v>104/1/6</c:v>
                </c:pt>
                <c:pt idx="30">
                  <c:v>104/1/7</c:v>
                </c:pt>
                <c:pt idx="31">
                  <c:v>104/1/8</c:v>
                </c:pt>
                <c:pt idx="32">
                  <c:v>104/1/9</c:v>
                </c:pt>
                <c:pt idx="33">
                  <c:v>104/1/10</c:v>
                </c:pt>
                <c:pt idx="34">
                  <c:v>104/1/11</c:v>
                </c:pt>
                <c:pt idx="35">
                  <c:v>104/1/15</c:v>
                </c:pt>
                <c:pt idx="36">
                  <c:v>104/1/16</c:v>
                </c:pt>
                <c:pt idx="37">
                  <c:v>104/1/17</c:v>
                </c:pt>
                <c:pt idx="38">
                  <c:v>104/1/18</c:v>
                </c:pt>
                <c:pt idx="39">
                  <c:v>104/1/20</c:v>
                </c:pt>
                <c:pt idx="40">
                  <c:v>104/1/21</c:v>
                </c:pt>
                <c:pt idx="41">
                  <c:v>104/1/22</c:v>
                </c:pt>
                <c:pt idx="42">
                  <c:v>104/1/23</c:v>
                </c:pt>
                <c:pt idx="43">
                  <c:v>104/1/24</c:v>
                </c:pt>
                <c:pt idx="44">
                  <c:v>104/1/29</c:v>
                </c:pt>
                <c:pt idx="45">
                  <c:v>104/1/30</c:v>
                </c:pt>
                <c:pt idx="46">
                  <c:v>104/1/31</c:v>
                </c:pt>
                <c:pt idx="47">
                  <c:v>104/2/1</c:v>
                </c:pt>
                <c:pt idx="48">
                  <c:v>104/2/3</c:v>
                </c:pt>
                <c:pt idx="49">
                  <c:v>104/2/4</c:v>
                </c:pt>
                <c:pt idx="50">
                  <c:v>104/2/5</c:v>
                </c:pt>
                <c:pt idx="51">
                  <c:v>104/2/6</c:v>
                </c:pt>
                <c:pt idx="52">
                  <c:v>104/2/7</c:v>
                </c:pt>
                <c:pt idx="53">
                  <c:v>104/2/8</c:v>
                </c:pt>
                <c:pt idx="54">
                  <c:v>104/2/10</c:v>
                </c:pt>
                <c:pt idx="55">
                  <c:v>104/2/11</c:v>
                </c:pt>
                <c:pt idx="56">
                  <c:v>104/2/12</c:v>
                </c:pt>
                <c:pt idx="57">
                  <c:v>104/2/13</c:v>
                </c:pt>
                <c:pt idx="58">
                  <c:v>104/2/14</c:v>
                </c:pt>
                <c:pt idx="59">
                  <c:v>104/2/15</c:v>
                </c:pt>
                <c:pt idx="60">
                  <c:v>104/2/16</c:v>
                </c:pt>
                <c:pt idx="61">
                  <c:v>104/2/17</c:v>
                </c:pt>
                <c:pt idx="62">
                  <c:v>104/2/25</c:v>
                </c:pt>
                <c:pt idx="63">
                  <c:v>104/2/26</c:v>
                </c:pt>
                <c:pt idx="64">
                  <c:v>104/2/28</c:v>
                </c:pt>
                <c:pt idx="65">
                  <c:v>104/3/1</c:v>
                </c:pt>
                <c:pt idx="66">
                  <c:v>104/3/3</c:v>
                </c:pt>
                <c:pt idx="67">
                  <c:v>104/3/4</c:v>
                </c:pt>
                <c:pt idx="68">
                  <c:v>104/3/5</c:v>
                </c:pt>
                <c:pt idx="69">
                  <c:v>104/3/6</c:v>
                </c:pt>
                <c:pt idx="70">
                  <c:v>104/3/10</c:v>
                </c:pt>
                <c:pt idx="71">
                  <c:v>104/3/11</c:v>
                </c:pt>
                <c:pt idx="72">
                  <c:v>104/3/12</c:v>
                </c:pt>
                <c:pt idx="73">
                  <c:v>104/3/13</c:v>
                </c:pt>
                <c:pt idx="74">
                  <c:v>104/3/14</c:v>
                </c:pt>
                <c:pt idx="75">
                  <c:v>104/3/15</c:v>
                </c:pt>
                <c:pt idx="76">
                  <c:v>104/3/17</c:v>
                </c:pt>
                <c:pt idx="77">
                  <c:v>104/3/18</c:v>
                </c:pt>
                <c:pt idx="78">
                  <c:v>104/3/19</c:v>
                </c:pt>
                <c:pt idx="79">
                  <c:v>104/3/20</c:v>
                </c:pt>
                <c:pt idx="80">
                  <c:v>104/3/21</c:v>
                </c:pt>
                <c:pt idx="81">
                  <c:v>104/3/22</c:v>
                </c:pt>
                <c:pt idx="82">
                  <c:v>104/3/25</c:v>
                </c:pt>
                <c:pt idx="83">
                  <c:v>104/3/26</c:v>
                </c:pt>
                <c:pt idx="84">
                  <c:v>104/3/27</c:v>
                </c:pt>
                <c:pt idx="85">
                  <c:v>104/3/28</c:v>
                </c:pt>
                <c:pt idx="86">
                  <c:v>104/3/29</c:v>
                </c:pt>
                <c:pt idx="87">
                  <c:v>104/3/31</c:v>
                </c:pt>
                <c:pt idx="88">
                  <c:v>104/4/1</c:v>
                </c:pt>
                <c:pt idx="89">
                  <c:v>104/4/2</c:v>
                </c:pt>
                <c:pt idx="90">
                  <c:v>104/4/3</c:v>
                </c:pt>
                <c:pt idx="91">
                  <c:v>104/4/4</c:v>
                </c:pt>
                <c:pt idx="92">
                  <c:v>104/4/7</c:v>
                </c:pt>
                <c:pt idx="93">
                  <c:v>104/4/8</c:v>
                </c:pt>
                <c:pt idx="94">
                  <c:v>104/4/9</c:v>
                </c:pt>
                <c:pt idx="95">
                  <c:v>104/4/10</c:v>
                </c:pt>
                <c:pt idx="96">
                  <c:v>104/4/11</c:v>
                </c:pt>
                <c:pt idx="97">
                  <c:v>104/4/12</c:v>
                </c:pt>
                <c:pt idx="98">
                  <c:v>104/4/14</c:v>
                </c:pt>
                <c:pt idx="99">
                  <c:v>104/4/15</c:v>
                </c:pt>
                <c:pt idx="100">
                  <c:v>104/4/16</c:v>
                </c:pt>
                <c:pt idx="101">
                  <c:v>104/4/17</c:v>
                </c:pt>
                <c:pt idx="102">
                  <c:v>104/4/18</c:v>
                </c:pt>
                <c:pt idx="103">
                  <c:v>104/4/19</c:v>
                </c:pt>
                <c:pt idx="104">
                  <c:v>104/4/21</c:v>
                </c:pt>
                <c:pt idx="105">
                  <c:v>104/4/22</c:v>
                </c:pt>
                <c:pt idx="106">
                  <c:v>104/4/23</c:v>
                </c:pt>
                <c:pt idx="107">
                  <c:v>104/4/24</c:v>
                </c:pt>
                <c:pt idx="108">
                  <c:v>104/4/25</c:v>
                </c:pt>
                <c:pt idx="109">
                  <c:v>104/4/26</c:v>
                </c:pt>
                <c:pt idx="110">
                  <c:v>104/4/28</c:v>
                </c:pt>
                <c:pt idx="111">
                  <c:v>104/4/29</c:v>
                </c:pt>
                <c:pt idx="112">
                  <c:v>104/4/30</c:v>
                </c:pt>
                <c:pt idx="113">
                  <c:v>104/5/1</c:v>
                </c:pt>
                <c:pt idx="114">
                  <c:v>104/5/2</c:v>
                </c:pt>
                <c:pt idx="115">
                  <c:v>104/5/3</c:v>
                </c:pt>
                <c:pt idx="116">
                  <c:v>104/5/6</c:v>
                </c:pt>
                <c:pt idx="117">
                  <c:v>104/5/7</c:v>
                </c:pt>
                <c:pt idx="118">
                  <c:v>104/5/8</c:v>
                </c:pt>
                <c:pt idx="119">
                  <c:v>104/5/9</c:v>
                </c:pt>
                <c:pt idx="120">
                  <c:v>104/5/10</c:v>
                </c:pt>
                <c:pt idx="121">
                  <c:v>104/5/13</c:v>
                </c:pt>
                <c:pt idx="122">
                  <c:v>104/5/14</c:v>
                </c:pt>
                <c:pt idx="123">
                  <c:v>104/5/15</c:v>
                </c:pt>
                <c:pt idx="124">
                  <c:v>104/5/16</c:v>
                </c:pt>
                <c:pt idx="125">
                  <c:v>104/5/17</c:v>
                </c:pt>
                <c:pt idx="126">
                  <c:v>104/5/20</c:v>
                </c:pt>
                <c:pt idx="127">
                  <c:v>104/5/21</c:v>
                </c:pt>
                <c:pt idx="128">
                  <c:v>104/5/22</c:v>
                </c:pt>
                <c:pt idx="129">
                  <c:v>104/5/23</c:v>
                </c:pt>
                <c:pt idx="130">
                  <c:v>104/5/24</c:v>
                </c:pt>
                <c:pt idx="131">
                  <c:v>104/5/26</c:v>
                </c:pt>
                <c:pt idx="132">
                  <c:v>104/5/27</c:v>
                </c:pt>
                <c:pt idx="133">
                  <c:v>104/5/28</c:v>
                </c:pt>
                <c:pt idx="134">
                  <c:v>104/5/29</c:v>
                </c:pt>
                <c:pt idx="135">
                  <c:v>104/5/30</c:v>
                </c:pt>
                <c:pt idx="136">
                  <c:v>104/5/31</c:v>
                </c:pt>
                <c:pt idx="137">
                  <c:v>104/6/3</c:v>
                </c:pt>
                <c:pt idx="138">
                  <c:v>104/6/4</c:v>
                </c:pt>
                <c:pt idx="139">
                  <c:v>104/6/5</c:v>
                </c:pt>
                <c:pt idx="140">
                  <c:v>104/6/6</c:v>
                </c:pt>
                <c:pt idx="141">
                  <c:v>104/6/7</c:v>
                </c:pt>
                <c:pt idx="142">
                  <c:v>104/6/10</c:v>
                </c:pt>
                <c:pt idx="143">
                  <c:v>104/6/11</c:v>
                </c:pt>
                <c:pt idx="144">
                  <c:v>104/6/12</c:v>
                </c:pt>
                <c:pt idx="145">
                  <c:v>104/6/13</c:v>
                </c:pt>
                <c:pt idx="146">
                  <c:v>104/6/14</c:v>
                </c:pt>
                <c:pt idx="147">
                  <c:v>104/6/16</c:v>
                </c:pt>
                <c:pt idx="148">
                  <c:v>104/6/17</c:v>
                </c:pt>
                <c:pt idx="149">
                  <c:v>104/6/18</c:v>
                </c:pt>
                <c:pt idx="150">
                  <c:v>104/6/19</c:v>
                </c:pt>
                <c:pt idx="151">
                  <c:v>104/6/20</c:v>
                </c:pt>
                <c:pt idx="152">
                  <c:v>104/6/24</c:v>
                </c:pt>
                <c:pt idx="153">
                  <c:v>104/6/25</c:v>
                </c:pt>
                <c:pt idx="154">
                  <c:v>104/6/26</c:v>
                </c:pt>
                <c:pt idx="155">
                  <c:v>104/6/27</c:v>
                </c:pt>
                <c:pt idx="156">
                  <c:v>104/6/28</c:v>
                </c:pt>
                <c:pt idx="157">
                  <c:v>104/6/30</c:v>
                </c:pt>
                <c:pt idx="158">
                  <c:v>104/7/1</c:v>
                </c:pt>
                <c:pt idx="159">
                  <c:v>104/7/2</c:v>
                </c:pt>
                <c:pt idx="160">
                  <c:v>104/7/3</c:v>
                </c:pt>
                <c:pt idx="161">
                  <c:v>104/7/4</c:v>
                </c:pt>
                <c:pt idx="162">
                  <c:v>104/7/5</c:v>
                </c:pt>
                <c:pt idx="163">
                  <c:v>104/7/7</c:v>
                </c:pt>
                <c:pt idx="164">
                  <c:v>104/7/8</c:v>
                </c:pt>
                <c:pt idx="165">
                  <c:v>104/7/9</c:v>
                </c:pt>
                <c:pt idx="166">
                  <c:v>104/7/10</c:v>
                </c:pt>
                <c:pt idx="167">
                  <c:v>104/7/11</c:v>
                </c:pt>
                <c:pt idx="168">
                  <c:v>104/7/12</c:v>
                </c:pt>
                <c:pt idx="169">
                  <c:v>104/7/14</c:v>
                </c:pt>
                <c:pt idx="170">
                  <c:v>104/7/15</c:v>
                </c:pt>
                <c:pt idx="171">
                  <c:v>104/7/16</c:v>
                </c:pt>
                <c:pt idx="172">
                  <c:v>104/7/17</c:v>
                </c:pt>
                <c:pt idx="173">
                  <c:v>104/7/18</c:v>
                </c:pt>
                <c:pt idx="174">
                  <c:v>104/7/19</c:v>
                </c:pt>
                <c:pt idx="175">
                  <c:v>104/7/21</c:v>
                </c:pt>
                <c:pt idx="176">
                  <c:v>104/7/22</c:v>
                </c:pt>
                <c:pt idx="177">
                  <c:v>104/7/23</c:v>
                </c:pt>
                <c:pt idx="178">
                  <c:v>104/7/24</c:v>
                </c:pt>
                <c:pt idx="179">
                  <c:v>104/7/25</c:v>
                </c:pt>
                <c:pt idx="180">
                  <c:v>104/7/26</c:v>
                </c:pt>
                <c:pt idx="181">
                  <c:v>104/7/28</c:v>
                </c:pt>
                <c:pt idx="182">
                  <c:v>104/7/29</c:v>
                </c:pt>
                <c:pt idx="183">
                  <c:v>104/7/30</c:v>
                </c:pt>
                <c:pt idx="184">
                  <c:v>104/7/31</c:v>
                </c:pt>
                <c:pt idx="185">
                  <c:v>104/8/1</c:v>
                </c:pt>
                <c:pt idx="186">
                  <c:v>104/8/2</c:v>
                </c:pt>
                <c:pt idx="187">
                  <c:v>104/8/5</c:v>
                </c:pt>
                <c:pt idx="188">
                  <c:v>104/8/6</c:v>
                </c:pt>
                <c:pt idx="189">
                  <c:v>104/8/7</c:v>
                </c:pt>
                <c:pt idx="190">
                  <c:v>104/8/11</c:v>
                </c:pt>
                <c:pt idx="191">
                  <c:v>104/8/12</c:v>
                </c:pt>
                <c:pt idx="192">
                  <c:v>104/8/13</c:v>
                </c:pt>
                <c:pt idx="193">
                  <c:v>104/8/14</c:v>
                </c:pt>
                <c:pt idx="194">
                  <c:v>104/8/15</c:v>
                </c:pt>
                <c:pt idx="195">
                  <c:v>104/8/16</c:v>
                </c:pt>
                <c:pt idx="196">
                  <c:v>104/8/18</c:v>
                </c:pt>
                <c:pt idx="197">
                  <c:v>104/8/19</c:v>
                </c:pt>
                <c:pt idx="198">
                  <c:v>104/8/20</c:v>
                </c:pt>
                <c:pt idx="199">
                  <c:v>104/8/21</c:v>
                </c:pt>
                <c:pt idx="200">
                  <c:v>104/8/22</c:v>
                </c:pt>
                <c:pt idx="201">
                  <c:v>104/8/23</c:v>
                </c:pt>
                <c:pt idx="202">
                  <c:v>104/8/26</c:v>
                </c:pt>
                <c:pt idx="203">
                  <c:v>104/8/27</c:v>
                </c:pt>
                <c:pt idx="204">
                  <c:v>104/8/28</c:v>
                </c:pt>
                <c:pt idx="205">
                  <c:v>104/9/1</c:v>
                </c:pt>
                <c:pt idx="206">
                  <c:v>104/9/2</c:v>
                </c:pt>
                <c:pt idx="207">
                  <c:v>104/9/3</c:v>
                </c:pt>
                <c:pt idx="208">
                  <c:v>104/9/4</c:v>
                </c:pt>
                <c:pt idx="209">
                  <c:v>104/9/5</c:v>
                </c:pt>
                <c:pt idx="210">
                  <c:v>104/9/6</c:v>
                </c:pt>
                <c:pt idx="211">
                  <c:v>104/9/8</c:v>
                </c:pt>
                <c:pt idx="212">
                  <c:v>104/9/9</c:v>
                </c:pt>
                <c:pt idx="213">
                  <c:v>104/9/10</c:v>
                </c:pt>
                <c:pt idx="214">
                  <c:v>104/9/11</c:v>
                </c:pt>
                <c:pt idx="215">
                  <c:v>104/9/12</c:v>
                </c:pt>
                <c:pt idx="216">
                  <c:v>104/9/13</c:v>
                </c:pt>
                <c:pt idx="217">
                  <c:v>104/9/15</c:v>
                </c:pt>
                <c:pt idx="218">
                  <c:v>104/9/16</c:v>
                </c:pt>
                <c:pt idx="219">
                  <c:v>104/9/17</c:v>
                </c:pt>
                <c:pt idx="220">
                  <c:v>104/9/18</c:v>
                </c:pt>
                <c:pt idx="221">
                  <c:v>104/9/19</c:v>
                </c:pt>
                <c:pt idx="222">
                  <c:v>104/9/20</c:v>
                </c:pt>
                <c:pt idx="223">
                  <c:v>104/9/22</c:v>
                </c:pt>
                <c:pt idx="224">
                  <c:v>104/9/23</c:v>
                </c:pt>
                <c:pt idx="225">
                  <c:v>104/9/24</c:v>
                </c:pt>
                <c:pt idx="226">
                  <c:v>104/9/25</c:v>
                </c:pt>
                <c:pt idx="227">
                  <c:v>104/9/26</c:v>
                </c:pt>
                <c:pt idx="228">
                  <c:v>104/9/27</c:v>
                </c:pt>
                <c:pt idx="229">
                  <c:v>104/10/1</c:v>
                </c:pt>
                <c:pt idx="230">
                  <c:v>104/10/2</c:v>
                </c:pt>
                <c:pt idx="231">
                  <c:v>104/10/3</c:v>
                </c:pt>
                <c:pt idx="232">
                  <c:v>104/10/4</c:v>
                </c:pt>
                <c:pt idx="233">
                  <c:v>104/10/6</c:v>
                </c:pt>
                <c:pt idx="234">
                  <c:v>104/10/7</c:v>
                </c:pt>
                <c:pt idx="235">
                  <c:v>104/10/8</c:v>
                </c:pt>
                <c:pt idx="236">
                  <c:v>104/10/9</c:v>
                </c:pt>
                <c:pt idx="237">
                  <c:v>104/10/10</c:v>
                </c:pt>
                <c:pt idx="238">
                  <c:v>104/10/11</c:v>
                </c:pt>
                <c:pt idx="239">
                  <c:v>104/10/14</c:v>
                </c:pt>
                <c:pt idx="240">
                  <c:v>104/10/15</c:v>
                </c:pt>
                <c:pt idx="241">
                  <c:v>104/10/16</c:v>
                </c:pt>
                <c:pt idx="242">
                  <c:v>104/10/17</c:v>
                </c:pt>
                <c:pt idx="243">
                  <c:v>104/10/18</c:v>
                </c:pt>
                <c:pt idx="244">
                  <c:v>104/10/21</c:v>
                </c:pt>
                <c:pt idx="245">
                  <c:v>104/10/22</c:v>
                </c:pt>
                <c:pt idx="246">
                  <c:v>104/10/23</c:v>
                </c:pt>
                <c:pt idx="247">
                  <c:v>104/10/24</c:v>
                </c:pt>
                <c:pt idx="248">
                  <c:v>104/10/25</c:v>
                </c:pt>
                <c:pt idx="249">
                  <c:v>104/10/27</c:v>
                </c:pt>
                <c:pt idx="250">
                  <c:v>104/10/28</c:v>
                </c:pt>
                <c:pt idx="251">
                  <c:v>104/10/29</c:v>
                </c:pt>
                <c:pt idx="252">
                  <c:v>104/10/30</c:v>
                </c:pt>
                <c:pt idx="253">
                  <c:v>104/10/31</c:v>
                </c:pt>
                <c:pt idx="254">
                  <c:v>104/11/1</c:v>
                </c:pt>
                <c:pt idx="255">
                  <c:v>104/11/3</c:v>
                </c:pt>
                <c:pt idx="256">
                  <c:v>104/11/4</c:v>
                </c:pt>
                <c:pt idx="257">
                  <c:v>104/11/5</c:v>
                </c:pt>
                <c:pt idx="258">
                  <c:v>104/11/6</c:v>
                </c:pt>
                <c:pt idx="259">
                  <c:v>104/11/7</c:v>
                </c:pt>
                <c:pt idx="260">
                  <c:v>104/11/8</c:v>
                </c:pt>
                <c:pt idx="261">
                  <c:v>104/11/11</c:v>
                </c:pt>
                <c:pt idx="262">
                  <c:v>104/11/12</c:v>
                </c:pt>
                <c:pt idx="263">
                  <c:v>104/11/13</c:v>
                </c:pt>
                <c:pt idx="264">
                  <c:v>104/11/14</c:v>
                </c:pt>
                <c:pt idx="265">
                  <c:v>104/11/15</c:v>
                </c:pt>
                <c:pt idx="266">
                  <c:v>104/11/19</c:v>
                </c:pt>
                <c:pt idx="267">
                  <c:v>104/11/20</c:v>
                </c:pt>
                <c:pt idx="268">
                  <c:v>104/11/21</c:v>
                </c:pt>
                <c:pt idx="269">
                  <c:v>104/11/22</c:v>
                </c:pt>
                <c:pt idx="270">
                  <c:v>104/11/24</c:v>
                </c:pt>
                <c:pt idx="271">
                  <c:v>104/11/25</c:v>
                </c:pt>
                <c:pt idx="272">
                  <c:v>104/11/26</c:v>
                </c:pt>
              </c:strCache>
            </c:strRef>
          </c:cat>
          <c:val>
            <c:numRef>
              <c:f>工作表1!$P$7:$P$279</c:f>
              <c:numCache>
                <c:formatCode>General</c:formatCode>
                <c:ptCount val="273"/>
                <c:pt idx="0">
                  <c:v>90</c:v>
                </c:pt>
                <c:pt idx="1">
                  <c:v>91.67</c:v>
                </c:pt>
                <c:pt idx="2">
                  <c:v>91.67</c:v>
                </c:pt>
                <c:pt idx="3">
                  <c:v>91.67</c:v>
                </c:pt>
                <c:pt idx="4">
                  <c:v>91.67</c:v>
                </c:pt>
                <c:pt idx="5">
                  <c:v>93.33</c:v>
                </c:pt>
                <c:pt idx="6">
                  <c:v>93.33</c:v>
                </c:pt>
                <c:pt idx="7">
                  <c:v>93.33</c:v>
                </c:pt>
                <c:pt idx="8">
                  <c:v>93.33</c:v>
                </c:pt>
                <c:pt idx="9">
                  <c:v>93.33</c:v>
                </c:pt>
                <c:pt idx="10">
                  <c:v>93.33</c:v>
                </c:pt>
                <c:pt idx="11">
                  <c:v>95</c:v>
                </c:pt>
                <c:pt idx="12">
                  <c:v>96.67</c:v>
                </c:pt>
                <c:pt idx="13">
                  <c:v>96.67</c:v>
                </c:pt>
                <c:pt idx="14">
                  <c:v>98.33</c:v>
                </c:pt>
                <c:pt idx="15">
                  <c:v>98.33</c:v>
                </c:pt>
                <c:pt idx="16">
                  <c:v>98.33</c:v>
                </c:pt>
                <c:pt idx="17">
                  <c:v>100</c:v>
                </c:pt>
                <c:pt idx="18">
                  <c:v>100</c:v>
                </c:pt>
                <c:pt idx="19">
                  <c:v>100</c:v>
                </c:pt>
                <c:pt idx="20">
                  <c:v>100</c:v>
                </c:pt>
                <c:pt idx="21">
                  <c:v>100</c:v>
                </c:pt>
                <c:pt idx="22">
                  <c:v>100</c:v>
                </c:pt>
                <c:pt idx="23">
                  <c:v>100</c:v>
                </c:pt>
                <c:pt idx="24">
                  <c:v>100</c:v>
                </c:pt>
                <c:pt idx="25">
                  <c:v>100</c:v>
                </c:pt>
                <c:pt idx="26">
                  <c:v>101.67</c:v>
                </c:pt>
                <c:pt idx="27">
                  <c:v>101.67</c:v>
                </c:pt>
                <c:pt idx="28">
                  <c:v>101.67</c:v>
                </c:pt>
                <c:pt idx="29">
                  <c:v>101.67</c:v>
                </c:pt>
                <c:pt idx="30">
                  <c:v>101.67</c:v>
                </c:pt>
                <c:pt idx="31">
                  <c:v>101.67</c:v>
                </c:pt>
                <c:pt idx="32">
                  <c:v>101.67</c:v>
                </c:pt>
                <c:pt idx="33">
                  <c:v>101.67</c:v>
                </c:pt>
                <c:pt idx="34">
                  <c:v>101.67</c:v>
                </c:pt>
                <c:pt idx="35">
                  <c:v>101.67</c:v>
                </c:pt>
                <c:pt idx="36">
                  <c:v>100</c:v>
                </c:pt>
                <c:pt idx="37">
                  <c:v>100</c:v>
                </c:pt>
                <c:pt idx="38">
                  <c:v>100</c:v>
                </c:pt>
                <c:pt idx="39">
                  <c:v>100</c:v>
                </c:pt>
                <c:pt idx="40">
                  <c:v>98.33</c:v>
                </c:pt>
                <c:pt idx="41">
                  <c:v>98.33</c:v>
                </c:pt>
                <c:pt idx="42">
                  <c:v>98.33</c:v>
                </c:pt>
                <c:pt idx="43">
                  <c:v>98.33</c:v>
                </c:pt>
                <c:pt idx="44">
                  <c:v>96.67</c:v>
                </c:pt>
                <c:pt idx="45">
                  <c:v>95</c:v>
                </c:pt>
                <c:pt idx="46">
                  <c:v>95</c:v>
                </c:pt>
                <c:pt idx="47">
                  <c:v>93.33</c:v>
                </c:pt>
                <c:pt idx="48">
                  <c:v>93.33</c:v>
                </c:pt>
                <c:pt idx="49">
                  <c:v>91.67</c:v>
                </c:pt>
                <c:pt idx="50">
                  <c:v>91.67</c:v>
                </c:pt>
                <c:pt idx="51">
                  <c:v>91.67</c:v>
                </c:pt>
                <c:pt idx="52">
                  <c:v>91.67</c:v>
                </c:pt>
                <c:pt idx="53">
                  <c:v>91.67</c:v>
                </c:pt>
                <c:pt idx="54">
                  <c:v>90</c:v>
                </c:pt>
                <c:pt idx="55">
                  <c:v>90</c:v>
                </c:pt>
                <c:pt idx="56">
                  <c:v>88.33</c:v>
                </c:pt>
                <c:pt idx="57">
                  <c:v>88.33</c:v>
                </c:pt>
                <c:pt idx="58">
                  <c:v>88.33</c:v>
                </c:pt>
                <c:pt idx="59">
                  <c:v>88.33</c:v>
                </c:pt>
                <c:pt idx="60">
                  <c:v>88.33</c:v>
                </c:pt>
                <c:pt idx="61">
                  <c:v>88.33</c:v>
                </c:pt>
                <c:pt idx="62">
                  <c:v>85</c:v>
                </c:pt>
                <c:pt idx="63">
                  <c:v>85</c:v>
                </c:pt>
                <c:pt idx="64">
                  <c:v>83.33</c:v>
                </c:pt>
                <c:pt idx="65">
                  <c:v>83.33</c:v>
                </c:pt>
                <c:pt idx="66">
                  <c:v>81.67</c:v>
                </c:pt>
                <c:pt idx="67">
                  <c:v>81.67</c:v>
                </c:pt>
                <c:pt idx="68">
                  <c:v>81.67</c:v>
                </c:pt>
                <c:pt idx="69">
                  <c:v>81.67</c:v>
                </c:pt>
                <c:pt idx="70">
                  <c:v>83.33</c:v>
                </c:pt>
                <c:pt idx="71">
                  <c:v>83.33</c:v>
                </c:pt>
                <c:pt idx="72">
                  <c:v>83.33</c:v>
                </c:pt>
                <c:pt idx="73">
                  <c:v>83.33</c:v>
                </c:pt>
                <c:pt idx="74">
                  <c:v>85</c:v>
                </c:pt>
                <c:pt idx="75">
                  <c:v>85</c:v>
                </c:pt>
                <c:pt idx="76">
                  <c:v>85</c:v>
                </c:pt>
                <c:pt idx="77">
                  <c:v>85</c:v>
                </c:pt>
                <c:pt idx="78">
                  <c:v>85</c:v>
                </c:pt>
                <c:pt idx="79">
                  <c:v>86.67</c:v>
                </c:pt>
                <c:pt idx="80">
                  <c:v>86.67</c:v>
                </c:pt>
                <c:pt idx="81">
                  <c:v>86.67</c:v>
                </c:pt>
                <c:pt idx="82">
                  <c:v>86.67</c:v>
                </c:pt>
                <c:pt idx="83">
                  <c:v>88.33</c:v>
                </c:pt>
                <c:pt idx="84">
                  <c:v>88.33</c:v>
                </c:pt>
                <c:pt idx="85">
                  <c:v>88.33</c:v>
                </c:pt>
                <c:pt idx="86">
                  <c:v>88.33</c:v>
                </c:pt>
                <c:pt idx="87">
                  <c:v>90</c:v>
                </c:pt>
                <c:pt idx="88">
                  <c:v>90</c:v>
                </c:pt>
                <c:pt idx="89">
                  <c:v>90</c:v>
                </c:pt>
                <c:pt idx="90">
                  <c:v>90</c:v>
                </c:pt>
                <c:pt idx="91">
                  <c:v>90</c:v>
                </c:pt>
                <c:pt idx="92">
                  <c:v>90</c:v>
                </c:pt>
                <c:pt idx="93">
                  <c:v>90</c:v>
                </c:pt>
                <c:pt idx="94">
                  <c:v>90</c:v>
                </c:pt>
                <c:pt idx="95">
                  <c:v>90</c:v>
                </c:pt>
                <c:pt idx="96">
                  <c:v>90</c:v>
                </c:pt>
                <c:pt idx="97">
                  <c:v>88.33</c:v>
                </c:pt>
                <c:pt idx="98">
                  <c:v>88.33</c:v>
                </c:pt>
                <c:pt idx="99">
                  <c:v>88.33</c:v>
                </c:pt>
                <c:pt idx="100">
                  <c:v>88.33</c:v>
                </c:pt>
                <c:pt idx="101">
                  <c:v>88.33</c:v>
                </c:pt>
                <c:pt idx="102">
                  <c:v>88.33</c:v>
                </c:pt>
                <c:pt idx="103">
                  <c:v>88.33</c:v>
                </c:pt>
                <c:pt idx="104">
                  <c:v>88.33</c:v>
                </c:pt>
                <c:pt idx="105">
                  <c:v>88.33</c:v>
                </c:pt>
                <c:pt idx="106">
                  <c:v>88.33</c:v>
                </c:pt>
                <c:pt idx="107">
                  <c:v>88.33</c:v>
                </c:pt>
                <c:pt idx="108">
                  <c:v>88.33</c:v>
                </c:pt>
                <c:pt idx="109">
                  <c:v>88.33</c:v>
                </c:pt>
                <c:pt idx="110">
                  <c:v>86.67</c:v>
                </c:pt>
                <c:pt idx="111">
                  <c:v>86.67</c:v>
                </c:pt>
                <c:pt idx="112">
                  <c:v>86.67</c:v>
                </c:pt>
                <c:pt idx="113">
                  <c:v>86.67</c:v>
                </c:pt>
                <c:pt idx="114">
                  <c:v>86.67</c:v>
                </c:pt>
                <c:pt idx="115">
                  <c:v>86.67</c:v>
                </c:pt>
                <c:pt idx="116">
                  <c:v>85</c:v>
                </c:pt>
                <c:pt idx="117">
                  <c:v>85</c:v>
                </c:pt>
                <c:pt idx="118">
                  <c:v>85</c:v>
                </c:pt>
                <c:pt idx="119">
                  <c:v>85</c:v>
                </c:pt>
                <c:pt idx="120">
                  <c:v>85</c:v>
                </c:pt>
                <c:pt idx="121">
                  <c:v>85</c:v>
                </c:pt>
                <c:pt idx="122">
                  <c:v>83.33</c:v>
                </c:pt>
                <c:pt idx="123">
                  <c:v>83.33</c:v>
                </c:pt>
                <c:pt idx="124">
                  <c:v>83.33</c:v>
                </c:pt>
                <c:pt idx="125">
                  <c:v>85</c:v>
                </c:pt>
                <c:pt idx="126">
                  <c:v>88.33</c:v>
                </c:pt>
                <c:pt idx="127">
                  <c:v>88.33</c:v>
                </c:pt>
                <c:pt idx="128">
                  <c:v>88.33</c:v>
                </c:pt>
                <c:pt idx="129">
                  <c:v>88.33</c:v>
                </c:pt>
                <c:pt idx="130">
                  <c:v>88.33</c:v>
                </c:pt>
                <c:pt idx="131">
                  <c:v>90</c:v>
                </c:pt>
                <c:pt idx="132">
                  <c:v>90</c:v>
                </c:pt>
                <c:pt idx="133">
                  <c:v>90</c:v>
                </c:pt>
                <c:pt idx="134">
                  <c:v>91.67</c:v>
                </c:pt>
                <c:pt idx="135">
                  <c:v>93.33</c:v>
                </c:pt>
                <c:pt idx="136">
                  <c:v>93.33</c:v>
                </c:pt>
                <c:pt idx="137">
                  <c:v>95</c:v>
                </c:pt>
                <c:pt idx="138">
                  <c:v>95</c:v>
                </c:pt>
                <c:pt idx="139">
                  <c:v>95</c:v>
                </c:pt>
                <c:pt idx="140">
                  <c:v>96.67</c:v>
                </c:pt>
                <c:pt idx="141">
                  <c:v>98.33</c:v>
                </c:pt>
                <c:pt idx="142">
                  <c:v>100</c:v>
                </c:pt>
                <c:pt idx="143">
                  <c:v>100</c:v>
                </c:pt>
                <c:pt idx="144">
                  <c:v>101.67</c:v>
                </c:pt>
                <c:pt idx="145">
                  <c:v>103.33</c:v>
                </c:pt>
                <c:pt idx="146">
                  <c:v>103.33</c:v>
                </c:pt>
                <c:pt idx="147">
                  <c:v>105</c:v>
                </c:pt>
                <c:pt idx="148">
                  <c:v>105</c:v>
                </c:pt>
                <c:pt idx="149">
                  <c:v>105</c:v>
                </c:pt>
                <c:pt idx="150">
                  <c:v>105</c:v>
                </c:pt>
                <c:pt idx="151">
                  <c:v>105</c:v>
                </c:pt>
                <c:pt idx="152">
                  <c:v>105</c:v>
                </c:pt>
                <c:pt idx="153">
                  <c:v>105</c:v>
                </c:pt>
                <c:pt idx="154">
                  <c:v>105</c:v>
                </c:pt>
                <c:pt idx="155">
                  <c:v>105</c:v>
                </c:pt>
                <c:pt idx="156">
                  <c:v>105</c:v>
                </c:pt>
                <c:pt idx="157">
                  <c:v>103.33</c:v>
                </c:pt>
                <c:pt idx="158">
                  <c:v>103.33</c:v>
                </c:pt>
                <c:pt idx="159">
                  <c:v>103.33</c:v>
                </c:pt>
                <c:pt idx="160">
                  <c:v>103.33</c:v>
                </c:pt>
                <c:pt idx="161">
                  <c:v>103.33</c:v>
                </c:pt>
                <c:pt idx="162">
                  <c:v>103.33</c:v>
                </c:pt>
                <c:pt idx="163">
                  <c:v>103.33</c:v>
                </c:pt>
                <c:pt idx="164">
                  <c:v>103.33</c:v>
                </c:pt>
                <c:pt idx="165">
                  <c:v>103.33</c:v>
                </c:pt>
                <c:pt idx="166">
                  <c:v>103.33</c:v>
                </c:pt>
                <c:pt idx="167">
                  <c:v>103.33</c:v>
                </c:pt>
                <c:pt idx="168">
                  <c:v>103.33</c:v>
                </c:pt>
                <c:pt idx="169">
                  <c:v>101.67</c:v>
                </c:pt>
                <c:pt idx="170">
                  <c:v>101.67</c:v>
                </c:pt>
                <c:pt idx="171">
                  <c:v>101.67</c:v>
                </c:pt>
                <c:pt idx="172">
                  <c:v>100</c:v>
                </c:pt>
                <c:pt idx="173">
                  <c:v>100</c:v>
                </c:pt>
                <c:pt idx="174">
                  <c:v>100</c:v>
                </c:pt>
                <c:pt idx="175">
                  <c:v>100</c:v>
                </c:pt>
                <c:pt idx="176">
                  <c:v>98.33</c:v>
                </c:pt>
                <c:pt idx="177">
                  <c:v>96.67</c:v>
                </c:pt>
                <c:pt idx="178">
                  <c:v>95</c:v>
                </c:pt>
                <c:pt idx="179">
                  <c:v>95</c:v>
                </c:pt>
                <c:pt idx="180">
                  <c:v>95</c:v>
                </c:pt>
                <c:pt idx="181">
                  <c:v>93.33</c:v>
                </c:pt>
                <c:pt idx="182">
                  <c:v>93.33</c:v>
                </c:pt>
                <c:pt idx="183">
                  <c:v>93.33</c:v>
                </c:pt>
                <c:pt idx="184">
                  <c:v>91.67</c:v>
                </c:pt>
                <c:pt idx="185">
                  <c:v>90</c:v>
                </c:pt>
                <c:pt idx="186">
                  <c:v>88.33</c:v>
                </c:pt>
                <c:pt idx="187">
                  <c:v>88.33</c:v>
                </c:pt>
                <c:pt idx="188">
                  <c:v>88.33</c:v>
                </c:pt>
                <c:pt idx="189">
                  <c:v>88.33</c:v>
                </c:pt>
                <c:pt idx="190">
                  <c:v>88.33</c:v>
                </c:pt>
                <c:pt idx="191">
                  <c:v>86.67</c:v>
                </c:pt>
                <c:pt idx="192">
                  <c:v>86.67</c:v>
                </c:pt>
                <c:pt idx="193">
                  <c:v>86.67</c:v>
                </c:pt>
                <c:pt idx="194">
                  <c:v>85</c:v>
                </c:pt>
                <c:pt idx="195">
                  <c:v>85</c:v>
                </c:pt>
                <c:pt idx="196">
                  <c:v>85</c:v>
                </c:pt>
                <c:pt idx="197">
                  <c:v>85</c:v>
                </c:pt>
                <c:pt idx="198">
                  <c:v>85</c:v>
                </c:pt>
                <c:pt idx="199">
                  <c:v>83.33</c:v>
                </c:pt>
                <c:pt idx="200">
                  <c:v>83.33</c:v>
                </c:pt>
                <c:pt idx="201">
                  <c:v>81.67</c:v>
                </c:pt>
                <c:pt idx="202">
                  <c:v>81.67</c:v>
                </c:pt>
                <c:pt idx="203">
                  <c:v>81.67</c:v>
                </c:pt>
                <c:pt idx="204">
                  <c:v>81.67</c:v>
                </c:pt>
                <c:pt idx="205">
                  <c:v>81.67</c:v>
                </c:pt>
                <c:pt idx="206">
                  <c:v>80</c:v>
                </c:pt>
                <c:pt idx="207">
                  <c:v>78.33</c:v>
                </c:pt>
                <c:pt idx="208">
                  <c:v>78.33</c:v>
                </c:pt>
                <c:pt idx="209">
                  <c:v>76.67</c:v>
                </c:pt>
                <c:pt idx="210">
                  <c:v>76.67</c:v>
                </c:pt>
                <c:pt idx="211">
                  <c:v>76.67</c:v>
                </c:pt>
                <c:pt idx="212">
                  <c:v>76.67</c:v>
                </c:pt>
                <c:pt idx="213">
                  <c:v>76.67</c:v>
                </c:pt>
                <c:pt idx="214">
                  <c:v>75</c:v>
                </c:pt>
                <c:pt idx="215">
                  <c:v>75</c:v>
                </c:pt>
                <c:pt idx="216">
                  <c:v>75</c:v>
                </c:pt>
                <c:pt idx="217">
                  <c:v>73.33</c:v>
                </c:pt>
                <c:pt idx="218">
                  <c:v>73.33</c:v>
                </c:pt>
                <c:pt idx="219">
                  <c:v>73.33</c:v>
                </c:pt>
                <c:pt idx="220">
                  <c:v>71.67</c:v>
                </c:pt>
                <c:pt idx="221">
                  <c:v>71.67</c:v>
                </c:pt>
                <c:pt idx="222">
                  <c:v>71.67</c:v>
                </c:pt>
                <c:pt idx="223">
                  <c:v>71.67</c:v>
                </c:pt>
                <c:pt idx="224">
                  <c:v>71.67</c:v>
                </c:pt>
                <c:pt idx="225">
                  <c:v>71.67</c:v>
                </c:pt>
                <c:pt idx="226">
                  <c:v>71.67</c:v>
                </c:pt>
                <c:pt idx="227">
                  <c:v>71.67</c:v>
                </c:pt>
                <c:pt idx="228">
                  <c:v>71.67</c:v>
                </c:pt>
                <c:pt idx="229">
                  <c:v>71.67</c:v>
                </c:pt>
                <c:pt idx="230">
                  <c:v>70</c:v>
                </c:pt>
                <c:pt idx="231">
                  <c:v>70</c:v>
                </c:pt>
                <c:pt idx="232">
                  <c:v>68.33</c:v>
                </c:pt>
                <c:pt idx="233">
                  <c:v>68.33</c:v>
                </c:pt>
                <c:pt idx="234">
                  <c:v>68.33</c:v>
                </c:pt>
                <c:pt idx="235">
                  <c:v>68.33</c:v>
                </c:pt>
                <c:pt idx="236">
                  <c:v>68.33</c:v>
                </c:pt>
                <c:pt idx="237">
                  <c:v>68.33</c:v>
                </c:pt>
                <c:pt idx="238">
                  <c:v>68.33</c:v>
                </c:pt>
                <c:pt idx="239">
                  <c:v>68.33</c:v>
                </c:pt>
                <c:pt idx="240">
                  <c:v>68.33</c:v>
                </c:pt>
                <c:pt idx="241">
                  <c:v>68.33</c:v>
                </c:pt>
                <c:pt idx="242">
                  <c:v>70</c:v>
                </c:pt>
                <c:pt idx="243">
                  <c:v>68.33</c:v>
                </c:pt>
                <c:pt idx="244">
                  <c:v>71.67</c:v>
                </c:pt>
                <c:pt idx="245">
                  <c:v>71.67</c:v>
                </c:pt>
                <c:pt idx="246">
                  <c:v>71.67</c:v>
                </c:pt>
                <c:pt idx="247">
                  <c:v>71.67</c:v>
                </c:pt>
                <c:pt idx="248">
                  <c:v>71.67</c:v>
                </c:pt>
                <c:pt idx="249">
                  <c:v>73.33</c:v>
                </c:pt>
                <c:pt idx="250">
                  <c:v>73.33</c:v>
                </c:pt>
                <c:pt idx="251">
                  <c:v>73.33</c:v>
                </c:pt>
                <c:pt idx="252">
                  <c:v>73.33</c:v>
                </c:pt>
                <c:pt idx="253">
                  <c:v>75</c:v>
                </c:pt>
                <c:pt idx="254">
                  <c:v>75</c:v>
                </c:pt>
                <c:pt idx="255">
                  <c:v>76.67</c:v>
                </c:pt>
                <c:pt idx="256">
                  <c:v>76.67</c:v>
                </c:pt>
                <c:pt idx="257">
                  <c:v>78.33</c:v>
                </c:pt>
                <c:pt idx="258">
                  <c:v>78.33</c:v>
                </c:pt>
                <c:pt idx="259">
                  <c:v>80</c:v>
                </c:pt>
                <c:pt idx="260">
                  <c:v>80</c:v>
                </c:pt>
                <c:pt idx="261">
                  <c:v>80</c:v>
                </c:pt>
                <c:pt idx="262">
                  <c:v>81.67</c:v>
                </c:pt>
                <c:pt idx="263">
                  <c:v>83.33</c:v>
                </c:pt>
                <c:pt idx="264">
                  <c:v>85</c:v>
                </c:pt>
                <c:pt idx="265">
                  <c:v>85</c:v>
                </c:pt>
                <c:pt idx="266">
                  <c:v>86.67</c:v>
                </c:pt>
                <c:pt idx="267">
                  <c:v>86.67</c:v>
                </c:pt>
                <c:pt idx="268">
                  <c:v>86.67</c:v>
                </c:pt>
                <c:pt idx="269">
                  <c:v>90</c:v>
                </c:pt>
                <c:pt idx="270">
                  <c:v>91.67</c:v>
                </c:pt>
                <c:pt idx="271">
                  <c:v>91.67</c:v>
                </c:pt>
                <c:pt idx="272">
                  <c:v>91.67</c:v>
                </c:pt>
              </c:numCache>
            </c:numRef>
          </c:val>
          <c:smooth val="0"/>
        </c:ser>
        <c:dLbls>
          <c:showLegendKey val="0"/>
          <c:showVal val="0"/>
          <c:showCatName val="0"/>
          <c:showSerName val="0"/>
          <c:showPercent val="0"/>
          <c:showBubbleSize val="0"/>
        </c:dLbls>
        <c:marker val="1"/>
        <c:smooth val="0"/>
        <c:axId val="273122816"/>
        <c:axId val="273124352"/>
      </c:lineChart>
      <c:lineChart>
        <c:grouping val="standard"/>
        <c:varyColors val="0"/>
        <c:ser>
          <c:idx val="2"/>
          <c:order val="2"/>
          <c:tx>
            <c:v>白肉雞總貨</c:v>
          </c:tx>
          <c:spPr>
            <a:ln w="28575" cap="rnd">
              <a:solidFill>
                <a:srgbClr val="FFC000"/>
              </a:solidFill>
              <a:prstDash val="sysDash"/>
              <a:round/>
            </a:ln>
            <a:effectLst/>
          </c:spPr>
          <c:marker>
            <c:symbol val="none"/>
          </c:marker>
          <c:cat>
            <c:strRef>
              <c:f>工作表1!$A$7:$A$177</c:f>
              <c:strCache>
                <c:ptCount val="171"/>
                <c:pt idx="0">
                  <c:v>103/12/3</c:v>
                </c:pt>
                <c:pt idx="1">
                  <c:v>103/12/4</c:v>
                </c:pt>
                <c:pt idx="2">
                  <c:v>103/12/5</c:v>
                </c:pt>
                <c:pt idx="3">
                  <c:v>103/12/6</c:v>
                </c:pt>
                <c:pt idx="4">
                  <c:v>103/12/7</c:v>
                </c:pt>
                <c:pt idx="5">
                  <c:v>103/12/9</c:v>
                </c:pt>
                <c:pt idx="6">
                  <c:v>103/12/10</c:v>
                </c:pt>
                <c:pt idx="7">
                  <c:v>103/12/11</c:v>
                </c:pt>
                <c:pt idx="8">
                  <c:v>103/12/12</c:v>
                </c:pt>
                <c:pt idx="9">
                  <c:v>103/12/13</c:v>
                </c:pt>
                <c:pt idx="10">
                  <c:v>103/12/14</c:v>
                </c:pt>
                <c:pt idx="11">
                  <c:v>103/12/16</c:v>
                </c:pt>
                <c:pt idx="12">
                  <c:v>103/12/17</c:v>
                </c:pt>
                <c:pt idx="13">
                  <c:v>103/12/18</c:v>
                </c:pt>
                <c:pt idx="14">
                  <c:v>103/12/19</c:v>
                </c:pt>
                <c:pt idx="15">
                  <c:v>103/12/20</c:v>
                </c:pt>
                <c:pt idx="16">
                  <c:v>103/12/21</c:v>
                </c:pt>
                <c:pt idx="17">
                  <c:v>103/12/23</c:v>
                </c:pt>
                <c:pt idx="18">
                  <c:v>103/12/24</c:v>
                </c:pt>
                <c:pt idx="19">
                  <c:v>103/12/25</c:v>
                </c:pt>
                <c:pt idx="20">
                  <c:v>103/12/26</c:v>
                </c:pt>
                <c:pt idx="21">
                  <c:v>103/12/27</c:v>
                </c:pt>
                <c:pt idx="22">
                  <c:v>103/12/28</c:v>
                </c:pt>
                <c:pt idx="23">
                  <c:v>103/12/30</c:v>
                </c:pt>
                <c:pt idx="24">
                  <c:v>103/12/31</c:v>
                </c:pt>
                <c:pt idx="25">
                  <c:v>104/1/1</c:v>
                </c:pt>
                <c:pt idx="26">
                  <c:v>104/1/2</c:v>
                </c:pt>
                <c:pt idx="27">
                  <c:v>104/1/3</c:v>
                </c:pt>
                <c:pt idx="28">
                  <c:v>104/1/4</c:v>
                </c:pt>
                <c:pt idx="29">
                  <c:v>104/1/6</c:v>
                </c:pt>
                <c:pt idx="30">
                  <c:v>104/1/7</c:v>
                </c:pt>
                <c:pt idx="31">
                  <c:v>104/1/8</c:v>
                </c:pt>
                <c:pt idx="32">
                  <c:v>104/1/9</c:v>
                </c:pt>
                <c:pt idx="33">
                  <c:v>104/1/10</c:v>
                </c:pt>
                <c:pt idx="34">
                  <c:v>104/1/11</c:v>
                </c:pt>
                <c:pt idx="35">
                  <c:v>104/1/15</c:v>
                </c:pt>
                <c:pt idx="36">
                  <c:v>104/1/16</c:v>
                </c:pt>
                <c:pt idx="37">
                  <c:v>104/1/17</c:v>
                </c:pt>
                <c:pt idx="38">
                  <c:v>104/1/18</c:v>
                </c:pt>
                <c:pt idx="39">
                  <c:v>104/1/20</c:v>
                </c:pt>
                <c:pt idx="40">
                  <c:v>104/1/21</c:v>
                </c:pt>
                <c:pt idx="41">
                  <c:v>104/1/22</c:v>
                </c:pt>
                <c:pt idx="42">
                  <c:v>104/1/23</c:v>
                </c:pt>
                <c:pt idx="43">
                  <c:v>104/1/24</c:v>
                </c:pt>
                <c:pt idx="44">
                  <c:v>104/1/29</c:v>
                </c:pt>
                <c:pt idx="45">
                  <c:v>104/1/30</c:v>
                </c:pt>
                <c:pt idx="46">
                  <c:v>104/1/31</c:v>
                </c:pt>
                <c:pt idx="47">
                  <c:v>104/2/1</c:v>
                </c:pt>
                <c:pt idx="48">
                  <c:v>104/2/3</c:v>
                </c:pt>
                <c:pt idx="49">
                  <c:v>104/2/4</c:v>
                </c:pt>
                <c:pt idx="50">
                  <c:v>104/2/5</c:v>
                </c:pt>
                <c:pt idx="51">
                  <c:v>104/2/6</c:v>
                </c:pt>
                <c:pt idx="52">
                  <c:v>104/2/7</c:v>
                </c:pt>
                <c:pt idx="53">
                  <c:v>104/2/8</c:v>
                </c:pt>
                <c:pt idx="54">
                  <c:v>104/2/10</c:v>
                </c:pt>
                <c:pt idx="55">
                  <c:v>104/2/11</c:v>
                </c:pt>
                <c:pt idx="56">
                  <c:v>104/2/12</c:v>
                </c:pt>
                <c:pt idx="57">
                  <c:v>104/2/13</c:v>
                </c:pt>
                <c:pt idx="58">
                  <c:v>104/2/14</c:v>
                </c:pt>
                <c:pt idx="59">
                  <c:v>104/2/15</c:v>
                </c:pt>
                <c:pt idx="60">
                  <c:v>104/2/16</c:v>
                </c:pt>
                <c:pt idx="61">
                  <c:v>104/2/17</c:v>
                </c:pt>
                <c:pt idx="62">
                  <c:v>104/2/25</c:v>
                </c:pt>
                <c:pt idx="63">
                  <c:v>104/2/26</c:v>
                </c:pt>
                <c:pt idx="64">
                  <c:v>104/2/28</c:v>
                </c:pt>
                <c:pt idx="65">
                  <c:v>104/3/1</c:v>
                </c:pt>
                <c:pt idx="66">
                  <c:v>104/3/3</c:v>
                </c:pt>
                <c:pt idx="67">
                  <c:v>104/3/4</c:v>
                </c:pt>
                <c:pt idx="68">
                  <c:v>104/3/5</c:v>
                </c:pt>
                <c:pt idx="69">
                  <c:v>104/3/6</c:v>
                </c:pt>
                <c:pt idx="70">
                  <c:v>104/3/10</c:v>
                </c:pt>
                <c:pt idx="71">
                  <c:v>104/3/11</c:v>
                </c:pt>
                <c:pt idx="72">
                  <c:v>104/3/12</c:v>
                </c:pt>
                <c:pt idx="73">
                  <c:v>104/3/13</c:v>
                </c:pt>
                <c:pt idx="74">
                  <c:v>104/3/14</c:v>
                </c:pt>
                <c:pt idx="75">
                  <c:v>104/3/15</c:v>
                </c:pt>
                <c:pt idx="76">
                  <c:v>104/3/17</c:v>
                </c:pt>
                <c:pt idx="77">
                  <c:v>104/3/18</c:v>
                </c:pt>
                <c:pt idx="78">
                  <c:v>104/3/19</c:v>
                </c:pt>
                <c:pt idx="79">
                  <c:v>104/3/20</c:v>
                </c:pt>
                <c:pt idx="80">
                  <c:v>104/3/21</c:v>
                </c:pt>
                <c:pt idx="81">
                  <c:v>104/3/22</c:v>
                </c:pt>
                <c:pt idx="82">
                  <c:v>104/3/25</c:v>
                </c:pt>
                <c:pt idx="83">
                  <c:v>104/3/26</c:v>
                </c:pt>
                <c:pt idx="84">
                  <c:v>104/3/27</c:v>
                </c:pt>
                <c:pt idx="85">
                  <c:v>104/3/28</c:v>
                </c:pt>
                <c:pt idx="86">
                  <c:v>104/3/29</c:v>
                </c:pt>
                <c:pt idx="87">
                  <c:v>104/3/31</c:v>
                </c:pt>
                <c:pt idx="88">
                  <c:v>104/4/1</c:v>
                </c:pt>
                <c:pt idx="89">
                  <c:v>104/4/2</c:v>
                </c:pt>
                <c:pt idx="90">
                  <c:v>104/4/3</c:v>
                </c:pt>
                <c:pt idx="91">
                  <c:v>104/4/4</c:v>
                </c:pt>
                <c:pt idx="92">
                  <c:v>104/4/7</c:v>
                </c:pt>
                <c:pt idx="93">
                  <c:v>104/4/8</c:v>
                </c:pt>
                <c:pt idx="94">
                  <c:v>104/4/9</c:v>
                </c:pt>
                <c:pt idx="95">
                  <c:v>104/4/10</c:v>
                </c:pt>
                <c:pt idx="96">
                  <c:v>104/4/11</c:v>
                </c:pt>
                <c:pt idx="97">
                  <c:v>104/4/12</c:v>
                </c:pt>
                <c:pt idx="98">
                  <c:v>104/4/14</c:v>
                </c:pt>
                <c:pt idx="99">
                  <c:v>104/4/15</c:v>
                </c:pt>
                <c:pt idx="100">
                  <c:v>104/4/16</c:v>
                </c:pt>
                <c:pt idx="101">
                  <c:v>104/4/17</c:v>
                </c:pt>
                <c:pt idx="102">
                  <c:v>104/4/18</c:v>
                </c:pt>
                <c:pt idx="103">
                  <c:v>104/4/19</c:v>
                </c:pt>
                <c:pt idx="104">
                  <c:v>104/4/21</c:v>
                </c:pt>
                <c:pt idx="105">
                  <c:v>104/4/22</c:v>
                </c:pt>
                <c:pt idx="106">
                  <c:v>104/4/23</c:v>
                </c:pt>
                <c:pt idx="107">
                  <c:v>104/4/24</c:v>
                </c:pt>
                <c:pt idx="108">
                  <c:v>104/4/25</c:v>
                </c:pt>
                <c:pt idx="109">
                  <c:v>104/4/26</c:v>
                </c:pt>
                <c:pt idx="110">
                  <c:v>104/4/28</c:v>
                </c:pt>
                <c:pt idx="111">
                  <c:v>104/4/29</c:v>
                </c:pt>
                <c:pt idx="112">
                  <c:v>104/4/30</c:v>
                </c:pt>
                <c:pt idx="113">
                  <c:v>104/5/1</c:v>
                </c:pt>
                <c:pt idx="114">
                  <c:v>104/5/2</c:v>
                </c:pt>
                <c:pt idx="115">
                  <c:v>104/5/3</c:v>
                </c:pt>
                <c:pt idx="116">
                  <c:v>104/5/6</c:v>
                </c:pt>
                <c:pt idx="117">
                  <c:v>104/5/7</c:v>
                </c:pt>
                <c:pt idx="118">
                  <c:v>104/5/8</c:v>
                </c:pt>
                <c:pt idx="119">
                  <c:v>104/5/9</c:v>
                </c:pt>
                <c:pt idx="120">
                  <c:v>104/5/10</c:v>
                </c:pt>
                <c:pt idx="121">
                  <c:v>104/5/13</c:v>
                </c:pt>
                <c:pt idx="122">
                  <c:v>104/5/14</c:v>
                </c:pt>
                <c:pt idx="123">
                  <c:v>104/5/15</c:v>
                </c:pt>
                <c:pt idx="124">
                  <c:v>104/5/16</c:v>
                </c:pt>
                <c:pt idx="125">
                  <c:v>104/5/17</c:v>
                </c:pt>
                <c:pt idx="126">
                  <c:v>104/5/20</c:v>
                </c:pt>
                <c:pt idx="127">
                  <c:v>104/5/21</c:v>
                </c:pt>
                <c:pt idx="128">
                  <c:v>104/5/22</c:v>
                </c:pt>
                <c:pt idx="129">
                  <c:v>104/5/23</c:v>
                </c:pt>
                <c:pt idx="130">
                  <c:v>104/5/24</c:v>
                </c:pt>
                <c:pt idx="131">
                  <c:v>104/5/26</c:v>
                </c:pt>
                <c:pt idx="132">
                  <c:v>104/5/27</c:v>
                </c:pt>
                <c:pt idx="133">
                  <c:v>104/5/28</c:v>
                </c:pt>
                <c:pt idx="134">
                  <c:v>104/5/29</c:v>
                </c:pt>
                <c:pt idx="135">
                  <c:v>104/5/30</c:v>
                </c:pt>
                <c:pt idx="136">
                  <c:v>104/5/31</c:v>
                </c:pt>
                <c:pt idx="137">
                  <c:v>104/6/3</c:v>
                </c:pt>
                <c:pt idx="138">
                  <c:v>104/6/4</c:v>
                </c:pt>
                <c:pt idx="139">
                  <c:v>104/6/5</c:v>
                </c:pt>
                <c:pt idx="140">
                  <c:v>104/6/6</c:v>
                </c:pt>
                <c:pt idx="141">
                  <c:v>104/6/7</c:v>
                </c:pt>
                <c:pt idx="142">
                  <c:v>104/6/10</c:v>
                </c:pt>
                <c:pt idx="143">
                  <c:v>104/6/11</c:v>
                </c:pt>
                <c:pt idx="144">
                  <c:v>104/6/12</c:v>
                </c:pt>
                <c:pt idx="145">
                  <c:v>104/6/13</c:v>
                </c:pt>
                <c:pt idx="146">
                  <c:v>104/6/14</c:v>
                </c:pt>
                <c:pt idx="147">
                  <c:v>104/6/16</c:v>
                </c:pt>
                <c:pt idx="148">
                  <c:v>104/6/17</c:v>
                </c:pt>
                <c:pt idx="149">
                  <c:v>104/6/18</c:v>
                </c:pt>
                <c:pt idx="150">
                  <c:v>104/6/19</c:v>
                </c:pt>
                <c:pt idx="151">
                  <c:v>104/6/20</c:v>
                </c:pt>
                <c:pt idx="152">
                  <c:v>104/6/24</c:v>
                </c:pt>
                <c:pt idx="153">
                  <c:v>104/6/25</c:v>
                </c:pt>
                <c:pt idx="154">
                  <c:v>104/6/26</c:v>
                </c:pt>
                <c:pt idx="155">
                  <c:v>104/6/27</c:v>
                </c:pt>
                <c:pt idx="156">
                  <c:v>104/6/28</c:v>
                </c:pt>
                <c:pt idx="157">
                  <c:v>104/6/30</c:v>
                </c:pt>
                <c:pt idx="158">
                  <c:v>104/7/1</c:v>
                </c:pt>
                <c:pt idx="159">
                  <c:v>104/7/2</c:v>
                </c:pt>
                <c:pt idx="160">
                  <c:v>104/7/3</c:v>
                </c:pt>
                <c:pt idx="161">
                  <c:v>104/7/4</c:v>
                </c:pt>
                <c:pt idx="162">
                  <c:v>104/7/5</c:v>
                </c:pt>
                <c:pt idx="163">
                  <c:v>104/7/7</c:v>
                </c:pt>
                <c:pt idx="164">
                  <c:v>104/7/8</c:v>
                </c:pt>
                <c:pt idx="165">
                  <c:v>104/7/9</c:v>
                </c:pt>
                <c:pt idx="166">
                  <c:v>104/7/10</c:v>
                </c:pt>
                <c:pt idx="167">
                  <c:v>104/7/11</c:v>
                </c:pt>
                <c:pt idx="168">
                  <c:v>104/7/12</c:v>
                </c:pt>
                <c:pt idx="169">
                  <c:v>104/7/14</c:v>
                </c:pt>
                <c:pt idx="170">
                  <c:v>104/7/15</c:v>
                </c:pt>
              </c:strCache>
            </c:strRef>
          </c:cat>
          <c:val>
            <c:numRef>
              <c:f>工作表1!$AA$7:$AA$279</c:f>
              <c:numCache>
                <c:formatCode>General</c:formatCode>
                <c:ptCount val="273"/>
                <c:pt idx="0">
                  <c:v>58.33</c:v>
                </c:pt>
                <c:pt idx="1">
                  <c:v>58.33</c:v>
                </c:pt>
                <c:pt idx="2">
                  <c:v>57.5</c:v>
                </c:pt>
                <c:pt idx="3">
                  <c:v>57.5</c:v>
                </c:pt>
                <c:pt idx="4">
                  <c:v>57.5</c:v>
                </c:pt>
                <c:pt idx="5">
                  <c:v>57.5</c:v>
                </c:pt>
                <c:pt idx="6">
                  <c:v>57.5</c:v>
                </c:pt>
                <c:pt idx="7">
                  <c:v>57.5</c:v>
                </c:pt>
                <c:pt idx="8">
                  <c:v>57.5</c:v>
                </c:pt>
                <c:pt idx="9">
                  <c:v>57.5</c:v>
                </c:pt>
                <c:pt idx="10">
                  <c:v>57.5</c:v>
                </c:pt>
                <c:pt idx="11">
                  <c:v>57.5</c:v>
                </c:pt>
                <c:pt idx="12">
                  <c:v>57.5</c:v>
                </c:pt>
                <c:pt idx="13">
                  <c:v>57.5</c:v>
                </c:pt>
                <c:pt idx="14">
                  <c:v>57.5</c:v>
                </c:pt>
                <c:pt idx="15">
                  <c:v>57.5</c:v>
                </c:pt>
                <c:pt idx="16">
                  <c:v>57.5</c:v>
                </c:pt>
                <c:pt idx="17">
                  <c:v>57.5</c:v>
                </c:pt>
                <c:pt idx="18">
                  <c:v>57.5</c:v>
                </c:pt>
                <c:pt idx="19">
                  <c:v>57.5</c:v>
                </c:pt>
                <c:pt idx="20">
                  <c:v>57.5</c:v>
                </c:pt>
                <c:pt idx="21">
                  <c:v>57.5</c:v>
                </c:pt>
                <c:pt idx="22">
                  <c:v>57.5</c:v>
                </c:pt>
                <c:pt idx="23">
                  <c:v>57.5</c:v>
                </c:pt>
                <c:pt idx="24">
                  <c:v>57.5</c:v>
                </c:pt>
                <c:pt idx="25">
                  <c:v>57.5</c:v>
                </c:pt>
                <c:pt idx="26">
                  <c:v>57.5</c:v>
                </c:pt>
                <c:pt idx="27">
                  <c:v>57.5</c:v>
                </c:pt>
                <c:pt idx="28">
                  <c:v>57.5</c:v>
                </c:pt>
                <c:pt idx="29">
                  <c:v>57.5</c:v>
                </c:pt>
                <c:pt idx="30">
                  <c:v>57.5</c:v>
                </c:pt>
                <c:pt idx="31">
                  <c:v>57.5</c:v>
                </c:pt>
                <c:pt idx="32">
                  <c:v>57.5</c:v>
                </c:pt>
                <c:pt idx="33">
                  <c:v>57.5</c:v>
                </c:pt>
                <c:pt idx="34">
                  <c:v>57.5</c:v>
                </c:pt>
                <c:pt idx="35">
                  <c:v>57.5</c:v>
                </c:pt>
                <c:pt idx="36">
                  <c:v>57.5</c:v>
                </c:pt>
                <c:pt idx="37">
                  <c:v>57.5</c:v>
                </c:pt>
                <c:pt idx="38">
                  <c:v>57.5</c:v>
                </c:pt>
                <c:pt idx="39">
                  <c:v>57.5</c:v>
                </c:pt>
                <c:pt idx="40">
                  <c:v>57.5</c:v>
                </c:pt>
                <c:pt idx="41">
                  <c:v>57.5</c:v>
                </c:pt>
                <c:pt idx="42">
                  <c:v>57.5</c:v>
                </c:pt>
                <c:pt idx="43">
                  <c:v>57.5</c:v>
                </c:pt>
                <c:pt idx="44">
                  <c:v>57.5</c:v>
                </c:pt>
                <c:pt idx="45">
                  <c:v>57.5</c:v>
                </c:pt>
                <c:pt idx="46">
                  <c:v>57.5</c:v>
                </c:pt>
                <c:pt idx="47">
                  <c:v>57.5</c:v>
                </c:pt>
                <c:pt idx="48">
                  <c:v>57.5</c:v>
                </c:pt>
                <c:pt idx="49">
                  <c:v>57.5</c:v>
                </c:pt>
                <c:pt idx="50">
                  <c:v>57.5</c:v>
                </c:pt>
                <c:pt idx="51">
                  <c:v>57.5</c:v>
                </c:pt>
                <c:pt idx="52">
                  <c:v>57.5</c:v>
                </c:pt>
                <c:pt idx="53">
                  <c:v>57.5</c:v>
                </c:pt>
                <c:pt idx="54">
                  <c:v>57.5</c:v>
                </c:pt>
                <c:pt idx="55">
                  <c:v>57.5</c:v>
                </c:pt>
                <c:pt idx="56">
                  <c:v>57.5</c:v>
                </c:pt>
                <c:pt idx="57">
                  <c:v>57.5</c:v>
                </c:pt>
                <c:pt idx="58">
                  <c:v>57.5</c:v>
                </c:pt>
                <c:pt idx="59">
                  <c:v>57.5</c:v>
                </c:pt>
                <c:pt idx="60">
                  <c:v>57.5</c:v>
                </c:pt>
                <c:pt idx="61">
                  <c:v>57.5</c:v>
                </c:pt>
                <c:pt idx="62">
                  <c:v>58.33</c:v>
                </c:pt>
                <c:pt idx="63">
                  <c:v>58.33</c:v>
                </c:pt>
                <c:pt idx="64">
                  <c:v>58.33</c:v>
                </c:pt>
                <c:pt idx="65">
                  <c:v>58.33</c:v>
                </c:pt>
                <c:pt idx="66">
                  <c:v>58.33</c:v>
                </c:pt>
                <c:pt idx="67">
                  <c:v>58.33</c:v>
                </c:pt>
                <c:pt idx="68">
                  <c:v>58.33</c:v>
                </c:pt>
                <c:pt idx="69">
                  <c:v>58.33</c:v>
                </c:pt>
                <c:pt idx="70">
                  <c:v>58.33</c:v>
                </c:pt>
                <c:pt idx="71">
                  <c:v>58.33</c:v>
                </c:pt>
                <c:pt idx="72">
                  <c:v>58.33</c:v>
                </c:pt>
                <c:pt idx="73">
                  <c:v>58.33</c:v>
                </c:pt>
                <c:pt idx="74">
                  <c:v>58.33</c:v>
                </c:pt>
                <c:pt idx="75">
                  <c:v>58.33</c:v>
                </c:pt>
                <c:pt idx="76">
                  <c:v>58.33</c:v>
                </c:pt>
                <c:pt idx="77">
                  <c:v>58.33</c:v>
                </c:pt>
                <c:pt idx="78">
                  <c:v>58.33</c:v>
                </c:pt>
                <c:pt idx="79">
                  <c:v>58.33</c:v>
                </c:pt>
                <c:pt idx="80">
                  <c:v>58.33</c:v>
                </c:pt>
                <c:pt idx="81">
                  <c:v>58.33</c:v>
                </c:pt>
                <c:pt idx="82">
                  <c:v>58.33</c:v>
                </c:pt>
                <c:pt idx="83">
                  <c:v>58.33</c:v>
                </c:pt>
                <c:pt idx="84">
                  <c:v>58.33</c:v>
                </c:pt>
                <c:pt idx="85">
                  <c:v>58.33</c:v>
                </c:pt>
                <c:pt idx="86">
                  <c:v>58.33</c:v>
                </c:pt>
                <c:pt idx="87">
                  <c:v>58.33</c:v>
                </c:pt>
                <c:pt idx="88">
                  <c:v>58.33</c:v>
                </c:pt>
                <c:pt idx="89">
                  <c:v>59.17</c:v>
                </c:pt>
                <c:pt idx="90">
                  <c:v>59.17</c:v>
                </c:pt>
                <c:pt idx="91">
                  <c:v>59.17</c:v>
                </c:pt>
                <c:pt idx="92">
                  <c:v>59.17</c:v>
                </c:pt>
                <c:pt idx="93">
                  <c:v>59.17</c:v>
                </c:pt>
                <c:pt idx="94">
                  <c:v>59.17</c:v>
                </c:pt>
                <c:pt idx="95">
                  <c:v>59.17</c:v>
                </c:pt>
                <c:pt idx="96">
                  <c:v>59.17</c:v>
                </c:pt>
                <c:pt idx="97">
                  <c:v>59.17</c:v>
                </c:pt>
                <c:pt idx="98">
                  <c:v>59.17</c:v>
                </c:pt>
                <c:pt idx="99">
                  <c:v>59.17</c:v>
                </c:pt>
                <c:pt idx="100">
                  <c:v>59.17</c:v>
                </c:pt>
                <c:pt idx="101">
                  <c:v>59.17</c:v>
                </c:pt>
                <c:pt idx="102">
                  <c:v>59.17</c:v>
                </c:pt>
                <c:pt idx="103">
                  <c:v>59.17</c:v>
                </c:pt>
                <c:pt idx="104">
                  <c:v>59.17</c:v>
                </c:pt>
                <c:pt idx="105">
                  <c:v>59.17</c:v>
                </c:pt>
                <c:pt idx="106">
                  <c:v>59.17</c:v>
                </c:pt>
                <c:pt idx="107">
                  <c:v>59.17</c:v>
                </c:pt>
                <c:pt idx="108">
                  <c:v>59.17</c:v>
                </c:pt>
                <c:pt idx="109">
                  <c:v>59.17</c:v>
                </c:pt>
                <c:pt idx="110">
                  <c:v>59.17</c:v>
                </c:pt>
                <c:pt idx="111">
                  <c:v>59.17</c:v>
                </c:pt>
                <c:pt idx="112">
                  <c:v>59.17</c:v>
                </c:pt>
                <c:pt idx="113">
                  <c:v>59.17</c:v>
                </c:pt>
                <c:pt idx="114">
                  <c:v>59.17</c:v>
                </c:pt>
                <c:pt idx="115">
                  <c:v>59.17</c:v>
                </c:pt>
                <c:pt idx="116">
                  <c:v>59.17</c:v>
                </c:pt>
                <c:pt idx="117">
                  <c:v>59.17</c:v>
                </c:pt>
                <c:pt idx="118">
                  <c:v>59.17</c:v>
                </c:pt>
                <c:pt idx="119">
                  <c:v>59.17</c:v>
                </c:pt>
                <c:pt idx="120">
                  <c:v>59.17</c:v>
                </c:pt>
                <c:pt idx="121">
                  <c:v>59.17</c:v>
                </c:pt>
                <c:pt idx="122">
                  <c:v>59.17</c:v>
                </c:pt>
                <c:pt idx="123">
                  <c:v>59.17</c:v>
                </c:pt>
                <c:pt idx="124">
                  <c:v>59.17</c:v>
                </c:pt>
                <c:pt idx="125">
                  <c:v>59.17</c:v>
                </c:pt>
                <c:pt idx="126">
                  <c:v>59.17</c:v>
                </c:pt>
                <c:pt idx="127">
                  <c:v>59.17</c:v>
                </c:pt>
                <c:pt idx="128">
                  <c:v>59.17</c:v>
                </c:pt>
                <c:pt idx="129">
                  <c:v>59.17</c:v>
                </c:pt>
                <c:pt idx="130">
                  <c:v>59.17</c:v>
                </c:pt>
                <c:pt idx="131">
                  <c:v>59.17</c:v>
                </c:pt>
                <c:pt idx="132">
                  <c:v>59.17</c:v>
                </c:pt>
                <c:pt idx="133">
                  <c:v>59.17</c:v>
                </c:pt>
                <c:pt idx="134">
                  <c:v>59.17</c:v>
                </c:pt>
                <c:pt idx="135">
                  <c:v>58.33</c:v>
                </c:pt>
                <c:pt idx="136">
                  <c:v>58.33</c:v>
                </c:pt>
                <c:pt idx="137">
                  <c:v>58.33</c:v>
                </c:pt>
                <c:pt idx="138">
                  <c:v>58.33</c:v>
                </c:pt>
                <c:pt idx="139">
                  <c:v>58.33</c:v>
                </c:pt>
                <c:pt idx="140">
                  <c:v>58.33</c:v>
                </c:pt>
                <c:pt idx="141">
                  <c:v>58.33</c:v>
                </c:pt>
                <c:pt idx="142">
                  <c:v>58.33</c:v>
                </c:pt>
                <c:pt idx="143">
                  <c:v>58.33</c:v>
                </c:pt>
                <c:pt idx="144">
                  <c:v>58.33</c:v>
                </c:pt>
                <c:pt idx="145">
                  <c:v>58.33</c:v>
                </c:pt>
                <c:pt idx="146">
                  <c:v>58.33</c:v>
                </c:pt>
                <c:pt idx="147">
                  <c:v>58.33</c:v>
                </c:pt>
                <c:pt idx="148">
                  <c:v>58.33</c:v>
                </c:pt>
                <c:pt idx="149">
                  <c:v>58.33</c:v>
                </c:pt>
                <c:pt idx="150">
                  <c:v>58.33</c:v>
                </c:pt>
                <c:pt idx="151">
                  <c:v>58.33</c:v>
                </c:pt>
                <c:pt idx="152">
                  <c:v>58.33</c:v>
                </c:pt>
                <c:pt idx="153">
                  <c:v>58.33</c:v>
                </c:pt>
                <c:pt idx="154">
                  <c:v>58.33</c:v>
                </c:pt>
                <c:pt idx="155">
                  <c:v>58.33</c:v>
                </c:pt>
                <c:pt idx="156">
                  <c:v>58.33</c:v>
                </c:pt>
                <c:pt idx="157">
                  <c:v>58.33</c:v>
                </c:pt>
                <c:pt idx="158">
                  <c:v>58.33</c:v>
                </c:pt>
                <c:pt idx="159">
                  <c:v>57.5</c:v>
                </c:pt>
                <c:pt idx="160">
                  <c:v>57.5</c:v>
                </c:pt>
                <c:pt idx="161">
                  <c:v>57.5</c:v>
                </c:pt>
                <c:pt idx="162">
                  <c:v>57.5</c:v>
                </c:pt>
                <c:pt idx="163">
                  <c:v>57.5</c:v>
                </c:pt>
                <c:pt idx="164">
                  <c:v>57.5</c:v>
                </c:pt>
                <c:pt idx="165">
                  <c:v>57.5</c:v>
                </c:pt>
                <c:pt idx="166">
                  <c:v>57.5</c:v>
                </c:pt>
                <c:pt idx="167">
                  <c:v>57.5</c:v>
                </c:pt>
                <c:pt idx="168">
                  <c:v>57.5</c:v>
                </c:pt>
                <c:pt idx="169">
                  <c:v>57.5</c:v>
                </c:pt>
                <c:pt idx="170">
                  <c:v>57.5</c:v>
                </c:pt>
                <c:pt idx="171">
                  <c:v>57.5</c:v>
                </c:pt>
                <c:pt idx="172">
                  <c:v>57.5</c:v>
                </c:pt>
                <c:pt idx="173">
                  <c:v>57.5</c:v>
                </c:pt>
                <c:pt idx="174">
                  <c:v>57.5</c:v>
                </c:pt>
                <c:pt idx="175">
                  <c:v>57.5</c:v>
                </c:pt>
                <c:pt idx="176">
                  <c:v>57.5</c:v>
                </c:pt>
                <c:pt idx="177">
                  <c:v>57.5</c:v>
                </c:pt>
                <c:pt idx="178">
                  <c:v>57.5</c:v>
                </c:pt>
                <c:pt idx="179">
                  <c:v>57.5</c:v>
                </c:pt>
                <c:pt idx="180">
                  <c:v>57.5</c:v>
                </c:pt>
                <c:pt idx="181">
                  <c:v>57.5</c:v>
                </c:pt>
                <c:pt idx="182">
                  <c:v>57.5</c:v>
                </c:pt>
                <c:pt idx="183">
                  <c:v>57.5</c:v>
                </c:pt>
                <c:pt idx="184">
                  <c:v>57.5</c:v>
                </c:pt>
                <c:pt idx="185">
                  <c:v>57.5</c:v>
                </c:pt>
                <c:pt idx="186">
                  <c:v>57.5</c:v>
                </c:pt>
                <c:pt idx="187">
                  <c:v>57.5</c:v>
                </c:pt>
                <c:pt idx="188">
                  <c:v>57.5</c:v>
                </c:pt>
                <c:pt idx="189">
                  <c:v>57.5</c:v>
                </c:pt>
                <c:pt idx="190">
                  <c:v>57.5</c:v>
                </c:pt>
                <c:pt idx="191">
                  <c:v>57.5</c:v>
                </c:pt>
                <c:pt idx="192">
                  <c:v>57.5</c:v>
                </c:pt>
                <c:pt idx="193">
                  <c:v>57.5</c:v>
                </c:pt>
                <c:pt idx="194">
                  <c:v>57.5</c:v>
                </c:pt>
                <c:pt idx="195">
                  <c:v>57.5</c:v>
                </c:pt>
                <c:pt idx="196">
                  <c:v>57.5</c:v>
                </c:pt>
                <c:pt idx="197">
                  <c:v>57.5</c:v>
                </c:pt>
                <c:pt idx="198">
                  <c:v>57.5</c:v>
                </c:pt>
                <c:pt idx="199">
                  <c:v>57.5</c:v>
                </c:pt>
                <c:pt idx="200">
                  <c:v>57.5</c:v>
                </c:pt>
                <c:pt idx="201">
                  <c:v>57.5</c:v>
                </c:pt>
                <c:pt idx="202">
                  <c:v>57.5</c:v>
                </c:pt>
                <c:pt idx="203">
                  <c:v>57.5</c:v>
                </c:pt>
                <c:pt idx="204">
                  <c:v>57.5</c:v>
                </c:pt>
                <c:pt idx="205">
                  <c:v>57.5</c:v>
                </c:pt>
                <c:pt idx="206">
                  <c:v>57.5</c:v>
                </c:pt>
                <c:pt idx="207">
                  <c:v>57.5</c:v>
                </c:pt>
                <c:pt idx="208">
                  <c:v>57.5</c:v>
                </c:pt>
                <c:pt idx="209">
                  <c:v>57.5</c:v>
                </c:pt>
                <c:pt idx="210">
                  <c:v>57.5</c:v>
                </c:pt>
                <c:pt idx="211">
                  <c:v>57.5</c:v>
                </c:pt>
                <c:pt idx="212">
                  <c:v>57.5</c:v>
                </c:pt>
                <c:pt idx="213">
                  <c:v>57.5</c:v>
                </c:pt>
                <c:pt idx="214">
                  <c:v>57.5</c:v>
                </c:pt>
                <c:pt idx="215">
                  <c:v>57.5</c:v>
                </c:pt>
                <c:pt idx="216">
                  <c:v>57.5</c:v>
                </c:pt>
                <c:pt idx="217">
                  <c:v>57.5</c:v>
                </c:pt>
                <c:pt idx="218">
                  <c:v>57.5</c:v>
                </c:pt>
                <c:pt idx="219">
                  <c:v>57.5</c:v>
                </c:pt>
                <c:pt idx="220">
                  <c:v>57.5</c:v>
                </c:pt>
                <c:pt idx="221">
                  <c:v>57.5</c:v>
                </c:pt>
                <c:pt idx="222">
                  <c:v>57.5</c:v>
                </c:pt>
                <c:pt idx="223">
                  <c:v>57.5</c:v>
                </c:pt>
                <c:pt idx="224">
                  <c:v>57.5</c:v>
                </c:pt>
                <c:pt idx="225">
                  <c:v>57.5</c:v>
                </c:pt>
                <c:pt idx="226">
                  <c:v>57.5</c:v>
                </c:pt>
                <c:pt idx="227">
                  <c:v>57.5</c:v>
                </c:pt>
                <c:pt idx="228">
                  <c:v>57.5</c:v>
                </c:pt>
                <c:pt idx="229">
                  <c:v>57.5</c:v>
                </c:pt>
                <c:pt idx="230">
                  <c:v>57.5</c:v>
                </c:pt>
                <c:pt idx="231">
                  <c:v>56.67</c:v>
                </c:pt>
                <c:pt idx="232">
                  <c:v>56.67</c:v>
                </c:pt>
                <c:pt idx="233">
                  <c:v>56.67</c:v>
                </c:pt>
                <c:pt idx="234">
                  <c:v>56.67</c:v>
                </c:pt>
                <c:pt idx="235">
                  <c:v>56.67</c:v>
                </c:pt>
                <c:pt idx="236">
                  <c:v>56.67</c:v>
                </c:pt>
                <c:pt idx="237">
                  <c:v>56.67</c:v>
                </c:pt>
                <c:pt idx="238">
                  <c:v>56.67</c:v>
                </c:pt>
                <c:pt idx="239">
                  <c:v>56.67</c:v>
                </c:pt>
                <c:pt idx="240">
                  <c:v>56.67</c:v>
                </c:pt>
                <c:pt idx="241">
                  <c:v>56.67</c:v>
                </c:pt>
                <c:pt idx="242">
                  <c:v>56.67</c:v>
                </c:pt>
                <c:pt idx="243">
                  <c:v>56.67</c:v>
                </c:pt>
                <c:pt idx="244">
                  <c:v>56.67</c:v>
                </c:pt>
                <c:pt idx="245">
                  <c:v>56.67</c:v>
                </c:pt>
                <c:pt idx="246">
                  <c:v>56.67</c:v>
                </c:pt>
                <c:pt idx="247">
                  <c:v>56.67</c:v>
                </c:pt>
                <c:pt idx="248">
                  <c:v>56.67</c:v>
                </c:pt>
                <c:pt idx="249">
                  <c:v>56.67</c:v>
                </c:pt>
                <c:pt idx="250">
                  <c:v>56.67</c:v>
                </c:pt>
                <c:pt idx="251">
                  <c:v>56.67</c:v>
                </c:pt>
                <c:pt idx="252">
                  <c:v>56.67</c:v>
                </c:pt>
                <c:pt idx="253">
                  <c:v>56.67</c:v>
                </c:pt>
                <c:pt idx="254">
                  <c:v>56.67</c:v>
                </c:pt>
                <c:pt idx="255">
                  <c:v>56.67</c:v>
                </c:pt>
                <c:pt idx="256">
                  <c:v>56.67</c:v>
                </c:pt>
                <c:pt idx="257">
                  <c:v>56.67</c:v>
                </c:pt>
                <c:pt idx="258">
                  <c:v>56.67</c:v>
                </c:pt>
                <c:pt idx="259">
                  <c:v>56.67</c:v>
                </c:pt>
                <c:pt idx="260">
                  <c:v>56.67</c:v>
                </c:pt>
                <c:pt idx="261">
                  <c:v>56.67</c:v>
                </c:pt>
                <c:pt idx="262">
                  <c:v>56.67</c:v>
                </c:pt>
                <c:pt idx="263">
                  <c:v>56.67</c:v>
                </c:pt>
                <c:pt idx="264">
                  <c:v>56.67</c:v>
                </c:pt>
                <c:pt idx="265">
                  <c:v>56.67</c:v>
                </c:pt>
                <c:pt idx="266">
                  <c:v>56.67</c:v>
                </c:pt>
                <c:pt idx="267">
                  <c:v>56.67</c:v>
                </c:pt>
                <c:pt idx="268">
                  <c:v>56.67</c:v>
                </c:pt>
                <c:pt idx="269">
                  <c:v>56.67</c:v>
                </c:pt>
                <c:pt idx="270">
                  <c:v>56.67</c:v>
                </c:pt>
                <c:pt idx="271">
                  <c:v>56.67</c:v>
                </c:pt>
                <c:pt idx="272">
                  <c:v>56.67</c:v>
                </c:pt>
              </c:numCache>
            </c:numRef>
          </c:val>
          <c:smooth val="0"/>
        </c:ser>
        <c:dLbls>
          <c:showLegendKey val="0"/>
          <c:showVal val="0"/>
          <c:showCatName val="0"/>
          <c:showSerName val="0"/>
          <c:showPercent val="0"/>
          <c:showBubbleSize val="0"/>
        </c:dLbls>
        <c:marker val="1"/>
        <c:smooth val="0"/>
        <c:axId val="273131776"/>
        <c:axId val="273130240"/>
      </c:lineChart>
      <c:catAx>
        <c:axId val="273122816"/>
        <c:scaling>
          <c:orientation val="minMax"/>
        </c:scaling>
        <c:delete val="0"/>
        <c:axPos val="b"/>
        <c:numFmt formatCode="[$-409]mmmmm;@" sourceLinked="0"/>
        <c:majorTickMark val="in"/>
        <c:minorTickMark val="none"/>
        <c:tickLblPos val="nextTo"/>
        <c:spPr>
          <a:noFill/>
          <a:ln w="9525" cap="flat" cmpd="sng" algn="ctr">
            <a:solidFill>
              <a:sysClr val="windowText" lastClr="000000"/>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3124352"/>
        <c:crosses val="autoZero"/>
        <c:auto val="0"/>
        <c:lblAlgn val="ctr"/>
        <c:lblOffset val="100"/>
        <c:tickLblSkip val="10"/>
        <c:tickMarkSkip val="10"/>
        <c:noMultiLvlLbl val="0"/>
      </c:catAx>
      <c:valAx>
        <c:axId val="273124352"/>
        <c:scaling>
          <c:orientation val="minMax"/>
          <c:max val="105"/>
          <c:min val="65"/>
        </c:scaling>
        <c:delete val="0"/>
        <c:axPos val="l"/>
        <c:majorGridlines>
          <c:spPr>
            <a:ln w="9525" cap="flat" cmpd="sng" algn="ctr">
              <a:solidFill>
                <a:sysClr val="windowText" lastClr="000000"/>
              </a:solidFill>
              <a:prstDash val="dash"/>
              <a:round/>
            </a:ln>
            <a:effectLst/>
          </c:spPr>
        </c:majorGridlines>
        <c:numFmt formatCode="#,##0.0_);[Red]\(#,##0.0\)" sourceLinked="0"/>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3122816"/>
        <c:crosses val="autoZero"/>
        <c:crossBetween val="between"/>
      </c:valAx>
      <c:valAx>
        <c:axId val="273130240"/>
        <c:scaling>
          <c:orientation val="minMax"/>
          <c:max val="63"/>
          <c:min val="55"/>
        </c:scaling>
        <c:delete val="0"/>
        <c:axPos val="r"/>
        <c:numFmt formatCode="#,##0.0_);[Red]\(#,##0.0\)" sourceLinked="0"/>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3131776"/>
        <c:crosses val="max"/>
        <c:crossBetween val="between"/>
        <c:majorUnit val="2"/>
      </c:valAx>
      <c:catAx>
        <c:axId val="273131776"/>
        <c:scaling>
          <c:orientation val="minMax"/>
        </c:scaling>
        <c:delete val="1"/>
        <c:axPos val="b"/>
        <c:numFmt formatCode="General" sourceLinked="1"/>
        <c:majorTickMark val="out"/>
        <c:minorTickMark val="none"/>
        <c:tickLblPos val="nextTo"/>
        <c:crossAx val="273130240"/>
        <c:crosses val="autoZero"/>
        <c:auto val="0"/>
        <c:lblAlgn val="ctr"/>
        <c:lblOffset val="100"/>
        <c:noMultiLvlLbl val="0"/>
      </c:catAx>
      <c:spPr>
        <a:noFill/>
        <a:ln>
          <a:noFill/>
        </a:ln>
        <a:effectLst/>
      </c:spPr>
    </c:plotArea>
    <c:legend>
      <c:legendPos val="t"/>
      <c:layout>
        <c:manualLayout>
          <c:xMode val="edge"/>
          <c:yMode val="edge"/>
          <c:x val="0.14548004647953811"/>
          <c:y val="7.6576576576576572E-2"/>
          <c:w val="0.69331840134156852"/>
          <c:h val="8.0406469461587568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legend>
    <c:plotVisOnly val="1"/>
    <c:dispBlanksAs val="gap"/>
    <c:showDLblsOverMax val="0"/>
  </c:chart>
  <c:spPr>
    <a:solidFill>
      <a:schemeClr val="bg1"/>
    </a:solidFill>
    <a:ln w="9525" cap="flat" cmpd="sng" algn="ctr">
      <a:noFill/>
      <a:round/>
    </a:ln>
    <a:effectLst/>
  </c:spPr>
  <c:txPr>
    <a:bodyPr/>
    <a:lstStyle/>
    <a:p>
      <a:pPr>
        <a:defRPr/>
      </a:pPr>
      <a:endParaRPr lang="zh-TW"/>
    </a:p>
  </c:txPr>
  <c:externalData r:id="rId1">
    <c:autoUpdate val="0"/>
  </c:externalData>
  <c:userShapes r:id="rId2"/>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35214348206476"/>
          <c:y val="0.12442184310294549"/>
          <c:w val="0.85806846019247662"/>
          <c:h val="0.76598802847485914"/>
        </c:manualLayout>
      </c:layout>
      <c:lineChart>
        <c:grouping val="standard"/>
        <c:varyColors val="0"/>
        <c:ser>
          <c:idx val="0"/>
          <c:order val="0"/>
          <c:tx>
            <c:v>批發</c:v>
          </c:tx>
          <c:spPr>
            <a:ln w="28575" cap="rnd">
              <a:solidFill>
                <a:schemeClr val="accent6"/>
              </a:solidFill>
              <a:round/>
            </a:ln>
            <a:effectLst/>
          </c:spPr>
          <c:marker>
            <c:symbol val="none"/>
          </c:marker>
          <c:cat>
            <c:numRef>
              <c:f>[雞蛋價格歷史資料.xls]走勢圖!$A$3:$A$153</c:f>
              <c:numCache>
                <c:formatCode>General</c:formatCode>
                <c:ptCount val="151"/>
                <c:pt idx="0">
                  <c:v>1</c:v>
                </c:pt>
                <c:pt idx="31">
                  <c:v>2</c:v>
                </c:pt>
                <c:pt idx="59">
                  <c:v>3</c:v>
                </c:pt>
                <c:pt idx="90">
                  <c:v>4</c:v>
                </c:pt>
                <c:pt idx="120">
                  <c:v>5</c:v>
                </c:pt>
              </c:numCache>
            </c:numRef>
          </c:cat>
          <c:val>
            <c:numRef>
              <c:f>[雞蛋價格歷史資料.xls]走勢圖!$J$3:$J$153</c:f>
              <c:numCache>
                <c:formatCode>##0.00</c:formatCode>
                <c:ptCount val="151"/>
                <c:pt idx="0">
                  <c:v>39</c:v>
                </c:pt>
                <c:pt idx="1">
                  <c:v>39</c:v>
                </c:pt>
                <c:pt idx="2">
                  <c:v>39</c:v>
                </c:pt>
                <c:pt idx="3">
                  <c:v>41</c:v>
                </c:pt>
                <c:pt idx="4">
                  <c:v>41</c:v>
                </c:pt>
                <c:pt idx="5">
                  <c:v>41</c:v>
                </c:pt>
                <c:pt idx="6">
                  <c:v>41</c:v>
                </c:pt>
                <c:pt idx="7">
                  <c:v>41</c:v>
                </c:pt>
                <c:pt idx="8">
                  <c:v>41</c:v>
                </c:pt>
                <c:pt idx="9">
                  <c:v>41</c:v>
                </c:pt>
                <c:pt idx="10">
                  <c:v>41</c:v>
                </c:pt>
                <c:pt idx="11">
                  <c:v>41</c:v>
                </c:pt>
                <c:pt idx="12">
                  <c:v>41</c:v>
                </c:pt>
                <c:pt idx="13">
                  <c:v>41</c:v>
                </c:pt>
                <c:pt idx="14">
                  <c:v>41</c:v>
                </c:pt>
                <c:pt idx="15">
                  <c:v>41</c:v>
                </c:pt>
                <c:pt idx="16">
                  <c:v>41</c:v>
                </c:pt>
                <c:pt idx="17">
                  <c:v>41</c:v>
                </c:pt>
                <c:pt idx="18">
                  <c:v>41</c:v>
                </c:pt>
                <c:pt idx="19">
                  <c:v>41</c:v>
                </c:pt>
                <c:pt idx="20">
                  <c:v>41</c:v>
                </c:pt>
                <c:pt idx="21">
                  <c:v>41</c:v>
                </c:pt>
                <c:pt idx="22">
                  <c:v>41</c:v>
                </c:pt>
                <c:pt idx="23">
                  <c:v>41</c:v>
                </c:pt>
                <c:pt idx="24">
                  <c:v>41</c:v>
                </c:pt>
                <c:pt idx="25">
                  <c:v>41</c:v>
                </c:pt>
                <c:pt idx="26">
                  <c:v>41</c:v>
                </c:pt>
                <c:pt idx="27">
                  <c:v>41</c:v>
                </c:pt>
                <c:pt idx="28">
                  <c:v>41</c:v>
                </c:pt>
                <c:pt idx="29">
                  <c:v>41</c:v>
                </c:pt>
                <c:pt idx="30">
                  <c:v>41</c:v>
                </c:pt>
                <c:pt idx="31">
                  <c:v>41</c:v>
                </c:pt>
                <c:pt idx="32">
                  <c:v>41</c:v>
                </c:pt>
                <c:pt idx="33">
                  <c:v>41</c:v>
                </c:pt>
                <c:pt idx="34">
                  <c:v>41</c:v>
                </c:pt>
                <c:pt idx="35">
                  <c:v>41</c:v>
                </c:pt>
                <c:pt idx="36">
                  <c:v>41</c:v>
                </c:pt>
                <c:pt idx="37">
                  <c:v>41</c:v>
                </c:pt>
                <c:pt idx="38">
                  <c:v>41</c:v>
                </c:pt>
                <c:pt idx="39">
                  <c:v>41</c:v>
                </c:pt>
                <c:pt idx="40">
                  <c:v>41</c:v>
                </c:pt>
                <c:pt idx="41">
                  <c:v>38</c:v>
                </c:pt>
                <c:pt idx="42">
                  <c:v>38</c:v>
                </c:pt>
                <c:pt idx="43">
                  <c:v>38</c:v>
                </c:pt>
                <c:pt idx="44">
                  <c:v>38</c:v>
                </c:pt>
                <c:pt idx="45">
                  <c:v>38</c:v>
                </c:pt>
                <c:pt idx="46">
                  <c:v>38</c:v>
                </c:pt>
                <c:pt idx="47">
                  <c:v>38</c:v>
                </c:pt>
                <c:pt idx="48">
                  <c:v>38</c:v>
                </c:pt>
                <c:pt idx="49">
                  <c:v>38</c:v>
                </c:pt>
                <c:pt idx="50">
                  <c:v>38</c:v>
                </c:pt>
                <c:pt idx="51">
                  <c:v>38</c:v>
                </c:pt>
                <c:pt idx="52">
                  <c:v>38</c:v>
                </c:pt>
                <c:pt idx="53">
                  <c:v>38</c:v>
                </c:pt>
                <c:pt idx="54">
                  <c:v>38</c:v>
                </c:pt>
                <c:pt idx="55">
                  <c:v>38</c:v>
                </c:pt>
                <c:pt idx="56">
                  <c:v>38</c:v>
                </c:pt>
                <c:pt idx="57">
                  <c:v>38</c:v>
                </c:pt>
                <c:pt idx="58">
                  <c:v>38</c:v>
                </c:pt>
                <c:pt idx="59">
                  <c:v>41</c:v>
                </c:pt>
                <c:pt idx="60">
                  <c:v>41</c:v>
                </c:pt>
                <c:pt idx="61">
                  <c:v>41</c:v>
                </c:pt>
                <c:pt idx="62">
                  <c:v>41</c:v>
                </c:pt>
                <c:pt idx="63">
                  <c:v>41</c:v>
                </c:pt>
                <c:pt idx="64">
                  <c:v>41</c:v>
                </c:pt>
                <c:pt idx="65">
                  <c:v>41</c:v>
                </c:pt>
                <c:pt idx="66">
                  <c:v>41</c:v>
                </c:pt>
                <c:pt idx="67">
                  <c:v>41</c:v>
                </c:pt>
                <c:pt idx="68">
                  <c:v>41</c:v>
                </c:pt>
                <c:pt idx="69">
                  <c:v>41</c:v>
                </c:pt>
                <c:pt idx="70">
                  <c:v>41</c:v>
                </c:pt>
                <c:pt idx="71">
                  <c:v>41</c:v>
                </c:pt>
                <c:pt idx="72">
                  <c:v>41</c:v>
                </c:pt>
                <c:pt idx="73">
                  <c:v>41</c:v>
                </c:pt>
                <c:pt idx="74">
                  <c:v>41</c:v>
                </c:pt>
                <c:pt idx="75">
                  <c:v>41</c:v>
                </c:pt>
                <c:pt idx="76">
                  <c:v>41</c:v>
                </c:pt>
                <c:pt idx="77">
                  <c:v>41</c:v>
                </c:pt>
                <c:pt idx="78">
                  <c:v>41</c:v>
                </c:pt>
                <c:pt idx="79">
                  <c:v>41</c:v>
                </c:pt>
                <c:pt idx="80">
                  <c:v>41</c:v>
                </c:pt>
                <c:pt idx="81">
                  <c:v>41</c:v>
                </c:pt>
                <c:pt idx="82">
                  <c:v>41</c:v>
                </c:pt>
                <c:pt idx="83">
                  <c:v>38</c:v>
                </c:pt>
                <c:pt idx="84">
                  <c:v>38</c:v>
                </c:pt>
                <c:pt idx="85">
                  <c:v>38</c:v>
                </c:pt>
                <c:pt idx="86">
                  <c:v>38</c:v>
                </c:pt>
                <c:pt idx="87">
                  <c:v>38</c:v>
                </c:pt>
                <c:pt idx="88">
                  <c:v>38</c:v>
                </c:pt>
                <c:pt idx="89">
                  <c:v>38</c:v>
                </c:pt>
                <c:pt idx="90">
                  <c:v>38</c:v>
                </c:pt>
                <c:pt idx="91">
                  <c:v>38</c:v>
                </c:pt>
                <c:pt idx="92">
                  <c:v>38</c:v>
                </c:pt>
                <c:pt idx="93">
                  <c:v>38</c:v>
                </c:pt>
                <c:pt idx="94">
                  <c:v>38</c:v>
                </c:pt>
                <c:pt idx="95">
                  <c:v>38</c:v>
                </c:pt>
                <c:pt idx="96">
                  <c:v>38</c:v>
                </c:pt>
                <c:pt idx="97">
                  <c:v>35</c:v>
                </c:pt>
                <c:pt idx="98">
                  <c:v>35</c:v>
                </c:pt>
                <c:pt idx="99">
                  <c:v>35</c:v>
                </c:pt>
                <c:pt idx="100">
                  <c:v>35</c:v>
                </c:pt>
                <c:pt idx="101">
                  <c:v>35</c:v>
                </c:pt>
                <c:pt idx="102">
                  <c:v>35</c:v>
                </c:pt>
                <c:pt idx="103">
                  <c:v>35</c:v>
                </c:pt>
                <c:pt idx="104">
                  <c:v>35</c:v>
                </c:pt>
                <c:pt idx="105">
                  <c:v>35</c:v>
                </c:pt>
                <c:pt idx="106">
                  <c:v>35</c:v>
                </c:pt>
                <c:pt idx="107">
                  <c:v>35</c:v>
                </c:pt>
                <c:pt idx="108">
                  <c:v>38</c:v>
                </c:pt>
                <c:pt idx="109">
                  <c:v>38</c:v>
                </c:pt>
                <c:pt idx="110">
                  <c:v>38</c:v>
                </c:pt>
                <c:pt idx="111">
                  <c:v>38</c:v>
                </c:pt>
                <c:pt idx="112">
                  <c:v>38</c:v>
                </c:pt>
                <c:pt idx="113">
                  <c:v>38</c:v>
                </c:pt>
                <c:pt idx="114">
                  <c:v>38</c:v>
                </c:pt>
                <c:pt idx="115">
                  <c:v>38</c:v>
                </c:pt>
                <c:pt idx="116">
                  <c:v>38</c:v>
                </c:pt>
                <c:pt idx="117">
                  <c:v>38</c:v>
                </c:pt>
                <c:pt idx="118">
                  <c:v>38</c:v>
                </c:pt>
                <c:pt idx="119">
                  <c:v>38</c:v>
                </c:pt>
                <c:pt idx="120">
                  <c:v>38</c:v>
                </c:pt>
                <c:pt idx="121">
                  <c:v>38</c:v>
                </c:pt>
                <c:pt idx="122">
                  <c:v>38</c:v>
                </c:pt>
                <c:pt idx="123">
                  <c:v>38</c:v>
                </c:pt>
                <c:pt idx="124">
                  <c:v>38</c:v>
                </c:pt>
                <c:pt idx="125">
                  <c:v>34</c:v>
                </c:pt>
                <c:pt idx="126">
                  <c:v>34</c:v>
                </c:pt>
                <c:pt idx="127">
                  <c:v>34</c:v>
                </c:pt>
                <c:pt idx="128">
                  <c:v>34</c:v>
                </c:pt>
                <c:pt idx="129">
                  <c:v>34</c:v>
                </c:pt>
                <c:pt idx="130">
                  <c:v>34</c:v>
                </c:pt>
                <c:pt idx="131">
                  <c:v>34</c:v>
                </c:pt>
                <c:pt idx="132">
                  <c:v>31</c:v>
                </c:pt>
                <c:pt idx="133">
                  <c:v>31</c:v>
                </c:pt>
                <c:pt idx="134">
                  <c:v>31</c:v>
                </c:pt>
                <c:pt idx="135">
                  <c:v>31</c:v>
                </c:pt>
                <c:pt idx="136">
                  <c:v>31</c:v>
                </c:pt>
                <c:pt idx="137">
                  <c:v>31</c:v>
                </c:pt>
                <c:pt idx="138">
                  <c:v>31</c:v>
                </c:pt>
                <c:pt idx="139">
                  <c:v>31</c:v>
                </c:pt>
                <c:pt idx="140">
                  <c:v>31</c:v>
                </c:pt>
                <c:pt idx="141">
                  <c:v>31</c:v>
                </c:pt>
                <c:pt idx="142">
                  <c:v>31</c:v>
                </c:pt>
                <c:pt idx="143">
                  <c:v>31</c:v>
                </c:pt>
                <c:pt idx="144">
                  <c:v>31</c:v>
                </c:pt>
                <c:pt idx="145">
                  <c:v>31</c:v>
                </c:pt>
                <c:pt idx="146">
                  <c:v>31</c:v>
                </c:pt>
                <c:pt idx="147">
                  <c:v>31</c:v>
                </c:pt>
                <c:pt idx="148">
                  <c:v>31</c:v>
                </c:pt>
                <c:pt idx="149">
                  <c:v>31</c:v>
                </c:pt>
                <c:pt idx="150">
                  <c:v>31</c:v>
                </c:pt>
              </c:numCache>
            </c:numRef>
          </c:val>
          <c:smooth val="0"/>
        </c:ser>
        <c:ser>
          <c:idx val="1"/>
          <c:order val="1"/>
          <c:tx>
            <c:v>洗選蛋L</c:v>
          </c:tx>
          <c:spPr>
            <a:ln w="28575" cap="rnd">
              <a:solidFill>
                <a:schemeClr val="accent2"/>
              </a:solidFill>
              <a:round/>
            </a:ln>
            <a:effectLst/>
          </c:spPr>
          <c:marker>
            <c:symbol val="none"/>
          </c:marker>
          <c:val>
            <c:numRef>
              <c:f>[雞蛋價格歷史資料.xls]走勢圖!$L$3:$L$153</c:f>
              <c:numCache>
                <c:formatCode>##0.00</c:formatCode>
                <c:ptCount val="151"/>
                <c:pt idx="0">
                  <c:v>35.800000000000004</c:v>
                </c:pt>
                <c:pt idx="1">
                  <c:v>35.800000000000004</c:v>
                </c:pt>
                <c:pt idx="2">
                  <c:v>35.800000000000004</c:v>
                </c:pt>
                <c:pt idx="3">
                  <c:v>35.800000000000004</c:v>
                </c:pt>
                <c:pt idx="4">
                  <c:v>35.800000000000004</c:v>
                </c:pt>
                <c:pt idx="5">
                  <c:v>35.800000000000004</c:v>
                </c:pt>
                <c:pt idx="6">
                  <c:v>37.800000000000004</c:v>
                </c:pt>
                <c:pt idx="7">
                  <c:v>37.800000000000004</c:v>
                </c:pt>
                <c:pt idx="8">
                  <c:v>37.800000000000004</c:v>
                </c:pt>
                <c:pt idx="9">
                  <c:v>37.800000000000004</c:v>
                </c:pt>
                <c:pt idx="10">
                  <c:v>37.800000000000004</c:v>
                </c:pt>
                <c:pt idx="11">
                  <c:v>37.800000000000004</c:v>
                </c:pt>
                <c:pt idx="12">
                  <c:v>37.800000000000004</c:v>
                </c:pt>
                <c:pt idx="13">
                  <c:v>37.800000000000004</c:v>
                </c:pt>
                <c:pt idx="14">
                  <c:v>37.800000000000004</c:v>
                </c:pt>
                <c:pt idx="15">
                  <c:v>37.800000000000004</c:v>
                </c:pt>
                <c:pt idx="16">
                  <c:v>37.800000000000004</c:v>
                </c:pt>
                <c:pt idx="17">
                  <c:v>37.800000000000004</c:v>
                </c:pt>
                <c:pt idx="18">
                  <c:v>37.800000000000004</c:v>
                </c:pt>
                <c:pt idx="19">
                  <c:v>37.800000000000004</c:v>
                </c:pt>
                <c:pt idx="20">
                  <c:v>37.800000000000004</c:v>
                </c:pt>
                <c:pt idx="21">
                  <c:v>37.800000000000004</c:v>
                </c:pt>
                <c:pt idx="22">
                  <c:v>37.800000000000004</c:v>
                </c:pt>
                <c:pt idx="23">
                  <c:v>37.800000000000004</c:v>
                </c:pt>
                <c:pt idx="24">
                  <c:v>37.800000000000004</c:v>
                </c:pt>
                <c:pt idx="25">
                  <c:v>37.800000000000004</c:v>
                </c:pt>
                <c:pt idx="26">
                  <c:v>34.800000000000004</c:v>
                </c:pt>
                <c:pt idx="27">
                  <c:v>34.800000000000004</c:v>
                </c:pt>
                <c:pt idx="28">
                  <c:v>34.800000000000004</c:v>
                </c:pt>
                <c:pt idx="29">
                  <c:v>37.800000000000004</c:v>
                </c:pt>
                <c:pt idx="30">
                  <c:v>37.800000000000004</c:v>
                </c:pt>
                <c:pt idx="31">
                  <c:v>37.800000000000004</c:v>
                </c:pt>
                <c:pt idx="32">
                  <c:v>37.800000000000004</c:v>
                </c:pt>
                <c:pt idx="33">
                  <c:v>37.800000000000004</c:v>
                </c:pt>
                <c:pt idx="34">
                  <c:v>37.800000000000004</c:v>
                </c:pt>
                <c:pt idx="35">
                  <c:v>37.800000000000004</c:v>
                </c:pt>
                <c:pt idx="36">
                  <c:v>37.800000000000004</c:v>
                </c:pt>
                <c:pt idx="37">
                  <c:v>37.800000000000004</c:v>
                </c:pt>
                <c:pt idx="38">
                  <c:v>37.800000000000004</c:v>
                </c:pt>
                <c:pt idx="39">
                  <c:v>37.800000000000004</c:v>
                </c:pt>
                <c:pt idx="40">
                  <c:v>34.800000000000004</c:v>
                </c:pt>
                <c:pt idx="41">
                  <c:v>34.800000000000004</c:v>
                </c:pt>
                <c:pt idx="42">
                  <c:v>31.8</c:v>
                </c:pt>
                <c:pt idx="43">
                  <c:v>28.8</c:v>
                </c:pt>
                <c:pt idx="44">
                  <c:v>28.8</c:v>
                </c:pt>
                <c:pt idx="45">
                  <c:v>28.8</c:v>
                </c:pt>
                <c:pt idx="46">
                  <c:v>28.8</c:v>
                </c:pt>
                <c:pt idx="47">
                  <c:v>28.8</c:v>
                </c:pt>
                <c:pt idx="48">
                  <c:v>28.8</c:v>
                </c:pt>
                <c:pt idx="49">
                  <c:v>28.8</c:v>
                </c:pt>
                <c:pt idx="50">
                  <c:v>28.8</c:v>
                </c:pt>
                <c:pt idx="51">
                  <c:v>28.8</c:v>
                </c:pt>
                <c:pt idx="52">
                  <c:v>28.8</c:v>
                </c:pt>
                <c:pt idx="53">
                  <c:v>28.8</c:v>
                </c:pt>
                <c:pt idx="54">
                  <c:v>28.8</c:v>
                </c:pt>
                <c:pt idx="55">
                  <c:v>34.800000000000004</c:v>
                </c:pt>
                <c:pt idx="56">
                  <c:v>34.800000000000004</c:v>
                </c:pt>
                <c:pt idx="57">
                  <c:v>34.800000000000004</c:v>
                </c:pt>
                <c:pt idx="58">
                  <c:v>34.800000000000004</c:v>
                </c:pt>
                <c:pt idx="59">
                  <c:v>34.800000000000004</c:v>
                </c:pt>
                <c:pt idx="60">
                  <c:v>34.800000000000004</c:v>
                </c:pt>
                <c:pt idx="61">
                  <c:v>34.800000000000004</c:v>
                </c:pt>
                <c:pt idx="62">
                  <c:v>37.800000000000004</c:v>
                </c:pt>
                <c:pt idx="63">
                  <c:v>37.800000000000004</c:v>
                </c:pt>
                <c:pt idx="64">
                  <c:v>37.800000000000004</c:v>
                </c:pt>
                <c:pt idx="65">
                  <c:v>37.800000000000004</c:v>
                </c:pt>
                <c:pt idx="66">
                  <c:v>37.800000000000004</c:v>
                </c:pt>
                <c:pt idx="67">
                  <c:v>37.800000000000004</c:v>
                </c:pt>
                <c:pt idx="68">
                  <c:v>37.800000000000004</c:v>
                </c:pt>
                <c:pt idx="69">
                  <c:v>37.800000000000004</c:v>
                </c:pt>
                <c:pt idx="70">
                  <c:v>37.800000000000004</c:v>
                </c:pt>
                <c:pt idx="71">
                  <c:v>37.800000000000004</c:v>
                </c:pt>
                <c:pt idx="72">
                  <c:v>37.800000000000004</c:v>
                </c:pt>
                <c:pt idx="73">
                  <c:v>37.800000000000004</c:v>
                </c:pt>
                <c:pt idx="74">
                  <c:v>37.800000000000004</c:v>
                </c:pt>
                <c:pt idx="75">
                  <c:v>37.800000000000004</c:v>
                </c:pt>
                <c:pt idx="76">
                  <c:v>37.800000000000004</c:v>
                </c:pt>
                <c:pt idx="77">
                  <c:v>37.800000000000004</c:v>
                </c:pt>
                <c:pt idx="78">
                  <c:v>37.800000000000004</c:v>
                </c:pt>
                <c:pt idx="79">
                  <c:v>37.800000000000004</c:v>
                </c:pt>
                <c:pt idx="80">
                  <c:v>37.800000000000004</c:v>
                </c:pt>
                <c:pt idx="81">
                  <c:v>37.800000000000004</c:v>
                </c:pt>
                <c:pt idx="82">
                  <c:v>34.800000000000004</c:v>
                </c:pt>
                <c:pt idx="83">
                  <c:v>34.800000000000004</c:v>
                </c:pt>
                <c:pt idx="84">
                  <c:v>34.800000000000004</c:v>
                </c:pt>
                <c:pt idx="85">
                  <c:v>34.800000000000004</c:v>
                </c:pt>
                <c:pt idx="86">
                  <c:v>34.800000000000004</c:v>
                </c:pt>
                <c:pt idx="87">
                  <c:v>34.800000000000004</c:v>
                </c:pt>
                <c:pt idx="88">
                  <c:v>34.800000000000004</c:v>
                </c:pt>
                <c:pt idx="89">
                  <c:v>34.800000000000004</c:v>
                </c:pt>
                <c:pt idx="90">
                  <c:v>34.800000000000004</c:v>
                </c:pt>
                <c:pt idx="91">
                  <c:v>34.800000000000004</c:v>
                </c:pt>
                <c:pt idx="92">
                  <c:v>34.800000000000004</c:v>
                </c:pt>
                <c:pt idx="93">
                  <c:v>34.800000000000004</c:v>
                </c:pt>
                <c:pt idx="94">
                  <c:v>34.800000000000004</c:v>
                </c:pt>
                <c:pt idx="95">
                  <c:v>34.800000000000004</c:v>
                </c:pt>
                <c:pt idx="96">
                  <c:v>32.800000000000004</c:v>
                </c:pt>
                <c:pt idx="97">
                  <c:v>32.800000000000004</c:v>
                </c:pt>
                <c:pt idx="98">
                  <c:v>32.800000000000004</c:v>
                </c:pt>
                <c:pt idx="99">
                  <c:v>32.800000000000004</c:v>
                </c:pt>
                <c:pt idx="100">
                  <c:v>32.800000000000004</c:v>
                </c:pt>
                <c:pt idx="101">
                  <c:v>32.800000000000004</c:v>
                </c:pt>
                <c:pt idx="102">
                  <c:v>32.800000000000004</c:v>
                </c:pt>
                <c:pt idx="103">
                  <c:v>32.800000000000004</c:v>
                </c:pt>
                <c:pt idx="104">
                  <c:v>32.800000000000004</c:v>
                </c:pt>
                <c:pt idx="105">
                  <c:v>32.800000000000004</c:v>
                </c:pt>
                <c:pt idx="106">
                  <c:v>32.800000000000004</c:v>
                </c:pt>
                <c:pt idx="107">
                  <c:v>32.800000000000004</c:v>
                </c:pt>
                <c:pt idx="108">
                  <c:v>32.800000000000004</c:v>
                </c:pt>
                <c:pt idx="109">
                  <c:v>32.800000000000004</c:v>
                </c:pt>
                <c:pt idx="110">
                  <c:v>32.800000000000004</c:v>
                </c:pt>
                <c:pt idx="111">
                  <c:v>34.800000000000004</c:v>
                </c:pt>
                <c:pt idx="112">
                  <c:v>34.800000000000004</c:v>
                </c:pt>
                <c:pt idx="113">
                  <c:v>34.800000000000004</c:v>
                </c:pt>
                <c:pt idx="114">
                  <c:v>34.800000000000004</c:v>
                </c:pt>
                <c:pt idx="115">
                  <c:v>34.800000000000004</c:v>
                </c:pt>
                <c:pt idx="116">
                  <c:v>34.800000000000004</c:v>
                </c:pt>
                <c:pt idx="117">
                  <c:v>34.800000000000004</c:v>
                </c:pt>
                <c:pt idx="118">
                  <c:v>34.800000000000004</c:v>
                </c:pt>
                <c:pt idx="119">
                  <c:v>34.800000000000004</c:v>
                </c:pt>
                <c:pt idx="120">
                  <c:v>34.800000000000004</c:v>
                </c:pt>
                <c:pt idx="121">
                  <c:v>34.800000000000004</c:v>
                </c:pt>
                <c:pt idx="122">
                  <c:v>34.800000000000004</c:v>
                </c:pt>
                <c:pt idx="123">
                  <c:v>34.800000000000004</c:v>
                </c:pt>
                <c:pt idx="124">
                  <c:v>31.8</c:v>
                </c:pt>
                <c:pt idx="125">
                  <c:v>31.8</c:v>
                </c:pt>
                <c:pt idx="126">
                  <c:v>31.8</c:v>
                </c:pt>
                <c:pt idx="127">
                  <c:v>31.8</c:v>
                </c:pt>
                <c:pt idx="128">
                  <c:v>31.8</c:v>
                </c:pt>
                <c:pt idx="129">
                  <c:v>31.8</c:v>
                </c:pt>
                <c:pt idx="130">
                  <c:v>31.8</c:v>
                </c:pt>
                <c:pt idx="131">
                  <c:v>28.8</c:v>
                </c:pt>
                <c:pt idx="132">
                  <c:v>28.8</c:v>
                </c:pt>
                <c:pt idx="133">
                  <c:v>28.8</c:v>
                </c:pt>
                <c:pt idx="134">
                  <c:v>28.8</c:v>
                </c:pt>
                <c:pt idx="135">
                  <c:v>28.8</c:v>
                </c:pt>
                <c:pt idx="136">
                  <c:v>28.8</c:v>
                </c:pt>
                <c:pt idx="137">
                  <c:v>28.8</c:v>
                </c:pt>
                <c:pt idx="138">
                  <c:v>28.8</c:v>
                </c:pt>
                <c:pt idx="139">
                  <c:v>28.8</c:v>
                </c:pt>
                <c:pt idx="140">
                  <c:v>28.8</c:v>
                </c:pt>
                <c:pt idx="141">
                  <c:v>28.8</c:v>
                </c:pt>
                <c:pt idx="142">
                  <c:v>28.8</c:v>
                </c:pt>
                <c:pt idx="143">
                  <c:v>28.8</c:v>
                </c:pt>
                <c:pt idx="144">
                  <c:v>28.8</c:v>
                </c:pt>
                <c:pt idx="145">
                  <c:v>28.8</c:v>
                </c:pt>
                <c:pt idx="146">
                  <c:v>28.8</c:v>
                </c:pt>
                <c:pt idx="147">
                  <c:v>28.8</c:v>
                </c:pt>
                <c:pt idx="148">
                  <c:v>28.8</c:v>
                </c:pt>
                <c:pt idx="149">
                  <c:v>28.8</c:v>
                </c:pt>
                <c:pt idx="150">
                  <c:v>28.8</c:v>
                </c:pt>
              </c:numCache>
            </c:numRef>
          </c:val>
          <c:smooth val="0"/>
        </c:ser>
        <c:ser>
          <c:idx val="2"/>
          <c:order val="2"/>
          <c:tx>
            <c:v>洗選蛋M</c:v>
          </c:tx>
          <c:spPr>
            <a:ln w="28575" cap="rnd">
              <a:solidFill>
                <a:srgbClr val="FFC000"/>
              </a:solidFill>
              <a:prstDash val="sysDash"/>
              <a:round/>
            </a:ln>
            <a:effectLst/>
          </c:spPr>
          <c:marker>
            <c:symbol val="none"/>
          </c:marker>
          <c:val>
            <c:numRef>
              <c:f>[雞蛋價格歷史資料.xls]走勢圖!$M$3:$M$153</c:f>
              <c:numCache>
                <c:formatCode>##0.00</c:formatCode>
                <c:ptCount val="151"/>
                <c:pt idx="0">
                  <c:v>34.800000000000004</c:v>
                </c:pt>
                <c:pt idx="1">
                  <c:v>34.800000000000004</c:v>
                </c:pt>
                <c:pt idx="2">
                  <c:v>34.800000000000004</c:v>
                </c:pt>
                <c:pt idx="3">
                  <c:v>34.800000000000004</c:v>
                </c:pt>
                <c:pt idx="4">
                  <c:v>34.800000000000004</c:v>
                </c:pt>
                <c:pt idx="5">
                  <c:v>34.800000000000004</c:v>
                </c:pt>
                <c:pt idx="6">
                  <c:v>36.800000000000004</c:v>
                </c:pt>
                <c:pt idx="7">
                  <c:v>36.800000000000004</c:v>
                </c:pt>
                <c:pt idx="8">
                  <c:v>36.800000000000004</c:v>
                </c:pt>
                <c:pt idx="9">
                  <c:v>36.800000000000004</c:v>
                </c:pt>
                <c:pt idx="10">
                  <c:v>36.800000000000004</c:v>
                </c:pt>
                <c:pt idx="11">
                  <c:v>36.800000000000004</c:v>
                </c:pt>
                <c:pt idx="12">
                  <c:v>36.800000000000004</c:v>
                </c:pt>
                <c:pt idx="13">
                  <c:v>36.800000000000004</c:v>
                </c:pt>
                <c:pt idx="14">
                  <c:v>36.800000000000004</c:v>
                </c:pt>
                <c:pt idx="15">
                  <c:v>36.800000000000004</c:v>
                </c:pt>
                <c:pt idx="16">
                  <c:v>36.800000000000004</c:v>
                </c:pt>
                <c:pt idx="17">
                  <c:v>36.800000000000004</c:v>
                </c:pt>
                <c:pt idx="18">
                  <c:v>36.800000000000004</c:v>
                </c:pt>
                <c:pt idx="19">
                  <c:v>36.800000000000004</c:v>
                </c:pt>
                <c:pt idx="20">
                  <c:v>36.800000000000004</c:v>
                </c:pt>
                <c:pt idx="21">
                  <c:v>36.800000000000004</c:v>
                </c:pt>
                <c:pt idx="22">
                  <c:v>36.800000000000004</c:v>
                </c:pt>
                <c:pt idx="23">
                  <c:v>36.800000000000004</c:v>
                </c:pt>
                <c:pt idx="24">
                  <c:v>36.800000000000004</c:v>
                </c:pt>
                <c:pt idx="25">
                  <c:v>36.800000000000004</c:v>
                </c:pt>
                <c:pt idx="26">
                  <c:v>33.800000000000004</c:v>
                </c:pt>
                <c:pt idx="27">
                  <c:v>33.800000000000004</c:v>
                </c:pt>
                <c:pt idx="28">
                  <c:v>33.800000000000004</c:v>
                </c:pt>
                <c:pt idx="29">
                  <c:v>36.800000000000004</c:v>
                </c:pt>
                <c:pt idx="30">
                  <c:v>36.800000000000004</c:v>
                </c:pt>
                <c:pt idx="31">
                  <c:v>36.800000000000004</c:v>
                </c:pt>
                <c:pt idx="32">
                  <c:v>36.800000000000004</c:v>
                </c:pt>
                <c:pt idx="33">
                  <c:v>36.800000000000004</c:v>
                </c:pt>
                <c:pt idx="34">
                  <c:v>36.800000000000004</c:v>
                </c:pt>
                <c:pt idx="35">
                  <c:v>36.800000000000004</c:v>
                </c:pt>
                <c:pt idx="36">
                  <c:v>36.800000000000004</c:v>
                </c:pt>
                <c:pt idx="37">
                  <c:v>36.800000000000004</c:v>
                </c:pt>
                <c:pt idx="38">
                  <c:v>36.800000000000004</c:v>
                </c:pt>
                <c:pt idx="39">
                  <c:v>36.800000000000004</c:v>
                </c:pt>
                <c:pt idx="40">
                  <c:v>33.800000000000004</c:v>
                </c:pt>
                <c:pt idx="41">
                  <c:v>33.800000000000004</c:v>
                </c:pt>
                <c:pt idx="42">
                  <c:v>30.8</c:v>
                </c:pt>
                <c:pt idx="43">
                  <c:v>27.8</c:v>
                </c:pt>
                <c:pt idx="44">
                  <c:v>27.8</c:v>
                </c:pt>
                <c:pt idx="45">
                  <c:v>27.8</c:v>
                </c:pt>
                <c:pt idx="46">
                  <c:v>27.8</c:v>
                </c:pt>
                <c:pt idx="47">
                  <c:v>27.8</c:v>
                </c:pt>
                <c:pt idx="48">
                  <c:v>27.8</c:v>
                </c:pt>
                <c:pt idx="49">
                  <c:v>27.8</c:v>
                </c:pt>
                <c:pt idx="50">
                  <c:v>27.8</c:v>
                </c:pt>
                <c:pt idx="51">
                  <c:v>27.8</c:v>
                </c:pt>
                <c:pt idx="52">
                  <c:v>27.8</c:v>
                </c:pt>
                <c:pt idx="53">
                  <c:v>27.8</c:v>
                </c:pt>
                <c:pt idx="54">
                  <c:v>27.8</c:v>
                </c:pt>
                <c:pt idx="55">
                  <c:v>33.800000000000004</c:v>
                </c:pt>
                <c:pt idx="56">
                  <c:v>33.800000000000004</c:v>
                </c:pt>
                <c:pt idx="57">
                  <c:v>33.800000000000004</c:v>
                </c:pt>
                <c:pt idx="58">
                  <c:v>33.800000000000004</c:v>
                </c:pt>
                <c:pt idx="59">
                  <c:v>33.800000000000004</c:v>
                </c:pt>
                <c:pt idx="60">
                  <c:v>33.800000000000004</c:v>
                </c:pt>
                <c:pt idx="61">
                  <c:v>33.800000000000004</c:v>
                </c:pt>
                <c:pt idx="62">
                  <c:v>36.800000000000004</c:v>
                </c:pt>
                <c:pt idx="63">
                  <c:v>36.800000000000004</c:v>
                </c:pt>
                <c:pt idx="64">
                  <c:v>36.800000000000004</c:v>
                </c:pt>
                <c:pt idx="65">
                  <c:v>36.800000000000004</c:v>
                </c:pt>
                <c:pt idx="66">
                  <c:v>36.800000000000004</c:v>
                </c:pt>
                <c:pt idx="67">
                  <c:v>36.800000000000004</c:v>
                </c:pt>
                <c:pt idx="68">
                  <c:v>36.800000000000004</c:v>
                </c:pt>
                <c:pt idx="69">
                  <c:v>36.800000000000004</c:v>
                </c:pt>
                <c:pt idx="70">
                  <c:v>36.800000000000004</c:v>
                </c:pt>
                <c:pt idx="71">
                  <c:v>36.800000000000004</c:v>
                </c:pt>
                <c:pt idx="72">
                  <c:v>36.800000000000004</c:v>
                </c:pt>
                <c:pt idx="73">
                  <c:v>36.800000000000004</c:v>
                </c:pt>
                <c:pt idx="74">
                  <c:v>36.800000000000004</c:v>
                </c:pt>
                <c:pt idx="75">
                  <c:v>36.800000000000004</c:v>
                </c:pt>
                <c:pt idx="76">
                  <c:v>36.800000000000004</c:v>
                </c:pt>
                <c:pt idx="77">
                  <c:v>36.800000000000004</c:v>
                </c:pt>
                <c:pt idx="78">
                  <c:v>36.800000000000004</c:v>
                </c:pt>
                <c:pt idx="79">
                  <c:v>36.800000000000004</c:v>
                </c:pt>
                <c:pt idx="80">
                  <c:v>36.800000000000004</c:v>
                </c:pt>
                <c:pt idx="81">
                  <c:v>36.800000000000004</c:v>
                </c:pt>
                <c:pt idx="82">
                  <c:v>33.800000000000004</c:v>
                </c:pt>
                <c:pt idx="83">
                  <c:v>33.800000000000004</c:v>
                </c:pt>
                <c:pt idx="84">
                  <c:v>33.800000000000004</c:v>
                </c:pt>
                <c:pt idx="85">
                  <c:v>33.800000000000004</c:v>
                </c:pt>
                <c:pt idx="86">
                  <c:v>33.800000000000004</c:v>
                </c:pt>
                <c:pt idx="87">
                  <c:v>33.800000000000004</c:v>
                </c:pt>
                <c:pt idx="88">
                  <c:v>33.800000000000004</c:v>
                </c:pt>
                <c:pt idx="89">
                  <c:v>33.800000000000004</c:v>
                </c:pt>
                <c:pt idx="90">
                  <c:v>33.800000000000004</c:v>
                </c:pt>
                <c:pt idx="91">
                  <c:v>33.800000000000004</c:v>
                </c:pt>
                <c:pt idx="92">
                  <c:v>33.800000000000004</c:v>
                </c:pt>
                <c:pt idx="93">
                  <c:v>33.800000000000004</c:v>
                </c:pt>
                <c:pt idx="94">
                  <c:v>33.800000000000004</c:v>
                </c:pt>
                <c:pt idx="95">
                  <c:v>33.800000000000004</c:v>
                </c:pt>
                <c:pt idx="96">
                  <c:v>31.8</c:v>
                </c:pt>
                <c:pt idx="97">
                  <c:v>31.8</c:v>
                </c:pt>
                <c:pt idx="98">
                  <c:v>31.8</c:v>
                </c:pt>
                <c:pt idx="99">
                  <c:v>31.8</c:v>
                </c:pt>
                <c:pt idx="100">
                  <c:v>31.8</c:v>
                </c:pt>
                <c:pt idx="101">
                  <c:v>31.8</c:v>
                </c:pt>
                <c:pt idx="102">
                  <c:v>31.8</c:v>
                </c:pt>
                <c:pt idx="103">
                  <c:v>31.8</c:v>
                </c:pt>
                <c:pt idx="104">
                  <c:v>31.8</c:v>
                </c:pt>
                <c:pt idx="105">
                  <c:v>31.8</c:v>
                </c:pt>
                <c:pt idx="106">
                  <c:v>31.8</c:v>
                </c:pt>
                <c:pt idx="107">
                  <c:v>31.8</c:v>
                </c:pt>
                <c:pt idx="108">
                  <c:v>31.8</c:v>
                </c:pt>
                <c:pt idx="109">
                  <c:v>31.8</c:v>
                </c:pt>
                <c:pt idx="110">
                  <c:v>31.8</c:v>
                </c:pt>
                <c:pt idx="111">
                  <c:v>33.800000000000004</c:v>
                </c:pt>
                <c:pt idx="112">
                  <c:v>33.800000000000004</c:v>
                </c:pt>
                <c:pt idx="113">
                  <c:v>33.800000000000004</c:v>
                </c:pt>
                <c:pt idx="114">
                  <c:v>33.800000000000004</c:v>
                </c:pt>
                <c:pt idx="115">
                  <c:v>33.800000000000004</c:v>
                </c:pt>
                <c:pt idx="116">
                  <c:v>33.800000000000004</c:v>
                </c:pt>
                <c:pt idx="117">
                  <c:v>33.800000000000004</c:v>
                </c:pt>
                <c:pt idx="118">
                  <c:v>33.800000000000004</c:v>
                </c:pt>
                <c:pt idx="119">
                  <c:v>33.800000000000004</c:v>
                </c:pt>
                <c:pt idx="120">
                  <c:v>33.800000000000004</c:v>
                </c:pt>
                <c:pt idx="121">
                  <c:v>33.800000000000004</c:v>
                </c:pt>
                <c:pt idx="122">
                  <c:v>33.800000000000004</c:v>
                </c:pt>
                <c:pt idx="123">
                  <c:v>33.800000000000004</c:v>
                </c:pt>
                <c:pt idx="124">
                  <c:v>30.8</c:v>
                </c:pt>
                <c:pt idx="125">
                  <c:v>30.8</c:v>
                </c:pt>
                <c:pt idx="126">
                  <c:v>30.8</c:v>
                </c:pt>
                <c:pt idx="127">
                  <c:v>30.8</c:v>
                </c:pt>
                <c:pt idx="128">
                  <c:v>30.8</c:v>
                </c:pt>
                <c:pt idx="129">
                  <c:v>30.8</c:v>
                </c:pt>
                <c:pt idx="130">
                  <c:v>30.8</c:v>
                </c:pt>
                <c:pt idx="131">
                  <c:v>27.8</c:v>
                </c:pt>
                <c:pt idx="132">
                  <c:v>27.8</c:v>
                </c:pt>
                <c:pt idx="133">
                  <c:v>27.8</c:v>
                </c:pt>
                <c:pt idx="134">
                  <c:v>27.8</c:v>
                </c:pt>
                <c:pt idx="135">
                  <c:v>27.8</c:v>
                </c:pt>
                <c:pt idx="136">
                  <c:v>27.8</c:v>
                </c:pt>
                <c:pt idx="137">
                  <c:v>27.8</c:v>
                </c:pt>
                <c:pt idx="138">
                  <c:v>27.8</c:v>
                </c:pt>
                <c:pt idx="139">
                  <c:v>27.8</c:v>
                </c:pt>
                <c:pt idx="140">
                  <c:v>27.8</c:v>
                </c:pt>
                <c:pt idx="141">
                  <c:v>27.8</c:v>
                </c:pt>
                <c:pt idx="142">
                  <c:v>27.8</c:v>
                </c:pt>
                <c:pt idx="143">
                  <c:v>27.8</c:v>
                </c:pt>
                <c:pt idx="144">
                  <c:v>27.8</c:v>
                </c:pt>
                <c:pt idx="145">
                  <c:v>27.8</c:v>
                </c:pt>
                <c:pt idx="146">
                  <c:v>27.8</c:v>
                </c:pt>
                <c:pt idx="147">
                  <c:v>27.8</c:v>
                </c:pt>
                <c:pt idx="148">
                  <c:v>27.8</c:v>
                </c:pt>
                <c:pt idx="149">
                  <c:v>27.8</c:v>
                </c:pt>
                <c:pt idx="150">
                  <c:v>27.8</c:v>
                </c:pt>
              </c:numCache>
            </c:numRef>
          </c:val>
          <c:smooth val="0"/>
        </c:ser>
        <c:dLbls>
          <c:showLegendKey val="0"/>
          <c:showVal val="0"/>
          <c:showCatName val="0"/>
          <c:showSerName val="0"/>
          <c:showPercent val="0"/>
          <c:showBubbleSize val="0"/>
        </c:dLbls>
        <c:marker val="1"/>
        <c:smooth val="0"/>
        <c:axId val="272884480"/>
        <c:axId val="272886016"/>
      </c:lineChart>
      <c:catAx>
        <c:axId val="272884480"/>
        <c:scaling>
          <c:orientation val="minMax"/>
        </c:scaling>
        <c:delete val="0"/>
        <c:axPos val="b"/>
        <c:numFmt formatCode="General" sourceLinked="1"/>
        <c:majorTickMark val="none"/>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2886016"/>
        <c:crosses val="autoZero"/>
        <c:auto val="1"/>
        <c:lblAlgn val="ctr"/>
        <c:lblOffset val="100"/>
        <c:noMultiLvlLbl val="0"/>
      </c:catAx>
      <c:valAx>
        <c:axId val="272886016"/>
        <c:scaling>
          <c:orientation val="minMax"/>
          <c:min val="27"/>
        </c:scaling>
        <c:delete val="0"/>
        <c:axPos val="l"/>
        <c:majorGridlines>
          <c:spPr>
            <a:ln w="9525" cap="flat" cmpd="sng" algn="ctr">
              <a:solidFill>
                <a:sysClr val="windowText" lastClr="000000"/>
              </a:solidFill>
              <a:prstDash val="dash"/>
              <a:round/>
            </a:ln>
            <a:effectLst/>
          </c:spPr>
        </c:majorGridlines>
        <c:numFmt formatCode="##0.00" sourceLinked="1"/>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2884480"/>
        <c:crosses val="autoZero"/>
        <c:crossBetween val="between"/>
      </c:valAx>
      <c:spPr>
        <a:noFill/>
        <a:ln>
          <a:noFill/>
        </a:ln>
        <a:effectLst/>
      </c:spPr>
    </c:plotArea>
    <c:legend>
      <c:legendPos val="t"/>
      <c:layout>
        <c:manualLayout>
          <c:xMode val="edge"/>
          <c:yMode val="edge"/>
          <c:x val="6.2905898518171119E-2"/>
          <c:y val="4.1666666666666664E-2"/>
          <c:w val="0.87122750721990472"/>
          <c:h val="7.8125546806649182E-2"/>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legend>
    <c:plotVisOnly val="1"/>
    <c:dispBlanksAs val="gap"/>
    <c:showDLblsOverMax val="0"/>
  </c:chart>
  <c:spPr>
    <a:solidFill>
      <a:schemeClr val="bg1"/>
    </a:solidFill>
    <a:ln w="9525" cap="flat" cmpd="sng" algn="ctr">
      <a:noFill/>
      <a:round/>
    </a:ln>
    <a:effectLst/>
  </c:spPr>
  <c:txPr>
    <a:bodyPr/>
    <a:lstStyle/>
    <a:p>
      <a:pPr>
        <a:defRPr/>
      </a:pPr>
      <a:endParaRPr lang="zh-TW"/>
    </a:p>
  </c:txPr>
  <c:externalData r:id="rId1">
    <c:autoUpdate val="0"/>
  </c:externalData>
  <c:userShapes r:id="rId2"/>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396648234504731"/>
          <c:y val="5.013673655423901E-2"/>
          <c:w val="0.78978331592046136"/>
          <c:h val="0.78813011864856963"/>
        </c:manualLayout>
      </c:layout>
      <c:lineChart>
        <c:grouping val="standard"/>
        <c:varyColors val="0"/>
        <c:ser>
          <c:idx val="0"/>
          <c:order val="0"/>
          <c:spPr>
            <a:ln w="28575" cap="rnd">
              <a:solidFill>
                <a:schemeClr val="accent1"/>
              </a:solidFill>
              <a:round/>
            </a:ln>
            <a:effectLst/>
          </c:spPr>
          <c:marker>
            <c:symbol val="none"/>
          </c:marker>
          <c:cat>
            <c:numRef>
              <c:f>工作表1!$A$4:$A$197</c:f>
              <c:numCache>
                <c:formatCode>General</c:formatCode>
                <c:ptCount val="194"/>
                <c:pt idx="0">
                  <c:v>1</c:v>
                </c:pt>
                <c:pt idx="31">
                  <c:v>2</c:v>
                </c:pt>
                <c:pt idx="59">
                  <c:v>3</c:v>
                </c:pt>
                <c:pt idx="90">
                  <c:v>4</c:v>
                </c:pt>
                <c:pt idx="119">
                  <c:v>5</c:v>
                </c:pt>
                <c:pt idx="150">
                  <c:v>6</c:v>
                </c:pt>
                <c:pt idx="180">
                  <c:v>7</c:v>
                </c:pt>
              </c:numCache>
            </c:numRef>
          </c:cat>
          <c:val>
            <c:numRef>
              <c:f>工作表1!$Q$4:$Q$197</c:f>
              <c:numCache>
                <c:formatCode>General</c:formatCode>
                <c:ptCount val="194"/>
                <c:pt idx="0">
                  <c:v>38</c:v>
                </c:pt>
                <c:pt idx="1">
                  <c:v>38</c:v>
                </c:pt>
                <c:pt idx="2">
                  <c:v>38</c:v>
                </c:pt>
                <c:pt idx="3">
                  <c:v>38</c:v>
                </c:pt>
                <c:pt idx="4">
                  <c:v>38</c:v>
                </c:pt>
                <c:pt idx="5">
                  <c:v>38</c:v>
                </c:pt>
                <c:pt idx="6">
                  <c:v>38</c:v>
                </c:pt>
                <c:pt idx="7">
                  <c:v>38</c:v>
                </c:pt>
                <c:pt idx="8">
                  <c:v>38</c:v>
                </c:pt>
                <c:pt idx="9">
                  <c:v>38</c:v>
                </c:pt>
                <c:pt idx="10">
                  <c:v>38</c:v>
                </c:pt>
                <c:pt idx="11">
                  <c:v>38</c:v>
                </c:pt>
                <c:pt idx="12">
                  <c:v>38</c:v>
                </c:pt>
                <c:pt idx="13">
                  <c:v>38</c:v>
                </c:pt>
                <c:pt idx="14">
                  <c:v>38</c:v>
                </c:pt>
                <c:pt idx="15">
                  <c:v>38</c:v>
                </c:pt>
                <c:pt idx="16">
                  <c:v>38</c:v>
                </c:pt>
                <c:pt idx="17">
                  <c:v>38</c:v>
                </c:pt>
                <c:pt idx="18">
                  <c:v>40</c:v>
                </c:pt>
                <c:pt idx="19">
                  <c:v>41</c:v>
                </c:pt>
                <c:pt idx="20">
                  <c:v>40</c:v>
                </c:pt>
                <c:pt idx="21">
                  <c:v>40</c:v>
                </c:pt>
                <c:pt idx="22">
                  <c:v>40</c:v>
                </c:pt>
                <c:pt idx="23">
                  <c:v>40</c:v>
                </c:pt>
                <c:pt idx="24">
                  <c:v>40</c:v>
                </c:pt>
                <c:pt idx="25">
                  <c:v>40</c:v>
                </c:pt>
                <c:pt idx="26">
                  <c:v>40</c:v>
                </c:pt>
                <c:pt idx="27">
                  <c:v>40</c:v>
                </c:pt>
                <c:pt idx="28">
                  <c:v>40</c:v>
                </c:pt>
                <c:pt idx="29">
                  <c:v>40</c:v>
                </c:pt>
                <c:pt idx="30">
                  <c:v>40</c:v>
                </c:pt>
                <c:pt idx="31">
                  <c:v>40</c:v>
                </c:pt>
                <c:pt idx="32">
                  <c:v>40</c:v>
                </c:pt>
                <c:pt idx="33">
                  <c:v>40</c:v>
                </c:pt>
                <c:pt idx="34">
                  <c:v>40</c:v>
                </c:pt>
                <c:pt idx="35">
                  <c:v>40</c:v>
                </c:pt>
                <c:pt idx="36">
                  <c:v>40</c:v>
                </c:pt>
                <c:pt idx="37">
                  <c:v>40</c:v>
                </c:pt>
                <c:pt idx="38">
                  <c:v>40</c:v>
                </c:pt>
                <c:pt idx="39">
                  <c:v>40</c:v>
                </c:pt>
                <c:pt idx="40">
                  <c:v>40</c:v>
                </c:pt>
                <c:pt idx="41">
                  <c:v>40</c:v>
                </c:pt>
                <c:pt idx="42">
                  <c:v>40</c:v>
                </c:pt>
                <c:pt idx="43">
                  <c:v>40</c:v>
                </c:pt>
                <c:pt idx="44">
                  <c:v>40</c:v>
                </c:pt>
                <c:pt idx="45">
                  <c:v>40</c:v>
                </c:pt>
                <c:pt idx="46">
                  <c:v>40</c:v>
                </c:pt>
                <c:pt idx="47">
                  <c:v>40</c:v>
                </c:pt>
                <c:pt idx="48">
                  <c:v>40</c:v>
                </c:pt>
                <c:pt idx="49">
                  <c:v>40</c:v>
                </c:pt>
                <c:pt idx="50">
                  <c:v>40</c:v>
                </c:pt>
                <c:pt idx="51">
                  <c:v>40</c:v>
                </c:pt>
                <c:pt idx="52">
                  <c:v>40</c:v>
                </c:pt>
                <c:pt idx="53">
                  <c:v>40</c:v>
                </c:pt>
                <c:pt idx="54">
                  <c:v>40</c:v>
                </c:pt>
                <c:pt idx="55">
                  <c:v>40</c:v>
                </c:pt>
                <c:pt idx="56">
                  <c:v>40</c:v>
                </c:pt>
                <c:pt idx="57">
                  <c:v>40</c:v>
                </c:pt>
                <c:pt idx="58">
                  <c:v>40</c:v>
                </c:pt>
                <c:pt idx="59">
                  <c:v>40</c:v>
                </c:pt>
                <c:pt idx="60">
                  <c:v>40</c:v>
                </c:pt>
                <c:pt idx="61">
                  <c:v>40</c:v>
                </c:pt>
                <c:pt idx="62">
                  <c:v>40</c:v>
                </c:pt>
                <c:pt idx="63">
                  <c:v>40</c:v>
                </c:pt>
                <c:pt idx="64">
                  <c:v>40</c:v>
                </c:pt>
                <c:pt idx="65">
                  <c:v>40</c:v>
                </c:pt>
                <c:pt idx="66">
                  <c:v>40</c:v>
                </c:pt>
                <c:pt idx="67">
                  <c:v>40</c:v>
                </c:pt>
                <c:pt idx="68">
                  <c:v>40</c:v>
                </c:pt>
                <c:pt idx="69">
                  <c:v>40</c:v>
                </c:pt>
                <c:pt idx="70">
                  <c:v>40</c:v>
                </c:pt>
                <c:pt idx="71">
                  <c:v>40</c:v>
                </c:pt>
                <c:pt idx="72">
                  <c:v>40</c:v>
                </c:pt>
                <c:pt idx="73">
                  <c:v>40</c:v>
                </c:pt>
                <c:pt idx="74">
                  <c:v>40</c:v>
                </c:pt>
                <c:pt idx="75">
                  <c:v>40</c:v>
                </c:pt>
                <c:pt idx="76">
                  <c:v>40</c:v>
                </c:pt>
                <c:pt idx="77">
                  <c:v>40</c:v>
                </c:pt>
                <c:pt idx="78">
                  <c:v>40</c:v>
                </c:pt>
                <c:pt idx="79">
                  <c:v>40</c:v>
                </c:pt>
                <c:pt idx="80">
                  <c:v>40</c:v>
                </c:pt>
                <c:pt idx="81">
                  <c:v>40</c:v>
                </c:pt>
                <c:pt idx="82">
                  <c:v>40</c:v>
                </c:pt>
                <c:pt idx="83">
                  <c:v>40</c:v>
                </c:pt>
                <c:pt idx="84">
                  <c:v>40</c:v>
                </c:pt>
                <c:pt idx="85">
                  <c:v>40</c:v>
                </c:pt>
                <c:pt idx="86">
                  <c:v>40</c:v>
                </c:pt>
                <c:pt idx="87">
                  <c:v>40</c:v>
                </c:pt>
                <c:pt idx="88">
                  <c:v>40</c:v>
                </c:pt>
                <c:pt idx="89">
                  <c:v>40</c:v>
                </c:pt>
                <c:pt idx="90">
                  <c:v>40</c:v>
                </c:pt>
                <c:pt idx="91">
                  <c:v>40</c:v>
                </c:pt>
                <c:pt idx="92">
                  <c:v>40</c:v>
                </c:pt>
                <c:pt idx="93">
                  <c:v>40</c:v>
                </c:pt>
                <c:pt idx="94">
                  <c:v>40</c:v>
                </c:pt>
                <c:pt idx="95">
                  <c:v>40</c:v>
                </c:pt>
                <c:pt idx="96">
                  <c:v>40</c:v>
                </c:pt>
                <c:pt idx="97">
                  <c:v>40</c:v>
                </c:pt>
                <c:pt idx="98">
                  <c:v>40</c:v>
                </c:pt>
                <c:pt idx="99">
                  <c:v>40</c:v>
                </c:pt>
                <c:pt idx="100">
                  <c:v>40</c:v>
                </c:pt>
                <c:pt idx="101">
                  <c:v>40</c:v>
                </c:pt>
                <c:pt idx="102">
                  <c:v>40</c:v>
                </c:pt>
                <c:pt idx="103">
                  <c:v>40</c:v>
                </c:pt>
                <c:pt idx="104">
                  <c:v>40</c:v>
                </c:pt>
                <c:pt idx="105">
                  <c:v>40</c:v>
                </c:pt>
                <c:pt idx="106">
                  <c:v>40</c:v>
                </c:pt>
                <c:pt idx="107">
                  <c:v>40</c:v>
                </c:pt>
                <c:pt idx="108">
                  <c:v>40</c:v>
                </c:pt>
                <c:pt idx="109">
                  <c:v>40</c:v>
                </c:pt>
                <c:pt idx="110">
                  <c:v>40</c:v>
                </c:pt>
                <c:pt idx="111">
                  <c:v>40</c:v>
                </c:pt>
                <c:pt idx="112">
                  <c:v>40</c:v>
                </c:pt>
                <c:pt idx="113">
                  <c:v>40</c:v>
                </c:pt>
                <c:pt idx="114">
                  <c:v>40</c:v>
                </c:pt>
                <c:pt idx="115">
                  <c:v>40</c:v>
                </c:pt>
                <c:pt idx="116">
                  <c:v>40</c:v>
                </c:pt>
                <c:pt idx="117">
                  <c:v>40</c:v>
                </c:pt>
                <c:pt idx="118">
                  <c:v>40</c:v>
                </c:pt>
                <c:pt idx="119">
                  <c:v>40</c:v>
                </c:pt>
                <c:pt idx="120">
                  <c:v>40</c:v>
                </c:pt>
                <c:pt idx="121">
                  <c:v>40</c:v>
                </c:pt>
                <c:pt idx="122">
                  <c:v>40</c:v>
                </c:pt>
                <c:pt idx="123">
                  <c:v>40</c:v>
                </c:pt>
                <c:pt idx="124">
                  <c:v>40</c:v>
                </c:pt>
                <c:pt idx="125">
                  <c:v>40</c:v>
                </c:pt>
                <c:pt idx="126">
                  <c:v>40</c:v>
                </c:pt>
                <c:pt idx="127">
                  <c:v>40</c:v>
                </c:pt>
                <c:pt idx="128">
                  <c:v>40</c:v>
                </c:pt>
                <c:pt idx="129">
                  <c:v>40</c:v>
                </c:pt>
                <c:pt idx="130">
                  <c:v>40</c:v>
                </c:pt>
                <c:pt idx="131">
                  <c:v>40</c:v>
                </c:pt>
                <c:pt idx="132">
                  <c:v>40</c:v>
                </c:pt>
                <c:pt idx="133">
                  <c:v>40</c:v>
                </c:pt>
                <c:pt idx="134">
                  <c:v>40</c:v>
                </c:pt>
                <c:pt idx="135">
                  <c:v>40</c:v>
                </c:pt>
                <c:pt idx="136">
                  <c:v>40</c:v>
                </c:pt>
                <c:pt idx="137">
                  <c:v>40</c:v>
                </c:pt>
                <c:pt idx="138">
                  <c:v>40</c:v>
                </c:pt>
                <c:pt idx="139">
                  <c:v>40</c:v>
                </c:pt>
                <c:pt idx="140">
                  <c:v>40</c:v>
                </c:pt>
                <c:pt idx="141">
                  <c:v>40</c:v>
                </c:pt>
                <c:pt idx="142">
                  <c:v>40</c:v>
                </c:pt>
                <c:pt idx="143">
                  <c:v>40</c:v>
                </c:pt>
                <c:pt idx="144">
                  <c:v>40</c:v>
                </c:pt>
                <c:pt idx="145">
                  <c:v>40</c:v>
                </c:pt>
                <c:pt idx="146">
                  <c:v>40</c:v>
                </c:pt>
                <c:pt idx="147">
                  <c:v>40</c:v>
                </c:pt>
                <c:pt idx="148">
                  <c:v>40</c:v>
                </c:pt>
                <c:pt idx="149">
                  <c:v>40</c:v>
                </c:pt>
                <c:pt idx="150">
                  <c:v>40</c:v>
                </c:pt>
                <c:pt idx="151">
                  <c:v>40</c:v>
                </c:pt>
                <c:pt idx="152">
                  <c:v>40</c:v>
                </c:pt>
                <c:pt idx="153">
                  <c:v>40</c:v>
                </c:pt>
                <c:pt idx="154">
                  <c:v>40</c:v>
                </c:pt>
                <c:pt idx="155">
                  <c:v>40</c:v>
                </c:pt>
                <c:pt idx="156">
                  <c:v>40</c:v>
                </c:pt>
                <c:pt idx="157">
                  <c:v>40</c:v>
                </c:pt>
                <c:pt idx="158">
                  <c:v>40</c:v>
                </c:pt>
                <c:pt idx="159">
                  <c:v>38</c:v>
                </c:pt>
                <c:pt idx="160">
                  <c:v>38</c:v>
                </c:pt>
                <c:pt idx="161">
                  <c:v>38</c:v>
                </c:pt>
                <c:pt idx="162">
                  <c:v>38</c:v>
                </c:pt>
                <c:pt idx="163">
                  <c:v>38</c:v>
                </c:pt>
                <c:pt idx="164">
                  <c:v>38</c:v>
                </c:pt>
                <c:pt idx="165">
                  <c:v>38</c:v>
                </c:pt>
                <c:pt idx="166">
                  <c:v>38</c:v>
                </c:pt>
                <c:pt idx="167">
                  <c:v>38</c:v>
                </c:pt>
                <c:pt idx="168">
                  <c:v>38</c:v>
                </c:pt>
                <c:pt idx="169">
                  <c:v>38</c:v>
                </c:pt>
                <c:pt idx="170">
                  <c:v>38</c:v>
                </c:pt>
                <c:pt idx="171">
                  <c:v>38</c:v>
                </c:pt>
                <c:pt idx="172">
                  <c:v>35</c:v>
                </c:pt>
                <c:pt idx="173">
                  <c:v>35</c:v>
                </c:pt>
                <c:pt idx="174">
                  <c:v>35</c:v>
                </c:pt>
                <c:pt idx="175">
                  <c:v>35</c:v>
                </c:pt>
                <c:pt idx="176">
                  <c:v>35</c:v>
                </c:pt>
                <c:pt idx="177">
                  <c:v>35</c:v>
                </c:pt>
                <c:pt idx="178">
                  <c:v>35</c:v>
                </c:pt>
                <c:pt idx="179">
                  <c:v>35</c:v>
                </c:pt>
                <c:pt idx="180">
                  <c:v>35</c:v>
                </c:pt>
                <c:pt idx="181">
                  <c:v>35</c:v>
                </c:pt>
                <c:pt idx="182">
                  <c:v>35</c:v>
                </c:pt>
                <c:pt idx="183">
                  <c:v>35</c:v>
                </c:pt>
                <c:pt idx="184">
                  <c:v>35</c:v>
                </c:pt>
                <c:pt idx="185">
                  <c:v>35</c:v>
                </c:pt>
                <c:pt idx="186">
                  <c:v>35</c:v>
                </c:pt>
                <c:pt idx="187">
                  <c:v>35</c:v>
                </c:pt>
                <c:pt idx="188">
                  <c:v>35</c:v>
                </c:pt>
                <c:pt idx="189">
                  <c:v>35</c:v>
                </c:pt>
                <c:pt idx="190">
                  <c:v>35</c:v>
                </c:pt>
                <c:pt idx="191">
                  <c:v>35</c:v>
                </c:pt>
                <c:pt idx="192">
                  <c:v>35</c:v>
                </c:pt>
                <c:pt idx="193">
                  <c:v>35</c:v>
                </c:pt>
              </c:numCache>
            </c:numRef>
          </c:val>
          <c:smooth val="0"/>
        </c:ser>
        <c:dLbls>
          <c:showLegendKey val="0"/>
          <c:showVal val="0"/>
          <c:showCatName val="0"/>
          <c:showSerName val="0"/>
          <c:showPercent val="0"/>
          <c:showBubbleSize val="0"/>
        </c:dLbls>
        <c:marker val="1"/>
        <c:smooth val="0"/>
        <c:axId val="273115776"/>
        <c:axId val="273027456"/>
      </c:lineChart>
      <c:catAx>
        <c:axId val="273115776"/>
        <c:scaling>
          <c:orientation val="minMax"/>
        </c:scaling>
        <c:delete val="0"/>
        <c:axPos val="b"/>
        <c:numFmt formatCode="General" sourceLinked="1"/>
        <c:majorTickMark val="none"/>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3027456"/>
        <c:crosses val="autoZero"/>
        <c:auto val="1"/>
        <c:lblAlgn val="ctr"/>
        <c:lblOffset val="100"/>
        <c:noMultiLvlLbl val="0"/>
      </c:catAx>
      <c:valAx>
        <c:axId val="273027456"/>
        <c:scaling>
          <c:orientation val="minMax"/>
          <c:min val="34"/>
        </c:scaling>
        <c:delete val="0"/>
        <c:axPos val="l"/>
        <c:majorGridlines>
          <c:spPr>
            <a:ln w="9525" cap="flat" cmpd="sng" algn="ctr">
              <a:solidFill>
                <a:sysClr val="windowText" lastClr="000000"/>
              </a:solidFill>
              <a:prstDash val="dash"/>
              <a:round/>
            </a:ln>
            <a:effectLst/>
          </c:spPr>
        </c:majorGridlines>
        <c:numFmt formatCode="#,##0.0_);[Red]\(#,##0.0\)" sourceLinked="0"/>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微軟正黑體" panose="020B0604030504040204" pitchFamily="34" charset="-120"/>
                <a:ea typeface="微軟正黑體" panose="020B0604030504040204" pitchFamily="34" charset="-120"/>
                <a:cs typeface="+mn-cs"/>
              </a:defRPr>
            </a:pPr>
            <a:endParaRPr lang="zh-TW"/>
          </a:p>
        </c:txPr>
        <c:crossAx val="2731157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zh-TW"/>
    </a:p>
  </c:txPr>
  <c:externalData r:id="rId1">
    <c:autoUpdate val="0"/>
  </c:externalData>
  <c:userShapes r:id="rId2"/>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945719257153593E-2"/>
          <c:y val="7.0927331248204092E-2"/>
          <c:w val="0.88025540667065738"/>
          <c:h val="0.74275472720018687"/>
        </c:manualLayout>
      </c:layout>
      <c:lineChart>
        <c:grouping val="standard"/>
        <c:varyColors val="0"/>
        <c:ser>
          <c:idx val="0"/>
          <c:order val="0"/>
          <c:spPr>
            <a:ln w="28575" cap="rnd">
              <a:solidFill>
                <a:schemeClr val="accent1"/>
              </a:solidFill>
              <a:round/>
            </a:ln>
            <a:effectLst/>
          </c:spPr>
          <c:marker>
            <c:symbol val="none"/>
          </c:marker>
          <c:cat>
            <c:numRef>
              <c:f>工作表1!$A$4:$A$328</c:f>
              <c:numCache>
                <c:formatCode>General</c:formatCode>
                <c:ptCount val="325"/>
                <c:pt idx="0">
                  <c:v>1</c:v>
                </c:pt>
                <c:pt idx="31">
                  <c:v>2</c:v>
                </c:pt>
                <c:pt idx="59">
                  <c:v>3</c:v>
                </c:pt>
                <c:pt idx="90">
                  <c:v>4</c:v>
                </c:pt>
                <c:pt idx="119">
                  <c:v>5</c:v>
                </c:pt>
                <c:pt idx="150">
                  <c:v>6</c:v>
                </c:pt>
                <c:pt idx="180">
                  <c:v>7</c:v>
                </c:pt>
                <c:pt idx="211">
                  <c:v>8</c:v>
                </c:pt>
                <c:pt idx="241">
                  <c:v>9</c:v>
                </c:pt>
                <c:pt idx="271">
                  <c:v>10</c:v>
                </c:pt>
                <c:pt idx="302">
                  <c:v>11</c:v>
                </c:pt>
              </c:numCache>
            </c:numRef>
          </c:cat>
          <c:val>
            <c:numRef>
              <c:f>工作表1!$M$4:$M$328</c:f>
              <c:numCache>
                <c:formatCode>General</c:formatCode>
                <c:ptCount val="325"/>
                <c:pt idx="0">
                  <c:v>31.5</c:v>
                </c:pt>
                <c:pt idx="1">
                  <c:v>31.5</c:v>
                </c:pt>
                <c:pt idx="2">
                  <c:v>31.5</c:v>
                </c:pt>
                <c:pt idx="3">
                  <c:v>31.5</c:v>
                </c:pt>
                <c:pt idx="4">
                  <c:v>31.5</c:v>
                </c:pt>
                <c:pt idx="5">
                  <c:v>31.5</c:v>
                </c:pt>
                <c:pt idx="6">
                  <c:v>33.5</c:v>
                </c:pt>
                <c:pt idx="7">
                  <c:v>33.5</c:v>
                </c:pt>
                <c:pt idx="8">
                  <c:v>33.5</c:v>
                </c:pt>
                <c:pt idx="9">
                  <c:v>33.5</c:v>
                </c:pt>
                <c:pt idx="10">
                  <c:v>33.5</c:v>
                </c:pt>
                <c:pt idx="11">
                  <c:v>33.5</c:v>
                </c:pt>
                <c:pt idx="12">
                  <c:v>33.5</c:v>
                </c:pt>
                <c:pt idx="13">
                  <c:v>33.5</c:v>
                </c:pt>
                <c:pt idx="14">
                  <c:v>33.5</c:v>
                </c:pt>
                <c:pt idx="15">
                  <c:v>33.5</c:v>
                </c:pt>
                <c:pt idx="16">
                  <c:v>33.5</c:v>
                </c:pt>
                <c:pt idx="17">
                  <c:v>33.5</c:v>
                </c:pt>
                <c:pt idx="18">
                  <c:v>33.5</c:v>
                </c:pt>
                <c:pt idx="19">
                  <c:v>33.5</c:v>
                </c:pt>
                <c:pt idx="20">
                  <c:v>33.5</c:v>
                </c:pt>
                <c:pt idx="21">
                  <c:v>33.5</c:v>
                </c:pt>
                <c:pt idx="22">
                  <c:v>33.5</c:v>
                </c:pt>
                <c:pt idx="23">
                  <c:v>33.5</c:v>
                </c:pt>
                <c:pt idx="24">
                  <c:v>33.5</c:v>
                </c:pt>
                <c:pt idx="25">
                  <c:v>33.5</c:v>
                </c:pt>
                <c:pt idx="26">
                  <c:v>30.5</c:v>
                </c:pt>
                <c:pt idx="27">
                  <c:v>30.5</c:v>
                </c:pt>
                <c:pt idx="28">
                  <c:v>30.5</c:v>
                </c:pt>
                <c:pt idx="29">
                  <c:v>33.5</c:v>
                </c:pt>
                <c:pt idx="30">
                  <c:v>33.5</c:v>
                </c:pt>
                <c:pt idx="31">
                  <c:v>33.5</c:v>
                </c:pt>
                <c:pt idx="32">
                  <c:v>33.5</c:v>
                </c:pt>
                <c:pt idx="33">
                  <c:v>33.5</c:v>
                </c:pt>
                <c:pt idx="34">
                  <c:v>33.5</c:v>
                </c:pt>
                <c:pt idx="35">
                  <c:v>33.5</c:v>
                </c:pt>
                <c:pt idx="36">
                  <c:v>33.5</c:v>
                </c:pt>
                <c:pt idx="37">
                  <c:v>33.5</c:v>
                </c:pt>
                <c:pt idx="38">
                  <c:v>33.5</c:v>
                </c:pt>
                <c:pt idx="39">
                  <c:v>33.5</c:v>
                </c:pt>
                <c:pt idx="40">
                  <c:v>30.5</c:v>
                </c:pt>
                <c:pt idx="41">
                  <c:v>30.5</c:v>
                </c:pt>
                <c:pt idx="42">
                  <c:v>27.5</c:v>
                </c:pt>
                <c:pt idx="43">
                  <c:v>24.5</c:v>
                </c:pt>
                <c:pt idx="44">
                  <c:v>24.5</c:v>
                </c:pt>
                <c:pt idx="45">
                  <c:v>24.5</c:v>
                </c:pt>
                <c:pt idx="46">
                  <c:v>24.5</c:v>
                </c:pt>
                <c:pt idx="47">
                  <c:v>24.5</c:v>
                </c:pt>
                <c:pt idx="48">
                  <c:v>24.5</c:v>
                </c:pt>
                <c:pt idx="49">
                  <c:v>24.5</c:v>
                </c:pt>
                <c:pt idx="50">
                  <c:v>24.5</c:v>
                </c:pt>
                <c:pt idx="51">
                  <c:v>24.5</c:v>
                </c:pt>
                <c:pt idx="52">
                  <c:v>24.5</c:v>
                </c:pt>
                <c:pt idx="53">
                  <c:v>24.5</c:v>
                </c:pt>
                <c:pt idx="54">
                  <c:v>24.5</c:v>
                </c:pt>
                <c:pt idx="55">
                  <c:v>30.5</c:v>
                </c:pt>
                <c:pt idx="56">
                  <c:v>30.5</c:v>
                </c:pt>
                <c:pt idx="57">
                  <c:v>30.5</c:v>
                </c:pt>
                <c:pt idx="58">
                  <c:v>30.5</c:v>
                </c:pt>
                <c:pt idx="59">
                  <c:v>30.5</c:v>
                </c:pt>
                <c:pt idx="60">
                  <c:v>30.5</c:v>
                </c:pt>
                <c:pt idx="61">
                  <c:v>30.5</c:v>
                </c:pt>
                <c:pt idx="62">
                  <c:v>33.5</c:v>
                </c:pt>
                <c:pt idx="63">
                  <c:v>33.5</c:v>
                </c:pt>
                <c:pt idx="64">
                  <c:v>33.5</c:v>
                </c:pt>
                <c:pt idx="65">
                  <c:v>33.5</c:v>
                </c:pt>
                <c:pt idx="66">
                  <c:v>33.5</c:v>
                </c:pt>
                <c:pt idx="67">
                  <c:v>33.5</c:v>
                </c:pt>
                <c:pt idx="68">
                  <c:v>33.5</c:v>
                </c:pt>
                <c:pt idx="69">
                  <c:v>33.5</c:v>
                </c:pt>
                <c:pt idx="70">
                  <c:v>33.5</c:v>
                </c:pt>
                <c:pt idx="71">
                  <c:v>33.5</c:v>
                </c:pt>
                <c:pt idx="72">
                  <c:v>33.5</c:v>
                </c:pt>
                <c:pt idx="73">
                  <c:v>33.5</c:v>
                </c:pt>
                <c:pt idx="74">
                  <c:v>33.5</c:v>
                </c:pt>
                <c:pt idx="75">
                  <c:v>33.5</c:v>
                </c:pt>
                <c:pt idx="76">
                  <c:v>33.5</c:v>
                </c:pt>
                <c:pt idx="77">
                  <c:v>33.5</c:v>
                </c:pt>
                <c:pt idx="78">
                  <c:v>33.5</c:v>
                </c:pt>
                <c:pt idx="79">
                  <c:v>33.5</c:v>
                </c:pt>
                <c:pt idx="80">
                  <c:v>33.5</c:v>
                </c:pt>
                <c:pt idx="81">
                  <c:v>33.5</c:v>
                </c:pt>
                <c:pt idx="82">
                  <c:v>30.5</c:v>
                </c:pt>
                <c:pt idx="83">
                  <c:v>30.5</c:v>
                </c:pt>
                <c:pt idx="84">
                  <c:v>30.5</c:v>
                </c:pt>
                <c:pt idx="85">
                  <c:v>30.5</c:v>
                </c:pt>
                <c:pt idx="86">
                  <c:v>30.5</c:v>
                </c:pt>
                <c:pt idx="87">
                  <c:v>30.5</c:v>
                </c:pt>
                <c:pt idx="88">
                  <c:v>30.5</c:v>
                </c:pt>
                <c:pt idx="89">
                  <c:v>30.5</c:v>
                </c:pt>
                <c:pt idx="90">
                  <c:v>30.5</c:v>
                </c:pt>
                <c:pt idx="91">
                  <c:v>30.5</c:v>
                </c:pt>
                <c:pt idx="92">
                  <c:v>30.5</c:v>
                </c:pt>
                <c:pt idx="93">
                  <c:v>30.5</c:v>
                </c:pt>
                <c:pt idx="94">
                  <c:v>30.5</c:v>
                </c:pt>
                <c:pt idx="95">
                  <c:v>30.5</c:v>
                </c:pt>
                <c:pt idx="96">
                  <c:v>28.5</c:v>
                </c:pt>
                <c:pt idx="97">
                  <c:v>28.5</c:v>
                </c:pt>
                <c:pt idx="98">
                  <c:v>28.5</c:v>
                </c:pt>
                <c:pt idx="99">
                  <c:v>28.5</c:v>
                </c:pt>
                <c:pt idx="100">
                  <c:v>28.5</c:v>
                </c:pt>
                <c:pt idx="101">
                  <c:v>28.5</c:v>
                </c:pt>
                <c:pt idx="102">
                  <c:v>28.5</c:v>
                </c:pt>
                <c:pt idx="103">
                  <c:v>28.5</c:v>
                </c:pt>
                <c:pt idx="104">
                  <c:v>28.5</c:v>
                </c:pt>
                <c:pt idx="105">
                  <c:v>28.5</c:v>
                </c:pt>
                <c:pt idx="106">
                  <c:v>28.5</c:v>
                </c:pt>
                <c:pt idx="107">
                  <c:v>28.5</c:v>
                </c:pt>
                <c:pt idx="108">
                  <c:v>28.5</c:v>
                </c:pt>
                <c:pt idx="109">
                  <c:v>28.5</c:v>
                </c:pt>
                <c:pt idx="110">
                  <c:v>28.5</c:v>
                </c:pt>
                <c:pt idx="111">
                  <c:v>30.5</c:v>
                </c:pt>
                <c:pt idx="112">
                  <c:v>30.5</c:v>
                </c:pt>
                <c:pt idx="113">
                  <c:v>30.5</c:v>
                </c:pt>
                <c:pt idx="114">
                  <c:v>30.5</c:v>
                </c:pt>
                <c:pt idx="115">
                  <c:v>30.5</c:v>
                </c:pt>
                <c:pt idx="116">
                  <c:v>30.5</c:v>
                </c:pt>
                <c:pt idx="117">
                  <c:v>30.5</c:v>
                </c:pt>
                <c:pt idx="118">
                  <c:v>30.5</c:v>
                </c:pt>
                <c:pt idx="119">
                  <c:v>30.5</c:v>
                </c:pt>
                <c:pt idx="120">
                  <c:v>30.5</c:v>
                </c:pt>
                <c:pt idx="121">
                  <c:v>30.5</c:v>
                </c:pt>
                <c:pt idx="122">
                  <c:v>30.5</c:v>
                </c:pt>
                <c:pt idx="123">
                  <c:v>27.5</c:v>
                </c:pt>
                <c:pt idx="124">
                  <c:v>27.5</c:v>
                </c:pt>
                <c:pt idx="125">
                  <c:v>27.5</c:v>
                </c:pt>
                <c:pt idx="126">
                  <c:v>27.5</c:v>
                </c:pt>
                <c:pt idx="127">
                  <c:v>27.5</c:v>
                </c:pt>
                <c:pt idx="128">
                  <c:v>27.5</c:v>
                </c:pt>
                <c:pt idx="129">
                  <c:v>27.5</c:v>
                </c:pt>
                <c:pt idx="130">
                  <c:v>24.5</c:v>
                </c:pt>
                <c:pt idx="131">
                  <c:v>24.5</c:v>
                </c:pt>
                <c:pt idx="132">
                  <c:v>24.5</c:v>
                </c:pt>
                <c:pt idx="133">
                  <c:v>24.5</c:v>
                </c:pt>
                <c:pt idx="134">
                  <c:v>24.5</c:v>
                </c:pt>
                <c:pt idx="135">
                  <c:v>24.5</c:v>
                </c:pt>
                <c:pt idx="136">
                  <c:v>24.5</c:v>
                </c:pt>
                <c:pt idx="137">
                  <c:v>24.5</c:v>
                </c:pt>
                <c:pt idx="138">
                  <c:v>24.5</c:v>
                </c:pt>
                <c:pt idx="139">
                  <c:v>24.5</c:v>
                </c:pt>
                <c:pt idx="140">
                  <c:v>24.5</c:v>
                </c:pt>
                <c:pt idx="141">
                  <c:v>24.5</c:v>
                </c:pt>
                <c:pt idx="142">
                  <c:v>24.5</c:v>
                </c:pt>
                <c:pt idx="143">
                  <c:v>24.5</c:v>
                </c:pt>
                <c:pt idx="144">
                  <c:v>24.5</c:v>
                </c:pt>
                <c:pt idx="145">
                  <c:v>24.5</c:v>
                </c:pt>
                <c:pt idx="146">
                  <c:v>24.5</c:v>
                </c:pt>
                <c:pt idx="147">
                  <c:v>24.5</c:v>
                </c:pt>
                <c:pt idx="148">
                  <c:v>24.5</c:v>
                </c:pt>
                <c:pt idx="149">
                  <c:v>24.5</c:v>
                </c:pt>
                <c:pt idx="150">
                  <c:v>24.5</c:v>
                </c:pt>
                <c:pt idx="151">
                  <c:v>22</c:v>
                </c:pt>
                <c:pt idx="152">
                  <c:v>22</c:v>
                </c:pt>
                <c:pt idx="153">
                  <c:v>22</c:v>
                </c:pt>
                <c:pt idx="154">
                  <c:v>22</c:v>
                </c:pt>
                <c:pt idx="155">
                  <c:v>22</c:v>
                </c:pt>
                <c:pt idx="156">
                  <c:v>22</c:v>
                </c:pt>
                <c:pt idx="157">
                  <c:v>22</c:v>
                </c:pt>
                <c:pt idx="158">
                  <c:v>22</c:v>
                </c:pt>
                <c:pt idx="159">
                  <c:v>22</c:v>
                </c:pt>
                <c:pt idx="160">
                  <c:v>22</c:v>
                </c:pt>
                <c:pt idx="161">
                  <c:v>22</c:v>
                </c:pt>
                <c:pt idx="162">
                  <c:v>22</c:v>
                </c:pt>
                <c:pt idx="163">
                  <c:v>22</c:v>
                </c:pt>
                <c:pt idx="164">
                  <c:v>22</c:v>
                </c:pt>
                <c:pt idx="165">
                  <c:v>20</c:v>
                </c:pt>
                <c:pt idx="166">
                  <c:v>20</c:v>
                </c:pt>
                <c:pt idx="167">
                  <c:v>20</c:v>
                </c:pt>
                <c:pt idx="168">
                  <c:v>22</c:v>
                </c:pt>
                <c:pt idx="169">
                  <c:v>22</c:v>
                </c:pt>
                <c:pt idx="170">
                  <c:v>22</c:v>
                </c:pt>
                <c:pt idx="171">
                  <c:v>22</c:v>
                </c:pt>
                <c:pt idx="172">
                  <c:v>22</c:v>
                </c:pt>
                <c:pt idx="173">
                  <c:v>22</c:v>
                </c:pt>
                <c:pt idx="174">
                  <c:v>22</c:v>
                </c:pt>
                <c:pt idx="175">
                  <c:v>22</c:v>
                </c:pt>
                <c:pt idx="176">
                  <c:v>22</c:v>
                </c:pt>
                <c:pt idx="177">
                  <c:v>22</c:v>
                </c:pt>
                <c:pt idx="178">
                  <c:v>22</c:v>
                </c:pt>
                <c:pt idx="179">
                  <c:v>22</c:v>
                </c:pt>
                <c:pt idx="180">
                  <c:v>24.5</c:v>
                </c:pt>
                <c:pt idx="181">
                  <c:v>24.5</c:v>
                </c:pt>
                <c:pt idx="182">
                  <c:v>24.5</c:v>
                </c:pt>
                <c:pt idx="183">
                  <c:v>24.5</c:v>
                </c:pt>
                <c:pt idx="184">
                  <c:v>24.5</c:v>
                </c:pt>
                <c:pt idx="185">
                  <c:v>24.5</c:v>
                </c:pt>
                <c:pt idx="186">
                  <c:v>24.5</c:v>
                </c:pt>
                <c:pt idx="187">
                  <c:v>24.5</c:v>
                </c:pt>
                <c:pt idx="188">
                  <c:v>24.5</c:v>
                </c:pt>
                <c:pt idx="189">
                  <c:v>24.5</c:v>
                </c:pt>
                <c:pt idx="190">
                  <c:v>24.5</c:v>
                </c:pt>
                <c:pt idx="191">
                  <c:v>24.5</c:v>
                </c:pt>
                <c:pt idx="192">
                  <c:v>24.5</c:v>
                </c:pt>
                <c:pt idx="193">
                  <c:v>24.5</c:v>
                </c:pt>
                <c:pt idx="194">
                  <c:v>24.5</c:v>
                </c:pt>
                <c:pt idx="195">
                  <c:v>24.5</c:v>
                </c:pt>
                <c:pt idx="196">
                  <c:v>24.5</c:v>
                </c:pt>
                <c:pt idx="197">
                  <c:v>24.5</c:v>
                </c:pt>
                <c:pt idx="198">
                  <c:v>24.5</c:v>
                </c:pt>
                <c:pt idx="199">
                  <c:v>24.5</c:v>
                </c:pt>
                <c:pt idx="200">
                  <c:v>24.5</c:v>
                </c:pt>
                <c:pt idx="201">
                  <c:v>26.5</c:v>
                </c:pt>
                <c:pt idx="202">
                  <c:v>26.5</c:v>
                </c:pt>
                <c:pt idx="203">
                  <c:v>26.5</c:v>
                </c:pt>
                <c:pt idx="204">
                  <c:v>26.5</c:v>
                </c:pt>
                <c:pt idx="205">
                  <c:v>26.5</c:v>
                </c:pt>
                <c:pt idx="206">
                  <c:v>26.5</c:v>
                </c:pt>
                <c:pt idx="207">
                  <c:v>26.5</c:v>
                </c:pt>
                <c:pt idx="208">
                  <c:v>26.5</c:v>
                </c:pt>
                <c:pt idx="209">
                  <c:v>26.5</c:v>
                </c:pt>
                <c:pt idx="210">
                  <c:v>26.5</c:v>
                </c:pt>
                <c:pt idx="211">
                  <c:v>26.5</c:v>
                </c:pt>
                <c:pt idx="212">
                  <c:v>26.5</c:v>
                </c:pt>
                <c:pt idx="213">
                  <c:v>26.5</c:v>
                </c:pt>
                <c:pt idx="214">
                  <c:v>26.5</c:v>
                </c:pt>
                <c:pt idx="215">
                  <c:v>26.5</c:v>
                </c:pt>
                <c:pt idx="216">
                  <c:v>26.5</c:v>
                </c:pt>
                <c:pt idx="217">
                  <c:v>26.5</c:v>
                </c:pt>
                <c:pt idx="218">
                  <c:v>26.5</c:v>
                </c:pt>
                <c:pt idx="219">
                  <c:v>26.5</c:v>
                </c:pt>
                <c:pt idx="220">
                  <c:v>26.5</c:v>
                </c:pt>
                <c:pt idx="221">
                  <c:v>26.5</c:v>
                </c:pt>
                <c:pt idx="222">
                  <c:v>29.5</c:v>
                </c:pt>
                <c:pt idx="223">
                  <c:v>29.5</c:v>
                </c:pt>
                <c:pt idx="224">
                  <c:v>29.5</c:v>
                </c:pt>
                <c:pt idx="225">
                  <c:v>29.5</c:v>
                </c:pt>
                <c:pt idx="226">
                  <c:v>29.5</c:v>
                </c:pt>
                <c:pt idx="227">
                  <c:v>29.5</c:v>
                </c:pt>
                <c:pt idx="228">
                  <c:v>29.5</c:v>
                </c:pt>
                <c:pt idx="229">
                  <c:v>29.5</c:v>
                </c:pt>
                <c:pt idx="230">
                  <c:v>29.5</c:v>
                </c:pt>
                <c:pt idx="231">
                  <c:v>29.5</c:v>
                </c:pt>
                <c:pt idx="232">
                  <c:v>29.5</c:v>
                </c:pt>
                <c:pt idx="233">
                  <c:v>29.5</c:v>
                </c:pt>
                <c:pt idx="234">
                  <c:v>29.5</c:v>
                </c:pt>
                <c:pt idx="235">
                  <c:v>29.5</c:v>
                </c:pt>
                <c:pt idx="236">
                  <c:v>29.5</c:v>
                </c:pt>
                <c:pt idx="237">
                  <c:v>29.5</c:v>
                </c:pt>
                <c:pt idx="238">
                  <c:v>29.5</c:v>
                </c:pt>
                <c:pt idx="239">
                  <c:v>29.5</c:v>
                </c:pt>
                <c:pt idx="240">
                  <c:v>29.5</c:v>
                </c:pt>
                <c:pt idx="241">
                  <c:v>27.5</c:v>
                </c:pt>
                <c:pt idx="242">
                  <c:v>27.5</c:v>
                </c:pt>
                <c:pt idx="243">
                  <c:v>27.5</c:v>
                </c:pt>
                <c:pt idx="244">
                  <c:v>29.5</c:v>
                </c:pt>
                <c:pt idx="245">
                  <c:v>29.5</c:v>
                </c:pt>
                <c:pt idx="246">
                  <c:v>29.5</c:v>
                </c:pt>
                <c:pt idx="247">
                  <c:v>29.5</c:v>
                </c:pt>
                <c:pt idx="248">
                  <c:v>29.5</c:v>
                </c:pt>
                <c:pt idx="249">
                  <c:v>29.5</c:v>
                </c:pt>
                <c:pt idx="250">
                  <c:v>29.5</c:v>
                </c:pt>
                <c:pt idx="251">
                  <c:v>29.5</c:v>
                </c:pt>
                <c:pt idx="252">
                  <c:v>29.5</c:v>
                </c:pt>
                <c:pt idx="253">
                  <c:v>29.5</c:v>
                </c:pt>
                <c:pt idx="254">
                  <c:v>29.5</c:v>
                </c:pt>
                <c:pt idx="255">
                  <c:v>29.5</c:v>
                </c:pt>
                <c:pt idx="256">
                  <c:v>29.5</c:v>
                </c:pt>
                <c:pt idx="257">
                  <c:v>29.5</c:v>
                </c:pt>
                <c:pt idx="258">
                  <c:v>29.5</c:v>
                </c:pt>
                <c:pt idx="259">
                  <c:v>29.5</c:v>
                </c:pt>
                <c:pt idx="260">
                  <c:v>29.5</c:v>
                </c:pt>
                <c:pt idx="261">
                  <c:v>29.5</c:v>
                </c:pt>
                <c:pt idx="262">
                  <c:v>26.5</c:v>
                </c:pt>
                <c:pt idx="263">
                  <c:v>26.5</c:v>
                </c:pt>
                <c:pt idx="264">
                  <c:v>26.5</c:v>
                </c:pt>
                <c:pt idx="265">
                  <c:v>26.5</c:v>
                </c:pt>
                <c:pt idx="266">
                  <c:v>26.5</c:v>
                </c:pt>
                <c:pt idx="267">
                  <c:v>26.5</c:v>
                </c:pt>
                <c:pt idx="268">
                  <c:v>26.5</c:v>
                </c:pt>
                <c:pt idx="269">
                  <c:v>26.5</c:v>
                </c:pt>
                <c:pt idx="270">
                  <c:v>26.5</c:v>
                </c:pt>
                <c:pt idx="271">
                  <c:v>26.5</c:v>
                </c:pt>
                <c:pt idx="272">
                  <c:v>26.5</c:v>
                </c:pt>
                <c:pt idx="273">
                  <c:v>26.5</c:v>
                </c:pt>
                <c:pt idx="274">
                  <c:v>26.5</c:v>
                </c:pt>
                <c:pt idx="275">
                  <c:v>26.5</c:v>
                </c:pt>
                <c:pt idx="276">
                  <c:v>26.5</c:v>
                </c:pt>
                <c:pt idx="277">
                  <c:v>26.5</c:v>
                </c:pt>
                <c:pt idx="278">
                  <c:v>26.5</c:v>
                </c:pt>
                <c:pt idx="279">
                  <c:v>26.5</c:v>
                </c:pt>
                <c:pt idx="280">
                  <c:v>26.5</c:v>
                </c:pt>
                <c:pt idx="281">
                  <c:v>26.5</c:v>
                </c:pt>
                <c:pt idx="282">
                  <c:v>26.5</c:v>
                </c:pt>
                <c:pt idx="283">
                  <c:v>24.5</c:v>
                </c:pt>
                <c:pt idx="284">
                  <c:v>24.5</c:v>
                </c:pt>
                <c:pt idx="285">
                  <c:v>24.5</c:v>
                </c:pt>
                <c:pt idx="286">
                  <c:v>26.5</c:v>
                </c:pt>
                <c:pt idx="287">
                  <c:v>26.5</c:v>
                </c:pt>
                <c:pt idx="288">
                  <c:v>26.5</c:v>
                </c:pt>
                <c:pt idx="289">
                  <c:v>26.5</c:v>
                </c:pt>
                <c:pt idx="290">
                  <c:v>26.5</c:v>
                </c:pt>
                <c:pt idx="291">
                  <c:v>29.5</c:v>
                </c:pt>
                <c:pt idx="292">
                  <c:v>29.5</c:v>
                </c:pt>
                <c:pt idx="293">
                  <c:v>29.5</c:v>
                </c:pt>
                <c:pt idx="294">
                  <c:v>29.5</c:v>
                </c:pt>
                <c:pt idx="295">
                  <c:v>29.5</c:v>
                </c:pt>
                <c:pt idx="296">
                  <c:v>29.5</c:v>
                </c:pt>
                <c:pt idx="297">
                  <c:v>29.5</c:v>
                </c:pt>
                <c:pt idx="298">
                  <c:v>29.5</c:v>
                </c:pt>
                <c:pt idx="299">
                  <c:v>29.5</c:v>
                </c:pt>
                <c:pt idx="300">
                  <c:v>29.5</c:v>
                </c:pt>
                <c:pt idx="301">
                  <c:v>29.5</c:v>
                </c:pt>
                <c:pt idx="302">
                  <c:v>29.5</c:v>
                </c:pt>
                <c:pt idx="303">
                  <c:v>29.5</c:v>
                </c:pt>
                <c:pt idx="304">
                  <c:v>29.5</c:v>
                </c:pt>
                <c:pt idx="305">
                  <c:v>31.5</c:v>
                </c:pt>
                <c:pt idx="306">
                  <c:v>31.5</c:v>
                </c:pt>
                <c:pt idx="307">
                  <c:v>31.5</c:v>
                </c:pt>
                <c:pt idx="308">
                  <c:v>31.5</c:v>
                </c:pt>
                <c:pt idx="309">
                  <c:v>31.5</c:v>
                </c:pt>
                <c:pt idx="310">
                  <c:v>31.5</c:v>
                </c:pt>
                <c:pt idx="311">
                  <c:v>31.5</c:v>
                </c:pt>
                <c:pt idx="312">
                  <c:v>31.5</c:v>
                </c:pt>
                <c:pt idx="313">
                  <c:v>31.5</c:v>
                </c:pt>
                <c:pt idx="314">
                  <c:v>31.5</c:v>
                </c:pt>
                <c:pt idx="315">
                  <c:v>31.5</c:v>
                </c:pt>
                <c:pt idx="316">
                  <c:v>31.5</c:v>
                </c:pt>
                <c:pt idx="317">
                  <c:v>31.5</c:v>
                </c:pt>
                <c:pt idx="318">
                  <c:v>31.5</c:v>
                </c:pt>
                <c:pt idx="319">
                  <c:v>31.5</c:v>
                </c:pt>
                <c:pt idx="320">
                  <c:v>31.5</c:v>
                </c:pt>
                <c:pt idx="321">
                  <c:v>31.5</c:v>
                </c:pt>
                <c:pt idx="322">
                  <c:v>31.5</c:v>
                </c:pt>
                <c:pt idx="323">
                  <c:v>31.5</c:v>
                </c:pt>
                <c:pt idx="324">
                  <c:v>31.5</c:v>
                </c:pt>
              </c:numCache>
            </c:numRef>
          </c:val>
          <c:smooth val="0"/>
        </c:ser>
        <c:dLbls>
          <c:showLegendKey val="0"/>
          <c:showVal val="0"/>
          <c:showCatName val="0"/>
          <c:showSerName val="0"/>
          <c:showPercent val="0"/>
          <c:showBubbleSize val="0"/>
        </c:dLbls>
        <c:marker val="1"/>
        <c:smooth val="0"/>
        <c:axId val="273060224"/>
        <c:axId val="273061760"/>
      </c:lineChart>
      <c:catAx>
        <c:axId val="273060224"/>
        <c:scaling>
          <c:orientation val="minMax"/>
        </c:scaling>
        <c:delete val="0"/>
        <c:axPos val="b"/>
        <c:numFmt formatCode="General" sourceLinked="1"/>
        <c:majorTickMark val="none"/>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ea"/>
                <a:ea typeface="+mj-ea"/>
                <a:cs typeface="+mn-cs"/>
              </a:defRPr>
            </a:pPr>
            <a:endParaRPr lang="zh-TW"/>
          </a:p>
        </c:txPr>
        <c:crossAx val="273061760"/>
        <c:crosses val="autoZero"/>
        <c:auto val="1"/>
        <c:lblAlgn val="ctr"/>
        <c:lblOffset val="100"/>
        <c:noMultiLvlLbl val="0"/>
      </c:catAx>
      <c:valAx>
        <c:axId val="273061760"/>
        <c:scaling>
          <c:orientation val="minMax"/>
          <c:min val="20"/>
        </c:scaling>
        <c:delete val="0"/>
        <c:axPos val="l"/>
        <c:majorGridlines>
          <c:spPr>
            <a:ln w="9525" cap="flat" cmpd="sng" algn="ctr">
              <a:solidFill>
                <a:sysClr val="windowText" lastClr="000000"/>
              </a:solidFill>
              <a:prstDash val="dash"/>
              <a:round/>
            </a:ln>
            <a:effectLst/>
          </c:spPr>
        </c:majorGridlines>
        <c:numFmt formatCode="#,##0.0_);[Red]\(#,##0.0\)" sourceLinked="0"/>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ea"/>
                <a:ea typeface="+mj-ea"/>
                <a:cs typeface="+mn-cs"/>
              </a:defRPr>
            </a:pPr>
            <a:endParaRPr lang="zh-TW"/>
          </a:p>
        </c:txPr>
        <c:crossAx val="27306022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mj-ea"/>
          <a:ea typeface="+mj-ea"/>
        </a:defRPr>
      </a:pPr>
      <a:endParaRPr lang="zh-TW"/>
    </a:p>
  </c:txPr>
  <c:externalData r:id="rId2">
    <c:autoUpdate val="0"/>
  </c:externalData>
  <c:userShapes r:id="rId3"/>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9531459170013385E-2"/>
          <c:y val="0.13005780346820808"/>
          <c:w val="0.89457923921481641"/>
          <c:h val="0.62511498874402316"/>
        </c:manualLayout>
      </c:layout>
      <c:lineChart>
        <c:grouping val="standard"/>
        <c:varyColors val="0"/>
        <c:ser>
          <c:idx val="1"/>
          <c:order val="1"/>
          <c:tx>
            <c:strRef>
              <c:f>麵粉!$C$1</c:f>
              <c:strCache>
                <c:ptCount val="1"/>
                <c:pt idx="0">
                  <c:v>超市</c:v>
                </c:pt>
              </c:strCache>
            </c:strRef>
          </c:tx>
          <c:spPr>
            <a:ln>
              <a:prstDash val="sysDash"/>
            </a:ln>
          </c:spPr>
          <c:marker>
            <c:symbol val="none"/>
          </c:marker>
          <c:cat>
            <c:strRef>
              <c:f>麵粉!$A$32:$A$173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麵粉!$C$32:$C$173</c:f>
              <c:numCache>
                <c:formatCode>0.00</c:formatCode>
                <c:ptCount val="142"/>
                <c:pt idx="0">
                  <c:v>62.5</c:v>
                </c:pt>
                <c:pt idx="1">
                  <c:v>62.5</c:v>
                </c:pt>
                <c:pt idx="2">
                  <c:v>63</c:v>
                </c:pt>
                <c:pt idx="3">
                  <c:v>63.4</c:v>
                </c:pt>
                <c:pt idx="4">
                  <c:v>63.4</c:v>
                </c:pt>
                <c:pt idx="5">
                  <c:v>63.4</c:v>
                </c:pt>
                <c:pt idx="6">
                  <c:v>62</c:v>
                </c:pt>
                <c:pt idx="7">
                  <c:v>62</c:v>
                </c:pt>
                <c:pt idx="8">
                  <c:v>62</c:v>
                </c:pt>
                <c:pt idx="9">
                  <c:v>60.142857142857146</c:v>
                </c:pt>
                <c:pt idx="10">
                  <c:v>62.142857142857146</c:v>
                </c:pt>
                <c:pt idx="11">
                  <c:v>62.142857142857146</c:v>
                </c:pt>
                <c:pt idx="12">
                  <c:v>62.142857142857146</c:v>
                </c:pt>
                <c:pt idx="13">
                  <c:v>62.428571428571431</c:v>
                </c:pt>
                <c:pt idx="14">
                  <c:v>62.5</c:v>
                </c:pt>
                <c:pt idx="15">
                  <c:v>62.5</c:v>
                </c:pt>
                <c:pt idx="16">
                  <c:v>61.857142857142854</c:v>
                </c:pt>
                <c:pt idx="17">
                  <c:v>62.5</c:v>
                </c:pt>
                <c:pt idx="18">
                  <c:v>62.5</c:v>
                </c:pt>
                <c:pt idx="19">
                  <c:v>62.5</c:v>
                </c:pt>
                <c:pt idx="20">
                  <c:v>62.5</c:v>
                </c:pt>
                <c:pt idx="21">
                  <c:v>62.5</c:v>
                </c:pt>
                <c:pt idx="22">
                  <c:v>62.5</c:v>
                </c:pt>
                <c:pt idx="23">
                  <c:v>61</c:v>
                </c:pt>
                <c:pt idx="24">
                  <c:v>60.5</c:v>
                </c:pt>
                <c:pt idx="25">
                  <c:v>60.875</c:v>
                </c:pt>
                <c:pt idx="26">
                  <c:v>60.5</c:v>
                </c:pt>
                <c:pt idx="27">
                  <c:v>61.5</c:v>
                </c:pt>
                <c:pt idx="28">
                  <c:v>61.5</c:v>
                </c:pt>
                <c:pt idx="29">
                  <c:v>62</c:v>
                </c:pt>
                <c:pt idx="30">
                  <c:v>61.571428571428569</c:v>
                </c:pt>
                <c:pt idx="31">
                  <c:v>62.428571428571431</c:v>
                </c:pt>
                <c:pt idx="32">
                  <c:v>62</c:v>
                </c:pt>
                <c:pt idx="33">
                  <c:v>62</c:v>
                </c:pt>
                <c:pt idx="34">
                  <c:v>62.333333333333336</c:v>
                </c:pt>
                <c:pt idx="35">
                  <c:v>62.571428571428569</c:v>
                </c:pt>
                <c:pt idx="36">
                  <c:v>62.571428571428569</c:v>
                </c:pt>
                <c:pt idx="37">
                  <c:v>62.571428571428569</c:v>
                </c:pt>
                <c:pt idx="38">
                  <c:v>62.428571428571431</c:v>
                </c:pt>
                <c:pt idx="39">
                  <c:v>62.428571428571431</c:v>
                </c:pt>
                <c:pt idx="40">
                  <c:v>62.571428571428569</c:v>
                </c:pt>
                <c:pt idx="41">
                  <c:v>62.571428571428569</c:v>
                </c:pt>
                <c:pt idx="42">
                  <c:v>62.571428571428569</c:v>
                </c:pt>
                <c:pt idx="43">
                  <c:v>61.428571428571431</c:v>
                </c:pt>
                <c:pt idx="44">
                  <c:v>60.714285714285715</c:v>
                </c:pt>
                <c:pt idx="45">
                  <c:v>62</c:v>
                </c:pt>
                <c:pt idx="46">
                  <c:v>62</c:v>
                </c:pt>
                <c:pt idx="47">
                  <c:v>61.285714285714285</c:v>
                </c:pt>
                <c:pt idx="48">
                  <c:v>60.285714285714285</c:v>
                </c:pt>
                <c:pt idx="49">
                  <c:v>60.857142857142854</c:v>
                </c:pt>
                <c:pt idx="50">
                  <c:v>61.285714285714285</c:v>
                </c:pt>
                <c:pt idx="51">
                  <c:v>61.857142857142854</c:v>
                </c:pt>
                <c:pt idx="52">
                  <c:v>61.857142857142854</c:v>
                </c:pt>
                <c:pt idx="53">
                  <c:v>62.428571428571431</c:v>
                </c:pt>
                <c:pt idx="54">
                  <c:v>62.428571428571431</c:v>
                </c:pt>
                <c:pt idx="55">
                  <c:v>63.285714285714285</c:v>
                </c:pt>
                <c:pt idx="56">
                  <c:v>64.714285714285708</c:v>
                </c:pt>
                <c:pt idx="57">
                  <c:v>65</c:v>
                </c:pt>
                <c:pt idx="58">
                  <c:v>65</c:v>
                </c:pt>
                <c:pt idx="59">
                  <c:v>65</c:v>
                </c:pt>
                <c:pt idx="60">
                  <c:v>65</c:v>
                </c:pt>
                <c:pt idx="61">
                  <c:v>65</c:v>
                </c:pt>
                <c:pt idx="62">
                  <c:v>65</c:v>
                </c:pt>
                <c:pt idx="63">
                  <c:v>65</c:v>
                </c:pt>
                <c:pt idx="64">
                  <c:v>62.857142857142854</c:v>
                </c:pt>
                <c:pt idx="65">
                  <c:v>62.875</c:v>
                </c:pt>
                <c:pt idx="66">
                  <c:v>63.555555555555557</c:v>
                </c:pt>
                <c:pt idx="67">
                  <c:v>63.555555555555557</c:v>
                </c:pt>
                <c:pt idx="68">
                  <c:v>63.44444</c:v>
                </c:pt>
                <c:pt idx="69">
                  <c:v>63.555555555555557</c:v>
                </c:pt>
                <c:pt idx="70">
                  <c:v>63.555555555555557</c:v>
                </c:pt>
                <c:pt idx="71">
                  <c:v>63.222222222222221</c:v>
                </c:pt>
                <c:pt idx="72">
                  <c:v>63.222222222222221</c:v>
                </c:pt>
                <c:pt idx="73">
                  <c:v>63.222222222222221</c:v>
                </c:pt>
                <c:pt idx="74">
                  <c:v>63.222222222222221</c:v>
                </c:pt>
                <c:pt idx="75">
                  <c:v>63.222222222222221</c:v>
                </c:pt>
                <c:pt idx="76">
                  <c:v>63.222222222222221</c:v>
                </c:pt>
                <c:pt idx="77">
                  <c:v>63.222222222222221</c:v>
                </c:pt>
                <c:pt idx="78">
                  <c:v>62.333333333333336</c:v>
                </c:pt>
                <c:pt idx="79">
                  <c:v>63.666666666666664</c:v>
                </c:pt>
                <c:pt idx="80">
                  <c:v>63.666666666666664</c:v>
                </c:pt>
                <c:pt idx="81">
                  <c:v>63.666666666666664</c:v>
                </c:pt>
                <c:pt idx="82">
                  <c:v>63.666666666666664</c:v>
                </c:pt>
                <c:pt idx="83">
                  <c:v>63.666666666666664</c:v>
                </c:pt>
                <c:pt idx="84">
                  <c:v>63.222222222222221</c:v>
                </c:pt>
                <c:pt idx="85">
                  <c:v>63.8</c:v>
                </c:pt>
                <c:pt idx="86">
                  <c:v>63</c:v>
                </c:pt>
                <c:pt idx="87">
                  <c:v>63.666666666666664</c:v>
                </c:pt>
                <c:pt idx="88">
                  <c:v>63.666666666666664</c:v>
                </c:pt>
                <c:pt idx="89">
                  <c:v>63.666666666666664</c:v>
                </c:pt>
                <c:pt idx="90">
                  <c:v>63.777777777777779</c:v>
                </c:pt>
                <c:pt idx="91">
                  <c:v>64.444444444444443</c:v>
                </c:pt>
                <c:pt idx="92">
                  <c:v>64.444444444444443</c:v>
                </c:pt>
                <c:pt idx="93">
                  <c:v>64.777777777777771</c:v>
                </c:pt>
                <c:pt idx="94">
                  <c:v>64.25</c:v>
                </c:pt>
                <c:pt idx="95">
                  <c:v>59.875</c:v>
                </c:pt>
                <c:pt idx="96">
                  <c:v>59.777777777777779</c:v>
                </c:pt>
                <c:pt idx="97">
                  <c:v>59.888888888888886</c:v>
                </c:pt>
                <c:pt idx="98">
                  <c:v>60.25</c:v>
                </c:pt>
                <c:pt idx="99">
                  <c:v>65</c:v>
                </c:pt>
                <c:pt idx="100">
                  <c:v>63.888888888888886</c:v>
                </c:pt>
                <c:pt idx="101">
                  <c:v>65</c:v>
                </c:pt>
                <c:pt idx="102">
                  <c:v>65</c:v>
                </c:pt>
                <c:pt idx="103">
                  <c:v>65.111111111111114</c:v>
                </c:pt>
                <c:pt idx="104">
                  <c:v>62.222222222222221</c:v>
                </c:pt>
                <c:pt idx="105">
                  <c:v>64.777777777777771</c:v>
                </c:pt>
                <c:pt idx="106">
                  <c:v>64.777777777777771</c:v>
                </c:pt>
                <c:pt idx="107">
                  <c:v>64.25</c:v>
                </c:pt>
                <c:pt idx="108">
                  <c:v>62.75</c:v>
                </c:pt>
                <c:pt idx="109">
                  <c:v>64.777777777777771</c:v>
                </c:pt>
                <c:pt idx="110">
                  <c:v>64.25</c:v>
                </c:pt>
                <c:pt idx="111">
                  <c:v>64</c:v>
                </c:pt>
                <c:pt idx="112">
                  <c:v>61.333333333333336</c:v>
                </c:pt>
                <c:pt idx="113">
                  <c:v>63.8</c:v>
                </c:pt>
                <c:pt idx="114">
                  <c:v>63.111111111111114</c:v>
                </c:pt>
                <c:pt idx="115">
                  <c:v>64</c:v>
                </c:pt>
                <c:pt idx="116">
                  <c:v>64</c:v>
                </c:pt>
                <c:pt idx="117">
                  <c:v>63.666666666666664</c:v>
                </c:pt>
                <c:pt idx="118">
                  <c:v>63.555555555555557</c:v>
                </c:pt>
                <c:pt idx="119">
                  <c:v>64.3</c:v>
                </c:pt>
                <c:pt idx="120">
                  <c:v>63.2</c:v>
                </c:pt>
                <c:pt idx="121">
                  <c:v>62.444444444444443</c:v>
                </c:pt>
                <c:pt idx="122">
                  <c:v>64.444444444444443</c:v>
                </c:pt>
                <c:pt idx="123">
                  <c:v>64</c:v>
                </c:pt>
                <c:pt idx="124">
                  <c:v>66.222222222222229</c:v>
                </c:pt>
                <c:pt idx="125">
                  <c:v>66.222222222222229</c:v>
                </c:pt>
                <c:pt idx="126">
                  <c:v>66.222222222222229</c:v>
                </c:pt>
                <c:pt idx="127">
                  <c:v>66.222222222222229</c:v>
                </c:pt>
                <c:pt idx="128">
                  <c:v>66.222222222222229</c:v>
                </c:pt>
                <c:pt idx="129">
                  <c:v>66.222222222222229</c:v>
                </c:pt>
                <c:pt idx="130">
                  <c:v>66.222222222222229</c:v>
                </c:pt>
                <c:pt idx="131">
                  <c:v>65.111111111111114</c:v>
                </c:pt>
                <c:pt idx="132">
                  <c:v>65.111111111111114</c:v>
                </c:pt>
                <c:pt idx="133">
                  <c:v>65</c:v>
                </c:pt>
                <c:pt idx="134">
                  <c:v>65.777777777777771</c:v>
                </c:pt>
                <c:pt idx="135">
                  <c:v>65.555555555555557</c:v>
                </c:pt>
                <c:pt idx="136">
                  <c:v>65.555555555555557</c:v>
                </c:pt>
                <c:pt idx="137">
                  <c:v>63.555555555555557</c:v>
                </c:pt>
                <c:pt idx="138">
                  <c:v>61.625</c:v>
                </c:pt>
                <c:pt idx="139">
                  <c:v>65.375</c:v>
                </c:pt>
                <c:pt idx="140">
                  <c:v>63.555555555555557</c:v>
                </c:pt>
                <c:pt idx="141">
                  <c:v>64.888888888888886</c:v>
                </c:pt>
              </c:numCache>
            </c:numRef>
          </c:val>
          <c:smooth val="0"/>
        </c:ser>
        <c:ser>
          <c:idx val="2"/>
          <c:order val="2"/>
          <c:tx>
            <c:strRef>
              <c:f>麵粉!$D$1</c:f>
              <c:strCache>
                <c:ptCount val="1"/>
                <c:pt idx="0">
                  <c:v>量販店</c:v>
                </c:pt>
              </c:strCache>
            </c:strRef>
          </c:tx>
          <c:marker>
            <c:symbol val="none"/>
          </c:marker>
          <c:cat>
            <c:strRef>
              <c:f>麵粉!$A$32:$A$173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麵粉!$D$32:$D$173</c:f>
              <c:numCache>
                <c:formatCode>0.00</c:formatCode>
                <c:ptCount val="142"/>
                <c:pt idx="0">
                  <c:v>50.714285714285715</c:v>
                </c:pt>
                <c:pt idx="1">
                  <c:v>54.285714285714285</c:v>
                </c:pt>
                <c:pt idx="2">
                  <c:v>54.43</c:v>
                </c:pt>
                <c:pt idx="3">
                  <c:v>53.29</c:v>
                </c:pt>
                <c:pt idx="4">
                  <c:v>53.14</c:v>
                </c:pt>
                <c:pt idx="5">
                  <c:v>53.142857142857146</c:v>
                </c:pt>
                <c:pt idx="6">
                  <c:v>53.285714285714285</c:v>
                </c:pt>
                <c:pt idx="7">
                  <c:v>52.57</c:v>
                </c:pt>
                <c:pt idx="8">
                  <c:v>52.5</c:v>
                </c:pt>
                <c:pt idx="9">
                  <c:v>50.625</c:v>
                </c:pt>
                <c:pt idx="10">
                  <c:v>49.666666666666664</c:v>
                </c:pt>
                <c:pt idx="11">
                  <c:v>54.1</c:v>
                </c:pt>
                <c:pt idx="12">
                  <c:v>54.3</c:v>
                </c:pt>
                <c:pt idx="13">
                  <c:v>52.888888888888886</c:v>
                </c:pt>
                <c:pt idx="14">
                  <c:v>51</c:v>
                </c:pt>
                <c:pt idx="15">
                  <c:v>51</c:v>
                </c:pt>
                <c:pt idx="16">
                  <c:v>52</c:v>
                </c:pt>
                <c:pt idx="17">
                  <c:v>53</c:v>
                </c:pt>
                <c:pt idx="18">
                  <c:v>51.333333333333336</c:v>
                </c:pt>
                <c:pt idx="19">
                  <c:v>51.333333333333336</c:v>
                </c:pt>
                <c:pt idx="20">
                  <c:v>50.75</c:v>
                </c:pt>
                <c:pt idx="21">
                  <c:v>53.5</c:v>
                </c:pt>
                <c:pt idx="22">
                  <c:v>53.333333333333336</c:v>
                </c:pt>
                <c:pt idx="23">
                  <c:v>52.777777777777779</c:v>
                </c:pt>
                <c:pt idx="24">
                  <c:v>53.555555555555557</c:v>
                </c:pt>
                <c:pt idx="25">
                  <c:v>53.555555555555557</c:v>
                </c:pt>
                <c:pt idx="26">
                  <c:v>53.555555555555557</c:v>
                </c:pt>
                <c:pt idx="27">
                  <c:v>51.777777777777779</c:v>
                </c:pt>
                <c:pt idx="28">
                  <c:v>52.909090909090907</c:v>
                </c:pt>
                <c:pt idx="29">
                  <c:v>55</c:v>
                </c:pt>
                <c:pt idx="30">
                  <c:v>57.111111111111114</c:v>
                </c:pt>
                <c:pt idx="31">
                  <c:v>57.111111111111114</c:v>
                </c:pt>
                <c:pt idx="32">
                  <c:v>59.125</c:v>
                </c:pt>
                <c:pt idx="33">
                  <c:v>57.111111111111114</c:v>
                </c:pt>
                <c:pt idx="34">
                  <c:v>54.625</c:v>
                </c:pt>
                <c:pt idx="35">
                  <c:v>56</c:v>
                </c:pt>
                <c:pt idx="36">
                  <c:v>54.888888888888886</c:v>
                </c:pt>
                <c:pt idx="37">
                  <c:v>56.555555555555557</c:v>
                </c:pt>
                <c:pt idx="38">
                  <c:v>56.75</c:v>
                </c:pt>
                <c:pt idx="39">
                  <c:v>57.125</c:v>
                </c:pt>
                <c:pt idx="40">
                  <c:v>57.888888888888886</c:v>
                </c:pt>
                <c:pt idx="41">
                  <c:v>57.777777777777779</c:v>
                </c:pt>
                <c:pt idx="42">
                  <c:v>57.777777777777779</c:v>
                </c:pt>
                <c:pt idx="43">
                  <c:v>53.444444444444443</c:v>
                </c:pt>
                <c:pt idx="44">
                  <c:v>53.444444444444443</c:v>
                </c:pt>
                <c:pt idx="45">
                  <c:v>52.333333333333336</c:v>
                </c:pt>
                <c:pt idx="46">
                  <c:v>51.666666666666664</c:v>
                </c:pt>
                <c:pt idx="47">
                  <c:v>52.333333333333336</c:v>
                </c:pt>
                <c:pt idx="48">
                  <c:v>52.333333333333336</c:v>
                </c:pt>
                <c:pt idx="49">
                  <c:v>51.777777777777779</c:v>
                </c:pt>
                <c:pt idx="50">
                  <c:v>56.111111111111114</c:v>
                </c:pt>
                <c:pt idx="51">
                  <c:v>55.333333333333336</c:v>
                </c:pt>
                <c:pt idx="52">
                  <c:v>55</c:v>
                </c:pt>
                <c:pt idx="53">
                  <c:v>55.222222222222221</c:v>
                </c:pt>
                <c:pt idx="54">
                  <c:v>55.888888888888886</c:v>
                </c:pt>
                <c:pt idx="55">
                  <c:v>55.888888888888886</c:v>
                </c:pt>
                <c:pt idx="56">
                  <c:v>54.777777777777779</c:v>
                </c:pt>
                <c:pt idx="57">
                  <c:v>54.777777777777779</c:v>
                </c:pt>
                <c:pt idx="58">
                  <c:v>51</c:v>
                </c:pt>
                <c:pt idx="59">
                  <c:v>51</c:v>
                </c:pt>
                <c:pt idx="60">
                  <c:v>54.666666666666664</c:v>
                </c:pt>
                <c:pt idx="61">
                  <c:v>54</c:v>
                </c:pt>
                <c:pt idx="62">
                  <c:v>51.666666666666664</c:v>
                </c:pt>
                <c:pt idx="63">
                  <c:v>52.375</c:v>
                </c:pt>
                <c:pt idx="64">
                  <c:v>53.555555555555557</c:v>
                </c:pt>
                <c:pt idx="65">
                  <c:v>53.555555555555557</c:v>
                </c:pt>
                <c:pt idx="66">
                  <c:v>55.333333333333336</c:v>
                </c:pt>
                <c:pt idx="67">
                  <c:v>56.428571428571431</c:v>
                </c:pt>
                <c:pt idx="68">
                  <c:v>54.833329999999997</c:v>
                </c:pt>
                <c:pt idx="69">
                  <c:v>54.833333333333336</c:v>
                </c:pt>
                <c:pt idx="70">
                  <c:v>54.444444444444443</c:v>
                </c:pt>
                <c:pt idx="71">
                  <c:v>55.888888888888886</c:v>
                </c:pt>
                <c:pt idx="72">
                  <c:v>56.111111111111114</c:v>
                </c:pt>
                <c:pt idx="73">
                  <c:v>55.888888888888886</c:v>
                </c:pt>
                <c:pt idx="74">
                  <c:v>57.111111111111114</c:v>
                </c:pt>
                <c:pt idx="75">
                  <c:v>57.333333333333336</c:v>
                </c:pt>
                <c:pt idx="76">
                  <c:v>58</c:v>
                </c:pt>
                <c:pt idx="77">
                  <c:v>58</c:v>
                </c:pt>
                <c:pt idx="78">
                  <c:v>57</c:v>
                </c:pt>
                <c:pt idx="79">
                  <c:v>57.5</c:v>
                </c:pt>
                <c:pt idx="80">
                  <c:v>57.333333333333336</c:v>
                </c:pt>
                <c:pt idx="81">
                  <c:v>54.5</c:v>
                </c:pt>
                <c:pt idx="82">
                  <c:v>56.125</c:v>
                </c:pt>
                <c:pt idx="83">
                  <c:v>58.222222222222221</c:v>
                </c:pt>
                <c:pt idx="84">
                  <c:v>60.5</c:v>
                </c:pt>
                <c:pt idx="85">
                  <c:v>59</c:v>
                </c:pt>
                <c:pt idx="86">
                  <c:v>58.666666666666664</c:v>
                </c:pt>
                <c:pt idx="87">
                  <c:v>58.666666666666664</c:v>
                </c:pt>
                <c:pt idx="88">
                  <c:v>58.666666666666664</c:v>
                </c:pt>
                <c:pt idx="89">
                  <c:v>56.888888888888886</c:v>
                </c:pt>
                <c:pt idx="90">
                  <c:v>54.222222222222221</c:v>
                </c:pt>
                <c:pt idx="91">
                  <c:v>56.444444444444443</c:v>
                </c:pt>
                <c:pt idx="92">
                  <c:v>58.555555555555557</c:v>
                </c:pt>
                <c:pt idx="93">
                  <c:v>57.222222222222221</c:v>
                </c:pt>
                <c:pt idx="94">
                  <c:v>57</c:v>
                </c:pt>
                <c:pt idx="95">
                  <c:v>54.666666666666664</c:v>
                </c:pt>
                <c:pt idx="96">
                  <c:v>51.888888888888886</c:v>
                </c:pt>
                <c:pt idx="97">
                  <c:v>52</c:v>
                </c:pt>
                <c:pt idx="98">
                  <c:v>55.5</c:v>
                </c:pt>
                <c:pt idx="99">
                  <c:v>54.2</c:v>
                </c:pt>
                <c:pt idx="100">
                  <c:v>55.555555555555557</c:v>
                </c:pt>
                <c:pt idx="101">
                  <c:v>55.222222222222221</c:v>
                </c:pt>
                <c:pt idx="102">
                  <c:v>54.2</c:v>
                </c:pt>
                <c:pt idx="103">
                  <c:v>53.4</c:v>
                </c:pt>
                <c:pt idx="104">
                  <c:v>53.2</c:v>
                </c:pt>
                <c:pt idx="105">
                  <c:v>51.545454545454547</c:v>
                </c:pt>
                <c:pt idx="106">
                  <c:v>54.090909090909093</c:v>
                </c:pt>
                <c:pt idx="107">
                  <c:v>56.090909090909093</c:v>
                </c:pt>
                <c:pt idx="108">
                  <c:v>52.909090909090907</c:v>
                </c:pt>
                <c:pt idx="109">
                  <c:v>54.090909090909093</c:v>
                </c:pt>
                <c:pt idx="110">
                  <c:v>53.363636363636367</c:v>
                </c:pt>
                <c:pt idx="111">
                  <c:v>55.909090909090907</c:v>
                </c:pt>
                <c:pt idx="112">
                  <c:v>52.454545454545453</c:v>
                </c:pt>
                <c:pt idx="113">
                  <c:v>53.727272727272727</c:v>
                </c:pt>
                <c:pt idx="114">
                  <c:v>54</c:v>
                </c:pt>
                <c:pt idx="115">
                  <c:v>54.18181818181818</c:v>
                </c:pt>
                <c:pt idx="116">
                  <c:v>55.272727272727273</c:v>
                </c:pt>
                <c:pt idx="117">
                  <c:v>55.272727272727273</c:v>
                </c:pt>
                <c:pt idx="118">
                  <c:v>54.636363636363633</c:v>
                </c:pt>
                <c:pt idx="119">
                  <c:v>53.272727272727273</c:v>
                </c:pt>
                <c:pt idx="120">
                  <c:v>52.454545454545453</c:v>
                </c:pt>
                <c:pt idx="121">
                  <c:v>53.636363636363633</c:v>
                </c:pt>
                <c:pt idx="122">
                  <c:v>54.454545454545453</c:v>
                </c:pt>
                <c:pt idx="123">
                  <c:v>52.909090909090907</c:v>
                </c:pt>
                <c:pt idx="124">
                  <c:v>53.272727272727273</c:v>
                </c:pt>
                <c:pt idx="125">
                  <c:v>53.363636363636367</c:v>
                </c:pt>
                <c:pt idx="126">
                  <c:v>53.727272727272727</c:v>
                </c:pt>
                <c:pt idx="127">
                  <c:v>53.363636363636367</c:v>
                </c:pt>
                <c:pt idx="128">
                  <c:v>53.090909090909093</c:v>
                </c:pt>
                <c:pt idx="129">
                  <c:v>52.454545454545453</c:v>
                </c:pt>
                <c:pt idx="130">
                  <c:v>51.636363636363633</c:v>
                </c:pt>
                <c:pt idx="131">
                  <c:v>50.727272727272727</c:v>
                </c:pt>
                <c:pt idx="132">
                  <c:v>49.636363636363633</c:v>
                </c:pt>
                <c:pt idx="133">
                  <c:v>50.272727272727273</c:v>
                </c:pt>
                <c:pt idx="134">
                  <c:v>51.636363636363633</c:v>
                </c:pt>
                <c:pt idx="135">
                  <c:v>52.090909090909093</c:v>
                </c:pt>
                <c:pt idx="136">
                  <c:v>49.454545454545453</c:v>
                </c:pt>
                <c:pt idx="137">
                  <c:v>48.81818181818182</c:v>
                </c:pt>
                <c:pt idx="138">
                  <c:v>53.090909090909093</c:v>
                </c:pt>
                <c:pt idx="139">
                  <c:v>49.545454545454547</c:v>
                </c:pt>
                <c:pt idx="140">
                  <c:v>50</c:v>
                </c:pt>
                <c:pt idx="141">
                  <c:v>48.5</c:v>
                </c:pt>
              </c:numCache>
            </c:numRef>
          </c:val>
          <c:smooth val="0"/>
        </c:ser>
        <c:dLbls>
          <c:showLegendKey val="0"/>
          <c:showVal val="0"/>
          <c:showCatName val="0"/>
          <c:showSerName val="0"/>
          <c:showPercent val="0"/>
          <c:showBubbleSize val="0"/>
        </c:dLbls>
        <c:marker val="1"/>
        <c:smooth val="0"/>
        <c:axId val="272864000"/>
        <c:axId val="272865536"/>
      </c:lineChart>
      <c:lineChart>
        <c:grouping val="standard"/>
        <c:varyColors val="0"/>
        <c:ser>
          <c:idx val="0"/>
          <c:order val="0"/>
          <c:tx>
            <c:strRef>
              <c:f>麵粉!$B$1</c:f>
              <c:strCache>
                <c:ptCount val="1"/>
                <c:pt idx="0">
                  <c:v>便利店(自有)</c:v>
                </c:pt>
              </c:strCache>
            </c:strRef>
          </c:tx>
          <c:spPr>
            <a:ln>
              <a:prstDash val="sysDot"/>
            </a:ln>
          </c:spPr>
          <c:marker>
            <c:symbol val="none"/>
          </c:marker>
          <c:cat>
            <c:strRef>
              <c:f>麵粉!$A$32:$A$172</c:f>
              <c:strCache>
                <c:ptCount val="141"/>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strCache>
            </c:strRef>
          </c:cat>
          <c:val>
            <c:numRef>
              <c:f>麵粉!$B$32:$B$172</c:f>
              <c:numCache>
                <c:formatCode>0.00</c:formatCode>
                <c:ptCount val="141"/>
                <c:pt idx="0">
                  <c:v>28</c:v>
                </c:pt>
                <c:pt idx="1">
                  <c:v>28</c:v>
                </c:pt>
                <c:pt idx="2">
                  <c:v>28</c:v>
                </c:pt>
                <c:pt idx="3">
                  <c:v>28</c:v>
                </c:pt>
                <c:pt idx="4">
                  <c:v>28</c:v>
                </c:pt>
                <c:pt idx="5">
                  <c:v>28</c:v>
                </c:pt>
                <c:pt idx="6">
                  <c:v>28</c:v>
                </c:pt>
                <c:pt idx="7">
                  <c:v>28</c:v>
                </c:pt>
                <c:pt idx="8">
                  <c:v>28</c:v>
                </c:pt>
                <c:pt idx="9">
                  <c:v>28</c:v>
                </c:pt>
                <c:pt idx="10">
                  <c:v>28</c:v>
                </c:pt>
                <c:pt idx="11">
                  <c:v>28</c:v>
                </c:pt>
                <c:pt idx="12">
                  <c:v>28</c:v>
                </c:pt>
                <c:pt idx="13">
                  <c:v>28</c:v>
                </c:pt>
                <c:pt idx="14">
                  <c:v>28</c:v>
                </c:pt>
                <c:pt idx="15">
                  <c:v>28</c:v>
                </c:pt>
                <c:pt idx="16">
                  <c:v>28</c:v>
                </c:pt>
                <c:pt idx="17">
                  <c:v>28</c:v>
                </c:pt>
                <c:pt idx="18">
                  <c:v>28</c:v>
                </c:pt>
                <c:pt idx="19">
                  <c:v>28</c:v>
                </c:pt>
                <c:pt idx="20">
                  <c:v>28</c:v>
                </c:pt>
                <c:pt idx="21">
                  <c:v>28</c:v>
                </c:pt>
                <c:pt idx="22">
                  <c:v>28</c:v>
                </c:pt>
                <c:pt idx="23">
                  <c:v>28</c:v>
                </c:pt>
                <c:pt idx="24">
                  <c:v>28</c:v>
                </c:pt>
                <c:pt idx="25">
                  <c:v>28</c:v>
                </c:pt>
                <c:pt idx="26">
                  <c:v>28</c:v>
                </c:pt>
                <c:pt idx="27">
                  <c:v>28</c:v>
                </c:pt>
                <c:pt idx="28">
                  <c:v>28</c:v>
                </c:pt>
                <c:pt idx="29">
                  <c:v>28</c:v>
                </c:pt>
                <c:pt idx="30">
                  <c:v>28</c:v>
                </c:pt>
                <c:pt idx="31">
                  <c:v>28</c:v>
                </c:pt>
                <c:pt idx="32">
                  <c:v>28</c:v>
                </c:pt>
                <c:pt idx="33">
                  <c:v>28</c:v>
                </c:pt>
                <c:pt idx="34">
                  <c:v>28</c:v>
                </c:pt>
                <c:pt idx="35">
                  <c:v>28</c:v>
                </c:pt>
                <c:pt idx="36">
                  <c:v>28</c:v>
                </c:pt>
                <c:pt idx="37">
                  <c:v>28</c:v>
                </c:pt>
                <c:pt idx="38">
                  <c:v>28</c:v>
                </c:pt>
                <c:pt idx="39">
                  <c:v>28</c:v>
                </c:pt>
                <c:pt idx="40">
                  <c:v>28</c:v>
                </c:pt>
                <c:pt idx="41">
                  <c:v>28</c:v>
                </c:pt>
                <c:pt idx="42">
                  <c:v>28</c:v>
                </c:pt>
                <c:pt idx="43">
                  <c:v>28</c:v>
                </c:pt>
                <c:pt idx="44">
                  <c:v>28</c:v>
                </c:pt>
                <c:pt idx="45">
                  <c:v>28</c:v>
                </c:pt>
                <c:pt idx="46">
                  <c:v>28</c:v>
                </c:pt>
                <c:pt idx="47">
                  <c:v>28</c:v>
                </c:pt>
                <c:pt idx="48">
                  <c:v>28</c:v>
                </c:pt>
                <c:pt idx="49">
                  <c:v>28</c:v>
                </c:pt>
                <c:pt idx="50">
                  <c:v>28</c:v>
                </c:pt>
                <c:pt idx="51">
                  <c:v>28</c:v>
                </c:pt>
                <c:pt idx="52">
                  <c:v>28</c:v>
                </c:pt>
                <c:pt idx="53">
                  <c:v>28</c:v>
                </c:pt>
                <c:pt idx="54">
                  <c:v>28</c:v>
                </c:pt>
                <c:pt idx="55">
                  <c:v>28</c:v>
                </c:pt>
                <c:pt idx="56">
                  <c:v>28</c:v>
                </c:pt>
                <c:pt idx="57">
                  <c:v>28</c:v>
                </c:pt>
                <c:pt idx="58">
                  <c:v>28</c:v>
                </c:pt>
                <c:pt idx="59">
                  <c:v>28</c:v>
                </c:pt>
                <c:pt idx="60">
                  <c:v>28</c:v>
                </c:pt>
                <c:pt idx="61">
                  <c:v>28</c:v>
                </c:pt>
                <c:pt idx="62">
                  <c:v>28</c:v>
                </c:pt>
                <c:pt idx="63">
                  <c:v>28</c:v>
                </c:pt>
                <c:pt idx="64">
                  <c:v>28</c:v>
                </c:pt>
                <c:pt idx="65">
                  <c:v>28</c:v>
                </c:pt>
                <c:pt idx="66">
                  <c:v>28</c:v>
                </c:pt>
                <c:pt idx="67">
                  <c:v>28</c:v>
                </c:pt>
                <c:pt idx="68">
                  <c:v>28</c:v>
                </c:pt>
                <c:pt idx="69">
                  <c:v>28</c:v>
                </c:pt>
                <c:pt idx="70">
                  <c:v>28</c:v>
                </c:pt>
                <c:pt idx="71">
                  <c:v>28</c:v>
                </c:pt>
                <c:pt idx="72">
                  <c:v>28</c:v>
                </c:pt>
                <c:pt idx="73">
                  <c:v>28</c:v>
                </c:pt>
                <c:pt idx="74">
                  <c:v>28</c:v>
                </c:pt>
                <c:pt idx="75">
                  <c:v>28</c:v>
                </c:pt>
                <c:pt idx="76">
                  <c:v>28</c:v>
                </c:pt>
                <c:pt idx="77">
                  <c:v>28</c:v>
                </c:pt>
                <c:pt idx="78">
                  <c:v>28</c:v>
                </c:pt>
                <c:pt idx="79">
                  <c:v>28</c:v>
                </c:pt>
                <c:pt idx="80">
                  <c:v>28</c:v>
                </c:pt>
                <c:pt idx="81">
                  <c:v>28</c:v>
                </c:pt>
                <c:pt idx="82">
                  <c:v>28</c:v>
                </c:pt>
                <c:pt idx="83">
                  <c:v>28</c:v>
                </c:pt>
                <c:pt idx="84">
                  <c:v>28</c:v>
                </c:pt>
                <c:pt idx="85">
                  <c:v>28</c:v>
                </c:pt>
                <c:pt idx="86">
                  <c:v>28</c:v>
                </c:pt>
                <c:pt idx="87">
                  <c:v>28</c:v>
                </c:pt>
                <c:pt idx="88">
                  <c:v>28</c:v>
                </c:pt>
                <c:pt idx="89">
                  <c:v>28</c:v>
                </c:pt>
                <c:pt idx="90">
                  <c:v>28</c:v>
                </c:pt>
                <c:pt idx="91">
                  <c:v>28</c:v>
                </c:pt>
                <c:pt idx="92">
                  <c:v>28</c:v>
                </c:pt>
                <c:pt idx="93">
                  <c:v>28</c:v>
                </c:pt>
                <c:pt idx="94">
                  <c:v>28</c:v>
                </c:pt>
                <c:pt idx="95">
                  <c:v>28</c:v>
                </c:pt>
                <c:pt idx="96">
                  <c:v>28</c:v>
                </c:pt>
                <c:pt idx="97">
                  <c:v>28</c:v>
                </c:pt>
                <c:pt idx="98">
                  <c:v>28</c:v>
                </c:pt>
                <c:pt idx="99">
                  <c:v>28</c:v>
                </c:pt>
                <c:pt idx="100">
                  <c:v>28</c:v>
                </c:pt>
                <c:pt idx="101">
                  <c:v>28</c:v>
                </c:pt>
                <c:pt idx="102">
                  <c:v>28</c:v>
                </c:pt>
                <c:pt idx="103">
                  <c:v>28</c:v>
                </c:pt>
                <c:pt idx="104">
                  <c:v>28</c:v>
                </c:pt>
                <c:pt idx="105">
                  <c:v>28</c:v>
                </c:pt>
                <c:pt idx="106">
                  <c:v>28</c:v>
                </c:pt>
                <c:pt idx="107">
                  <c:v>28</c:v>
                </c:pt>
                <c:pt idx="108">
                  <c:v>28</c:v>
                </c:pt>
                <c:pt idx="109">
                  <c:v>28</c:v>
                </c:pt>
                <c:pt idx="110">
                  <c:v>28</c:v>
                </c:pt>
                <c:pt idx="111">
                  <c:v>28</c:v>
                </c:pt>
                <c:pt idx="112">
                  <c:v>28</c:v>
                </c:pt>
                <c:pt idx="113">
                  <c:v>28</c:v>
                </c:pt>
                <c:pt idx="114">
                  <c:v>28</c:v>
                </c:pt>
                <c:pt idx="115">
                  <c:v>28</c:v>
                </c:pt>
                <c:pt idx="116">
                  <c:v>28</c:v>
                </c:pt>
                <c:pt idx="117">
                  <c:v>28</c:v>
                </c:pt>
                <c:pt idx="118">
                  <c:v>28</c:v>
                </c:pt>
                <c:pt idx="119">
                  <c:v>28</c:v>
                </c:pt>
                <c:pt idx="120">
                  <c:v>28</c:v>
                </c:pt>
                <c:pt idx="121">
                  <c:v>28</c:v>
                </c:pt>
                <c:pt idx="122">
                  <c:v>28</c:v>
                </c:pt>
                <c:pt idx="123">
                  <c:v>28</c:v>
                </c:pt>
                <c:pt idx="124">
                  <c:v>28</c:v>
                </c:pt>
                <c:pt idx="125">
                  <c:v>28</c:v>
                </c:pt>
                <c:pt idx="126">
                  <c:v>28</c:v>
                </c:pt>
                <c:pt idx="127">
                  <c:v>28</c:v>
                </c:pt>
                <c:pt idx="128">
                  <c:v>28</c:v>
                </c:pt>
                <c:pt idx="129">
                  <c:v>28</c:v>
                </c:pt>
                <c:pt idx="130">
                  <c:v>28</c:v>
                </c:pt>
                <c:pt idx="131">
                  <c:v>28</c:v>
                </c:pt>
                <c:pt idx="132">
                  <c:v>28</c:v>
                </c:pt>
                <c:pt idx="133">
                  <c:v>28</c:v>
                </c:pt>
                <c:pt idx="134">
                  <c:v>28</c:v>
                </c:pt>
                <c:pt idx="135">
                  <c:v>28</c:v>
                </c:pt>
                <c:pt idx="136">
                  <c:v>28</c:v>
                </c:pt>
                <c:pt idx="137">
                  <c:v>28</c:v>
                </c:pt>
                <c:pt idx="138">
                  <c:v>28</c:v>
                </c:pt>
                <c:pt idx="139">
                  <c:v>28</c:v>
                </c:pt>
                <c:pt idx="140">
                  <c:v>28</c:v>
                </c:pt>
              </c:numCache>
            </c:numRef>
          </c:val>
          <c:smooth val="0"/>
        </c:ser>
        <c:dLbls>
          <c:showLegendKey val="0"/>
          <c:showVal val="0"/>
          <c:showCatName val="0"/>
          <c:showSerName val="0"/>
          <c:showPercent val="0"/>
          <c:showBubbleSize val="0"/>
        </c:dLbls>
        <c:marker val="1"/>
        <c:smooth val="0"/>
        <c:axId val="273453056"/>
        <c:axId val="273454592"/>
      </c:lineChart>
      <c:dateAx>
        <c:axId val="272864000"/>
        <c:scaling>
          <c:orientation val="minMax"/>
        </c:scaling>
        <c:delete val="0"/>
        <c:axPos val="b"/>
        <c:numFmt formatCode="m/d/yy" sourceLinked="0"/>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2865536"/>
        <c:crosses val="autoZero"/>
        <c:auto val="0"/>
        <c:lblOffset val="100"/>
        <c:baseTimeUnit val="days"/>
        <c:majorUnit val="5"/>
      </c:dateAx>
      <c:valAx>
        <c:axId val="272865536"/>
        <c:scaling>
          <c:orientation val="minMax"/>
          <c:max val="68"/>
          <c:min val="48"/>
        </c:scaling>
        <c:delete val="0"/>
        <c:axPos val="l"/>
        <c:numFmt formatCode="#,##0.0_);[Red]\(#,##0.0\)" sourceLinked="0"/>
        <c:majorTickMark val="out"/>
        <c:minorTickMark val="none"/>
        <c:tickLblPos val="nextTo"/>
        <c:txPr>
          <a:bodyPr/>
          <a:lstStyle/>
          <a:p>
            <a:pPr>
              <a:defRPr>
                <a:latin typeface="Times New Roman" pitchFamily="18" charset="0"/>
                <a:cs typeface="Times New Roman" pitchFamily="18" charset="0"/>
              </a:defRPr>
            </a:pPr>
            <a:endParaRPr lang="zh-TW"/>
          </a:p>
        </c:txPr>
        <c:crossAx val="272864000"/>
        <c:crosses val="autoZero"/>
        <c:crossBetween val="between"/>
      </c:valAx>
      <c:catAx>
        <c:axId val="273453056"/>
        <c:scaling>
          <c:orientation val="minMax"/>
        </c:scaling>
        <c:delete val="1"/>
        <c:axPos val="b"/>
        <c:numFmt formatCode="General" sourceLinked="1"/>
        <c:majorTickMark val="out"/>
        <c:minorTickMark val="none"/>
        <c:tickLblPos val="nextTo"/>
        <c:crossAx val="273454592"/>
        <c:crosses val="autoZero"/>
        <c:auto val="1"/>
        <c:lblAlgn val="ctr"/>
        <c:lblOffset val="100"/>
        <c:noMultiLvlLbl val="0"/>
      </c:catAx>
      <c:valAx>
        <c:axId val="273454592"/>
        <c:scaling>
          <c:orientation val="minMax"/>
          <c:max val="30"/>
          <c:min val="25"/>
        </c:scaling>
        <c:delete val="0"/>
        <c:axPos val="r"/>
        <c:numFmt formatCode="#,##0.0_);[Red]\(#,##0.0\)" sourceLinked="0"/>
        <c:majorTickMark val="out"/>
        <c:minorTickMark val="none"/>
        <c:tickLblPos val="nextTo"/>
        <c:crossAx val="273453056"/>
        <c:crosses val="max"/>
        <c:crossBetween val="between"/>
      </c:valAx>
      <c:spPr>
        <a:noFill/>
        <a:ln w="25400">
          <a:noFill/>
        </a:ln>
      </c:spPr>
    </c:plotArea>
    <c:legend>
      <c:legendPos val="r"/>
      <c:layout>
        <c:manualLayout>
          <c:xMode val="edge"/>
          <c:yMode val="edge"/>
          <c:x val="3.7788260454922062E-2"/>
          <c:y val="8.3546842021486614E-2"/>
          <c:w val="0.34601758334265525"/>
          <c:h val="0.19659612645557664"/>
        </c:manualLayout>
      </c:layout>
      <c:overlay val="0"/>
      <c:txPr>
        <a:bodyPr/>
        <a:lstStyle/>
        <a:p>
          <a:pPr>
            <a:defRPr sz="1100" b="0" i="0" u="none" strike="noStrike" baseline="0">
              <a:solidFill>
                <a:srgbClr val="000000"/>
              </a:solidFill>
              <a:latin typeface="標楷體" pitchFamily="65" charset="-120"/>
              <a:ea typeface="標楷體" pitchFamily="65" charset="-120"/>
              <a:cs typeface="新細明體"/>
            </a:defRPr>
          </a:pPr>
          <a:endParaRPr lang="zh-TW"/>
        </a:p>
      </c:txPr>
    </c:legend>
    <c:plotVisOnly val="1"/>
    <c:dispBlanksAs val="gap"/>
    <c:showDLblsOverMax val="0"/>
  </c:chart>
  <c:spPr>
    <a:noFill/>
    <a:ln w="9525">
      <a:noFill/>
    </a:ln>
  </c:spPr>
  <c:externalData r:id="rId2">
    <c:autoUpdate val="0"/>
  </c:externalData>
  <c:userShapes r:id="rId3"/>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0624806084542944E-2"/>
          <c:y val="6.1097724230254349E-2"/>
          <c:w val="0.88045097397969019"/>
          <c:h val="0.71515668975113056"/>
        </c:manualLayout>
      </c:layout>
      <c:lineChart>
        <c:grouping val="standard"/>
        <c:varyColors val="0"/>
        <c:ser>
          <c:idx val="0"/>
          <c:order val="0"/>
          <c:spPr>
            <a:ln w="28575" cap="rnd">
              <a:solidFill>
                <a:schemeClr val="bg1"/>
              </a:solidFill>
              <a:round/>
            </a:ln>
            <a:effectLst/>
          </c:spPr>
          <c:marker>
            <c:symbol val="none"/>
          </c:marker>
          <c:cat>
            <c:numRef>
              <c:f>[新台幣匯率走勢.xls]匯率!$B$2768:$B$3507</c:f>
              <c:numCache>
                <c:formatCode>yyyy/\ \ m/\ \ d</c:formatCode>
                <c:ptCount val="740"/>
                <c:pt idx="0">
                  <c:v>41276</c:v>
                </c:pt>
                <c:pt idx="1">
                  <c:v>41277</c:v>
                </c:pt>
                <c:pt idx="2">
                  <c:v>41278</c:v>
                </c:pt>
                <c:pt idx="3">
                  <c:v>41281</c:v>
                </c:pt>
                <c:pt idx="4">
                  <c:v>41282</c:v>
                </c:pt>
                <c:pt idx="5">
                  <c:v>41283</c:v>
                </c:pt>
                <c:pt idx="6" formatCode="yyyy/\ \ m/d">
                  <c:v>41284</c:v>
                </c:pt>
                <c:pt idx="7" formatCode="yyyy/\ \ m/d">
                  <c:v>41285</c:v>
                </c:pt>
                <c:pt idx="8" formatCode="yyyy/\ \ m/d">
                  <c:v>41288</c:v>
                </c:pt>
                <c:pt idx="9" formatCode="yyyy/\ \ m/d">
                  <c:v>41289</c:v>
                </c:pt>
                <c:pt idx="10" formatCode="yyyy/\ \ m/d">
                  <c:v>41290</c:v>
                </c:pt>
                <c:pt idx="11" formatCode="yyyy/\ \ m/d">
                  <c:v>41291</c:v>
                </c:pt>
                <c:pt idx="12" formatCode="yyyy/\ \ m/d">
                  <c:v>41292</c:v>
                </c:pt>
                <c:pt idx="13" formatCode="yyyy/\ \ m/d">
                  <c:v>41295</c:v>
                </c:pt>
                <c:pt idx="14" formatCode="yyyy/\ \ m/d">
                  <c:v>41296</c:v>
                </c:pt>
                <c:pt idx="15" formatCode="yyyy/\ \ m/d">
                  <c:v>41297</c:v>
                </c:pt>
                <c:pt idx="16" formatCode="yyyy/\ \ m/d">
                  <c:v>41298</c:v>
                </c:pt>
                <c:pt idx="17" formatCode="yyyy/\ \ m/d">
                  <c:v>41299</c:v>
                </c:pt>
                <c:pt idx="18" formatCode="yyyy/\ \ m/d">
                  <c:v>41302</c:v>
                </c:pt>
                <c:pt idx="19" formatCode="yyyy/\ \ m/d">
                  <c:v>41303</c:v>
                </c:pt>
                <c:pt idx="20" formatCode="yyyy/\ \ m/d">
                  <c:v>41304</c:v>
                </c:pt>
                <c:pt idx="21" formatCode="yyyy/\ \ m/d">
                  <c:v>41305</c:v>
                </c:pt>
                <c:pt idx="22">
                  <c:v>41306</c:v>
                </c:pt>
                <c:pt idx="23">
                  <c:v>41309</c:v>
                </c:pt>
                <c:pt idx="24">
                  <c:v>41310</c:v>
                </c:pt>
                <c:pt idx="25">
                  <c:v>41311</c:v>
                </c:pt>
                <c:pt idx="26">
                  <c:v>41312</c:v>
                </c:pt>
                <c:pt idx="27">
                  <c:v>41313</c:v>
                </c:pt>
                <c:pt idx="28" formatCode="yyyy/\ \ m/d">
                  <c:v>41323</c:v>
                </c:pt>
                <c:pt idx="29" formatCode="yyyy/\ \ m/d">
                  <c:v>41324</c:v>
                </c:pt>
                <c:pt idx="30" formatCode="yyyy/\ \ m/d">
                  <c:v>41325</c:v>
                </c:pt>
                <c:pt idx="31" formatCode="yyyy/\ \ m/d">
                  <c:v>41326</c:v>
                </c:pt>
                <c:pt idx="32" formatCode="yyyy/\ \ m/d">
                  <c:v>41327</c:v>
                </c:pt>
                <c:pt idx="33" formatCode="yyyy/\ \ m/d">
                  <c:v>41328</c:v>
                </c:pt>
                <c:pt idx="34" formatCode="yyyy/\ \ m/d">
                  <c:v>41330</c:v>
                </c:pt>
                <c:pt idx="35" formatCode="yyyy/\ \ m/d">
                  <c:v>41331</c:v>
                </c:pt>
                <c:pt idx="36" formatCode="yyyy/\ \ m/d">
                  <c:v>41332</c:v>
                </c:pt>
                <c:pt idx="37">
                  <c:v>41334</c:v>
                </c:pt>
                <c:pt idx="38">
                  <c:v>41337</c:v>
                </c:pt>
                <c:pt idx="39">
                  <c:v>41338</c:v>
                </c:pt>
                <c:pt idx="40">
                  <c:v>41339</c:v>
                </c:pt>
                <c:pt idx="41">
                  <c:v>41340</c:v>
                </c:pt>
                <c:pt idx="42">
                  <c:v>41341</c:v>
                </c:pt>
                <c:pt idx="43" formatCode="yyyy/\ \ m/d">
                  <c:v>41344</c:v>
                </c:pt>
                <c:pt idx="44" formatCode="yyyy/\ \ m/d">
                  <c:v>41345</c:v>
                </c:pt>
                <c:pt idx="45" formatCode="yyyy/\ \ m/d">
                  <c:v>41346</c:v>
                </c:pt>
                <c:pt idx="46" formatCode="yyyy/\ \ m/d">
                  <c:v>41347</c:v>
                </c:pt>
                <c:pt idx="47" formatCode="yyyy/\ \ m/d">
                  <c:v>41348</c:v>
                </c:pt>
                <c:pt idx="48" formatCode="yyyy/\ \ m/d">
                  <c:v>41351</c:v>
                </c:pt>
                <c:pt idx="49" formatCode="yyyy/\ \ m/d">
                  <c:v>41352</c:v>
                </c:pt>
                <c:pt idx="50" formatCode="yyyy/\ \ m/d">
                  <c:v>41353</c:v>
                </c:pt>
                <c:pt idx="51" formatCode="yyyy/\ \ m/d">
                  <c:v>41354</c:v>
                </c:pt>
                <c:pt idx="52" formatCode="yyyy/\ \ m/d">
                  <c:v>41355</c:v>
                </c:pt>
                <c:pt idx="53" formatCode="yyyy/\ \ m/d">
                  <c:v>41358</c:v>
                </c:pt>
                <c:pt idx="54" formatCode="yyyy/\ \ m/d">
                  <c:v>41359</c:v>
                </c:pt>
                <c:pt idx="55" formatCode="yyyy/\ \ m/d">
                  <c:v>41360</c:v>
                </c:pt>
                <c:pt idx="56" formatCode="yyyy/\ \ m/d">
                  <c:v>41361</c:v>
                </c:pt>
                <c:pt idx="57" formatCode="yyyy/\ \ m/d">
                  <c:v>41362</c:v>
                </c:pt>
                <c:pt idx="58">
                  <c:v>41365</c:v>
                </c:pt>
                <c:pt idx="59">
                  <c:v>41366</c:v>
                </c:pt>
                <c:pt idx="60">
                  <c:v>41367</c:v>
                </c:pt>
                <c:pt idx="61">
                  <c:v>41372</c:v>
                </c:pt>
                <c:pt idx="62">
                  <c:v>41373</c:v>
                </c:pt>
                <c:pt idx="63" formatCode="yyyy/\ \ m/d">
                  <c:v>41374</c:v>
                </c:pt>
                <c:pt idx="64" formatCode="yyyy/\ \ m/d">
                  <c:v>41375</c:v>
                </c:pt>
                <c:pt idx="65" formatCode="yyyy/\ \ m/d">
                  <c:v>41376</c:v>
                </c:pt>
                <c:pt idx="66" formatCode="yyyy/\ \ m/d">
                  <c:v>41379</c:v>
                </c:pt>
                <c:pt idx="67" formatCode="yyyy/\ \ m/d">
                  <c:v>41380</c:v>
                </c:pt>
                <c:pt idx="68" formatCode="yyyy/\ \ m/d">
                  <c:v>41381</c:v>
                </c:pt>
                <c:pt idx="69" formatCode="yyyy/\ \ m/d">
                  <c:v>41382</c:v>
                </c:pt>
                <c:pt idx="70" formatCode="yyyy/\ \ m/d">
                  <c:v>41383</c:v>
                </c:pt>
                <c:pt idx="71" formatCode="yyyy/\ \ m/d">
                  <c:v>41386</c:v>
                </c:pt>
                <c:pt idx="72" formatCode="yyyy/\ \ m/d">
                  <c:v>41387</c:v>
                </c:pt>
                <c:pt idx="73" formatCode="yyyy/\ \ m/d">
                  <c:v>41388</c:v>
                </c:pt>
                <c:pt idx="74" formatCode="yyyy/\ \ m/d">
                  <c:v>41389</c:v>
                </c:pt>
                <c:pt idx="75" formatCode="yyyy/\ \ m/d">
                  <c:v>41390</c:v>
                </c:pt>
                <c:pt idx="76" formatCode="yyyy/\ \ m/d">
                  <c:v>41393</c:v>
                </c:pt>
                <c:pt idx="77" formatCode="yyyy/\ \ m/d">
                  <c:v>41394</c:v>
                </c:pt>
                <c:pt idx="78">
                  <c:v>41396</c:v>
                </c:pt>
                <c:pt idx="79">
                  <c:v>41397</c:v>
                </c:pt>
                <c:pt idx="80">
                  <c:v>41400</c:v>
                </c:pt>
                <c:pt idx="81">
                  <c:v>41401</c:v>
                </c:pt>
                <c:pt idx="82">
                  <c:v>41402</c:v>
                </c:pt>
                <c:pt idx="83">
                  <c:v>41403</c:v>
                </c:pt>
                <c:pt idx="84" formatCode="yyyy/\ \ m/d">
                  <c:v>41404</c:v>
                </c:pt>
                <c:pt idx="85" formatCode="yyyy/\ \ m/d">
                  <c:v>41407</c:v>
                </c:pt>
                <c:pt idx="86" formatCode="yyyy/\ \ m/d">
                  <c:v>41408</c:v>
                </c:pt>
                <c:pt idx="87" formatCode="yyyy/\ \ m/d">
                  <c:v>41409</c:v>
                </c:pt>
                <c:pt idx="88" formatCode="yyyy/\ \ m/d">
                  <c:v>41410</c:v>
                </c:pt>
                <c:pt idx="89" formatCode="yyyy/\ \ m/d">
                  <c:v>41411</c:v>
                </c:pt>
                <c:pt idx="90" formatCode="yyyy/\ \ m/d">
                  <c:v>41414</c:v>
                </c:pt>
                <c:pt idx="91" formatCode="yyyy/\ \ m/d">
                  <c:v>41415</c:v>
                </c:pt>
                <c:pt idx="92" formatCode="yyyy/\ \ m/d">
                  <c:v>41416</c:v>
                </c:pt>
                <c:pt idx="93" formatCode="yyyy/\ \ m/d">
                  <c:v>41417</c:v>
                </c:pt>
                <c:pt idx="94" formatCode="yyyy/\ \ m/d">
                  <c:v>41418</c:v>
                </c:pt>
                <c:pt idx="95" formatCode="yyyy/\ \ m/d">
                  <c:v>41421</c:v>
                </c:pt>
                <c:pt idx="96" formatCode="yyyy/\ \ m/d">
                  <c:v>41422</c:v>
                </c:pt>
                <c:pt idx="97" formatCode="yyyy/\ \ m/d">
                  <c:v>41423</c:v>
                </c:pt>
                <c:pt idx="98" formatCode="yyyy/\ \ m/d">
                  <c:v>41424</c:v>
                </c:pt>
                <c:pt idx="99" formatCode="yyyy/\ \ m/d">
                  <c:v>41425</c:v>
                </c:pt>
                <c:pt idx="100">
                  <c:v>41428</c:v>
                </c:pt>
                <c:pt idx="101">
                  <c:v>41429</c:v>
                </c:pt>
                <c:pt idx="102">
                  <c:v>41430</c:v>
                </c:pt>
                <c:pt idx="103">
                  <c:v>41431</c:v>
                </c:pt>
                <c:pt idx="104">
                  <c:v>41432</c:v>
                </c:pt>
                <c:pt idx="105" formatCode="yyyy/\ \ m/d">
                  <c:v>41435</c:v>
                </c:pt>
                <c:pt idx="106" formatCode="yyyy/\ \ m/d">
                  <c:v>41436</c:v>
                </c:pt>
                <c:pt idx="107" formatCode="yyyy/\ \ m/d">
                  <c:v>41438</c:v>
                </c:pt>
                <c:pt idx="108" formatCode="yyyy/\ \ m/d">
                  <c:v>41439</c:v>
                </c:pt>
                <c:pt idx="109" formatCode="yyyy/\ \ m/d">
                  <c:v>41442</c:v>
                </c:pt>
                <c:pt idx="110" formatCode="yyyy/\ \ m/d">
                  <c:v>41443</c:v>
                </c:pt>
                <c:pt idx="111" formatCode="yyyy/\ \ m/d">
                  <c:v>41444</c:v>
                </c:pt>
                <c:pt idx="112" formatCode="yyyy/\ \ m/d">
                  <c:v>41445</c:v>
                </c:pt>
                <c:pt idx="113" formatCode="yyyy/\ \ m/d">
                  <c:v>41446</c:v>
                </c:pt>
                <c:pt idx="114" formatCode="yyyy/\ \ m/d">
                  <c:v>41449</c:v>
                </c:pt>
                <c:pt idx="115" formatCode="yyyy/\ \ m/d">
                  <c:v>41450</c:v>
                </c:pt>
                <c:pt idx="116" formatCode="yyyy/\ \ m/d">
                  <c:v>41451</c:v>
                </c:pt>
                <c:pt idx="117" formatCode="yyyy/\ \ m/d">
                  <c:v>41452</c:v>
                </c:pt>
                <c:pt idx="118" formatCode="yyyy/\ \ m/d">
                  <c:v>41453</c:v>
                </c:pt>
                <c:pt idx="119">
                  <c:v>41456</c:v>
                </c:pt>
                <c:pt idx="120">
                  <c:v>41457</c:v>
                </c:pt>
                <c:pt idx="121">
                  <c:v>41458</c:v>
                </c:pt>
                <c:pt idx="122">
                  <c:v>41459</c:v>
                </c:pt>
                <c:pt idx="123">
                  <c:v>41460</c:v>
                </c:pt>
                <c:pt idx="124">
                  <c:v>41463</c:v>
                </c:pt>
                <c:pt idx="125">
                  <c:v>41464</c:v>
                </c:pt>
                <c:pt idx="126" formatCode="yyyy/\ \ m/d">
                  <c:v>41465</c:v>
                </c:pt>
                <c:pt idx="127" formatCode="yyyy/\ \ m/d">
                  <c:v>41466</c:v>
                </c:pt>
                <c:pt idx="128" formatCode="yyyy/\ \ m/d">
                  <c:v>41467</c:v>
                </c:pt>
                <c:pt idx="129" formatCode="yyyy/\ \ m/d">
                  <c:v>41470</c:v>
                </c:pt>
                <c:pt idx="130" formatCode="yyyy/\ \ m/d">
                  <c:v>41471</c:v>
                </c:pt>
                <c:pt idx="131" formatCode="yyyy/\ \ m/d">
                  <c:v>41472</c:v>
                </c:pt>
                <c:pt idx="132" formatCode="yyyy/\ \ m/d">
                  <c:v>41473</c:v>
                </c:pt>
                <c:pt idx="133" formatCode="yyyy/\ \ m/d">
                  <c:v>41474</c:v>
                </c:pt>
                <c:pt idx="134" formatCode="yyyy/\ \ m/d">
                  <c:v>41477</c:v>
                </c:pt>
                <c:pt idx="135" formatCode="yyyy/\ \ m/d">
                  <c:v>41478</c:v>
                </c:pt>
                <c:pt idx="136" formatCode="yyyy/\ \ m/d">
                  <c:v>41479</c:v>
                </c:pt>
                <c:pt idx="137" formatCode="yyyy/\ \ m/d">
                  <c:v>41480</c:v>
                </c:pt>
                <c:pt idx="138" formatCode="yyyy/\ \ m/d">
                  <c:v>41481</c:v>
                </c:pt>
                <c:pt idx="139" formatCode="yyyy/\ \ m/d">
                  <c:v>41484</c:v>
                </c:pt>
                <c:pt idx="140" formatCode="yyyy/\ \ m/d">
                  <c:v>41485</c:v>
                </c:pt>
                <c:pt idx="141" formatCode="yyyy/\ \ m/d">
                  <c:v>41486</c:v>
                </c:pt>
                <c:pt idx="142">
                  <c:v>41487</c:v>
                </c:pt>
                <c:pt idx="143">
                  <c:v>41488</c:v>
                </c:pt>
                <c:pt idx="144">
                  <c:v>41491</c:v>
                </c:pt>
                <c:pt idx="145">
                  <c:v>41492</c:v>
                </c:pt>
                <c:pt idx="146">
                  <c:v>41493</c:v>
                </c:pt>
                <c:pt idx="147">
                  <c:v>41494</c:v>
                </c:pt>
                <c:pt idx="148">
                  <c:v>41495</c:v>
                </c:pt>
                <c:pt idx="149" formatCode="yyyy/\ \ m/d">
                  <c:v>41498</c:v>
                </c:pt>
                <c:pt idx="150" formatCode="yyyy/\ \ m/d">
                  <c:v>41499</c:v>
                </c:pt>
                <c:pt idx="151" formatCode="yyyy/\ \ m/d">
                  <c:v>41500</c:v>
                </c:pt>
                <c:pt idx="152" formatCode="yyyy/\ \ m/d">
                  <c:v>41501</c:v>
                </c:pt>
                <c:pt idx="153" formatCode="yyyy/\ \ m/d">
                  <c:v>41502</c:v>
                </c:pt>
                <c:pt idx="154" formatCode="yyyy/\ \ m/d">
                  <c:v>41505</c:v>
                </c:pt>
                <c:pt idx="155" formatCode="yyyy/\ \ m/d">
                  <c:v>41506</c:v>
                </c:pt>
                <c:pt idx="156" formatCode="yyyy/\ \ m/d">
                  <c:v>41508</c:v>
                </c:pt>
                <c:pt idx="157" formatCode="yyyy/\ \ m/d">
                  <c:v>41509</c:v>
                </c:pt>
                <c:pt idx="158" formatCode="yyyy/\ \ m/d">
                  <c:v>41512</c:v>
                </c:pt>
                <c:pt idx="159" formatCode="yyyy/\ \ m/d">
                  <c:v>41513</c:v>
                </c:pt>
                <c:pt idx="160" formatCode="yyyy/\ \ m/d">
                  <c:v>41514</c:v>
                </c:pt>
                <c:pt idx="161" formatCode="yyyy/\ \ m/d">
                  <c:v>41515</c:v>
                </c:pt>
                <c:pt idx="162" formatCode="yyyy/\ \ m/d">
                  <c:v>41516</c:v>
                </c:pt>
                <c:pt idx="163">
                  <c:v>41519</c:v>
                </c:pt>
                <c:pt idx="164">
                  <c:v>41520</c:v>
                </c:pt>
                <c:pt idx="165">
                  <c:v>41521</c:v>
                </c:pt>
                <c:pt idx="166">
                  <c:v>41522</c:v>
                </c:pt>
                <c:pt idx="167">
                  <c:v>41523</c:v>
                </c:pt>
                <c:pt idx="168">
                  <c:v>41526</c:v>
                </c:pt>
                <c:pt idx="169" formatCode="yyyy/\ \ m/d">
                  <c:v>41527</c:v>
                </c:pt>
                <c:pt idx="170" formatCode="yyyy/\ \ m/d">
                  <c:v>41528</c:v>
                </c:pt>
                <c:pt idx="171" formatCode="yyyy/\ \ m/d">
                  <c:v>41529</c:v>
                </c:pt>
                <c:pt idx="172" formatCode="yyyy/\ \ m/d">
                  <c:v>41530</c:v>
                </c:pt>
                <c:pt idx="173" formatCode="yyyy/\ \ m/d">
                  <c:v>41531</c:v>
                </c:pt>
                <c:pt idx="174" formatCode="yyyy/\ \ m/d">
                  <c:v>41533</c:v>
                </c:pt>
                <c:pt idx="175" formatCode="yyyy/\ \ m/d">
                  <c:v>41534</c:v>
                </c:pt>
                <c:pt idx="176" formatCode="yyyy/\ \ m/d">
                  <c:v>41535</c:v>
                </c:pt>
                <c:pt idx="177" formatCode="yyyy/\ \ m/d">
                  <c:v>41540</c:v>
                </c:pt>
                <c:pt idx="178" formatCode="yyyy/\ \ m/d">
                  <c:v>41541</c:v>
                </c:pt>
                <c:pt idx="179" formatCode="yyyy/\ \ m/d">
                  <c:v>41542</c:v>
                </c:pt>
                <c:pt idx="180" formatCode="yyyy/\ \ m/d">
                  <c:v>41543</c:v>
                </c:pt>
                <c:pt idx="181" formatCode="yyyy/\ \ m/d">
                  <c:v>41544</c:v>
                </c:pt>
                <c:pt idx="182" formatCode="yyyy/\ \ m/d">
                  <c:v>41547</c:v>
                </c:pt>
                <c:pt idx="183" formatCode="yyyy/m/\ \ d">
                  <c:v>41548</c:v>
                </c:pt>
                <c:pt idx="184" formatCode="yyyy/m/\ \ d">
                  <c:v>41549</c:v>
                </c:pt>
                <c:pt idx="185" formatCode="yyyy/m/\ \ d">
                  <c:v>41550</c:v>
                </c:pt>
                <c:pt idx="186" formatCode="yyyy/m/\ \ d">
                  <c:v>41551</c:v>
                </c:pt>
                <c:pt idx="187" formatCode="yyyy/m/\ \ d">
                  <c:v>41554</c:v>
                </c:pt>
                <c:pt idx="188" formatCode="yyyy/m/\ \ d">
                  <c:v>41555</c:v>
                </c:pt>
                <c:pt idx="189" formatCode="yyyy/m/\ \ d">
                  <c:v>41556</c:v>
                </c:pt>
                <c:pt idx="190" formatCode="m/d/yyyy">
                  <c:v>41558</c:v>
                </c:pt>
                <c:pt idx="191" formatCode="m/d/yyyy">
                  <c:v>41561</c:v>
                </c:pt>
                <c:pt idx="192" formatCode="m/d/yyyy">
                  <c:v>41562</c:v>
                </c:pt>
                <c:pt idx="193" formatCode="m/d/yyyy">
                  <c:v>41563</c:v>
                </c:pt>
                <c:pt idx="194" formatCode="m/d/yyyy">
                  <c:v>41564</c:v>
                </c:pt>
                <c:pt idx="195" formatCode="m/d/yyyy">
                  <c:v>41565</c:v>
                </c:pt>
                <c:pt idx="196" formatCode="m/d/yyyy">
                  <c:v>41568</c:v>
                </c:pt>
                <c:pt idx="197" formatCode="m/d/yyyy">
                  <c:v>41569</c:v>
                </c:pt>
                <c:pt idx="198" formatCode="m/d/yyyy">
                  <c:v>41570</c:v>
                </c:pt>
                <c:pt idx="199" formatCode="m/d/yyyy">
                  <c:v>41571</c:v>
                </c:pt>
                <c:pt idx="200" formatCode="m/d/yyyy">
                  <c:v>41572</c:v>
                </c:pt>
                <c:pt idx="201" formatCode="m/d/yyyy">
                  <c:v>41575</c:v>
                </c:pt>
                <c:pt idx="202" formatCode="m/d/yyyy">
                  <c:v>41576</c:v>
                </c:pt>
                <c:pt idx="203" formatCode="m/d/yyyy">
                  <c:v>41577</c:v>
                </c:pt>
                <c:pt idx="204" formatCode="m/d/yyyy">
                  <c:v>41578</c:v>
                </c:pt>
                <c:pt idx="205" formatCode="yyyy/m/\ \ d">
                  <c:v>41579</c:v>
                </c:pt>
                <c:pt idx="206" formatCode="yyyy/m/\ \ d">
                  <c:v>41582</c:v>
                </c:pt>
                <c:pt idx="207" formatCode="yyyy/m/\ \ d">
                  <c:v>41583</c:v>
                </c:pt>
                <c:pt idx="208" formatCode="yyyy/m/\ \ d">
                  <c:v>41584</c:v>
                </c:pt>
                <c:pt idx="209" formatCode="yyyy/m/\ \ d">
                  <c:v>41585</c:v>
                </c:pt>
                <c:pt idx="210" formatCode="yyyy/m/\ \ d">
                  <c:v>41586</c:v>
                </c:pt>
                <c:pt idx="211" formatCode="m/d/yyyy">
                  <c:v>41589</c:v>
                </c:pt>
                <c:pt idx="212" formatCode="m/d/yyyy">
                  <c:v>41590</c:v>
                </c:pt>
                <c:pt idx="213" formatCode="m/d/yyyy">
                  <c:v>41591</c:v>
                </c:pt>
                <c:pt idx="214" formatCode="m/d/yyyy">
                  <c:v>41592</c:v>
                </c:pt>
                <c:pt idx="215" formatCode="m/d/yyyy">
                  <c:v>41593</c:v>
                </c:pt>
                <c:pt idx="216" formatCode="m/d/yyyy">
                  <c:v>41596</c:v>
                </c:pt>
                <c:pt idx="217" formatCode="m/d/yyyy">
                  <c:v>41597</c:v>
                </c:pt>
                <c:pt idx="218" formatCode="m/d/yyyy">
                  <c:v>41598</c:v>
                </c:pt>
                <c:pt idx="219" formatCode="m/d/yyyy">
                  <c:v>41599</c:v>
                </c:pt>
                <c:pt idx="220" formatCode="m/d/yyyy">
                  <c:v>41600</c:v>
                </c:pt>
                <c:pt idx="221" formatCode="m/d/yyyy">
                  <c:v>41603</c:v>
                </c:pt>
                <c:pt idx="222" formatCode="m/d/yyyy">
                  <c:v>41604</c:v>
                </c:pt>
                <c:pt idx="223" formatCode="m/d/yyyy">
                  <c:v>41605</c:v>
                </c:pt>
                <c:pt idx="224" formatCode="m/d/yyyy">
                  <c:v>41606</c:v>
                </c:pt>
                <c:pt idx="225" formatCode="m/d/yyyy">
                  <c:v>41607</c:v>
                </c:pt>
                <c:pt idx="226" formatCode="yyyy/m/\ \ d">
                  <c:v>41610</c:v>
                </c:pt>
                <c:pt idx="227" formatCode="yyyy/m/\ \ d">
                  <c:v>41611</c:v>
                </c:pt>
                <c:pt idx="228" formatCode="yyyy/m/\ \ d">
                  <c:v>41612</c:v>
                </c:pt>
                <c:pt idx="229" formatCode="yyyy/m/\ \ d">
                  <c:v>41613</c:v>
                </c:pt>
                <c:pt idx="230" formatCode="yyyy/m/\ \ d">
                  <c:v>41614</c:v>
                </c:pt>
                <c:pt idx="231" formatCode="yyyy/m/\ \ d">
                  <c:v>41617</c:v>
                </c:pt>
                <c:pt idx="232" formatCode="m/d/yyyy">
                  <c:v>41618</c:v>
                </c:pt>
                <c:pt idx="233" formatCode="m/d/yyyy">
                  <c:v>41619</c:v>
                </c:pt>
                <c:pt idx="234" formatCode="m/d/yyyy">
                  <c:v>41620</c:v>
                </c:pt>
                <c:pt idx="235" formatCode="m/d/yyyy">
                  <c:v>41621</c:v>
                </c:pt>
                <c:pt idx="236" formatCode="m/d/yyyy">
                  <c:v>41624</c:v>
                </c:pt>
                <c:pt idx="237" formatCode="m/d/yyyy">
                  <c:v>41625</c:v>
                </c:pt>
                <c:pt idx="238" formatCode="m/d/yyyy">
                  <c:v>41626</c:v>
                </c:pt>
                <c:pt idx="239" formatCode="m/d/yyyy">
                  <c:v>41627</c:v>
                </c:pt>
                <c:pt idx="240" formatCode="m/d/yyyy">
                  <c:v>41628</c:v>
                </c:pt>
                <c:pt idx="241" formatCode="m/d/yyyy">
                  <c:v>41631</c:v>
                </c:pt>
                <c:pt idx="242" formatCode="m/d/yyyy">
                  <c:v>41632</c:v>
                </c:pt>
                <c:pt idx="243" formatCode="m/d/yyyy">
                  <c:v>41633</c:v>
                </c:pt>
                <c:pt idx="244" formatCode="m/d/yyyy">
                  <c:v>41634</c:v>
                </c:pt>
                <c:pt idx="245" formatCode="m/d/yyyy">
                  <c:v>41635</c:v>
                </c:pt>
                <c:pt idx="246" formatCode="m/d/yyyy">
                  <c:v>41638</c:v>
                </c:pt>
                <c:pt idx="247" formatCode="m/d/yyyy">
                  <c:v>41639</c:v>
                </c:pt>
                <c:pt idx="248">
                  <c:v>41641</c:v>
                </c:pt>
                <c:pt idx="249">
                  <c:v>41642</c:v>
                </c:pt>
                <c:pt idx="250">
                  <c:v>41645</c:v>
                </c:pt>
                <c:pt idx="251">
                  <c:v>41646</c:v>
                </c:pt>
                <c:pt idx="252">
                  <c:v>41647</c:v>
                </c:pt>
                <c:pt idx="253">
                  <c:v>41648</c:v>
                </c:pt>
                <c:pt idx="254" formatCode="yyyy/\ \ m/d">
                  <c:v>41649</c:v>
                </c:pt>
                <c:pt idx="255" formatCode="yyyy/\ \ m/d">
                  <c:v>41652</c:v>
                </c:pt>
                <c:pt idx="256" formatCode="yyyy/\ \ m/d">
                  <c:v>41653</c:v>
                </c:pt>
                <c:pt idx="257" formatCode="yyyy/\ \ m/d">
                  <c:v>41654</c:v>
                </c:pt>
                <c:pt idx="258" formatCode="yyyy/\ \ m/d">
                  <c:v>41655</c:v>
                </c:pt>
                <c:pt idx="259" formatCode="yyyy/\ \ m/d">
                  <c:v>41656</c:v>
                </c:pt>
                <c:pt idx="260" formatCode="yyyy/\ \ m/d">
                  <c:v>41659</c:v>
                </c:pt>
                <c:pt idx="261" formatCode="yyyy/\ \ m/d">
                  <c:v>41660</c:v>
                </c:pt>
                <c:pt idx="262" formatCode="yyyy/\ \ m/d">
                  <c:v>41661</c:v>
                </c:pt>
                <c:pt idx="263" formatCode="yyyy/\ \ m/d">
                  <c:v>41662</c:v>
                </c:pt>
                <c:pt idx="264" formatCode="yyyy/\ \ m/d">
                  <c:v>41663</c:v>
                </c:pt>
                <c:pt idx="265" formatCode="yyyy/\ \ m/d">
                  <c:v>41666</c:v>
                </c:pt>
                <c:pt idx="266" formatCode="yyyy/\ \ m/d">
                  <c:v>41667</c:v>
                </c:pt>
                <c:pt idx="267" formatCode="yyyy/\ \ m/d">
                  <c:v>41668</c:v>
                </c:pt>
                <c:pt idx="268">
                  <c:v>41675</c:v>
                </c:pt>
                <c:pt idx="269">
                  <c:v>41676</c:v>
                </c:pt>
                <c:pt idx="270">
                  <c:v>41677</c:v>
                </c:pt>
                <c:pt idx="271" formatCode="yyyy/\ \ m/d">
                  <c:v>41680</c:v>
                </c:pt>
                <c:pt idx="272" formatCode="yyyy/\ \ m/d">
                  <c:v>41681</c:v>
                </c:pt>
                <c:pt idx="273" formatCode="yyyy/\ \ m/d">
                  <c:v>41682</c:v>
                </c:pt>
                <c:pt idx="274" formatCode="yyyy/\ \ m/d">
                  <c:v>41683</c:v>
                </c:pt>
                <c:pt idx="275" formatCode="yyyy/\ \ m/d">
                  <c:v>41684</c:v>
                </c:pt>
                <c:pt idx="276" formatCode="yyyy/\ \ m/d">
                  <c:v>41687</c:v>
                </c:pt>
                <c:pt idx="277" formatCode="yyyy/\ \ m/d">
                  <c:v>41688</c:v>
                </c:pt>
                <c:pt idx="278" formatCode="yyyy/\ \ m/d">
                  <c:v>41689</c:v>
                </c:pt>
                <c:pt idx="279" formatCode="yyyy/\ \ m/d">
                  <c:v>41690</c:v>
                </c:pt>
                <c:pt idx="280" formatCode="yyyy/\ \ m/d">
                  <c:v>41691</c:v>
                </c:pt>
                <c:pt idx="281" formatCode="yyyy/\ \ m/d">
                  <c:v>41694</c:v>
                </c:pt>
                <c:pt idx="282" formatCode="yyyy/\ \ m/d">
                  <c:v>41695</c:v>
                </c:pt>
                <c:pt idx="283" formatCode="yyyy/\ \ m/d">
                  <c:v>41696</c:v>
                </c:pt>
                <c:pt idx="284" formatCode="yyyy/\ \ m/d">
                  <c:v>41697</c:v>
                </c:pt>
                <c:pt idx="285">
                  <c:v>41701</c:v>
                </c:pt>
                <c:pt idx="286">
                  <c:v>41702</c:v>
                </c:pt>
                <c:pt idx="287">
                  <c:v>41703</c:v>
                </c:pt>
                <c:pt idx="288">
                  <c:v>41704</c:v>
                </c:pt>
                <c:pt idx="289">
                  <c:v>41705</c:v>
                </c:pt>
                <c:pt idx="290" formatCode="yyyy/\ \ m/d">
                  <c:v>41708</c:v>
                </c:pt>
                <c:pt idx="291" formatCode="yyyy/\ \ m/d">
                  <c:v>41709</c:v>
                </c:pt>
                <c:pt idx="292" formatCode="yyyy/\ \ m/d">
                  <c:v>41710</c:v>
                </c:pt>
                <c:pt idx="293" formatCode="yyyy/\ \ m/d">
                  <c:v>41711</c:v>
                </c:pt>
                <c:pt idx="294" formatCode="yyyy/\ \ m/d">
                  <c:v>41712</c:v>
                </c:pt>
                <c:pt idx="295" formatCode="yyyy/\ \ m/d">
                  <c:v>41715</c:v>
                </c:pt>
                <c:pt idx="296" formatCode="yyyy/\ \ m/d">
                  <c:v>41716</c:v>
                </c:pt>
                <c:pt idx="297" formatCode="yyyy/\ \ m/d">
                  <c:v>41717</c:v>
                </c:pt>
                <c:pt idx="298" formatCode="yyyy/\ \ m/d">
                  <c:v>41718</c:v>
                </c:pt>
                <c:pt idx="299" formatCode="yyyy/\ \ m/d">
                  <c:v>41719</c:v>
                </c:pt>
                <c:pt idx="300" formatCode="yyyy/\ \ m/d">
                  <c:v>41722</c:v>
                </c:pt>
                <c:pt idx="301" formatCode="yyyy/\ \ m/d">
                  <c:v>41723</c:v>
                </c:pt>
                <c:pt idx="302" formatCode="yyyy/\ \ m/d">
                  <c:v>41724</c:v>
                </c:pt>
                <c:pt idx="303" formatCode="yyyy/\ \ m/d">
                  <c:v>41725</c:v>
                </c:pt>
                <c:pt idx="304" formatCode="yyyy/\ \ m/d">
                  <c:v>41726</c:v>
                </c:pt>
                <c:pt idx="305" formatCode="yyyy/\ \ m/d">
                  <c:v>41729</c:v>
                </c:pt>
                <c:pt idx="306">
                  <c:v>41730</c:v>
                </c:pt>
                <c:pt idx="307">
                  <c:v>41731</c:v>
                </c:pt>
                <c:pt idx="308">
                  <c:v>41732</c:v>
                </c:pt>
                <c:pt idx="309">
                  <c:v>41736</c:v>
                </c:pt>
                <c:pt idx="310">
                  <c:v>41737</c:v>
                </c:pt>
                <c:pt idx="311">
                  <c:v>41738</c:v>
                </c:pt>
                <c:pt idx="312" formatCode="yyyy/\ \ m/d">
                  <c:v>41739</c:v>
                </c:pt>
                <c:pt idx="313" formatCode="yyyy/\ \ m/d">
                  <c:v>41740</c:v>
                </c:pt>
                <c:pt idx="314" formatCode="yyyy/\ \ m/d">
                  <c:v>41743</c:v>
                </c:pt>
                <c:pt idx="315" formatCode="yyyy/\ \ m/d">
                  <c:v>41744</c:v>
                </c:pt>
                <c:pt idx="316" formatCode="yyyy/\ \ m/d">
                  <c:v>41745</c:v>
                </c:pt>
                <c:pt idx="317" formatCode="yyyy/\ \ m/d">
                  <c:v>41746</c:v>
                </c:pt>
                <c:pt idx="318" formatCode="yyyy/\ \ m/d">
                  <c:v>41747</c:v>
                </c:pt>
                <c:pt idx="319" formatCode="yyyy/\ \ m/d">
                  <c:v>41750</c:v>
                </c:pt>
                <c:pt idx="320" formatCode="yyyy/\ \ m/d">
                  <c:v>41751</c:v>
                </c:pt>
                <c:pt idx="321" formatCode="yyyy/\ \ m/d">
                  <c:v>41752</c:v>
                </c:pt>
                <c:pt idx="322" formatCode="yyyy/\ \ m/d">
                  <c:v>41753</c:v>
                </c:pt>
                <c:pt idx="323" formatCode="yyyy/\ \ m/d">
                  <c:v>41754</c:v>
                </c:pt>
                <c:pt idx="324" formatCode="yyyy/\ \ m/d">
                  <c:v>41757</c:v>
                </c:pt>
                <c:pt idx="325" formatCode="yyyy/\ \ m/d">
                  <c:v>41758</c:v>
                </c:pt>
                <c:pt idx="326" formatCode="yyyy/\ \ m/d">
                  <c:v>41759</c:v>
                </c:pt>
                <c:pt idx="327">
                  <c:v>41761</c:v>
                </c:pt>
                <c:pt idx="328">
                  <c:v>41764</c:v>
                </c:pt>
                <c:pt idx="329">
                  <c:v>41765</c:v>
                </c:pt>
                <c:pt idx="330">
                  <c:v>41766</c:v>
                </c:pt>
                <c:pt idx="331">
                  <c:v>41767</c:v>
                </c:pt>
                <c:pt idx="332">
                  <c:v>41768</c:v>
                </c:pt>
                <c:pt idx="333" formatCode="yyyy/\ \ m/d">
                  <c:v>41771</c:v>
                </c:pt>
                <c:pt idx="334" formatCode="yyyy/\ \ m/d">
                  <c:v>41772</c:v>
                </c:pt>
                <c:pt idx="335" formatCode="yyyy/\ \ m/d">
                  <c:v>41773</c:v>
                </c:pt>
                <c:pt idx="336" formatCode="yyyy/\ \ m/d">
                  <c:v>41774</c:v>
                </c:pt>
                <c:pt idx="337" formatCode="yyyy/\ \ m/d">
                  <c:v>41775</c:v>
                </c:pt>
                <c:pt idx="338" formatCode="yyyy/\ \ m/d">
                  <c:v>41778</c:v>
                </c:pt>
                <c:pt idx="339" formatCode="yyyy/\ \ m/d">
                  <c:v>41779</c:v>
                </c:pt>
                <c:pt idx="340" formatCode="yyyy/\ \ m/d">
                  <c:v>41780</c:v>
                </c:pt>
                <c:pt idx="341" formatCode="yyyy/\ \ m/d">
                  <c:v>41781</c:v>
                </c:pt>
                <c:pt idx="342" formatCode="yyyy/\ \ m/d">
                  <c:v>41782</c:v>
                </c:pt>
                <c:pt idx="343" formatCode="yyyy/\ \ m/d">
                  <c:v>41785</c:v>
                </c:pt>
                <c:pt idx="344" formatCode="yyyy/\ \ m/d">
                  <c:v>41786</c:v>
                </c:pt>
                <c:pt idx="345" formatCode="yyyy/\ \ m/d">
                  <c:v>41787</c:v>
                </c:pt>
                <c:pt idx="346" formatCode="yyyy/\ \ m/d">
                  <c:v>41788</c:v>
                </c:pt>
                <c:pt idx="347" formatCode="yyyy/\ \ m/d">
                  <c:v>41789</c:v>
                </c:pt>
                <c:pt idx="348">
                  <c:v>41793</c:v>
                </c:pt>
                <c:pt idx="349">
                  <c:v>41794</c:v>
                </c:pt>
                <c:pt idx="350">
                  <c:v>41795</c:v>
                </c:pt>
                <c:pt idx="351">
                  <c:v>41796</c:v>
                </c:pt>
                <c:pt idx="352">
                  <c:v>41799</c:v>
                </c:pt>
                <c:pt idx="353" formatCode="yyyy/\ \ m/d">
                  <c:v>41800</c:v>
                </c:pt>
                <c:pt idx="354" formatCode="yyyy/\ \ m/d">
                  <c:v>41801</c:v>
                </c:pt>
                <c:pt idx="355" formatCode="yyyy/\ \ m/d">
                  <c:v>41802</c:v>
                </c:pt>
                <c:pt idx="356" formatCode="yyyy/\ \ m/d">
                  <c:v>41803</c:v>
                </c:pt>
                <c:pt idx="357" formatCode="yyyy/\ \ m/d">
                  <c:v>41806</c:v>
                </c:pt>
                <c:pt idx="358" formatCode="yyyy/\ \ m/d">
                  <c:v>41807</c:v>
                </c:pt>
                <c:pt idx="359" formatCode="yyyy/\ \ m/d">
                  <c:v>41808</c:v>
                </c:pt>
                <c:pt idx="360" formatCode="yyyy/\ \ m/d">
                  <c:v>41809</c:v>
                </c:pt>
                <c:pt idx="361" formatCode="yyyy/\ \ m/d">
                  <c:v>41810</c:v>
                </c:pt>
                <c:pt idx="362" formatCode="yyyy/\ \ m/d">
                  <c:v>41813</c:v>
                </c:pt>
                <c:pt idx="363" formatCode="yyyy/\ \ m/d">
                  <c:v>41814</c:v>
                </c:pt>
                <c:pt idx="364" formatCode="yyyy/\ \ m/d">
                  <c:v>41815</c:v>
                </c:pt>
                <c:pt idx="365" formatCode="yyyy/\ \ m/d">
                  <c:v>41816</c:v>
                </c:pt>
                <c:pt idx="366" formatCode="yyyy/\ \ m/d">
                  <c:v>41817</c:v>
                </c:pt>
                <c:pt idx="367" formatCode="yyyy/\ \ m/d">
                  <c:v>41820</c:v>
                </c:pt>
                <c:pt idx="368">
                  <c:v>41821</c:v>
                </c:pt>
                <c:pt idx="369">
                  <c:v>41822</c:v>
                </c:pt>
                <c:pt idx="370">
                  <c:v>41823</c:v>
                </c:pt>
                <c:pt idx="371">
                  <c:v>41824</c:v>
                </c:pt>
                <c:pt idx="372">
                  <c:v>41827</c:v>
                </c:pt>
                <c:pt idx="373">
                  <c:v>41828</c:v>
                </c:pt>
                <c:pt idx="374">
                  <c:v>41829</c:v>
                </c:pt>
                <c:pt idx="375" formatCode="yyyy/\ \ m/d">
                  <c:v>41830</c:v>
                </c:pt>
                <c:pt idx="376" formatCode="yyyy/\ \ m/d">
                  <c:v>41831</c:v>
                </c:pt>
                <c:pt idx="377" formatCode="yyyy/\ \ m/d">
                  <c:v>41834</c:v>
                </c:pt>
                <c:pt idx="378" formatCode="yyyy/\ \ m/d">
                  <c:v>41835</c:v>
                </c:pt>
                <c:pt idx="379" formatCode="yyyy/\ \ m/d">
                  <c:v>41836</c:v>
                </c:pt>
                <c:pt idx="380" formatCode="yyyy/\ \ m/d">
                  <c:v>41837</c:v>
                </c:pt>
                <c:pt idx="381" formatCode="yyyy/\ \ m/d">
                  <c:v>41838</c:v>
                </c:pt>
                <c:pt idx="382" formatCode="yyyy/\ \ m/d">
                  <c:v>41841</c:v>
                </c:pt>
                <c:pt idx="383" formatCode="yyyy/\ \ m/d">
                  <c:v>41842</c:v>
                </c:pt>
                <c:pt idx="384" formatCode="yyyy/\ \ m/d">
                  <c:v>41844</c:v>
                </c:pt>
                <c:pt idx="385" formatCode="yyyy/\ \ m/d">
                  <c:v>41845</c:v>
                </c:pt>
                <c:pt idx="386" formatCode="yyyy/\ \ m/d">
                  <c:v>41848</c:v>
                </c:pt>
                <c:pt idx="387" formatCode="yyyy/\ \ m/d">
                  <c:v>41849</c:v>
                </c:pt>
                <c:pt idx="388" formatCode="yyyy/\ \ m/d">
                  <c:v>41850</c:v>
                </c:pt>
                <c:pt idx="389" formatCode="yyyy/\ \ m/d">
                  <c:v>41851</c:v>
                </c:pt>
                <c:pt idx="390">
                  <c:v>41852</c:v>
                </c:pt>
                <c:pt idx="391">
                  <c:v>41855</c:v>
                </c:pt>
                <c:pt idx="392">
                  <c:v>41856</c:v>
                </c:pt>
                <c:pt idx="393">
                  <c:v>41857</c:v>
                </c:pt>
                <c:pt idx="394">
                  <c:v>41858</c:v>
                </c:pt>
                <c:pt idx="395">
                  <c:v>41859</c:v>
                </c:pt>
                <c:pt idx="396" formatCode="yyyy/\ \ m/d">
                  <c:v>41862</c:v>
                </c:pt>
                <c:pt idx="397" formatCode="yyyy/\ \ m/d">
                  <c:v>41863</c:v>
                </c:pt>
                <c:pt idx="398" formatCode="yyyy/\ \ m/d">
                  <c:v>41864</c:v>
                </c:pt>
                <c:pt idx="399" formatCode="yyyy/\ \ m/d">
                  <c:v>41865</c:v>
                </c:pt>
                <c:pt idx="400" formatCode="yyyy/\ \ m/d">
                  <c:v>41866</c:v>
                </c:pt>
                <c:pt idx="401" formatCode="yyyy/\ \ m/d">
                  <c:v>41869</c:v>
                </c:pt>
                <c:pt idx="402" formatCode="yyyy/\ \ m/d">
                  <c:v>41870</c:v>
                </c:pt>
                <c:pt idx="403" formatCode="yyyy/\ \ m/d">
                  <c:v>41871</c:v>
                </c:pt>
                <c:pt idx="404" formatCode="yyyy/\ \ m/d">
                  <c:v>41872</c:v>
                </c:pt>
                <c:pt idx="405" formatCode="yyyy/\ \ m/d">
                  <c:v>41873</c:v>
                </c:pt>
                <c:pt idx="406" formatCode="yyyy/\ \ m/d">
                  <c:v>41876</c:v>
                </c:pt>
                <c:pt idx="407" formatCode="yyyy/\ \ m/d">
                  <c:v>41877</c:v>
                </c:pt>
                <c:pt idx="408" formatCode="yyyy/\ \ m/d">
                  <c:v>41878</c:v>
                </c:pt>
                <c:pt idx="409" formatCode="yyyy/\ \ m/d">
                  <c:v>41879</c:v>
                </c:pt>
                <c:pt idx="410" formatCode="yyyy/\ \ m/d">
                  <c:v>41880</c:v>
                </c:pt>
                <c:pt idx="411">
                  <c:v>41883</c:v>
                </c:pt>
                <c:pt idx="412">
                  <c:v>41884</c:v>
                </c:pt>
                <c:pt idx="413">
                  <c:v>41885</c:v>
                </c:pt>
                <c:pt idx="414">
                  <c:v>41886</c:v>
                </c:pt>
                <c:pt idx="415">
                  <c:v>41887</c:v>
                </c:pt>
                <c:pt idx="416">
                  <c:v>41891</c:v>
                </c:pt>
                <c:pt idx="417" formatCode="yyyy/\ \ m/d">
                  <c:v>41892</c:v>
                </c:pt>
                <c:pt idx="418" formatCode="yyyy/\ \ m/d">
                  <c:v>41893</c:v>
                </c:pt>
                <c:pt idx="419" formatCode="yyyy/\ \ m/d">
                  <c:v>41894</c:v>
                </c:pt>
                <c:pt idx="420" formatCode="yyyy/\ \ m/d">
                  <c:v>41897</c:v>
                </c:pt>
                <c:pt idx="421" formatCode="yyyy/\ \ m/d">
                  <c:v>41898</c:v>
                </c:pt>
                <c:pt idx="422" formatCode="yyyy/\ \ m/d">
                  <c:v>41899</c:v>
                </c:pt>
                <c:pt idx="423" formatCode="yyyy/\ \ m/d">
                  <c:v>41900</c:v>
                </c:pt>
                <c:pt idx="424" formatCode="yyyy/\ \ m/d">
                  <c:v>41901</c:v>
                </c:pt>
                <c:pt idx="425" formatCode="yyyy/\ \ m/d">
                  <c:v>41904</c:v>
                </c:pt>
                <c:pt idx="426" formatCode="yyyy/\ \ m/d">
                  <c:v>41905</c:v>
                </c:pt>
                <c:pt idx="427" formatCode="yyyy/\ \ m/d">
                  <c:v>41906</c:v>
                </c:pt>
                <c:pt idx="428" formatCode="yyyy/\ \ m/d">
                  <c:v>41907</c:v>
                </c:pt>
                <c:pt idx="429" formatCode="yyyy/\ \ m/d">
                  <c:v>41908</c:v>
                </c:pt>
                <c:pt idx="430" formatCode="yyyy/\ \ m/d">
                  <c:v>41911</c:v>
                </c:pt>
                <c:pt idx="431" formatCode="yyyy/\ \ m/d">
                  <c:v>41912</c:v>
                </c:pt>
                <c:pt idx="432" formatCode="yyyy/m/\ \ d">
                  <c:v>41913</c:v>
                </c:pt>
                <c:pt idx="433" formatCode="yyyy/m/\ \ d">
                  <c:v>41914</c:v>
                </c:pt>
                <c:pt idx="434" formatCode="yyyy/m/\ \ d">
                  <c:v>41915</c:v>
                </c:pt>
                <c:pt idx="435" formatCode="yyyy/m/\ \ d">
                  <c:v>41918</c:v>
                </c:pt>
                <c:pt idx="436" formatCode="yyyy/m/\ \ d">
                  <c:v>41919</c:v>
                </c:pt>
                <c:pt idx="437" formatCode="yyyy/m/\ \ d">
                  <c:v>41920</c:v>
                </c:pt>
                <c:pt idx="438" formatCode="yyyy/m/\ \ d">
                  <c:v>41921</c:v>
                </c:pt>
                <c:pt idx="439" formatCode="m/d/yyyy">
                  <c:v>41925</c:v>
                </c:pt>
                <c:pt idx="440" formatCode="m/d/yyyy">
                  <c:v>41926</c:v>
                </c:pt>
                <c:pt idx="441" formatCode="m/d/yyyy">
                  <c:v>41927</c:v>
                </c:pt>
                <c:pt idx="442" formatCode="m/d/yyyy">
                  <c:v>41928</c:v>
                </c:pt>
                <c:pt idx="443" formatCode="m/d/yyyy">
                  <c:v>41929</c:v>
                </c:pt>
                <c:pt idx="444" formatCode="m/d/yyyy">
                  <c:v>41932</c:v>
                </c:pt>
                <c:pt idx="445" formatCode="m/d/yyyy">
                  <c:v>41933</c:v>
                </c:pt>
                <c:pt idx="446" formatCode="m/d/yyyy">
                  <c:v>41934</c:v>
                </c:pt>
                <c:pt idx="447" formatCode="m/d/yyyy">
                  <c:v>41935</c:v>
                </c:pt>
                <c:pt idx="448" formatCode="m/d/yyyy">
                  <c:v>41936</c:v>
                </c:pt>
                <c:pt idx="449" formatCode="m/d/yyyy">
                  <c:v>41939</c:v>
                </c:pt>
                <c:pt idx="450" formatCode="m/d/yyyy">
                  <c:v>41940</c:v>
                </c:pt>
                <c:pt idx="451" formatCode="m/d/yyyy">
                  <c:v>41941</c:v>
                </c:pt>
                <c:pt idx="452" formatCode="m/d/yyyy">
                  <c:v>41942</c:v>
                </c:pt>
                <c:pt idx="453" formatCode="m/d/yyyy">
                  <c:v>41943</c:v>
                </c:pt>
                <c:pt idx="454" formatCode="yyyy/m/\ \ d">
                  <c:v>41946</c:v>
                </c:pt>
                <c:pt idx="455" formatCode="yyyy/m/\ \ d">
                  <c:v>41947</c:v>
                </c:pt>
                <c:pt idx="456" formatCode="yyyy/m/\ \ d">
                  <c:v>41948</c:v>
                </c:pt>
                <c:pt idx="457" formatCode="yyyy/m/\ \ d">
                  <c:v>41949</c:v>
                </c:pt>
                <c:pt idx="458" formatCode="yyyy/m/\ \ d">
                  <c:v>41950</c:v>
                </c:pt>
                <c:pt idx="459" formatCode="m/d/yyyy">
                  <c:v>41953</c:v>
                </c:pt>
                <c:pt idx="460" formatCode="m/d/yyyy">
                  <c:v>41954</c:v>
                </c:pt>
                <c:pt idx="461" formatCode="m/d/yyyy">
                  <c:v>41955</c:v>
                </c:pt>
                <c:pt idx="462" formatCode="m/d/yyyy">
                  <c:v>41956</c:v>
                </c:pt>
                <c:pt idx="463" formatCode="m/d/yyyy">
                  <c:v>41957</c:v>
                </c:pt>
                <c:pt idx="464" formatCode="m/d/yyyy">
                  <c:v>41960</c:v>
                </c:pt>
                <c:pt idx="465" formatCode="m/d/yyyy">
                  <c:v>41961</c:v>
                </c:pt>
                <c:pt idx="466" formatCode="m/d/yyyy">
                  <c:v>41962</c:v>
                </c:pt>
                <c:pt idx="467" formatCode="m/d/yyyy">
                  <c:v>41963</c:v>
                </c:pt>
                <c:pt idx="468" formatCode="m/d/yyyy">
                  <c:v>41964</c:v>
                </c:pt>
                <c:pt idx="469" formatCode="m/d/yyyy">
                  <c:v>41967</c:v>
                </c:pt>
                <c:pt idx="470" formatCode="m/d/yyyy">
                  <c:v>41968</c:v>
                </c:pt>
                <c:pt idx="471" formatCode="m/d/yyyy">
                  <c:v>41969</c:v>
                </c:pt>
                <c:pt idx="472" formatCode="m/d/yyyy">
                  <c:v>41970</c:v>
                </c:pt>
                <c:pt idx="473" formatCode="m/d/yyyy">
                  <c:v>41971</c:v>
                </c:pt>
                <c:pt idx="474" formatCode="yyyy/m/\ \ d">
                  <c:v>41974</c:v>
                </c:pt>
                <c:pt idx="475" formatCode="yyyy/m/\ \ d">
                  <c:v>41975</c:v>
                </c:pt>
                <c:pt idx="476" formatCode="yyyy/m/\ \ d">
                  <c:v>41976</c:v>
                </c:pt>
                <c:pt idx="477" formatCode="yyyy/m/\ \ d">
                  <c:v>41977</c:v>
                </c:pt>
                <c:pt idx="478" formatCode="yyyy/m/\ \ d">
                  <c:v>41978</c:v>
                </c:pt>
                <c:pt idx="479" formatCode="yyyy/m/\ \ d">
                  <c:v>41981</c:v>
                </c:pt>
                <c:pt idx="480" formatCode="yyyy/m/\ \ d">
                  <c:v>41982</c:v>
                </c:pt>
                <c:pt idx="481" formatCode="m/d/yyyy">
                  <c:v>41983</c:v>
                </c:pt>
                <c:pt idx="482" formatCode="m/d/yyyy">
                  <c:v>41984</c:v>
                </c:pt>
                <c:pt idx="483" formatCode="m/d/yyyy">
                  <c:v>41985</c:v>
                </c:pt>
                <c:pt idx="484" formatCode="m/d/yyyy">
                  <c:v>41988</c:v>
                </c:pt>
                <c:pt idx="485" formatCode="m/d/yyyy">
                  <c:v>41989</c:v>
                </c:pt>
                <c:pt idx="486" formatCode="m/d/yyyy">
                  <c:v>41990</c:v>
                </c:pt>
                <c:pt idx="487" formatCode="m/d/yyyy">
                  <c:v>41991</c:v>
                </c:pt>
                <c:pt idx="488" formatCode="m/d/yyyy">
                  <c:v>41992</c:v>
                </c:pt>
                <c:pt idx="489" formatCode="m/d/yyyy">
                  <c:v>41995</c:v>
                </c:pt>
                <c:pt idx="490" formatCode="m/d/yyyy">
                  <c:v>41996</c:v>
                </c:pt>
                <c:pt idx="491" formatCode="m/d/yyyy">
                  <c:v>41997</c:v>
                </c:pt>
                <c:pt idx="492" formatCode="m/d/yyyy">
                  <c:v>41998</c:v>
                </c:pt>
                <c:pt idx="493" formatCode="m/d/yyyy">
                  <c:v>41999</c:v>
                </c:pt>
                <c:pt idx="494" formatCode="m/d/yyyy">
                  <c:v>42000</c:v>
                </c:pt>
                <c:pt idx="495" formatCode="m/d/yyyy">
                  <c:v>42002</c:v>
                </c:pt>
                <c:pt idx="496" formatCode="m/d/yyyy">
                  <c:v>42003</c:v>
                </c:pt>
                <c:pt idx="497" formatCode="m/d/yyyy">
                  <c:v>42004</c:v>
                </c:pt>
                <c:pt idx="498">
                  <c:v>42009</c:v>
                </c:pt>
                <c:pt idx="499">
                  <c:v>42010</c:v>
                </c:pt>
                <c:pt idx="500">
                  <c:v>42011</c:v>
                </c:pt>
                <c:pt idx="501">
                  <c:v>42012</c:v>
                </c:pt>
                <c:pt idx="502">
                  <c:v>42013</c:v>
                </c:pt>
                <c:pt idx="503" formatCode="yyyy/\ \ m/d">
                  <c:v>42016</c:v>
                </c:pt>
                <c:pt idx="504" formatCode="yyyy/\ \ m/d">
                  <c:v>42017</c:v>
                </c:pt>
                <c:pt idx="505" formatCode="yyyy/\ \ m/d">
                  <c:v>42018</c:v>
                </c:pt>
                <c:pt idx="506" formatCode="yyyy/\ \ m/d">
                  <c:v>42019</c:v>
                </c:pt>
                <c:pt idx="507" formatCode="yyyy/\ \ m/d">
                  <c:v>42020</c:v>
                </c:pt>
                <c:pt idx="508" formatCode="yyyy/\ \ m/d">
                  <c:v>42023</c:v>
                </c:pt>
                <c:pt idx="509" formatCode="yyyy/\ \ m/d">
                  <c:v>42024</c:v>
                </c:pt>
                <c:pt idx="510" formatCode="yyyy/\ \ m/d">
                  <c:v>42025</c:v>
                </c:pt>
                <c:pt idx="511" formatCode="yyyy/\ \ m/d">
                  <c:v>42026</c:v>
                </c:pt>
                <c:pt idx="512" formatCode="yyyy/\ \ m/d">
                  <c:v>42027</c:v>
                </c:pt>
                <c:pt idx="513" formatCode="yyyy/\ \ m/d">
                  <c:v>42030</c:v>
                </c:pt>
                <c:pt idx="514" formatCode="yyyy/\ \ m/d">
                  <c:v>42031</c:v>
                </c:pt>
                <c:pt idx="515" formatCode="yyyy/\ \ m/d">
                  <c:v>42032</c:v>
                </c:pt>
                <c:pt idx="516" formatCode="yyyy/\ \ m/d">
                  <c:v>42033</c:v>
                </c:pt>
                <c:pt idx="517" formatCode="yyyy/\ \ m/d">
                  <c:v>42034</c:v>
                </c:pt>
                <c:pt idx="518">
                  <c:v>42037</c:v>
                </c:pt>
                <c:pt idx="519">
                  <c:v>42038</c:v>
                </c:pt>
                <c:pt idx="520">
                  <c:v>42039</c:v>
                </c:pt>
                <c:pt idx="521">
                  <c:v>42040</c:v>
                </c:pt>
                <c:pt idx="522">
                  <c:v>42041</c:v>
                </c:pt>
                <c:pt idx="523">
                  <c:v>42044</c:v>
                </c:pt>
                <c:pt idx="524" formatCode="yyyy/\ \ m/d">
                  <c:v>42045</c:v>
                </c:pt>
                <c:pt idx="525" formatCode="yyyy/\ \ m/d">
                  <c:v>42046</c:v>
                </c:pt>
                <c:pt idx="526" formatCode="yyyy/\ \ m/d">
                  <c:v>42047</c:v>
                </c:pt>
                <c:pt idx="527" formatCode="yyyy/\ \ m/d">
                  <c:v>42048</c:v>
                </c:pt>
                <c:pt idx="528" formatCode="yyyy/\ \ m/d">
                  <c:v>42051</c:v>
                </c:pt>
                <c:pt idx="529" formatCode="yyyy/\ \ m/d">
                  <c:v>42052</c:v>
                </c:pt>
                <c:pt idx="530" formatCode="yyyy/\ \ m/d">
                  <c:v>42059</c:v>
                </c:pt>
                <c:pt idx="531" formatCode="yyyy/\ \ m/d">
                  <c:v>42060</c:v>
                </c:pt>
                <c:pt idx="532" formatCode="yyyy/\ \ m/d">
                  <c:v>42061</c:v>
                </c:pt>
                <c:pt idx="533">
                  <c:v>42065</c:v>
                </c:pt>
                <c:pt idx="534">
                  <c:v>42066</c:v>
                </c:pt>
                <c:pt idx="535">
                  <c:v>42067</c:v>
                </c:pt>
                <c:pt idx="536">
                  <c:v>42068</c:v>
                </c:pt>
                <c:pt idx="537">
                  <c:v>42069</c:v>
                </c:pt>
                <c:pt idx="538">
                  <c:v>42072</c:v>
                </c:pt>
                <c:pt idx="539" formatCode="yyyy/\ \ m/d">
                  <c:v>42073</c:v>
                </c:pt>
                <c:pt idx="540" formatCode="yyyy/\ \ m/d">
                  <c:v>42074</c:v>
                </c:pt>
                <c:pt idx="541" formatCode="yyyy/\ \ m/d">
                  <c:v>42075</c:v>
                </c:pt>
                <c:pt idx="542" formatCode="yyyy/\ \ m/d">
                  <c:v>42076</c:v>
                </c:pt>
                <c:pt idx="543" formatCode="yyyy/\ \ m/d">
                  <c:v>42079</c:v>
                </c:pt>
                <c:pt idx="544" formatCode="yyyy/\ \ m/d">
                  <c:v>42080</c:v>
                </c:pt>
                <c:pt idx="545" formatCode="yyyy/\ \ m/d">
                  <c:v>42081</c:v>
                </c:pt>
                <c:pt idx="546" formatCode="yyyy/\ \ m/d">
                  <c:v>42082</c:v>
                </c:pt>
                <c:pt idx="547" formatCode="yyyy/\ \ m/d">
                  <c:v>42083</c:v>
                </c:pt>
                <c:pt idx="548" formatCode="yyyy/\ \ m/d">
                  <c:v>42086</c:v>
                </c:pt>
                <c:pt idx="549" formatCode="yyyy/\ \ m/d">
                  <c:v>42087</c:v>
                </c:pt>
                <c:pt idx="550" formatCode="yyyy/\ \ m/d">
                  <c:v>42088</c:v>
                </c:pt>
                <c:pt idx="551" formatCode="yyyy/\ \ m/d">
                  <c:v>42089</c:v>
                </c:pt>
                <c:pt idx="552" formatCode="yyyy/\ \ m/d">
                  <c:v>42090</c:v>
                </c:pt>
                <c:pt idx="553" formatCode="yyyy/\ \ m/d">
                  <c:v>42093</c:v>
                </c:pt>
                <c:pt idx="554" formatCode="yyyy/\ \ m/d">
                  <c:v>42094</c:v>
                </c:pt>
                <c:pt idx="555">
                  <c:v>42095</c:v>
                </c:pt>
                <c:pt idx="556">
                  <c:v>42096</c:v>
                </c:pt>
                <c:pt idx="557">
                  <c:v>42101</c:v>
                </c:pt>
                <c:pt idx="558">
                  <c:v>42102</c:v>
                </c:pt>
                <c:pt idx="559">
                  <c:v>42103</c:v>
                </c:pt>
                <c:pt idx="560" formatCode="yyyy/\ \ m/d">
                  <c:v>42104</c:v>
                </c:pt>
                <c:pt idx="561" formatCode="yyyy/\ \ m/d">
                  <c:v>42107</c:v>
                </c:pt>
                <c:pt idx="562" formatCode="yyyy/\ \ m/d">
                  <c:v>42108</c:v>
                </c:pt>
                <c:pt idx="563" formatCode="yyyy/\ \ m/d">
                  <c:v>42109</c:v>
                </c:pt>
                <c:pt idx="564" formatCode="yyyy/\ \ m/d">
                  <c:v>42110</c:v>
                </c:pt>
                <c:pt idx="565" formatCode="yyyy/\ \ m/d">
                  <c:v>42111</c:v>
                </c:pt>
                <c:pt idx="566" formatCode="yyyy/\ \ m/d">
                  <c:v>42114</c:v>
                </c:pt>
                <c:pt idx="567" formatCode="yyyy/\ \ m/d">
                  <c:v>42115</c:v>
                </c:pt>
                <c:pt idx="568" formatCode="yyyy/\ \ m/d">
                  <c:v>42116</c:v>
                </c:pt>
                <c:pt idx="569" formatCode="yyyy/\ \ m/d">
                  <c:v>42117</c:v>
                </c:pt>
                <c:pt idx="570" formatCode="yyyy/\ \ m/d">
                  <c:v>42118</c:v>
                </c:pt>
                <c:pt idx="571" formatCode="yyyy/\ \ m/d">
                  <c:v>42121</c:v>
                </c:pt>
                <c:pt idx="572" formatCode="yyyy/\ \ m/d">
                  <c:v>42122</c:v>
                </c:pt>
                <c:pt idx="573" formatCode="yyyy/\ \ m/d">
                  <c:v>42123</c:v>
                </c:pt>
                <c:pt idx="574" formatCode="yyyy/\ \ m/d">
                  <c:v>42124</c:v>
                </c:pt>
                <c:pt idx="575">
                  <c:v>42128</c:v>
                </c:pt>
                <c:pt idx="576">
                  <c:v>42129</c:v>
                </c:pt>
                <c:pt idx="577">
                  <c:v>42130</c:v>
                </c:pt>
                <c:pt idx="578">
                  <c:v>42131</c:v>
                </c:pt>
                <c:pt idx="579">
                  <c:v>42132</c:v>
                </c:pt>
                <c:pt idx="580" formatCode="yyyy/\ \ m/d">
                  <c:v>42135</c:v>
                </c:pt>
                <c:pt idx="581" formatCode="yyyy/\ \ m/d">
                  <c:v>42136</c:v>
                </c:pt>
                <c:pt idx="582" formatCode="yyyy/\ \ m/d">
                  <c:v>42137</c:v>
                </c:pt>
                <c:pt idx="583" formatCode="yyyy/\ \ m/d">
                  <c:v>42138</c:v>
                </c:pt>
                <c:pt idx="584" formatCode="yyyy/\ \ m/d">
                  <c:v>42139</c:v>
                </c:pt>
                <c:pt idx="585" formatCode="yyyy/\ \ m/d">
                  <c:v>42142</c:v>
                </c:pt>
                <c:pt idx="586" formatCode="yyyy/\ \ m/d">
                  <c:v>42143</c:v>
                </c:pt>
                <c:pt idx="587" formatCode="yyyy/\ \ m/d">
                  <c:v>42144</c:v>
                </c:pt>
                <c:pt idx="588" formatCode="yyyy/\ \ m/d">
                  <c:v>42145</c:v>
                </c:pt>
                <c:pt idx="589" formatCode="yyyy/\ \ m/d">
                  <c:v>42146</c:v>
                </c:pt>
                <c:pt idx="590" formatCode="yyyy/\ \ m/d">
                  <c:v>42149</c:v>
                </c:pt>
                <c:pt idx="591" formatCode="yyyy/\ \ m/d">
                  <c:v>42150</c:v>
                </c:pt>
                <c:pt idx="592" formatCode="yyyy/\ \ m/d">
                  <c:v>42151</c:v>
                </c:pt>
                <c:pt idx="593" formatCode="yyyy/\ \ m/d">
                  <c:v>42152</c:v>
                </c:pt>
                <c:pt idx="594" formatCode="yyyy/\ \ m/d">
                  <c:v>42153</c:v>
                </c:pt>
                <c:pt idx="595">
                  <c:v>42156</c:v>
                </c:pt>
                <c:pt idx="596">
                  <c:v>42157</c:v>
                </c:pt>
                <c:pt idx="597">
                  <c:v>42158</c:v>
                </c:pt>
                <c:pt idx="598">
                  <c:v>42159</c:v>
                </c:pt>
                <c:pt idx="599">
                  <c:v>42160</c:v>
                </c:pt>
                <c:pt idx="600">
                  <c:v>42163</c:v>
                </c:pt>
                <c:pt idx="601">
                  <c:v>42164</c:v>
                </c:pt>
                <c:pt idx="602" formatCode="yyyy/\ \ m/d">
                  <c:v>42165</c:v>
                </c:pt>
                <c:pt idx="603" formatCode="yyyy/\ \ m/d">
                  <c:v>42166</c:v>
                </c:pt>
                <c:pt idx="604" formatCode="yyyy/\ \ m/d">
                  <c:v>42167</c:v>
                </c:pt>
                <c:pt idx="605" formatCode="yyyy/\ \ m/d">
                  <c:v>42170</c:v>
                </c:pt>
                <c:pt idx="606" formatCode="yyyy/\ \ m/d">
                  <c:v>42171</c:v>
                </c:pt>
                <c:pt idx="607" formatCode="yyyy/\ \ m/d">
                  <c:v>42172</c:v>
                </c:pt>
                <c:pt idx="608" formatCode="yyyy/\ \ m/d">
                  <c:v>42173</c:v>
                </c:pt>
                <c:pt idx="609" formatCode="yyyy/\ \ m/d">
                  <c:v>42177</c:v>
                </c:pt>
                <c:pt idx="610" formatCode="yyyy/\ \ m/d">
                  <c:v>42178</c:v>
                </c:pt>
                <c:pt idx="611" formatCode="yyyy/\ \ m/d">
                  <c:v>42179</c:v>
                </c:pt>
                <c:pt idx="612" formatCode="yyyy/\ \ m/d">
                  <c:v>42180</c:v>
                </c:pt>
                <c:pt idx="613" formatCode="yyyy/\ \ m/d">
                  <c:v>42181</c:v>
                </c:pt>
                <c:pt idx="614" formatCode="yyyy/\ \ m/d">
                  <c:v>42184</c:v>
                </c:pt>
                <c:pt idx="615" formatCode="yyyy/\ \ m/d">
                  <c:v>42185</c:v>
                </c:pt>
                <c:pt idx="616">
                  <c:v>42186</c:v>
                </c:pt>
                <c:pt idx="617">
                  <c:v>42187</c:v>
                </c:pt>
                <c:pt idx="618">
                  <c:v>42188</c:v>
                </c:pt>
                <c:pt idx="619">
                  <c:v>42191</c:v>
                </c:pt>
                <c:pt idx="620">
                  <c:v>42192</c:v>
                </c:pt>
                <c:pt idx="621">
                  <c:v>42193</c:v>
                </c:pt>
                <c:pt idx="622">
                  <c:v>42194</c:v>
                </c:pt>
                <c:pt idx="623" formatCode="yyyy/\ \ m/d">
                  <c:v>42198</c:v>
                </c:pt>
                <c:pt idx="624" formatCode="yyyy/\ \ m/d">
                  <c:v>42199</c:v>
                </c:pt>
                <c:pt idx="625" formatCode="yyyy/\ \ m/d">
                  <c:v>42200</c:v>
                </c:pt>
                <c:pt idx="626" formatCode="yyyy/\ \ m/d">
                  <c:v>42201</c:v>
                </c:pt>
                <c:pt idx="627" formatCode="yyyy/\ \ m/d">
                  <c:v>42202</c:v>
                </c:pt>
                <c:pt idx="628" formatCode="yyyy/\ \ m/d">
                  <c:v>42205</c:v>
                </c:pt>
                <c:pt idx="629" formatCode="yyyy/\ \ m/d">
                  <c:v>42206</c:v>
                </c:pt>
                <c:pt idx="630" formatCode="yyyy/\ \ m/d">
                  <c:v>42207</c:v>
                </c:pt>
                <c:pt idx="631" formatCode="yyyy/\ \ m/d">
                  <c:v>42208</c:v>
                </c:pt>
                <c:pt idx="632" formatCode="yyyy/\ \ m/d">
                  <c:v>42209</c:v>
                </c:pt>
                <c:pt idx="633" formatCode="yyyy/\ \ m/d">
                  <c:v>42212</c:v>
                </c:pt>
                <c:pt idx="634" formatCode="yyyy/\ \ m/d">
                  <c:v>42213</c:v>
                </c:pt>
                <c:pt idx="635" formatCode="yyyy/\ \ m/d">
                  <c:v>42214</c:v>
                </c:pt>
                <c:pt idx="636" formatCode="yyyy/\ \ m/d">
                  <c:v>42215</c:v>
                </c:pt>
                <c:pt idx="637" formatCode="yyyy/\ \ m/d">
                  <c:v>42216</c:v>
                </c:pt>
                <c:pt idx="638">
                  <c:v>42219</c:v>
                </c:pt>
                <c:pt idx="639">
                  <c:v>42220</c:v>
                </c:pt>
                <c:pt idx="640">
                  <c:v>42221</c:v>
                </c:pt>
                <c:pt idx="641">
                  <c:v>42222</c:v>
                </c:pt>
                <c:pt idx="642">
                  <c:v>42223</c:v>
                </c:pt>
                <c:pt idx="643" formatCode="yyyy/\ \ m/d">
                  <c:v>42226</c:v>
                </c:pt>
                <c:pt idx="644" formatCode="yyyy/\ \ m/d">
                  <c:v>42227</c:v>
                </c:pt>
                <c:pt idx="645" formatCode="yyyy/\ \ m/d">
                  <c:v>42228</c:v>
                </c:pt>
                <c:pt idx="646" formatCode="yyyy/\ \ m/d">
                  <c:v>42229</c:v>
                </c:pt>
                <c:pt idx="647" formatCode="yyyy/\ \ m/d">
                  <c:v>42230</c:v>
                </c:pt>
                <c:pt idx="648" formatCode="yyyy/\ \ m/d">
                  <c:v>42233</c:v>
                </c:pt>
                <c:pt idx="649" formatCode="yyyy/\ \ m/d">
                  <c:v>42234</c:v>
                </c:pt>
                <c:pt idx="650" formatCode="yyyy/\ \ m/d">
                  <c:v>42235</c:v>
                </c:pt>
                <c:pt idx="651" formatCode="yyyy/\ \ m/d">
                  <c:v>42236</c:v>
                </c:pt>
                <c:pt idx="652" formatCode="yyyy/\ \ m/d">
                  <c:v>42237</c:v>
                </c:pt>
                <c:pt idx="653" formatCode="yyyy/\ \ m/d">
                  <c:v>42240</c:v>
                </c:pt>
                <c:pt idx="654" formatCode="yyyy/\ \ m/d">
                  <c:v>42241</c:v>
                </c:pt>
                <c:pt idx="655" formatCode="yyyy/\ \ m/d">
                  <c:v>42242</c:v>
                </c:pt>
                <c:pt idx="656" formatCode="yyyy/\ \ m/d">
                  <c:v>42243</c:v>
                </c:pt>
                <c:pt idx="657" formatCode="yyyy/\ \ m/d">
                  <c:v>42244</c:v>
                </c:pt>
                <c:pt idx="658" formatCode="yyyy/\ \ m/d">
                  <c:v>42247</c:v>
                </c:pt>
                <c:pt idx="659">
                  <c:v>42248</c:v>
                </c:pt>
                <c:pt idx="660">
                  <c:v>42249</c:v>
                </c:pt>
                <c:pt idx="661">
                  <c:v>42250</c:v>
                </c:pt>
                <c:pt idx="662">
                  <c:v>42251</c:v>
                </c:pt>
                <c:pt idx="663">
                  <c:v>42254</c:v>
                </c:pt>
                <c:pt idx="664">
                  <c:v>42255</c:v>
                </c:pt>
                <c:pt idx="665">
                  <c:v>42256</c:v>
                </c:pt>
                <c:pt idx="666" formatCode="yyyy/\ \ m/d">
                  <c:v>42257</c:v>
                </c:pt>
                <c:pt idx="667" formatCode="yyyy/\ \ m/d">
                  <c:v>42258</c:v>
                </c:pt>
                <c:pt idx="668" formatCode="yyyy/\ \ m/d">
                  <c:v>42261</c:v>
                </c:pt>
                <c:pt idx="669" formatCode="yyyy/\ \ m/d">
                  <c:v>42262</c:v>
                </c:pt>
                <c:pt idx="670" formatCode="yyyy/\ \ m/d">
                  <c:v>42263</c:v>
                </c:pt>
                <c:pt idx="671" formatCode="yyyy/\ \ m/d">
                  <c:v>42264</c:v>
                </c:pt>
                <c:pt idx="672" formatCode="yyyy/\ \ m/d">
                  <c:v>42265</c:v>
                </c:pt>
                <c:pt idx="673" formatCode="yyyy/\ \ m/d">
                  <c:v>42268</c:v>
                </c:pt>
                <c:pt idx="674" formatCode="yyyy/\ \ m/d">
                  <c:v>42269</c:v>
                </c:pt>
                <c:pt idx="675" formatCode="yyyy/\ \ m/d">
                  <c:v>42270</c:v>
                </c:pt>
                <c:pt idx="676" formatCode="yyyy/\ \ m/d">
                  <c:v>42271</c:v>
                </c:pt>
                <c:pt idx="677" formatCode="yyyy/\ \ m/d">
                  <c:v>42272</c:v>
                </c:pt>
                <c:pt idx="678" formatCode="yyyy/\ \ m/d">
                  <c:v>42277</c:v>
                </c:pt>
                <c:pt idx="679" formatCode="yyyy/m/\ \ d">
                  <c:v>42278</c:v>
                </c:pt>
                <c:pt idx="680" formatCode="yyyy/m/\ \ d">
                  <c:v>42279</c:v>
                </c:pt>
                <c:pt idx="681" formatCode="yyyy/m/\ \ d">
                  <c:v>42282</c:v>
                </c:pt>
                <c:pt idx="682" formatCode="yyyy/m/\ \ d">
                  <c:v>42283</c:v>
                </c:pt>
                <c:pt idx="683" formatCode="yyyy/m/\ \ d">
                  <c:v>42284</c:v>
                </c:pt>
                <c:pt idx="684" formatCode="yyyy/m/\ \ d">
                  <c:v>42285</c:v>
                </c:pt>
                <c:pt idx="685" formatCode="m/d/yyyy">
                  <c:v>42289</c:v>
                </c:pt>
                <c:pt idx="686" formatCode="m/d/yyyy">
                  <c:v>42290</c:v>
                </c:pt>
                <c:pt idx="687" formatCode="m/d/yyyy">
                  <c:v>42291</c:v>
                </c:pt>
                <c:pt idx="688" formatCode="m/d/yyyy">
                  <c:v>42292</c:v>
                </c:pt>
                <c:pt idx="689" formatCode="m/d/yyyy">
                  <c:v>42293</c:v>
                </c:pt>
                <c:pt idx="690" formatCode="m/d/yyyy">
                  <c:v>42296</c:v>
                </c:pt>
                <c:pt idx="691" formatCode="m/d/yyyy">
                  <c:v>42297</c:v>
                </c:pt>
                <c:pt idx="692" formatCode="m/d/yyyy">
                  <c:v>42298</c:v>
                </c:pt>
                <c:pt idx="693" formatCode="m/d/yyyy">
                  <c:v>42299</c:v>
                </c:pt>
                <c:pt idx="694" formatCode="m/d/yyyy">
                  <c:v>42300</c:v>
                </c:pt>
                <c:pt idx="695" formatCode="m/d/yyyy">
                  <c:v>42303</c:v>
                </c:pt>
                <c:pt idx="696" formatCode="m/d/yyyy">
                  <c:v>42304</c:v>
                </c:pt>
                <c:pt idx="697" formatCode="m/d/yyyy">
                  <c:v>42305</c:v>
                </c:pt>
                <c:pt idx="698" formatCode="m/d/yyyy">
                  <c:v>42306</c:v>
                </c:pt>
                <c:pt idx="699" formatCode="m/d/yyyy">
                  <c:v>42307</c:v>
                </c:pt>
                <c:pt idx="700" formatCode="yyyy/m/\ \ d">
                  <c:v>42310</c:v>
                </c:pt>
                <c:pt idx="701" formatCode="yyyy/m/\ \ d">
                  <c:v>42311</c:v>
                </c:pt>
                <c:pt idx="702" formatCode="yyyy/m/\ \ d">
                  <c:v>42312</c:v>
                </c:pt>
                <c:pt idx="703" formatCode="yyyy/m/\ \ d">
                  <c:v>42313</c:v>
                </c:pt>
                <c:pt idx="704" formatCode="yyyy/m/\ \ d">
                  <c:v>42314</c:v>
                </c:pt>
                <c:pt idx="705" formatCode="yyyy/m/\ \ d">
                  <c:v>42317</c:v>
                </c:pt>
                <c:pt idx="706" formatCode="m/d/yyyy">
                  <c:v>42318</c:v>
                </c:pt>
                <c:pt idx="707" formatCode="m/d/yyyy">
                  <c:v>42319</c:v>
                </c:pt>
                <c:pt idx="708" formatCode="m/d/yyyy">
                  <c:v>42320</c:v>
                </c:pt>
                <c:pt idx="709" formatCode="m/d/yyyy">
                  <c:v>42321</c:v>
                </c:pt>
                <c:pt idx="710" formatCode="m/d/yyyy">
                  <c:v>42324</c:v>
                </c:pt>
                <c:pt idx="711" formatCode="m/d/yyyy">
                  <c:v>42325</c:v>
                </c:pt>
                <c:pt idx="712" formatCode="m/d/yyyy">
                  <c:v>42326</c:v>
                </c:pt>
                <c:pt idx="713" formatCode="m/d/yyyy">
                  <c:v>42327</c:v>
                </c:pt>
                <c:pt idx="714" formatCode="m/d/yyyy">
                  <c:v>42328</c:v>
                </c:pt>
                <c:pt idx="715" formatCode="m/d/yyyy">
                  <c:v>42331</c:v>
                </c:pt>
                <c:pt idx="716" formatCode="m/d/yyyy">
                  <c:v>42332</c:v>
                </c:pt>
                <c:pt idx="717" formatCode="m/d/yyyy">
                  <c:v>42333</c:v>
                </c:pt>
                <c:pt idx="718" formatCode="m/d/yyyy">
                  <c:v>42334</c:v>
                </c:pt>
                <c:pt idx="719" formatCode="m/d/yyyy">
                  <c:v>42335</c:v>
                </c:pt>
                <c:pt idx="720" formatCode="m/d/yyyy">
                  <c:v>42338</c:v>
                </c:pt>
                <c:pt idx="721" formatCode="yyyy/m/\ \ d">
                  <c:v>42339</c:v>
                </c:pt>
                <c:pt idx="722" formatCode="yyyy/m/\ \ d">
                  <c:v>42340</c:v>
                </c:pt>
                <c:pt idx="723" formatCode="yyyy/m/\ \ d">
                  <c:v>42341</c:v>
                </c:pt>
                <c:pt idx="724" formatCode="yyyy/m/\ \ d">
                  <c:v>42342</c:v>
                </c:pt>
                <c:pt idx="725" formatCode="yyyy/m/\ \ d">
                  <c:v>42345</c:v>
                </c:pt>
                <c:pt idx="726" formatCode="yyyy/m/\ \ d">
                  <c:v>42346</c:v>
                </c:pt>
                <c:pt idx="727" formatCode="yyyy/m/\ \ d">
                  <c:v>42347</c:v>
                </c:pt>
                <c:pt idx="728" formatCode="m/d/yyyy">
                  <c:v>42348</c:v>
                </c:pt>
                <c:pt idx="729" formatCode="m/d/yyyy">
                  <c:v>42349</c:v>
                </c:pt>
                <c:pt idx="730" formatCode="m/d/yyyy">
                  <c:v>42352</c:v>
                </c:pt>
                <c:pt idx="731" formatCode="m/d/yyyy">
                  <c:v>42353</c:v>
                </c:pt>
                <c:pt idx="732" formatCode="m/d/yyyy">
                  <c:v>42354</c:v>
                </c:pt>
                <c:pt idx="733" formatCode="m/d/yyyy">
                  <c:v>42355</c:v>
                </c:pt>
                <c:pt idx="734" formatCode="m/d/yyyy">
                  <c:v>42356</c:v>
                </c:pt>
                <c:pt idx="735" formatCode="m/d/yyyy">
                  <c:v>42359</c:v>
                </c:pt>
                <c:pt idx="736" formatCode="m/d/yyyy">
                  <c:v>42360</c:v>
                </c:pt>
                <c:pt idx="737" formatCode="m/d/yyyy">
                  <c:v>42361</c:v>
                </c:pt>
                <c:pt idx="738" formatCode="m/d/yyyy">
                  <c:v>42362</c:v>
                </c:pt>
                <c:pt idx="739" formatCode="m/d/yyyy">
                  <c:v>42363</c:v>
                </c:pt>
              </c:numCache>
            </c:numRef>
          </c:cat>
          <c:val>
            <c:numRef>
              <c:f>[新台幣匯率走勢.xls]匯率!$C$2768:$C$3507</c:f>
              <c:numCache>
                <c:formatCode>#,##0.000\ \ \ </c:formatCode>
                <c:ptCount val="740"/>
                <c:pt idx="0">
                  <c:v>29.09</c:v>
                </c:pt>
                <c:pt idx="1">
                  <c:v>29.091000000000001</c:v>
                </c:pt>
                <c:pt idx="2">
                  <c:v>29.125</c:v>
                </c:pt>
                <c:pt idx="3">
                  <c:v>29.125</c:v>
                </c:pt>
                <c:pt idx="4">
                  <c:v>29.127000000000002</c:v>
                </c:pt>
                <c:pt idx="5">
                  <c:v>29.11</c:v>
                </c:pt>
                <c:pt idx="6">
                  <c:v>29.087999999999997</c:v>
                </c:pt>
                <c:pt idx="7">
                  <c:v>29.039000000000001</c:v>
                </c:pt>
                <c:pt idx="8">
                  <c:v>29.058</c:v>
                </c:pt>
                <c:pt idx="9">
                  <c:v>29.056000000000001</c:v>
                </c:pt>
                <c:pt idx="10">
                  <c:v>29.099</c:v>
                </c:pt>
                <c:pt idx="11">
                  <c:v>29.085000000000001</c:v>
                </c:pt>
                <c:pt idx="12">
                  <c:v>29.06</c:v>
                </c:pt>
                <c:pt idx="13">
                  <c:v>29.07</c:v>
                </c:pt>
                <c:pt idx="14">
                  <c:v>29.094999999999999</c:v>
                </c:pt>
                <c:pt idx="15">
                  <c:v>29.091999999999999</c:v>
                </c:pt>
                <c:pt idx="16">
                  <c:v>29.138000000000002</c:v>
                </c:pt>
                <c:pt idx="17">
                  <c:v>29.25</c:v>
                </c:pt>
                <c:pt idx="18">
                  <c:v>29.56</c:v>
                </c:pt>
                <c:pt idx="19">
                  <c:v>29.559000000000001</c:v>
                </c:pt>
                <c:pt idx="20">
                  <c:v>29.57</c:v>
                </c:pt>
                <c:pt idx="21">
                  <c:v>29.581999999999997</c:v>
                </c:pt>
                <c:pt idx="22">
                  <c:v>29.667999999999999</c:v>
                </c:pt>
                <c:pt idx="23">
                  <c:v>29.58</c:v>
                </c:pt>
                <c:pt idx="24">
                  <c:v>29.585000000000001</c:v>
                </c:pt>
                <c:pt idx="25">
                  <c:v>29.622</c:v>
                </c:pt>
                <c:pt idx="26">
                  <c:v>29.63</c:v>
                </c:pt>
                <c:pt idx="27">
                  <c:v>29.75</c:v>
                </c:pt>
                <c:pt idx="28">
                  <c:v>29.709</c:v>
                </c:pt>
                <c:pt idx="29">
                  <c:v>29.686</c:v>
                </c:pt>
                <c:pt idx="30">
                  <c:v>29.6</c:v>
                </c:pt>
                <c:pt idx="31">
                  <c:v>29.68</c:v>
                </c:pt>
                <c:pt idx="32">
                  <c:v>29.658000000000001</c:v>
                </c:pt>
                <c:pt idx="33">
                  <c:v>29.658000000000001</c:v>
                </c:pt>
                <c:pt idx="34">
                  <c:v>29.701999999999998</c:v>
                </c:pt>
                <c:pt idx="35">
                  <c:v>29.74</c:v>
                </c:pt>
                <c:pt idx="36">
                  <c:v>29.704999999999998</c:v>
                </c:pt>
                <c:pt idx="37">
                  <c:v>29.666</c:v>
                </c:pt>
                <c:pt idx="38">
                  <c:v>29.77</c:v>
                </c:pt>
                <c:pt idx="39">
                  <c:v>29.72</c:v>
                </c:pt>
                <c:pt idx="40">
                  <c:v>29.67</c:v>
                </c:pt>
                <c:pt idx="41">
                  <c:v>29.695</c:v>
                </c:pt>
                <c:pt idx="42">
                  <c:v>29.718</c:v>
                </c:pt>
                <c:pt idx="43">
                  <c:v>29.74</c:v>
                </c:pt>
                <c:pt idx="44">
                  <c:v>29.73</c:v>
                </c:pt>
                <c:pt idx="45">
                  <c:v>29.734999999999999</c:v>
                </c:pt>
                <c:pt idx="46">
                  <c:v>29.8</c:v>
                </c:pt>
                <c:pt idx="47">
                  <c:v>29.762</c:v>
                </c:pt>
                <c:pt idx="48">
                  <c:v>29.815000000000001</c:v>
                </c:pt>
                <c:pt idx="49">
                  <c:v>29.801000000000002</c:v>
                </c:pt>
                <c:pt idx="50">
                  <c:v>29.844999999999999</c:v>
                </c:pt>
                <c:pt idx="51">
                  <c:v>29.853000000000002</c:v>
                </c:pt>
                <c:pt idx="52">
                  <c:v>29.908999999999999</c:v>
                </c:pt>
                <c:pt idx="53">
                  <c:v>29.888999999999999</c:v>
                </c:pt>
                <c:pt idx="54">
                  <c:v>29.891000000000002</c:v>
                </c:pt>
                <c:pt idx="55">
                  <c:v>29.940999999999999</c:v>
                </c:pt>
                <c:pt idx="56">
                  <c:v>29.94</c:v>
                </c:pt>
                <c:pt idx="57">
                  <c:v>29.875</c:v>
                </c:pt>
                <c:pt idx="58">
                  <c:v>29.928000000000001</c:v>
                </c:pt>
                <c:pt idx="59">
                  <c:v>29.92</c:v>
                </c:pt>
                <c:pt idx="60">
                  <c:v>29.925000000000001</c:v>
                </c:pt>
                <c:pt idx="61">
                  <c:v>30.06</c:v>
                </c:pt>
                <c:pt idx="62">
                  <c:v>30.05</c:v>
                </c:pt>
                <c:pt idx="63">
                  <c:v>29.998000000000001</c:v>
                </c:pt>
                <c:pt idx="64">
                  <c:v>29.98</c:v>
                </c:pt>
                <c:pt idx="65">
                  <c:v>29.995000000000001</c:v>
                </c:pt>
                <c:pt idx="66">
                  <c:v>29.927</c:v>
                </c:pt>
                <c:pt idx="67">
                  <c:v>29.928000000000001</c:v>
                </c:pt>
                <c:pt idx="68">
                  <c:v>29.9</c:v>
                </c:pt>
                <c:pt idx="69">
                  <c:v>29.91</c:v>
                </c:pt>
                <c:pt idx="70">
                  <c:v>29.84</c:v>
                </c:pt>
                <c:pt idx="71">
                  <c:v>29.87</c:v>
                </c:pt>
                <c:pt idx="72">
                  <c:v>29.872</c:v>
                </c:pt>
                <c:pt idx="73">
                  <c:v>29.832000000000001</c:v>
                </c:pt>
                <c:pt idx="74">
                  <c:v>29.75</c:v>
                </c:pt>
                <c:pt idx="75">
                  <c:v>29.704999999999998</c:v>
                </c:pt>
                <c:pt idx="76">
                  <c:v>29.606000000000002</c:v>
                </c:pt>
                <c:pt idx="77">
                  <c:v>29.616</c:v>
                </c:pt>
                <c:pt idx="78">
                  <c:v>29.635999999999999</c:v>
                </c:pt>
                <c:pt idx="79">
                  <c:v>29.61</c:v>
                </c:pt>
                <c:pt idx="80">
                  <c:v>29.626000000000001</c:v>
                </c:pt>
                <c:pt idx="81">
                  <c:v>29.59</c:v>
                </c:pt>
                <c:pt idx="82">
                  <c:v>29.5</c:v>
                </c:pt>
                <c:pt idx="83">
                  <c:v>29.51</c:v>
                </c:pt>
                <c:pt idx="84">
                  <c:v>29.8</c:v>
                </c:pt>
                <c:pt idx="85">
                  <c:v>29.92</c:v>
                </c:pt>
                <c:pt idx="86">
                  <c:v>29.906000000000002</c:v>
                </c:pt>
                <c:pt idx="87">
                  <c:v>30.028000000000002</c:v>
                </c:pt>
                <c:pt idx="88">
                  <c:v>30.05</c:v>
                </c:pt>
                <c:pt idx="89">
                  <c:v>30.06</c:v>
                </c:pt>
                <c:pt idx="90">
                  <c:v>30.03</c:v>
                </c:pt>
                <c:pt idx="91">
                  <c:v>29.942</c:v>
                </c:pt>
                <c:pt idx="92">
                  <c:v>29.96</c:v>
                </c:pt>
                <c:pt idx="93">
                  <c:v>30.024999999999999</c:v>
                </c:pt>
                <c:pt idx="94">
                  <c:v>30.03</c:v>
                </c:pt>
                <c:pt idx="95">
                  <c:v>29.971</c:v>
                </c:pt>
                <c:pt idx="96">
                  <c:v>30.057000000000002</c:v>
                </c:pt>
                <c:pt idx="97">
                  <c:v>30.12</c:v>
                </c:pt>
                <c:pt idx="98">
                  <c:v>30.125</c:v>
                </c:pt>
                <c:pt idx="99">
                  <c:v>30.06</c:v>
                </c:pt>
                <c:pt idx="100">
                  <c:v>30.07</c:v>
                </c:pt>
                <c:pt idx="101">
                  <c:v>30.02</c:v>
                </c:pt>
                <c:pt idx="102">
                  <c:v>29.91</c:v>
                </c:pt>
                <c:pt idx="103">
                  <c:v>29.914999999999999</c:v>
                </c:pt>
                <c:pt idx="104">
                  <c:v>29.871000000000002</c:v>
                </c:pt>
                <c:pt idx="105">
                  <c:v>30.065999999999999</c:v>
                </c:pt>
                <c:pt idx="106">
                  <c:v>30.16</c:v>
                </c:pt>
                <c:pt idx="107">
                  <c:v>30.161999999999999</c:v>
                </c:pt>
                <c:pt idx="108">
                  <c:v>29.97</c:v>
                </c:pt>
                <c:pt idx="109">
                  <c:v>29.972000000000001</c:v>
                </c:pt>
                <c:pt idx="110">
                  <c:v>30.001999999999999</c:v>
                </c:pt>
                <c:pt idx="111">
                  <c:v>29.96</c:v>
                </c:pt>
                <c:pt idx="112">
                  <c:v>30.16</c:v>
                </c:pt>
                <c:pt idx="113">
                  <c:v>30.28</c:v>
                </c:pt>
                <c:pt idx="114">
                  <c:v>30.35</c:v>
                </c:pt>
                <c:pt idx="115">
                  <c:v>30.26</c:v>
                </c:pt>
                <c:pt idx="116">
                  <c:v>30.25</c:v>
                </c:pt>
                <c:pt idx="117">
                  <c:v>30.190999999999999</c:v>
                </c:pt>
                <c:pt idx="118">
                  <c:v>30.12</c:v>
                </c:pt>
                <c:pt idx="119">
                  <c:v>30.114999999999998</c:v>
                </c:pt>
                <c:pt idx="120">
                  <c:v>30.12</c:v>
                </c:pt>
                <c:pt idx="121">
                  <c:v>30.302</c:v>
                </c:pt>
                <c:pt idx="122">
                  <c:v>30.199000000000002</c:v>
                </c:pt>
                <c:pt idx="123">
                  <c:v>30.218</c:v>
                </c:pt>
                <c:pt idx="124">
                  <c:v>30.342000000000002</c:v>
                </c:pt>
                <c:pt idx="125">
                  <c:v>30.12</c:v>
                </c:pt>
                <c:pt idx="126">
                  <c:v>30.085000000000001</c:v>
                </c:pt>
                <c:pt idx="127">
                  <c:v>29.952000000000002</c:v>
                </c:pt>
                <c:pt idx="128">
                  <c:v>29.932000000000002</c:v>
                </c:pt>
                <c:pt idx="129">
                  <c:v>29.952000000000002</c:v>
                </c:pt>
                <c:pt idx="130">
                  <c:v>29.878</c:v>
                </c:pt>
                <c:pt idx="131">
                  <c:v>29.925000000000001</c:v>
                </c:pt>
                <c:pt idx="132">
                  <c:v>30.024999999999999</c:v>
                </c:pt>
                <c:pt idx="133">
                  <c:v>29.978000000000002</c:v>
                </c:pt>
                <c:pt idx="134">
                  <c:v>29.934999999999999</c:v>
                </c:pt>
                <c:pt idx="135">
                  <c:v>29.92</c:v>
                </c:pt>
                <c:pt idx="136">
                  <c:v>29.942</c:v>
                </c:pt>
                <c:pt idx="137">
                  <c:v>29.978000000000002</c:v>
                </c:pt>
                <c:pt idx="138">
                  <c:v>29.95</c:v>
                </c:pt>
                <c:pt idx="139">
                  <c:v>29.96</c:v>
                </c:pt>
                <c:pt idx="140">
                  <c:v>30.004999999999999</c:v>
                </c:pt>
                <c:pt idx="141">
                  <c:v>30.12</c:v>
                </c:pt>
                <c:pt idx="142">
                  <c:v>30.125</c:v>
                </c:pt>
                <c:pt idx="143">
                  <c:v>30.129000000000001</c:v>
                </c:pt>
                <c:pt idx="144">
                  <c:v>29.95</c:v>
                </c:pt>
                <c:pt idx="145">
                  <c:v>29.995000000000001</c:v>
                </c:pt>
                <c:pt idx="146">
                  <c:v>30.024999999999999</c:v>
                </c:pt>
                <c:pt idx="147">
                  <c:v>29.96</c:v>
                </c:pt>
                <c:pt idx="148">
                  <c:v>29.954999999999998</c:v>
                </c:pt>
                <c:pt idx="149">
                  <c:v>29.98</c:v>
                </c:pt>
                <c:pt idx="150">
                  <c:v>30.001999999999999</c:v>
                </c:pt>
                <c:pt idx="151">
                  <c:v>30.032</c:v>
                </c:pt>
                <c:pt idx="152">
                  <c:v>30.035</c:v>
                </c:pt>
                <c:pt idx="153">
                  <c:v>30.001999999999999</c:v>
                </c:pt>
                <c:pt idx="154">
                  <c:v>30.032</c:v>
                </c:pt>
                <c:pt idx="155">
                  <c:v>30.092000000000002</c:v>
                </c:pt>
                <c:pt idx="156">
                  <c:v>30.126999999999999</c:v>
                </c:pt>
                <c:pt idx="157">
                  <c:v>30.053000000000001</c:v>
                </c:pt>
                <c:pt idx="158">
                  <c:v>30.015000000000001</c:v>
                </c:pt>
                <c:pt idx="159">
                  <c:v>30.06</c:v>
                </c:pt>
                <c:pt idx="160">
                  <c:v>30.05</c:v>
                </c:pt>
                <c:pt idx="161">
                  <c:v>30.012</c:v>
                </c:pt>
                <c:pt idx="162">
                  <c:v>29.983000000000001</c:v>
                </c:pt>
                <c:pt idx="163">
                  <c:v>29.9</c:v>
                </c:pt>
                <c:pt idx="164">
                  <c:v>29.92</c:v>
                </c:pt>
                <c:pt idx="165">
                  <c:v>29.885000000000002</c:v>
                </c:pt>
                <c:pt idx="166">
                  <c:v>29.984999999999999</c:v>
                </c:pt>
                <c:pt idx="167">
                  <c:v>29.9</c:v>
                </c:pt>
                <c:pt idx="168">
                  <c:v>29.824999999999999</c:v>
                </c:pt>
                <c:pt idx="169">
                  <c:v>29.76</c:v>
                </c:pt>
                <c:pt idx="170">
                  <c:v>29.827999999999999</c:v>
                </c:pt>
                <c:pt idx="171">
                  <c:v>29.783000000000001</c:v>
                </c:pt>
                <c:pt idx="172">
                  <c:v>29.842000000000002</c:v>
                </c:pt>
                <c:pt idx="173">
                  <c:v>29.842000000000002</c:v>
                </c:pt>
                <c:pt idx="174">
                  <c:v>29.721</c:v>
                </c:pt>
                <c:pt idx="175">
                  <c:v>29.76</c:v>
                </c:pt>
                <c:pt idx="176">
                  <c:v>29.751999999999999</c:v>
                </c:pt>
                <c:pt idx="177">
                  <c:v>29.629000000000001</c:v>
                </c:pt>
                <c:pt idx="178">
                  <c:v>29.632000000000001</c:v>
                </c:pt>
                <c:pt idx="179">
                  <c:v>29.69</c:v>
                </c:pt>
                <c:pt idx="180">
                  <c:v>29.673000000000002</c:v>
                </c:pt>
                <c:pt idx="181">
                  <c:v>29.656000000000002</c:v>
                </c:pt>
                <c:pt idx="182">
                  <c:v>29.67</c:v>
                </c:pt>
                <c:pt idx="183">
                  <c:v>29.614999999999998</c:v>
                </c:pt>
                <c:pt idx="184">
                  <c:v>29.61</c:v>
                </c:pt>
                <c:pt idx="185">
                  <c:v>29.532</c:v>
                </c:pt>
                <c:pt idx="186">
                  <c:v>29.501999999999999</c:v>
                </c:pt>
                <c:pt idx="187">
                  <c:v>29.536000000000001</c:v>
                </c:pt>
                <c:pt idx="188">
                  <c:v>29.542000000000002</c:v>
                </c:pt>
                <c:pt idx="189">
                  <c:v>29.548000000000002</c:v>
                </c:pt>
                <c:pt idx="190">
                  <c:v>29.49</c:v>
                </c:pt>
                <c:pt idx="191">
                  <c:v>29.495000000000001</c:v>
                </c:pt>
                <c:pt idx="192">
                  <c:v>29.445</c:v>
                </c:pt>
                <c:pt idx="193">
                  <c:v>29.46</c:v>
                </c:pt>
                <c:pt idx="194">
                  <c:v>29.452000000000002</c:v>
                </c:pt>
                <c:pt idx="195">
                  <c:v>29.446000000000002</c:v>
                </c:pt>
                <c:pt idx="196">
                  <c:v>29.481999999999999</c:v>
                </c:pt>
                <c:pt idx="197">
                  <c:v>29.466000000000001</c:v>
                </c:pt>
                <c:pt idx="198">
                  <c:v>29.425000000000001</c:v>
                </c:pt>
                <c:pt idx="199">
                  <c:v>29.452000000000002</c:v>
                </c:pt>
                <c:pt idx="200">
                  <c:v>29.454999999999998</c:v>
                </c:pt>
                <c:pt idx="201">
                  <c:v>29.46</c:v>
                </c:pt>
                <c:pt idx="202">
                  <c:v>29.472000000000001</c:v>
                </c:pt>
                <c:pt idx="203">
                  <c:v>29.475000000000001</c:v>
                </c:pt>
                <c:pt idx="204">
                  <c:v>29.454999999999998</c:v>
                </c:pt>
                <c:pt idx="205">
                  <c:v>29.47</c:v>
                </c:pt>
                <c:pt idx="206">
                  <c:v>29.506</c:v>
                </c:pt>
                <c:pt idx="207">
                  <c:v>29.466000000000001</c:v>
                </c:pt>
                <c:pt idx="208">
                  <c:v>29.48</c:v>
                </c:pt>
                <c:pt idx="209">
                  <c:v>29.484999999999999</c:v>
                </c:pt>
                <c:pt idx="210">
                  <c:v>29.504999999999999</c:v>
                </c:pt>
                <c:pt idx="211">
                  <c:v>29.625</c:v>
                </c:pt>
                <c:pt idx="212">
                  <c:v>29.635999999999999</c:v>
                </c:pt>
                <c:pt idx="213">
                  <c:v>29.65</c:v>
                </c:pt>
                <c:pt idx="214">
                  <c:v>29.606000000000002</c:v>
                </c:pt>
                <c:pt idx="215">
                  <c:v>29.62</c:v>
                </c:pt>
                <c:pt idx="216">
                  <c:v>29.58</c:v>
                </c:pt>
                <c:pt idx="217">
                  <c:v>29.532</c:v>
                </c:pt>
                <c:pt idx="218">
                  <c:v>29.571999999999999</c:v>
                </c:pt>
                <c:pt idx="219">
                  <c:v>29.635999999999999</c:v>
                </c:pt>
                <c:pt idx="220">
                  <c:v>29.645</c:v>
                </c:pt>
                <c:pt idx="221">
                  <c:v>29.675000000000001</c:v>
                </c:pt>
                <c:pt idx="222">
                  <c:v>29.652000000000001</c:v>
                </c:pt>
                <c:pt idx="223">
                  <c:v>29.672000000000001</c:v>
                </c:pt>
                <c:pt idx="224">
                  <c:v>29.68</c:v>
                </c:pt>
                <c:pt idx="225">
                  <c:v>29.679000000000002</c:v>
                </c:pt>
                <c:pt idx="226">
                  <c:v>29.635999999999999</c:v>
                </c:pt>
                <c:pt idx="227">
                  <c:v>29.702000000000002</c:v>
                </c:pt>
                <c:pt idx="228">
                  <c:v>29.692</c:v>
                </c:pt>
                <c:pt idx="229">
                  <c:v>29.69</c:v>
                </c:pt>
                <c:pt idx="230">
                  <c:v>29.664999999999999</c:v>
                </c:pt>
                <c:pt idx="231">
                  <c:v>29.63</c:v>
                </c:pt>
                <c:pt idx="232">
                  <c:v>29.635000000000002</c:v>
                </c:pt>
                <c:pt idx="233">
                  <c:v>29.64</c:v>
                </c:pt>
                <c:pt idx="234">
                  <c:v>29.66</c:v>
                </c:pt>
                <c:pt idx="235">
                  <c:v>29.689</c:v>
                </c:pt>
                <c:pt idx="236">
                  <c:v>29.706</c:v>
                </c:pt>
                <c:pt idx="237">
                  <c:v>29.716000000000001</c:v>
                </c:pt>
                <c:pt idx="238">
                  <c:v>29.745000000000001</c:v>
                </c:pt>
                <c:pt idx="239">
                  <c:v>29.945</c:v>
                </c:pt>
                <c:pt idx="240">
                  <c:v>29.98</c:v>
                </c:pt>
                <c:pt idx="241">
                  <c:v>30.009</c:v>
                </c:pt>
                <c:pt idx="242">
                  <c:v>30.039000000000001</c:v>
                </c:pt>
                <c:pt idx="243">
                  <c:v>30.047000000000001</c:v>
                </c:pt>
                <c:pt idx="244">
                  <c:v>30.06</c:v>
                </c:pt>
                <c:pt idx="245">
                  <c:v>30.024999999999999</c:v>
                </c:pt>
                <c:pt idx="246">
                  <c:v>30.03</c:v>
                </c:pt>
                <c:pt idx="247">
                  <c:v>29.95</c:v>
                </c:pt>
                <c:pt idx="248">
                  <c:v>29.978999999999999</c:v>
                </c:pt>
                <c:pt idx="249">
                  <c:v>30.039000000000001</c:v>
                </c:pt>
                <c:pt idx="250">
                  <c:v>30.234999999999999</c:v>
                </c:pt>
                <c:pt idx="251">
                  <c:v>30.315000000000001</c:v>
                </c:pt>
                <c:pt idx="252">
                  <c:v>30.24</c:v>
                </c:pt>
                <c:pt idx="253">
                  <c:v>30.251999999999999</c:v>
                </c:pt>
                <c:pt idx="254">
                  <c:v>30.212</c:v>
                </c:pt>
                <c:pt idx="255">
                  <c:v>30.112000000000002</c:v>
                </c:pt>
                <c:pt idx="256">
                  <c:v>30.158999999999999</c:v>
                </c:pt>
                <c:pt idx="257">
                  <c:v>30.236000000000001</c:v>
                </c:pt>
                <c:pt idx="258">
                  <c:v>30.256</c:v>
                </c:pt>
                <c:pt idx="259">
                  <c:v>30.221</c:v>
                </c:pt>
                <c:pt idx="260">
                  <c:v>30.256</c:v>
                </c:pt>
                <c:pt idx="261">
                  <c:v>30.29</c:v>
                </c:pt>
                <c:pt idx="262">
                  <c:v>30.32</c:v>
                </c:pt>
                <c:pt idx="263">
                  <c:v>30.41</c:v>
                </c:pt>
                <c:pt idx="264">
                  <c:v>30.42</c:v>
                </c:pt>
                <c:pt idx="265">
                  <c:v>30.510999999999999</c:v>
                </c:pt>
                <c:pt idx="266">
                  <c:v>30.451000000000001</c:v>
                </c:pt>
                <c:pt idx="267">
                  <c:v>30.376000000000001</c:v>
                </c:pt>
                <c:pt idx="268">
                  <c:v>30.42</c:v>
                </c:pt>
                <c:pt idx="269">
                  <c:v>30.429000000000002</c:v>
                </c:pt>
                <c:pt idx="270">
                  <c:v>30.406000000000002</c:v>
                </c:pt>
                <c:pt idx="271">
                  <c:v>30.38</c:v>
                </c:pt>
                <c:pt idx="272">
                  <c:v>30.406000000000002</c:v>
                </c:pt>
                <c:pt idx="273">
                  <c:v>30.346</c:v>
                </c:pt>
                <c:pt idx="274">
                  <c:v>30.408000000000001</c:v>
                </c:pt>
                <c:pt idx="275">
                  <c:v>30.347000000000001</c:v>
                </c:pt>
                <c:pt idx="276">
                  <c:v>30.285</c:v>
                </c:pt>
                <c:pt idx="277">
                  <c:v>30.339000000000002</c:v>
                </c:pt>
                <c:pt idx="278">
                  <c:v>30.332000000000001</c:v>
                </c:pt>
                <c:pt idx="279">
                  <c:v>30.391999999999999</c:v>
                </c:pt>
                <c:pt idx="280">
                  <c:v>30.395</c:v>
                </c:pt>
                <c:pt idx="281">
                  <c:v>30.425000000000001</c:v>
                </c:pt>
                <c:pt idx="282">
                  <c:v>30.402000000000001</c:v>
                </c:pt>
                <c:pt idx="283">
                  <c:v>30.35</c:v>
                </c:pt>
                <c:pt idx="284">
                  <c:v>30.355</c:v>
                </c:pt>
                <c:pt idx="285">
                  <c:v>30.369</c:v>
                </c:pt>
                <c:pt idx="286">
                  <c:v>30.38</c:v>
                </c:pt>
                <c:pt idx="287">
                  <c:v>30.352</c:v>
                </c:pt>
                <c:pt idx="288">
                  <c:v>30.323</c:v>
                </c:pt>
                <c:pt idx="289">
                  <c:v>30.302</c:v>
                </c:pt>
                <c:pt idx="290">
                  <c:v>30.324999999999999</c:v>
                </c:pt>
                <c:pt idx="291">
                  <c:v>30.305</c:v>
                </c:pt>
                <c:pt idx="292">
                  <c:v>30.375</c:v>
                </c:pt>
                <c:pt idx="293">
                  <c:v>30.352</c:v>
                </c:pt>
                <c:pt idx="294">
                  <c:v>30.381</c:v>
                </c:pt>
                <c:pt idx="295">
                  <c:v>30.352</c:v>
                </c:pt>
                <c:pt idx="296">
                  <c:v>30.385999999999999</c:v>
                </c:pt>
                <c:pt idx="297">
                  <c:v>30.437000000000001</c:v>
                </c:pt>
                <c:pt idx="298">
                  <c:v>30.588999999999999</c:v>
                </c:pt>
                <c:pt idx="299">
                  <c:v>30.652000000000001</c:v>
                </c:pt>
                <c:pt idx="300">
                  <c:v>30.622</c:v>
                </c:pt>
                <c:pt idx="301">
                  <c:v>30.619</c:v>
                </c:pt>
                <c:pt idx="302">
                  <c:v>30.605</c:v>
                </c:pt>
                <c:pt idx="303">
                  <c:v>30.582000000000001</c:v>
                </c:pt>
                <c:pt idx="304">
                  <c:v>30.552</c:v>
                </c:pt>
                <c:pt idx="305">
                  <c:v>30.51</c:v>
                </c:pt>
                <c:pt idx="306">
                  <c:v>30.434999999999999</c:v>
                </c:pt>
                <c:pt idx="307">
                  <c:v>30.375</c:v>
                </c:pt>
                <c:pt idx="308">
                  <c:v>30.38</c:v>
                </c:pt>
                <c:pt idx="309">
                  <c:v>30.32</c:v>
                </c:pt>
                <c:pt idx="310">
                  <c:v>30.27</c:v>
                </c:pt>
                <c:pt idx="311">
                  <c:v>30.161999999999999</c:v>
                </c:pt>
                <c:pt idx="312">
                  <c:v>30.13</c:v>
                </c:pt>
                <c:pt idx="313">
                  <c:v>30.132000000000001</c:v>
                </c:pt>
                <c:pt idx="314">
                  <c:v>30.233000000000001</c:v>
                </c:pt>
                <c:pt idx="315">
                  <c:v>30.234999999999999</c:v>
                </c:pt>
                <c:pt idx="316">
                  <c:v>30.201000000000001</c:v>
                </c:pt>
                <c:pt idx="317">
                  <c:v>30.221</c:v>
                </c:pt>
                <c:pt idx="318">
                  <c:v>30.23</c:v>
                </c:pt>
                <c:pt idx="319">
                  <c:v>30.268000000000001</c:v>
                </c:pt>
                <c:pt idx="320">
                  <c:v>30.303000000000001</c:v>
                </c:pt>
                <c:pt idx="321">
                  <c:v>30.326000000000001</c:v>
                </c:pt>
                <c:pt idx="322">
                  <c:v>30.306000000000001</c:v>
                </c:pt>
                <c:pt idx="323">
                  <c:v>30.32</c:v>
                </c:pt>
                <c:pt idx="324">
                  <c:v>30.285</c:v>
                </c:pt>
                <c:pt idx="325">
                  <c:v>30.25</c:v>
                </c:pt>
                <c:pt idx="326">
                  <c:v>30.257999999999999</c:v>
                </c:pt>
                <c:pt idx="327">
                  <c:v>30.212</c:v>
                </c:pt>
                <c:pt idx="328">
                  <c:v>30.170999999999999</c:v>
                </c:pt>
                <c:pt idx="329">
                  <c:v>30.176000000000002</c:v>
                </c:pt>
                <c:pt idx="330">
                  <c:v>30.164999999999999</c:v>
                </c:pt>
                <c:pt idx="331">
                  <c:v>30.167000000000002</c:v>
                </c:pt>
                <c:pt idx="332">
                  <c:v>30.175000000000001</c:v>
                </c:pt>
                <c:pt idx="333">
                  <c:v>30.192</c:v>
                </c:pt>
                <c:pt idx="334">
                  <c:v>30.212</c:v>
                </c:pt>
                <c:pt idx="335">
                  <c:v>30.22</c:v>
                </c:pt>
                <c:pt idx="336">
                  <c:v>30.202999999999999</c:v>
                </c:pt>
                <c:pt idx="337">
                  <c:v>30.208000000000002</c:v>
                </c:pt>
                <c:pt idx="338">
                  <c:v>30.184999999999999</c:v>
                </c:pt>
                <c:pt idx="339">
                  <c:v>30.202000000000002</c:v>
                </c:pt>
                <c:pt idx="340">
                  <c:v>30.216000000000001</c:v>
                </c:pt>
                <c:pt idx="341">
                  <c:v>30.178000000000001</c:v>
                </c:pt>
                <c:pt idx="342">
                  <c:v>30.18</c:v>
                </c:pt>
                <c:pt idx="343">
                  <c:v>30.16</c:v>
                </c:pt>
                <c:pt idx="344">
                  <c:v>30.170999999999999</c:v>
                </c:pt>
                <c:pt idx="345">
                  <c:v>30.151</c:v>
                </c:pt>
                <c:pt idx="346">
                  <c:v>30.128</c:v>
                </c:pt>
                <c:pt idx="347">
                  <c:v>30.05</c:v>
                </c:pt>
                <c:pt idx="348">
                  <c:v>30.064</c:v>
                </c:pt>
                <c:pt idx="349">
                  <c:v>30.102</c:v>
                </c:pt>
                <c:pt idx="350">
                  <c:v>30.088000000000001</c:v>
                </c:pt>
                <c:pt idx="351">
                  <c:v>30.08</c:v>
                </c:pt>
                <c:pt idx="352">
                  <c:v>30.048000000000002</c:v>
                </c:pt>
                <c:pt idx="353">
                  <c:v>30.05</c:v>
                </c:pt>
                <c:pt idx="354">
                  <c:v>30.039000000000001</c:v>
                </c:pt>
                <c:pt idx="355">
                  <c:v>30.045000000000002</c:v>
                </c:pt>
                <c:pt idx="356">
                  <c:v>30.053000000000001</c:v>
                </c:pt>
                <c:pt idx="357">
                  <c:v>30.061</c:v>
                </c:pt>
                <c:pt idx="358">
                  <c:v>30.065999999999999</c:v>
                </c:pt>
                <c:pt idx="359">
                  <c:v>30.071000000000002</c:v>
                </c:pt>
                <c:pt idx="360">
                  <c:v>30.036000000000001</c:v>
                </c:pt>
                <c:pt idx="361">
                  <c:v>30.065000000000001</c:v>
                </c:pt>
                <c:pt idx="362">
                  <c:v>30.039000000000001</c:v>
                </c:pt>
                <c:pt idx="363">
                  <c:v>30.031000000000002</c:v>
                </c:pt>
                <c:pt idx="364">
                  <c:v>30.051000000000002</c:v>
                </c:pt>
                <c:pt idx="365">
                  <c:v>29.992000000000001</c:v>
                </c:pt>
                <c:pt idx="366">
                  <c:v>29.962</c:v>
                </c:pt>
                <c:pt idx="367">
                  <c:v>29.914999999999999</c:v>
                </c:pt>
                <c:pt idx="368">
                  <c:v>29.934999999999999</c:v>
                </c:pt>
                <c:pt idx="369">
                  <c:v>29.905000000000001</c:v>
                </c:pt>
                <c:pt idx="370">
                  <c:v>29.934999999999999</c:v>
                </c:pt>
                <c:pt idx="371">
                  <c:v>29.937000000000001</c:v>
                </c:pt>
                <c:pt idx="372">
                  <c:v>29.96</c:v>
                </c:pt>
                <c:pt idx="373">
                  <c:v>29.97</c:v>
                </c:pt>
                <c:pt idx="374">
                  <c:v>29.962</c:v>
                </c:pt>
                <c:pt idx="375">
                  <c:v>29.945</c:v>
                </c:pt>
                <c:pt idx="376">
                  <c:v>29.99</c:v>
                </c:pt>
                <c:pt idx="377">
                  <c:v>30.001000000000001</c:v>
                </c:pt>
                <c:pt idx="378">
                  <c:v>30.042000000000002</c:v>
                </c:pt>
                <c:pt idx="379">
                  <c:v>30.071999999999999</c:v>
                </c:pt>
                <c:pt idx="380">
                  <c:v>30.045999999999999</c:v>
                </c:pt>
                <c:pt idx="381">
                  <c:v>30.051000000000002</c:v>
                </c:pt>
                <c:pt idx="382">
                  <c:v>30.036999999999999</c:v>
                </c:pt>
                <c:pt idx="383">
                  <c:v>30.035</c:v>
                </c:pt>
                <c:pt idx="384">
                  <c:v>30.052</c:v>
                </c:pt>
                <c:pt idx="385">
                  <c:v>30.035</c:v>
                </c:pt>
                <c:pt idx="386">
                  <c:v>30.036999999999999</c:v>
                </c:pt>
                <c:pt idx="387">
                  <c:v>30.004999999999999</c:v>
                </c:pt>
                <c:pt idx="388">
                  <c:v>30.01</c:v>
                </c:pt>
                <c:pt idx="389">
                  <c:v>30.04</c:v>
                </c:pt>
                <c:pt idx="390">
                  <c:v>30.068999999999999</c:v>
                </c:pt>
                <c:pt idx="391">
                  <c:v>30.04</c:v>
                </c:pt>
                <c:pt idx="392">
                  <c:v>30.045000000000002</c:v>
                </c:pt>
                <c:pt idx="393">
                  <c:v>30.056000000000001</c:v>
                </c:pt>
                <c:pt idx="394">
                  <c:v>30.061</c:v>
                </c:pt>
                <c:pt idx="395">
                  <c:v>30.065999999999999</c:v>
                </c:pt>
                <c:pt idx="396">
                  <c:v>30.052</c:v>
                </c:pt>
                <c:pt idx="397">
                  <c:v>30.06</c:v>
                </c:pt>
                <c:pt idx="398">
                  <c:v>30.065000000000001</c:v>
                </c:pt>
                <c:pt idx="399">
                  <c:v>30.045000000000002</c:v>
                </c:pt>
                <c:pt idx="400">
                  <c:v>30.035</c:v>
                </c:pt>
                <c:pt idx="401">
                  <c:v>30.04</c:v>
                </c:pt>
                <c:pt idx="402">
                  <c:v>30.042000000000002</c:v>
                </c:pt>
                <c:pt idx="403">
                  <c:v>30.047000000000001</c:v>
                </c:pt>
                <c:pt idx="404">
                  <c:v>30.052</c:v>
                </c:pt>
                <c:pt idx="405">
                  <c:v>30.02</c:v>
                </c:pt>
                <c:pt idx="406">
                  <c:v>30.028000000000002</c:v>
                </c:pt>
                <c:pt idx="407">
                  <c:v>30.026</c:v>
                </c:pt>
                <c:pt idx="408">
                  <c:v>29.984999999999999</c:v>
                </c:pt>
                <c:pt idx="409">
                  <c:v>29.965</c:v>
                </c:pt>
                <c:pt idx="410">
                  <c:v>29.97</c:v>
                </c:pt>
                <c:pt idx="411">
                  <c:v>29.968</c:v>
                </c:pt>
                <c:pt idx="412">
                  <c:v>29.978000000000002</c:v>
                </c:pt>
                <c:pt idx="413">
                  <c:v>29.986000000000001</c:v>
                </c:pt>
                <c:pt idx="414">
                  <c:v>29.972000000000001</c:v>
                </c:pt>
                <c:pt idx="415">
                  <c:v>30.001999999999999</c:v>
                </c:pt>
                <c:pt idx="416">
                  <c:v>30.004999999999999</c:v>
                </c:pt>
                <c:pt idx="417">
                  <c:v>30.024999999999999</c:v>
                </c:pt>
                <c:pt idx="418">
                  <c:v>30.06</c:v>
                </c:pt>
                <c:pt idx="419">
                  <c:v>30.068000000000001</c:v>
                </c:pt>
                <c:pt idx="420">
                  <c:v>30.106000000000002</c:v>
                </c:pt>
                <c:pt idx="421">
                  <c:v>30.16</c:v>
                </c:pt>
                <c:pt idx="422">
                  <c:v>30.134</c:v>
                </c:pt>
                <c:pt idx="423">
                  <c:v>30.256</c:v>
                </c:pt>
                <c:pt idx="424">
                  <c:v>30.257999999999999</c:v>
                </c:pt>
                <c:pt idx="425">
                  <c:v>30.228999999999999</c:v>
                </c:pt>
                <c:pt idx="426">
                  <c:v>30.24</c:v>
                </c:pt>
                <c:pt idx="427">
                  <c:v>30.248000000000001</c:v>
                </c:pt>
                <c:pt idx="428">
                  <c:v>30.31</c:v>
                </c:pt>
                <c:pt idx="429">
                  <c:v>30.312000000000001</c:v>
                </c:pt>
                <c:pt idx="430">
                  <c:v>30.501999999999999</c:v>
                </c:pt>
                <c:pt idx="431">
                  <c:v>30.436</c:v>
                </c:pt>
                <c:pt idx="432">
                  <c:v>30.492000000000001</c:v>
                </c:pt>
                <c:pt idx="433">
                  <c:v>30.46</c:v>
                </c:pt>
                <c:pt idx="434">
                  <c:v>30.437000000000001</c:v>
                </c:pt>
                <c:pt idx="435">
                  <c:v>30.503</c:v>
                </c:pt>
                <c:pt idx="436">
                  <c:v>30.452999999999999</c:v>
                </c:pt>
                <c:pt idx="437">
                  <c:v>30.504999999999999</c:v>
                </c:pt>
                <c:pt idx="438">
                  <c:v>30.43</c:v>
                </c:pt>
                <c:pt idx="439">
                  <c:v>30.45</c:v>
                </c:pt>
                <c:pt idx="440">
                  <c:v>30.43</c:v>
                </c:pt>
                <c:pt idx="441">
                  <c:v>30.42</c:v>
                </c:pt>
                <c:pt idx="442">
                  <c:v>30.41</c:v>
                </c:pt>
                <c:pt idx="443">
                  <c:v>30.420999999999999</c:v>
                </c:pt>
                <c:pt idx="444">
                  <c:v>30.414999999999999</c:v>
                </c:pt>
                <c:pt idx="445">
                  <c:v>30.401</c:v>
                </c:pt>
                <c:pt idx="446">
                  <c:v>30.393000000000001</c:v>
                </c:pt>
                <c:pt idx="447">
                  <c:v>30.405000000000001</c:v>
                </c:pt>
                <c:pt idx="448">
                  <c:v>30.413</c:v>
                </c:pt>
                <c:pt idx="449">
                  <c:v>30.403000000000002</c:v>
                </c:pt>
                <c:pt idx="450">
                  <c:v>30.398</c:v>
                </c:pt>
                <c:pt idx="451">
                  <c:v>30.376000000000001</c:v>
                </c:pt>
                <c:pt idx="452">
                  <c:v>30.402000000000001</c:v>
                </c:pt>
                <c:pt idx="453">
                  <c:v>30.478000000000002</c:v>
                </c:pt>
                <c:pt idx="454">
                  <c:v>30.488</c:v>
                </c:pt>
                <c:pt idx="455">
                  <c:v>30.538</c:v>
                </c:pt>
                <c:pt idx="456">
                  <c:v>30.602</c:v>
                </c:pt>
                <c:pt idx="457">
                  <c:v>30.605</c:v>
                </c:pt>
                <c:pt idx="458">
                  <c:v>30.716000000000001</c:v>
                </c:pt>
                <c:pt idx="459">
                  <c:v>30.606000000000002</c:v>
                </c:pt>
                <c:pt idx="460">
                  <c:v>30.717000000000002</c:v>
                </c:pt>
                <c:pt idx="461">
                  <c:v>30.75</c:v>
                </c:pt>
                <c:pt idx="462">
                  <c:v>30.751999999999999</c:v>
                </c:pt>
                <c:pt idx="463">
                  <c:v>30.766000000000002</c:v>
                </c:pt>
                <c:pt idx="464">
                  <c:v>30.739000000000001</c:v>
                </c:pt>
                <c:pt idx="465">
                  <c:v>30.774999999999999</c:v>
                </c:pt>
                <c:pt idx="466">
                  <c:v>30.876000000000001</c:v>
                </c:pt>
                <c:pt idx="467">
                  <c:v>31.015000000000001</c:v>
                </c:pt>
                <c:pt idx="468">
                  <c:v>31.004999999999999</c:v>
                </c:pt>
                <c:pt idx="469">
                  <c:v>31.01</c:v>
                </c:pt>
                <c:pt idx="470">
                  <c:v>30.966000000000001</c:v>
                </c:pt>
                <c:pt idx="471">
                  <c:v>30.952000000000002</c:v>
                </c:pt>
                <c:pt idx="472">
                  <c:v>30.951000000000001</c:v>
                </c:pt>
                <c:pt idx="473">
                  <c:v>31.039000000000001</c:v>
                </c:pt>
                <c:pt idx="474">
                  <c:v>31.138999999999999</c:v>
                </c:pt>
                <c:pt idx="475">
                  <c:v>31.106000000000002</c:v>
                </c:pt>
                <c:pt idx="476">
                  <c:v>31.167000000000002</c:v>
                </c:pt>
                <c:pt idx="477">
                  <c:v>31.196999999999999</c:v>
                </c:pt>
                <c:pt idx="478">
                  <c:v>31.192</c:v>
                </c:pt>
                <c:pt idx="479">
                  <c:v>31.285</c:v>
                </c:pt>
                <c:pt idx="480">
                  <c:v>31.29</c:v>
                </c:pt>
                <c:pt idx="481">
                  <c:v>31.26</c:v>
                </c:pt>
                <c:pt idx="482">
                  <c:v>31.262</c:v>
                </c:pt>
                <c:pt idx="483">
                  <c:v>31.326000000000001</c:v>
                </c:pt>
                <c:pt idx="484">
                  <c:v>31.341999999999999</c:v>
                </c:pt>
                <c:pt idx="485">
                  <c:v>31.327000000000002</c:v>
                </c:pt>
                <c:pt idx="486">
                  <c:v>31.356999999999999</c:v>
                </c:pt>
                <c:pt idx="487">
                  <c:v>31.45</c:v>
                </c:pt>
                <c:pt idx="488">
                  <c:v>31.472000000000001</c:v>
                </c:pt>
                <c:pt idx="489">
                  <c:v>31.586000000000002</c:v>
                </c:pt>
                <c:pt idx="490">
                  <c:v>31.765000000000001</c:v>
                </c:pt>
                <c:pt idx="491">
                  <c:v>31.815000000000001</c:v>
                </c:pt>
                <c:pt idx="492">
                  <c:v>31.753</c:v>
                </c:pt>
                <c:pt idx="493">
                  <c:v>31.75</c:v>
                </c:pt>
                <c:pt idx="494">
                  <c:v>31.75</c:v>
                </c:pt>
                <c:pt idx="495">
                  <c:v>31.760999999999999</c:v>
                </c:pt>
                <c:pt idx="496">
                  <c:v>31.766000000000002</c:v>
                </c:pt>
                <c:pt idx="497">
                  <c:v>31.718</c:v>
                </c:pt>
                <c:pt idx="498">
                  <c:v>32.005000000000003</c:v>
                </c:pt>
                <c:pt idx="499">
                  <c:v>31.996000000000002</c:v>
                </c:pt>
                <c:pt idx="500">
                  <c:v>32.000999999999998</c:v>
                </c:pt>
                <c:pt idx="501">
                  <c:v>32.006</c:v>
                </c:pt>
                <c:pt idx="502">
                  <c:v>31.936</c:v>
                </c:pt>
                <c:pt idx="503">
                  <c:v>31.856000000000002</c:v>
                </c:pt>
                <c:pt idx="504">
                  <c:v>31.862000000000002</c:v>
                </c:pt>
                <c:pt idx="505">
                  <c:v>31.832000000000001</c:v>
                </c:pt>
                <c:pt idx="506">
                  <c:v>31.786000000000001</c:v>
                </c:pt>
                <c:pt idx="507">
                  <c:v>31.645</c:v>
                </c:pt>
                <c:pt idx="508">
                  <c:v>31.552</c:v>
                </c:pt>
                <c:pt idx="509">
                  <c:v>31.696000000000002</c:v>
                </c:pt>
                <c:pt idx="510">
                  <c:v>31.553000000000001</c:v>
                </c:pt>
                <c:pt idx="511">
                  <c:v>31.51</c:v>
                </c:pt>
                <c:pt idx="512">
                  <c:v>31.432000000000002</c:v>
                </c:pt>
                <c:pt idx="513">
                  <c:v>31.339000000000002</c:v>
                </c:pt>
                <c:pt idx="514">
                  <c:v>31.324999999999999</c:v>
                </c:pt>
                <c:pt idx="515">
                  <c:v>31.327999999999999</c:v>
                </c:pt>
                <c:pt idx="516">
                  <c:v>31.512</c:v>
                </c:pt>
                <c:pt idx="517">
                  <c:v>31.555</c:v>
                </c:pt>
                <c:pt idx="518">
                  <c:v>31.685000000000002</c:v>
                </c:pt>
                <c:pt idx="519">
                  <c:v>31.623000000000001</c:v>
                </c:pt>
                <c:pt idx="520">
                  <c:v>31.472999999999999</c:v>
                </c:pt>
                <c:pt idx="521">
                  <c:v>31.535</c:v>
                </c:pt>
                <c:pt idx="522">
                  <c:v>31.490000000000002</c:v>
                </c:pt>
                <c:pt idx="523">
                  <c:v>31.560000000000002</c:v>
                </c:pt>
                <c:pt idx="524">
                  <c:v>31.501999999999999</c:v>
                </c:pt>
                <c:pt idx="525">
                  <c:v>31.564</c:v>
                </c:pt>
                <c:pt idx="526">
                  <c:v>31.63</c:v>
                </c:pt>
                <c:pt idx="527">
                  <c:v>31.475000000000001</c:v>
                </c:pt>
                <c:pt idx="528">
                  <c:v>31.6</c:v>
                </c:pt>
                <c:pt idx="529">
                  <c:v>31.638000000000002</c:v>
                </c:pt>
                <c:pt idx="530">
                  <c:v>31.688000000000002</c:v>
                </c:pt>
                <c:pt idx="531">
                  <c:v>31.532</c:v>
                </c:pt>
                <c:pt idx="532">
                  <c:v>31.503</c:v>
                </c:pt>
                <c:pt idx="533">
                  <c:v>31.568000000000001</c:v>
                </c:pt>
                <c:pt idx="534">
                  <c:v>31.507999999999999</c:v>
                </c:pt>
                <c:pt idx="535">
                  <c:v>31.48</c:v>
                </c:pt>
                <c:pt idx="536">
                  <c:v>31.507000000000001</c:v>
                </c:pt>
                <c:pt idx="537">
                  <c:v>31.45</c:v>
                </c:pt>
                <c:pt idx="538">
                  <c:v>31.52</c:v>
                </c:pt>
                <c:pt idx="539">
                  <c:v>31.565999999999999</c:v>
                </c:pt>
                <c:pt idx="540">
                  <c:v>31.666</c:v>
                </c:pt>
                <c:pt idx="541">
                  <c:v>31.67</c:v>
                </c:pt>
                <c:pt idx="542">
                  <c:v>31.71</c:v>
                </c:pt>
                <c:pt idx="543">
                  <c:v>31.712</c:v>
                </c:pt>
                <c:pt idx="544">
                  <c:v>31.667000000000002</c:v>
                </c:pt>
                <c:pt idx="545">
                  <c:v>31.650000000000002</c:v>
                </c:pt>
                <c:pt idx="546">
                  <c:v>31.501999999999999</c:v>
                </c:pt>
                <c:pt idx="547">
                  <c:v>31.548000000000002</c:v>
                </c:pt>
                <c:pt idx="548">
                  <c:v>31.503</c:v>
                </c:pt>
                <c:pt idx="549">
                  <c:v>31.382999999999999</c:v>
                </c:pt>
                <c:pt idx="550">
                  <c:v>31.401</c:v>
                </c:pt>
                <c:pt idx="551">
                  <c:v>31.405000000000001</c:v>
                </c:pt>
                <c:pt idx="552">
                  <c:v>31.375</c:v>
                </c:pt>
                <c:pt idx="553">
                  <c:v>31.38</c:v>
                </c:pt>
                <c:pt idx="554">
                  <c:v>31.401</c:v>
                </c:pt>
                <c:pt idx="555">
                  <c:v>31.362000000000002</c:v>
                </c:pt>
                <c:pt idx="556">
                  <c:v>31.303000000000001</c:v>
                </c:pt>
                <c:pt idx="557">
                  <c:v>31.152000000000001</c:v>
                </c:pt>
                <c:pt idx="558">
                  <c:v>31.225999999999999</c:v>
                </c:pt>
                <c:pt idx="559">
                  <c:v>31.231000000000002</c:v>
                </c:pt>
                <c:pt idx="560">
                  <c:v>31.240000000000002</c:v>
                </c:pt>
                <c:pt idx="561">
                  <c:v>31.342000000000002</c:v>
                </c:pt>
                <c:pt idx="562">
                  <c:v>31.312000000000001</c:v>
                </c:pt>
                <c:pt idx="563">
                  <c:v>31.330000000000002</c:v>
                </c:pt>
                <c:pt idx="564">
                  <c:v>31.253</c:v>
                </c:pt>
                <c:pt idx="565">
                  <c:v>31.161999999999999</c:v>
                </c:pt>
                <c:pt idx="566">
                  <c:v>31.102</c:v>
                </c:pt>
                <c:pt idx="567">
                  <c:v>31.173000000000002</c:v>
                </c:pt>
                <c:pt idx="568">
                  <c:v>31.113</c:v>
                </c:pt>
                <c:pt idx="569">
                  <c:v>31.131</c:v>
                </c:pt>
                <c:pt idx="570">
                  <c:v>31.051000000000002</c:v>
                </c:pt>
                <c:pt idx="571">
                  <c:v>30.861000000000001</c:v>
                </c:pt>
                <c:pt idx="572">
                  <c:v>30.831</c:v>
                </c:pt>
                <c:pt idx="573">
                  <c:v>30.695</c:v>
                </c:pt>
                <c:pt idx="574">
                  <c:v>30.751999999999999</c:v>
                </c:pt>
                <c:pt idx="575">
                  <c:v>30.776</c:v>
                </c:pt>
                <c:pt idx="576">
                  <c:v>30.781000000000002</c:v>
                </c:pt>
                <c:pt idx="577">
                  <c:v>30.753</c:v>
                </c:pt>
                <c:pt idx="578">
                  <c:v>30.803000000000001</c:v>
                </c:pt>
                <c:pt idx="579">
                  <c:v>30.765000000000001</c:v>
                </c:pt>
                <c:pt idx="580">
                  <c:v>30.78</c:v>
                </c:pt>
                <c:pt idx="581">
                  <c:v>30.810000000000002</c:v>
                </c:pt>
                <c:pt idx="582">
                  <c:v>30.78</c:v>
                </c:pt>
                <c:pt idx="583">
                  <c:v>30.681000000000001</c:v>
                </c:pt>
                <c:pt idx="584">
                  <c:v>30.612000000000002</c:v>
                </c:pt>
                <c:pt idx="585">
                  <c:v>30.61</c:v>
                </c:pt>
                <c:pt idx="586">
                  <c:v>30.64</c:v>
                </c:pt>
                <c:pt idx="587">
                  <c:v>30.682000000000002</c:v>
                </c:pt>
                <c:pt idx="588">
                  <c:v>30.650000000000002</c:v>
                </c:pt>
                <c:pt idx="589">
                  <c:v>30.541</c:v>
                </c:pt>
                <c:pt idx="590">
                  <c:v>30.571000000000002</c:v>
                </c:pt>
                <c:pt idx="591">
                  <c:v>30.708000000000002</c:v>
                </c:pt>
                <c:pt idx="592">
                  <c:v>30.725000000000001</c:v>
                </c:pt>
                <c:pt idx="593">
                  <c:v>30.801000000000002</c:v>
                </c:pt>
                <c:pt idx="594">
                  <c:v>30.871000000000002</c:v>
                </c:pt>
                <c:pt idx="595">
                  <c:v>30.932000000000002</c:v>
                </c:pt>
                <c:pt idx="596">
                  <c:v>31.001999999999999</c:v>
                </c:pt>
                <c:pt idx="597">
                  <c:v>30.922000000000001</c:v>
                </c:pt>
                <c:pt idx="598">
                  <c:v>31.062000000000001</c:v>
                </c:pt>
                <c:pt idx="599">
                  <c:v>31.032</c:v>
                </c:pt>
                <c:pt idx="600">
                  <c:v>31.275000000000002</c:v>
                </c:pt>
                <c:pt idx="601">
                  <c:v>31.302</c:v>
                </c:pt>
                <c:pt idx="602">
                  <c:v>31.156000000000002</c:v>
                </c:pt>
                <c:pt idx="603">
                  <c:v>31.161999999999999</c:v>
                </c:pt>
                <c:pt idx="604">
                  <c:v>31.225999999999999</c:v>
                </c:pt>
                <c:pt idx="605">
                  <c:v>31.256</c:v>
                </c:pt>
                <c:pt idx="606">
                  <c:v>31.266000000000002</c:v>
                </c:pt>
                <c:pt idx="607">
                  <c:v>31.260999999999999</c:v>
                </c:pt>
                <c:pt idx="608">
                  <c:v>31.062000000000001</c:v>
                </c:pt>
                <c:pt idx="609">
                  <c:v>30.970000000000002</c:v>
                </c:pt>
                <c:pt idx="610">
                  <c:v>31.001999999999999</c:v>
                </c:pt>
                <c:pt idx="611">
                  <c:v>31.052</c:v>
                </c:pt>
                <c:pt idx="612">
                  <c:v>31.052</c:v>
                </c:pt>
                <c:pt idx="613">
                  <c:v>31.132000000000001</c:v>
                </c:pt>
                <c:pt idx="614">
                  <c:v>31.178000000000001</c:v>
                </c:pt>
                <c:pt idx="615">
                  <c:v>31.07</c:v>
                </c:pt>
                <c:pt idx="616">
                  <c:v>31.1</c:v>
                </c:pt>
                <c:pt idx="617">
                  <c:v>31.150000000000002</c:v>
                </c:pt>
                <c:pt idx="618">
                  <c:v>31.12</c:v>
                </c:pt>
                <c:pt idx="619">
                  <c:v>31.150000000000002</c:v>
                </c:pt>
                <c:pt idx="620">
                  <c:v>31.161999999999999</c:v>
                </c:pt>
                <c:pt idx="621">
                  <c:v>31.225000000000001</c:v>
                </c:pt>
                <c:pt idx="622">
                  <c:v>31.23</c:v>
                </c:pt>
                <c:pt idx="623">
                  <c:v>31.2</c:v>
                </c:pt>
                <c:pt idx="624">
                  <c:v>31.302</c:v>
                </c:pt>
                <c:pt idx="625">
                  <c:v>31.272000000000002</c:v>
                </c:pt>
                <c:pt idx="626">
                  <c:v>31.310000000000002</c:v>
                </c:pt>
                <c:pt idx="627">
                  <c:v>31.312000000000001</c:v>
                </c:pt>
                <c:pt idx="628">
                  <c:v>31.342000000000002</c:v>
                </c:pt>
                <c:pt idx="629">
                  <c:v>31.407</c:v>
                </c:pt>
                <c:pt idx="630">
                  <c:v>31.352</c:v>
                </c:pt>
                <c:pt idx="631">
                  <c:v>31.452000000000002</c:v>
                </c:pt>
                <c:pt idx="632">
                  <c:v>31.53</c:v>
                </c:pt>
                <c:pt idx="633">
                  <c:v>31.560000000000002</c:v>
                </c:pt>
                <c:pt idx="634">
                  <c:v>31.574999999999999</c:v>
                </c:pt>
                <c:pt idx="635">
                  <c:v>31.523</c:v>
                </c:pt>
                <c:pt idx="636">
                  <c:v>31.600999999999999</c:v>
                </c:pt>
                <c:pt idx="637">
                  <c:v>31.682000000000002</c:v>
                </c:pt>
                <c:pt idx="638">
                  <c:v>31.705000000000002</c:v>
                </c:pt>
                <c:pt idx="639">
                  <c:v>31.725999999999999</c:v>
                </c:pt>
                <c:pt idx="640">
                  <c:v>31.75</c:v>
                </c:pt>
                <c:pt idx="641">
                  <c:v>31.754999999999999</c:v>
                </c:pt>
                <c:pt idx="642">
                  <c:v>31.77</c:v>
                </c:pt>
                <c:pt idx="643">
                  <c:v>31.76</c:v>
                </c:pt>
                <c:pt idx="644">
                  <c:v>32.08</c:v>
                </c:pt>
                <c:pt idx="645">
                  <c:v>32.465000000000003</c:v>
                </c:pt>
                <c:pt idx="646">
                  <c:v>32.366</c:v>
                </c:pt>
                <c:pt idx="647">
                  <c:v>32.368000000000002</c:v>
                </c:pt>
                <c:pt idx="648">
                  <c:v>32.621000000000002</c:v>
                </c:pt>
                <c:pt idx="649">
                  <c:v>32.652999999999999</c:v>
                </c:pt>
                <c:pt idx="650">
                  <c:v>32.667999999999999</c:v>
                </c:pt>
                <c:pt idx="651">
                  <c:v>32.677999999999997</c:v>
                </c:pt>
                <c:pt idx="652">
                  <c:v>32.875999999999998</c:v>
                </c:pt>
                <c:pt idx="653">
                  <c:v>32.96</c:v>
                </c:pt>
                <c:pt idx="654">
                  <c:v>32.878999999999998</c:v>
                </c:pt>
                <c:pt idx="655">
                  <c:v>32.765000000000001</c:v>
                </c:pt>
                <c:pt idx="656">
                  <c:v>32.770000000000003</c:v>
                </c:pt>
                <c:pt idx="657">
                  <c:v>32.771999999999998</c:v>
                </c:pt>
                <c:pt idx="658">
                  <c:v>32.81</c:v>
                </c:pt>
                <c:pt idx="659">
                  <c:v>32.68</c:v>
                </c:pt>
                <c:pt idx="660">
                  <c:v>32.762</c:v>
                </c:pt>
                <c:pt idx="661">
                  <c:v>32.801000000000002</c:v>
                </c:pt>
                <c:pt idx="662">
                  <c:v>32.832999999999998</c:v>
                </c:pt>
                <c:pt idx="663">
                  <c:v>32.935000000000002</c:v>
                </c:pt>
                <c:pt idx="664">
                  <c:v>33.003</c:v>
                </c:pt>
                <c:pt idx="665">
                  <c:v>32.774999999999999</c:v>
                </c:pt>
                <c:pt idx="666">
                  <c:v>32.856000000000002</c:v>
                </c:pt>
                <c:pt idx="667">
                  <c:v>32.71</c:v>
                </c:pt>
                <c:pt idx="668">
                  <c:v>32.72</c:v>
                </c:pt>
                <c:pt idx="669">
                  <c:v>32.786000000000001</c:v>
                </c:pt>
                <c:pt idx="670">
                  <c:v>32.762</c:v>
                </c:pt>
                <c:pt idx="671">
                  <c:v>32.661999999999999</c:v>
                </c:pt>
                <c:pt idx="672">
                  <c:v>32.663000000000004</c:v>
                </c:pt>
                <c:pt idx="673">
                  <c:v>32.939</c:v>
                </c:pt>
                <c:pt idx="674">
                  <c:v>32.971000000000004</c:v>
                </c:pt>
                <c:pt idx="675">
                  <c:v>33.25</c:v>
                </c:pt>
                <c:pt idx="676">
                  <c:v>33.26</c:v>
                </c:pt>
                <c:pt idx="677">
                  <c:v>33.292000000000002</c:v>
                </c:pt>
                <c:pt idx="678">
                  <c:v>33.128</c:v>
                </c:pt>
                <c:pt idx="679">
                  <c:v>33.08</c:v>
                </c:pt>
                <c:pt idx="680">
                  <c:v>33.155999999999999</c:v>
                </c:pt>
                <c:pt idx="681">
                  <c:v>33.002000000000002</c:v>
                </c:pt>
                <c:pt idx="682">
                  <c:v>32.936999999999998</c:v>
                </c:pt>
                <c:pt idx="683">
                  <c:v>32.872</c:v>
                </c:pt>
                <c:pt idx="684">
                  <c:v>32.85</c:v>
                </c:pt>
                <c:pt idx="685">
                  <c:v>32.56</c:v>
                </c:pt>
                <c:pt idx="686">
                  <c:v>32.738999999999997</c:v>
                </c:pt>
                <c:pt idx="687">
                  <c:v>32.741999999999997</c:v>
                </c:pt>
                <c:pt idx="688">
                  <c:v>32.457000000000001</c:v>
                </c:pt>
                <c:pt idx="689">
                  <c:v>32.505000000000003</c:v>
                </c:pt>
                <c:pt idx="690">
                  <c:v>32.417999999999999</c:v>
                </c:pt>
                <c:pt idx="691">
                  <c:v>32.51</c:v>
                </c:pt>
                <c:pt idx="692">
                  <c:v>32.558</c:v>
                </c:pt>
                <c:pt idx="693">
                  <c:v>32.658000000000001</c:v>
                </c:pt>
                <c:pt idx="694">
                  <c:v>32.512999999999998</c:v>
                </c:pt>
                <c:pt idx="695">
                  <c:v>32.707999999999998</c:v>
                </c:pt>
                <c:pt idx="696">
                  <c:v>32.676000000000002</c:v>
                </c:pt>
                <c:pt idx="697">
                  <c:v>32.686</c:v>
                </c:pt>
                <c:pt idx="698">
                  <c:v>32.856000000000002</c:v>
                </c:pt>
                <c:pt idx="699">
                  <c:v>32.802</c:v>
                </c:pt>
                <c:pt idx="700">
                  <c:v>32.721000000000004</c:v>
                </c:pt>
                <c:pt idx="701">
                  <c:v>32.625</c:v>
                </c:pt>
                <c:pt idx="702">
                  <c:v>32.594999999999999</c:v>
                </c:pt>
                <c:pt idx="703">
                  <c:v>32.718000000000004</c:v>
                </c:pt>
                <c:pt idx="704">
                  <c:v>32.730000000000004</c:v>
                </c:pt>
                <c:pt idx="705">
                  <c:v>32.832000000000001</c:v>
                </c:pt>
                <c:pt idx="706">
                  <c:v>32.85</c:v>
                </c:pt>
                <c:pt idx="707">
                  <c:v>32.852000000000004</c:v>
                </c:pt>
                <c:pt idx="708">
                  <c:v>32.9</c:v>
                </c:pt>
                <c:pt idx="709">
                  <c:v>32.908000000000001</c:v>
                </c:pt>
                <c:pt idx="710">
                  <c:v>33.021999999999998</c:v>
                </c:pt>
                <c:pt idx="711">
                  <c:v>32.975000000000001</c:v>
                </c:pt>
                <c:pt idx="712">
                  <c:v>33.006999999999998</c:v>
                </c:pt>
                <c:pt idx="713">
                  <c:v>32.86</c:v>
                </c:pt>
                <c:pt idx="714">
                  <c:v>32.730000000000004</c:v>
                </c:pt>
                <c:pt idx="715">
                  <c:v>32.777999999999999</c:v>
                </c:pt>
                <c:pt idx="716">
                  <c:v>32.746000000000002</c:v>
                </c:pt>
                <c:pt idx="717">
                  <c:v>32.646999999999998</c:v>
                </c:pt>
                <c:pt idx="718">
                  <c:v>32.701000000000001</c:v>
                </c:pt>
                <c:pt idx="719">
                  <c:v>32.814999999999998</c:v>
                </c:pt>
                <c:pt idx="720">
                  <c:v>32.83</c:v>
                </c:pt>
                <c:pt idx="721">
                  <c:v>32.832000000000001</c:v>
                </c:pt>
                <c:pt idx="722">
                  <c:v>32.902999999999999</c:v>
                </c:pt>
                <c:pt idx="723">
                  <c:v>32.935000000000002</c:v>
                </c:pt>
                <c:pt idx="724">
                  <c:v>32.822000000000003</c:v>
                </c:pt>
                <c:pt idx="725">
                  <c:v>32.936</c:v>
                </c:pt>
                <c:pt idx="726">
                  <c:v>33.036999999999999</c:v>
                </c:pt>
                <c:pt idx="727">
                  <c:v>33.047000000000004</c:v>
                </c:pt>
                <c:pt idx="728">
                  <c:v>33.015000000000001</c:v>
                </c:pt>
                <c:pt idx="729">
                  <c:v>32.965000000000003</c:v>
                </c:pt>
                <c:pt idx="730">
                  <c:v>33.066000000000003</c:v>
                </c:pt>
                <c:pt idx="731">
                  <c:v>33.026000000000003</c:v>
                </c:pt>
                <c:pt idx="732">
                  <c:v>32.950000000000003</c:v>
                </c:pt>
                <c:pt idx="733">
                  <c:v>33.035000000000004</c:v>
                </c:pt>
                <c:pt idx="734">
                  <c:v>33.116999999999997</c:v>
                </c:pt>
                <c:pt idx="735">
                  <c:v>33.085000000000001</c:v>
                </c:pt>
                <c:pt idx="736">
                  <c:v>33.090000000000003</c:v>
                </c:pt>
                <c:pt idx="737">
                  <c:v>33.1</c:v>
                </c:pt>
                <c:pt idx="738">
                  <c:v>33.002000000000002</c:v>
                </c:pt>
                <c:pt idx="739">
                  <c:v>33.005000000000003</c:v>
                </c:pt>
              </c:numCache>
            </c:numRef>
          </c:val>
          <c:smooth val="0"/>
        </c:ser>
        <c:dLbls>
          <c:showLegendKey val="0"/>
          <c:showVal val="0"/>
          <c:showCatName val="0"/>
          <c:showSerName val="0"/>
          <c:showPercent val="0"/>
          <c:showBubbleSize val="0"/>
        </c:dLbls>
        <c:marker val="1"/>
        <c:smooth val="0"/>
        <c:axId val="273438976"/>
        <c:axId val="273510400"/>
      </c:lineChart>
      <c:dateAx>
        <c:axId val="273438976"/>
        <c:scaling>
          <c:orientation val="minMax"/>
        </c:scaling>
        <c:delete val="0"/>
        <c:axPos val="b"/>
        <c:numFmt formatCode="yyyy/m" sourceLinked="0"/>
        <c:majorTickMark val="in"/>
        <c:minorTickMark val="none"/>
        <c:tickLblPos val="nextTo"/>
        <c:spPr>
          <a:noFill/>
          <a:ln w="9525" cap="flat" cmpd="sng" algn="ctr">
            <a:solidFill>
              <a:schemeClr val="bg1"/>
            </a:solidFill>
            <a:round/>
          </a:ln>
          <a:effectLst/>
        </c:spPr>
        <c:txPr>
          <a:bodyPr rot="-27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zh-TW"/>
          </a:p>
        </c:txPr>
        <c:crossAx val="273510400"/>
        <c:crosses val="autoZero"/>
        <c:auto val="0"/>
        <c:lblOffset val="100"/>
        <c:baseTimeUnit val="days"/>
        <c:majorUnit val="1"/>
        <c:majorTimeUnit val="months"/>
      </c:dateAx>
      <c:valAx>
        <c:axId val="273510400"/>
        <c:scaling>
          <c:orientation val="minMax"/>
          <c:min val="28.5"/>
        </c:scaling>
        <c:delete val="0"/>
        <c:axPos val="l"/>
        <c:majorGridlines>
          <c:spPr>
            <a:ln w="9525" cap="flat" cmpd="sng" algn="ctr">
              <a:solidFill>
                <a:schemeClr val="bg1"/>
              </a:solidFill>
              <a:prstDash val="dash"/>
              <a:round/>
            </a:ln>
            <a:effectLst/>
          </c:spPr>
        </c:majorGridlines>
        <c:numFmt formatCode="#,##0.00_);[Red]\(#,##0.00\)" sourceLinked="0"/>
        <c:majorTickMark val="in"/>
        <c:minorTickMark val="none"/>
        <c:tickLblPos val="nextTo"/>
        <c:spPr>
          <a:noFill/>
          <a:ln>
            <a:solidFill>
              <a:schemeClr val="bg1"/>
            </a:solidFill>
          </a:ln>
          <a:effectLst/>
        </c:spPr>
        <c:txPr>
          <a:bodyPr rot="-60000000" spcFirstLastPara="1" vertOverflow="ellipsis" vert="horz" wrap="square" anchor="ctr" anchorCtr="1"/>
          <a:lstStyle/>
          <a:p>
            <a:pPr>
              <a:defRPr sz="1050" b="0" i="0" u="none" strike="noStrike" kern="1200" baseline="0">
                <a:solidFill>
                  <a:schemeClr val="bg1"/>
                </a:solidFill>
                <a:latin typeface="+mn-lt"/>
                <a:ea typeface="+mn-ea"/>
                <a:cs typeface="+mn-cs"/>
              </a:defRPr>
            </a:pPr>
            <a:endParaRPr lang="zh-TW"/>
          </a:p>
        </c:txPr>
        <c:crossAx val="273438976"/>
        <c:crosses val="autoZero"/>
        <c:crossBetween val="between"/>
      </c:valAx>
      <c:spPr>
        <a:noFill/>
        <a:ln w="25400">
          <a:noFill/>
        </a:ln>
      </c:spPr>
    </c:plotArea>
    <c:plotVisOnly val="1"/>
    <c:dispBlanksAs val="gap"/>
    <c:showDLblsOverMax val="0"/>
  </c:chart>
  <c:spPr>
    <a:gradFill flip="none" rotWithShape="1">
      <a:gsLst>
        <a:gs pos="0">
          <a:srgbClr val="0070C0">
            <a:shade val="30000"/>
            <a:satMod val="115000"/>
          </a:srgbClr>
        </a:gs>
        <a:gs pos="50000">
          <a:srgbClr val="0070C0">
            <a:shade val="67500"/>
            <a:satMod val="115000"/>
          </a:srgbClr>
        </a:gs>
        <a:gs pos="100000">
          <a:srgbClr val="0070C0">
            <a:shade val="100000"/>
            <a:satMod val="115000"/>
          </a:srgbClr>
        </a:gs>
      </a:gsLst>
      <a:lin ang="16200000" scaled="1"/>
      <a:tileRect/>
    </a:gradFill>
    <a:ln w="9525" cap="flat" cmpd="sng" algn="ctr">
      <a:noFill/>
      <a:round/>
    </a:ln>
    <a:effectLst/>
  </c:spPr>
  <c:txPr>
    <a:bodyPr/>
    <a:lstStyle/>
    <a:p>
      <a:pPr>
        <a:defRPr/>
      </a:pPr>
      <a:endParaRPr lang="zh-TW"/>
    </a:p>
  </c:txPr>
  <c:externalData r:id="rId1">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8397344865963512E-2"/>
          <c:y val="0.13594736614616365"/>
          <c:w val="0.87959752081314901"/>
          <c:h val="0.57841117813489695"/>
        </c:manualLayout>
      </c:layout>
      <c:lineChart>
        <c:grouping val="standard"/>
        <c:varyColors val="0"/>
        <c:ser>
          <c:idx val="1"/>
          <c:order val="0"/>
          <c:tx>
            <c:strRef>
              <c:f>製圖!$B$1</c:f>
              <c:strCache>
                <c:ptCount val="1"/>
                <c:pt idx="0">
                  <c:v>小麥期貨平均(公噸)(美元)</c:v>
                </c:pt>
              </c:strCache>
            </c:strRef>
          </c:tx>
          <c:marker>
            <c:symbol val="none"/>
          </c:marker>
          <c:cat>
            <c:numRef>
              <c:f>製圖!$A$1098:$A$1421</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製圖!$B$1098:$B$1421</c:f>
              <c:numCache>
                <c:formatCode>0.00_ </c:formatCode>
                <c:ptCount val="324"/>
                <c:pt idx="0">
                  <c:v>221.19707399999999</c:v>
                </c:pt>
                <c:pt idx="1">
                  <c:v>213.57275625</c:v>
                </c:pt>
                <c:pt idx="2">
                  <c:v>213.57275625</c:v>
                </c:pt>
                <c:pt idx="3">
                  <c:v>213.57275625</c:v>
                </c:pt>
                <c:pt idx="4">
                  <c:v>216.42039299999996</c:v>
                </c:pt>
                <c:pt idx="5">
                  <c:v>217.43084475000001</c:v>
                </c:pt>
                <c:pt idx="6">
                  <c:v>212.92974149999998</c:v>
                </c:pt>
                <c:pt idx="7">
                  <c:v>208.33677899999998</c:v>
                </c:pt>
                <c:pt idx="8">
                  <c:v>207.14260874999999</c:v>
                </c:pt>
                <c:pt idx="9">
                  <c:v>207.14260874999999</c:v>
                </c:pt>
                <c:pt idx="10">
                  <c:v>207.14260874999999</c:v>
                </c:pt>
                <c:pt idx="11">
                  <c:v>204.11125349999998</c:v>
                </c:pt>
                <c:pt idx="12">
                  <c:v>201.35547599999998</c:v>
                </c:pt>
                <c:pt idx="13">
                  <c:v>197.58924674999997</c:v>
                </c:pt>
                <c:pt idx="14">
                  <c:v>195.75206175</c:v>
                </c:pt>
                <c:pt idx="15">
                  <c:v>195.75206175</c:v>
                </c:pt>
                <c:pt idx="16">
                  <c:v>195.75</c:v>
                </c:pt>
                <c:pt idx="17">
                  <c:v>195.75</c:v>
                </c:pt>
                <c:pt idx="18">
                  <c:v>195.75</c:v>
                </c:pt>
                <c:pt idx="19">
                  <c:v>197.31366899999998</c:v>
                </c:pt>
                <c:pt idx="20">
                  <c:v>197.22180975000001</c:v>
                </c:pt>
                <c:pt idx="21">
                  <c:v>196.11949874999999</c:v>
                </c:pt>
                <c:pt idx="22">
                  <c:v>194.74161000000001</c:v>
                </c:pt>
                <c:pt idx="23">
                  <c:v>194.74</c:v>
                </c:pt>
                <c:pt idx="24">
                  <c:v>194.74</c:v>
                </c:pt>
                <c:pt idx="25">
                  <c:v>191.25095849999997</c:v>
                </c:pt>
                <c:pt idx="26">
                  <c:v>190.699803</c:v>
                </c:pt>
                <c:pt idx="27">
                  <c:v>185.64754424999998</c:v>
                </c:pt>
                <c:pt idx="28">
                  <c:v>186.56613674999997</c:v>
                </c:pt>
                <c:pt idx="29">
                  <c:v>184.72895174999996</c:v>
                </c:pt>
                <c:pt idx="30">
                  <c:v>184.72895174999996</c:v>
                </c:pt>
                <c:pt idx="31">
                  <c:v>184.72895174999996</c:v>
                </c:pt>
                <c:pt idx="32">
                  <c:v>181.05458175000001</c:v>
                </c:pt>
                <c:pt idx="33">
                  <c:v>188.77075875</c:v>
                </c:pt>
                <c:pt idx="34">
                  <c:v>187.76030699999998</c:v>
                </c:pt>
                <c:pt idx="35">
                  <c:v>193.18000274999997</c:v>
                </c:pt>
                <c:pt idx="36">
                  <c:v>193.63929899999999</c:v>
                </c:pt>
                <c:pt idx="37">
                  <c:v>193.63929899999999</c:v>
                </c:pt>
                <c:pt idx="38">
                  <c:v>193.63929899999999</c:v>
                </c:pt>
                <c:pt idx="39">
                  <c:v>194.64975074999998</c:v>
                </c:pt>
                <c:pt idx="40">
                  <c:v>191.71025474999999</c:v>
                </c:pt>
                <c:pt idx="41">
                  <c:v>193.18000274999997</c:v>
                </c:pt>
                <c:pt idx="42">
                  <c:v>191.52653624999999</c:v>
                </c:pt>
                <c:pt idx="43">
                  <c:v>195.84392099999997</c:v>
                </c:pt>
                <c:pt idx="44">
                  <c:v>195.84392099999997</c:v>
                </c:pt>
                <c:pt idx="45">
                  <c:v>195.84392099999997</c:v>
                </c:pt>
                <c:pt idx="46">
                  <c:v>195.84392099999997</c:v>
                </c:pt>
                <c:pt idx="47">
                  <c:v>196.48693574999999</c:v>
                </c:pt>
                <c:pt idx="48">
                  <c:v>193.91487674999996</c:v>
                </c:pt>
                <c:pt idx="49">
                  <c:v>193.91487674999996</c:v>
                </c:pt>
                <c:pt idx="50">
                  <c:v>187.48472924999999</c:v>
                </c:pt>
                <c:pt idx="51">
                  <c:v>187.48472924999999</c:v>
                </c:pt>
                <c:pt idx="52">
                  <c:v>187.48472924999999</c:v>
                </c:pt>
                <c:pt idx="53">
                  <c:v>185.83126274999998</c:v>
                </c:pt>
                <c:pt idx="54">
                  <c:v>185.83126274999998</c:v>
                </c:pt>
                <c:pt idx="55">
                  <c:v>182.89176674999999</c:v>
                </c:pt>
                <c:pt idx="56">
                  <c:v>184.91267024999996</c:v>
                </c:pt>
                <c:pt idx="57">
                  <c:v>190.14864749999998</c:v>
                </c:pt>
                <c:pt idx="58">
                  <c:v>190.14864749999998</c:v>
                </c:pt>
                <c:pt idx="59">
                  <c:v>190.14864749999998</c:v>
                </c:pt>
                <c:pt idx="60">
                  <c:v>186.657996</c:v>
                </c:pt>
                <c:pt idx="61">
                  <c:v>186.93357374999999</c:v>
                </c:pt>
                <c:pt idx="62">
                  <c:v>181.33015949999998</c:v>
                </c:pt>
                <c:pt idx="63">
                  <c:v>176.82905625000001</c:v>
                </c:pt>
                <c:pt idx="64">
                  <c:v>178.48252274999999</c:v>
                </c:pt>
                <c:pt idx="65">
                  <c:v>178.48252274999999</c:v>
                </c:pt>
                <c:pt idx="66">
                  <c:v>178.48252274999999</c:v>
                </c:pt>
                <c:pt idx="67">
                  <c:v>181.60573724999998</c:v>
                </c:pt>
                <c:pt idx="68">
                  <c:v>182.43247049999999</c:v>
                </c:pt>
                <c:pt idx="69">
                  <c:v>184.82081099999999</c:v>
                </c:pt>
                <c:pt idx="70">
                  <c:v>188.58704025</c:v>
                </c:pt>
                <c:pt idx="71">
                  <c:v>184.45337399999997</c:v>
                </c:pt>
                <c:pt idx="72">
                  <c:v>184.45337399999997</c:v>
                </c:pt>
                <c:pt idx="73">
                  <c:v>184.45337399999997</c:v>
                </c:pt>
                <c:pt idx="74">
                  <c:v>188.862618</c:v>
                </c:pt>
                <c:pt idx="75">
                  <c:v>185.00452949999999</c:v>
                </c:pt>
                <c:pt idx="76">
                  <c:v>187.66844774999998</c:v>
                </c:pt>
                <c:pt idx="77">
                  <c:v>188.12774399999998</c:v>
                </c:pt>
                <c:pt idx="78">
                  <c:v>194.74161000000001</c:v>
                </c:pt>
                <c:pt idx="79">
                  <c:v>194.74161000000001</c:v>
                </c:pt>
                <c:pt idx="80">
                  <c:v>194.74161000000001</c:v>
                </c:pt>
                <c:pt idx="81">
                  <c:v>196.21135799999999</c:v>
                </c:pt>
                <c:pt idx="82">
                  <c:v>192.35326949999998</c:v>
                </c:pt>
                <c:pt idx="83">
                  <c:v>190.699803</c:v>
                </c:pt>
                <c:pt idx="84">
                  <c:v>183.44292224999998</c:v>
                </c:pt>
                <c:pt idx="85">
                  <c:v>186.56613674999997</c:v>
                </c:pt>
                <c:pt idx="86">
                  <c:v>186.56613674999997</c:v>
                </c:pt>
                <c:pt idx="87">
                  <c:v>186.56613674999997</c:v>
                </c:pt>
                <c:pt idx="88">
                  <c:v>194.83346924999998</c:v>
                </c:pt>
                <c:pt idx="89">
                  <c:v>188.03588474999998</c:v>
                </c:pt>
                <c:pt idx="90">
                  <c:v>194.19045449999999</c:v>
                </c:pt>
                <c:pt idx="91">
                  <c:v>197.03809125000001</c:v>
                </c:pt>
                <c:pt idx="92">
                  <c:v>197.03809125000001</c:v>
                </c:pt>
                <c:pt idx="93">
                  <c:v>197.03809125000001</c:v>
                </c:pt>
                <c:pt idx="94">
                  <c:v>197.03809125000001</c:v>
                </c:pt>
                <c:pt idx="95">
                  <c:v>193.91487674999996</c:v>
                </c:pt>
                <c:pt idx="96">
                  <c:v>193.271862</c:v>
                </c:pt>
                <c:pt idx="97">
                  <c:v>193.36372124999997</c:v>
                </c:pt>
                <c:pt idx="98">
                  <c:v>190.60794374999998</c:v>
                </c:pt>
                <c:pt idx="99">
                  <c:v>193.4555805</c:v>
                </c:pt>
                <c:pt idx="100">
                  <c:v>193.4555805</c:v>
                </c:pt>
                <c:pt idx="101">
                  <c:v>193.4555805</c:v>
                </c:pt>
                <c:pt idx="102">
                  <c:v>184.54523325</c:v>
                </c:pt>
                <c:pt idx="103">
                  <c:v>182.61618899999996</c:v>
                </c:pt>
                <c:pt idx="104">
                  <c:v>180.31970774999999</c:v>
                </c:pt>
                <c:pt idx="105">
                  <c:v>181.6975965</c:v>
                </c:pt>
                <c:pt idx="106">
                  <c:v>181.6975965</c:v>
                </c:pt>
                <c:pt idx="107">
                  <c:v>181.6975965</c:v>
                </c:pt>
                <c:pt idx="108">
                  <c:v>181.6975965</c:v>
                </c:pt>
                <c:pt idx="109">
                  <c:v>183.25920374999998</c:v>
                </c:pt>
                <c:pt idx="110">
                  <c:v>183.99407775</c:v>
                </c:pt>
                <c:pt idx="111">
                  <c:v>183.25920374999998</c:v>
                </c:pt>
                <c:pt idx="112">
                  <c:v>182.89176674999999</c:v>
                </c:pt>
                <c:pt idx="113">
                  <c:v>178.57438199999996</c:v>
                </c:pt>
                <c:pt idx="114">
                  <c:v>178.57438199999996</c:v>
                </c:pt>
                <c:pt idx="115">
                  <c:v>178.57438199999996</c:v>
                </c:pt>
                <c:pt idx="116">
                  <c:v>172.78724924999997</c:v>
                </c:pt>
                <c:pt idx="117">
                  <c:v>173.2465455</c:v>
                </c:pt>
                <c:pt idx="118">
                  <c:v>175.35930825</c:v>
                </c:pt>
                <c:pt idx="119">
                  <c:v>171.59307899999999</c:v>
                </c:pt>
                <c:pt idx="120">
                  <c:v>172.69538999999997</c:v>
                </c:pt>
                <c:pt idx="121">
                  <c:v>172.69538999999997</c:v>
                </c:pt>
                <c:pt idx="122">
                  <c:v>172.69538999999997</c:v>
                </c:pt>
                <c:pt idx="123">
                  <c:v>172.41981225000001</c:v>
                </c:pt>
                <c:pt idx="124">
                  <c:v>170.490768</c:v>
                </c:pt>
                <c:pt idx="125">
                  <c:v>174.80815274999998</c:v>
                </c:pt>
                <c:pt idx="126">
                  <c:v>171.13378274999999</c:v>
                </c:pt>
                <c:pt idx="127">
                  <c:v>175.08373049999997</c:v>
                </c:pt>
                <c:pt idx="128">
                  <c:v>175.08373049999997</c:v>
                </c:pt>
                <c:pt idx="129">
                  <c:v>175.08373049999997</c:v>
                </c:pt>
                <c:pt idx="130">
                  <c:v>174.99187124999997</c:v>
                </c:pt>
                <c:pt idx="131">
                  <c:v>176.09418224999999</c:v>
                </c:pt>
                <c:pt idx="132">
                  <c:v>176.73719699999998</c:v>
                </c:pt>
                <c:pt idx="133">
                  <c:v>184.36151475</c:v>
                </c:pt>
                <c:pt idx="134">
                  <c:v>187.76030699999998</c:v>
                </c:pt>
                <c:pt idx="135">
                  <c:v>187.76030699999998</c:v>
                </c:pt>
                <c:pt idx="136">
                  <c:v>187.76030699999998</c:v>
                </c:pt>
                <c:pt idx="137">
                  <c:v>191.71025474999999</c:v>
                </c:pt>
                <c:pt idx="138">
                  <c:v>187.48472924999999</c:v>
                </c:pt>
                <c:pt idx="139">
                  <c:v>188.49518099999997</c:v>
                </c:pt>
                <c:pt idx="140">
                  <c:v>191.80211399999999</c:v>
                </c:pt>
                <c:pt idx="141">
                  <c:v>189.32191424999996</c:v>
                </c:pt>
                <c:pt idx="142">
                  <c:v>189.32191424999996</c:v>
                </c:pt>
                <c:pt idx="143">
                  <c:v>189.32191424999996</c:v>
                </c:pt>
                <c:pt idx="144">
                  <c:v>189.32191424999996</c:v>
                </c:pt>
                <c:pt idx="145">
                  <c:v>181.33015949999998</c:v>
                </c:pt>
                <c:pt idx="146">
                  <c:v>179.21739674999998</c:v>
                </c:pt>
                <c:pt idx="147">
                  <c:v>179.58483375</c:v>
                </c:pt>
                <c:pt idx="148">
                  <c:v>175.26744899999997</c:v>
                </c:pt>
                <c:pt idx="149">
                  <c:v>175.26744899999997</c:v>
                </c:pt>
                <c:pt idx="150">
                  <c:v>175.26744899999997</c:v>
                </c:pt>
                <c:pt idx="151">
                  <c:v>181.42201874999998</c:v>
                </c:pt>
                <c:pt idx="152">
                  <c:v>188.31146249999998</c:v>
                </c:pt>
                <c:pt idx="153">
                  <c:v>187.66844774999998</c:v>
                </c:pt>
                <c:pt idx="154">
                  <c:v>192.44512874999998</c:v>
                </c:pt>
                <c:pt idx="155">
                  <c:v>189.96492899999998</c:v>
                </c:pt>
                <c:pt idx="156">
                  <c:v>189.96492899999998</c:v>
                </c:pt>
                <c:pt idx="157">
                  <c:v>189.96492899999998</c:v>
                </c:pt>
                <c:pt idx="158">
                  <c:v>194.00673599999999</c:v>
                </c:pt>
                <c:pt idx="159">
                  <c:v>195.56834325</c:v>
                </c:pt>
                <c:pt idx="160">
                  <c:v>188.67889949999997</c:v>
                </c:pt>
                <c:pt idx="161">
                  <c:v>185.28010725000001</c:v>
                </c:pt>
                <c:pt idx="162">
                  <c:v>185.09638874999996</c:v>
                </c:pt>
                <c:pt idx="163">
                  <c:v>185.09638874999996</c:v>
                </c:pt>
                <c:pt idx="164">
                  <c:v>185.09638874999996</c:v>
                </c:pt>
                <c:pt idx="165">
                  <c:v>179.76855225</c:v>
                </c:pt>
                <c:pt idx="166">
                  <c:v>179.58483375</c:v>
                </c:pt>
                <c:pt idx="167">
                  <c:v>180.50342624999996</c:v>
                </c:pt>
                <c:pt idx="168">
                  <c:v>179.30925599999998</c:v>
                </c:pt>
                <c:pt idx="169">
                  <c:v>179.49297449999997</c:v>
                </c:pt>
                <c:pt idx="170">
                  <c:v>179.49297449999997</c:v>
                </c:pt>
                <c:pt idx="171">
                  <c:v>179.49297449999997</c:v>
                </c:pt>
                <c:pt idx="172">
                  <c:v>184.17779625</c:v>
                </c:pt>
                <c:pt idx="173">
                  <c:v>191.61839549999996</c:v>
                </c:pt>
                <c:pt idx="174">
                  <c:v>190.33236600000001</c:v>
                </c:pt>
                <c:pt idx="175">
                  <c:v>195.47648399999997</c:v>
                </c:pt>
                <c:pt idx="176">
                  <c:v>206.59145324999997</c:v>
                </c:pt>
                <c:pt idx="177">
                  <c:v>206.59145324999997</c:v>
                </c:pt>
                <c:pt idx="178">
                  <c:v>206.59145324999997</c:v>
                </c:pt>
                <c:pt idx="179">
                  <c:v>213.29717849999997</c:v>
                </c:pt>
                <c:pt idx="180">
                  <c:v>225.88189574999996</c:v>
                </c:pt>
                <c:pt idx="181">
                  <c:v>215.86923749999997</c:v>
                </c:pt>
                <c:pt idx="182">
                  <c:v>215.22622274999998</c:v>
                </c:pt>
                <c:pt idx="183">
                  <c:v>215.22622274999998</c:v>
                </c:pt>
                <c:pt idx="184">
                  <c:v>215.22622274999998</c:v>
                </c:pt>
                <c:pt idx="185">
                  <c:v>215.22622274999998</c:v>
                </c:pt>
                <c:pt idx="186">
                  <c:v>216.23667449999996</c:v>
                </c:pt>
                <c:pt idx="187">
                  <c:v>212.92974149999998</c:v>
                </c:pt>
                <c:pt idx="188">
                  <c:v>210.26582324999998</c:v>
                </c:pt>
                <c:pt idx="189">
                  <c:v>210.26582324999998</c:v>
                </c:pt>
                <c:pt idx="190">
                  <c:v>213.6646155</c:v>
                </c:pt>
                <c:pt idx="191">
                  <c:v>213.6646155</c:v>
                </c:pt>
                <c:pt idx="192">
                  <c:v>213.6646155</c:v>
                </c:pt>
                <c:pt idx="193">
                  <c:v>215.59365974999997</c:v>
                </c:pt>
                <c:pt idx="194">
                  <c:v>214.39948949999999</c:v>
                </c:pt>
                <c:pt idx="195">
                  <c:v>208.24491974999998</c:v>
                </c:pt>
                <c:pt idx="196">
                  <c:v>206.59145324999997</c:v>
                </c:pt>
                <c:pt idx="197">
                  <c:v>203.56009800000001</c:v>
                </c:pt>
                <c:pt idx="198">
                  <c:v>203.56009800000001</c:v>
                </c:pt>
                <c:pt idx="199">
                  <c:v>203.56009800000001</c:v>
                </c:pt>
                <c:pt idx="200">
                  <c:v>195.75206175</c:v>
                </c:pt>
                <c:pt idx="201">
                  <c:v>192.81256575</c:v>
                </c:pt>
                <c:pt idx="202">
                  <c:v>189.87306974999998</c:v>
                </c:pt>
                <c:pt idx="203">
                  <c:v>191.61839549999996</c:v>
                </c:pt>
                <c:pt idx="204">
                  <c:v>188.03588474999998</c:v>
                </c:pt>
                <c:pt idx="205">
                  <c:v>188.03588474999998</c:v>
                </c:pt>
                <c:pt idx="206">
                  <c:v>188.03588474999998</c:v>
                </c:pt>
                <c:pt idx="207">
                  <c:v>184.63709249999999</c:v>
                </c:pt>
                <c:pt idx="208">
                  <c:v>187.66844774999998</c:v>
                </c:pt>
                <c:pt idx="209">
                  <c:v>182.34061124999999</c:v>
                </c:pt>
                <c:pt idx="210">
                  <c:v>182.43247049999999</c:v>
                </c:pt>
                <c:pt idx="211">
                  <c:v>183.44292224999998</c:v>
                </c:pt>
                <c:pt idx="212">
                  <c:v>183.44292224999998</c:v>
                </c:pt>
                <c:pt idx="213">
                  <c:v>183.44292224999998</c:v>
                </c:pt>
                <c:pt idx="214">
                  <c:v>183.35106299999998</c:v>
                </c:pt>
                <c:pt idx="215">
                  <c:v>181.33015949999998</c:v>
                </c:pt>
                <c:pt idx="216">
                  <c:v>184.45337399999997</c:v>
                </c:pt>
                <c:pt idx="217">
                  <c:v>186.290559</c:v>
                </c:pt>
                <c:pt idx="218">
                  <c:v>187.57658849999999</c:v>
                </c:pt>
                <c:pt idx="219">
                  <c:v>187.57658849999999</c:v>
                </c:pt>
                <c:pt idx="220">
                  <c:v>187.57658849999999</c:v>
                </c:pt>
                <c:pt idx="221">
                  <c:v>193.08814349999997</c:v>
                </c:pt>
                <c:pt idx="222">
                  <c:v>186.38241824999997</c:v>
                </c:pt>
                <c:pt idx="223">
                  <c:v>180.87086325000001</c:v>
                </c:pt>
                <c:pt idx="224">
                  <c:v>184.91267024999996</c:v>
                </c:pt>
                <c:pt idx="225">
                  <c:v>186.1068405</c:v>
                </c:pt>
                <c:pt idx="226">
                  <c:v>186.1068405</c:v>
                </c:pt>
                <c:pt idx="227">
                  <c:v>186.1068405</c:v>
                </c:pt>
                <c:pt idx="228">
                  <c:v>183.90221849999998</c:v>
                </c:pt>
                <c:pt idx="229">
                  <c:v>181.60573724999998</c:v>
                </c:pt>
                <c:pt idx="230">
                  <c:v>182.34061124999999</c:v>
                </c:pt>
                <c:pt idx="231">
                  <c:v>186.01498124999998</c:v>
                </c:pt>
                <c:pt idx="232">
                  <c:v>183.53478149999998</c:v>
                </c:pt>
                <c:pt idx="233">
                  <c:v>183.53478149999998</c:v>
                </c:pt>
                <c:pt idx="234">
                  <c:v>183.53478149999998</c:v>
                </c:pt>
                <c:pt idx="235">
                  <c:v>184.91267024999996</c:v>
                </c:pt>
                <c:pt idx="236">
                  <c:v>181.881315</c:v>
                </c:pt>
                <c:pt idx="237">
                  <c:v>179.95227075</c:v>
                </c:pt>
                <c:pt idx="238">
                  <c:v>177.93136724999999</c:v>
                </c:pt>
                <c:pt idx="239">
                  <c:v>175.26744899999997</c:v>
                </c:pt>
                <c:pt idx="240">
                  <c:v>175.26744899999997</c:v>
                </c:pt>
                <c:pt idx="241">
                  <c:v>175.26744899999997</c:v>
                </c:pt>
                <c:pt idx="242">
                  <c:v>177.2883525</c:v>
                </c:pt>
                <c:pt idx="243">
                  <c:v>177.839508</c:v>
                </c:pt>
                <c:pt idx="244">
                  <c:v>173.79770099999999</c:v>
                </c:pt>
                <c:pt idx="245">
                  <c:v>167.73499049999998</c:v>
                </c:pt>
                <c:pt idx="246">
                  <c:v>168.19428675</c:v>
                </c:pt>
                <c:pt idx="247">
                  <c:v>168.19428675</c:v>
                </c:pt>
                <c:pt idx="248">
                  <c:v>168.19428675</c:v>
                </c:pt>
                <c:pt idx="249">
                  <c:v>168.19428675</c:v>
                </c:pt>
                <c:pt idx="250">
                  <c:v>170.95006425</c:v>
                </c:pt>
                <c:pt idx="251">
                  <c:v>169.75589399999998</c:v>
                </c:pt>
                <c:pt idx="252">
                  <c:v>171.96051599999998</c:v>
                </c:pt>
                <c:pt idx="253">
                  <c:v>174.71629350000001</c:v>
                </c:pt>
                <c:pt idx="254">
                  <c:v>174.71629350000001</c:v>
                </c:pt>
                <c:pt idx="255">
                  <c:v>174.71629350000001</c:v>
                </c:pt>
                <c:pt idx="256">
                  <c:v>178.48252274999999</c:v>
                </c:pt>
                <c:pt idx="257">
                  <c:v>181.78945574999997</c:v>
                </c:pt>
                <c:pt idx="258">
                  <c:v>179.40111525</c:v>
                </c:pt>
                <c:pt idx="259">
                  <c:v>176.92091549999998</c:v>
                </c:pt>
                <c:pt idx="260">
                  <c:v>178.84995974999998</c:v>
                </c:pt>
                <c:pt idx="261">
                  <c:v>178.84995974999998</c:v>
                </c:pt>
                <c:pt idx="262">
                  <c:v>178.84995974999998</c:v>
                </c:pt>
                <c:pt idx="263">
                  <c:v>182.52432974999999</c:v>
                </c:pt>
                <c:pt idx="264">
                  <c:v>182.0650335</c:v>
                </c:pt>
                <c:pt idx="265">
                  <c:v>186.4742775</c:v>
                </c:pt>
                <c:pt idx="266">
                  <c:v>182.70804824999999</c:v>
                </c:pt>
                <c:pt idx="267">
                  <c:v>186.56613674999997</c:v>
                </c:pt>
                <c:pt idx="268">
                  <c:v>186.56613674999997</c:v>
                </c:pt>
                <c:pt idx="269">
                  <c:v>186.56613674999997</c:v>
                </c:pt>
                <c:pt idx="270">
                  <c:v>185.73940349999998</c:v>
                </c:pt>
                <c:pt idx="271">
                  <c:v>185.09638874999996</c:v>
                </c:pt>
                <c:pt idx="272">
                  <c:v>188.40332175</c:v>
                </c:pt>
                <c:pt idx="273">
                  <c:v>190.42422524999998</c:v>
                </c:pt>
                <c:pt idx="274">
                  <c:v>190.42422524999998</c:v>
                </c:pt>
                <c:pt idx="275">
                  <c:v>190.42422524999998</c:v>
                </c:pt>
                <c:pt idx="276">
                  <c:v>190.42422524999998</c:v>
                </c:pt>
                <c:pt idx="277">
                  <c:v>189.41377349999999</c:v>
                </c:pt>
                <c:pt idx="278">
                  <c:v>193.36372124999997</c:v>
                </c:pt>
                <c:pt idx="279">
                  <c:v>189.87306974999998</c:v>
                </c:pt>
                <c:pt idx="280">
                  <c:v>187.94402549999998</c:v>
                </c:pt>
                <c:pt idx="281">
                  <c:v>187.11729224999999</c:v>
                </c:pt>
                <c:pt idx="282">
                  <c:v>187.11729224999999</c:v>
                </c:pt>
                <c:pt idx="283">
                  <c:v>187.11729224999999</c:v>
                </c:pt>
                <c:pt idx="284">
                  <c:v>186.19869974999997</c:v>
                </c:pt>
                <c:pt idx="285">
                  <c:v>190.699803</c:v>
                </c:pt>
                <c:pt idx="286">
                  <c:v>186.74985525</c:v>
                </c:pt>
                <c:pt idx="287">
                  <c:v>184.63709249999999</c:v>
                </c:pt>
                <c:pt idx="288">
                  <c:v>180.87086325000001</c:v>
                </c:pt>
                <c:pt idx="289">
                  <c:v>180.87086325000001</c:v>
                </c:pt>
                <c:pt idx="290">
                  <c:v>180.87086325000001</c:v>
                </c:pt>
                <c:pt idx="291">
                  <c:v>178.48252274999999</c:v>
                </c:pt>
                <c:pt idx="292">
                  <c:v>180.50342624999996</c:v>
                </c:pt>
                <c:pt idx="293">
                  <c:v>181.78945574999997</c:v>
                </c:pt>
                <c:pt idx="294">
                  <c:v>180.31970774999999</c:v>
                </c:pt>
                <c:pt idx="295">
                  <c:v>180.22784849999999</c:v>
                </c:pt>
                <c:pt idx="296">
                  <c:v>180.22784849999999</c:v>
                </c:pt>
                <c:pt idx="297">
                  <c:v>180.22784849999999</c:v>
                </c:pt>
                <c:pt idx="298">
                  <c:v>187.02543299999996</c:v>
                </c:pt>
                <c:pt idx="299">
                  <c:v>187.11729224999999</c:v>
                </c:pt>
                <c:pt idx="300">
                  <c:v>185.92312199999998</c:v>
                </c:pt>
                <c:pt idx="301">
                  <c:v>189.23005499999999</c:v>
                </c:pt>
                <c:pt idx="302">
                  <c:v>191.80211399999999</c:v>
                </c:pt>
                <c:pt idx="303">
                  <c:v>191.80211399999999</c:v>
                </c:pt>
                <c:pt idx="304">
                  <c:v>191.80211399999999</c:v>
                </c:pt>
                <c:pt idx="305">
                  <c:v>186.657996</c:v>
                </c:pt>
                <c:pt idx="306">
                  <c:v>189.78121049999999</c:v>
                </c:pt>
                <c:pt idx="307">
                  <c:v>193.36372124999997</c:v>
                </c:pt>
                <c:pt idx="308">
                  <c:v>193.36372124999997</c:v>
                </c:pt>
                <c:pt idx="309">
                  <c:v>192.26141024999998</c:v>
                </c:pt>
                <c:pt idx="310">
                  <c:v>192.26141024999998</c:v>
                </c:pt>
                <c:pt idx="311">
                  <c:v>192.26141024999998</c:v>
                </c:pt>
                <c:pt idx="312">
                  <c:v>184.36151475</c:v>
                </c:pt>
                <c:pt idx="313">
                  <c:v>180.31970774999999</c:v>
                </c:pt>
                <c:pt idx="314">
                  <c:v>181.78945574999997</c:v>
                </c:pt>
                <c:pt idx="315">
                  <c:v>182.98362599999996</c:v>
                </c:pt>
                <c:pt idx="316">
                  <c:v>182.15689274999997</c:v>
                </c:pt>
                <c:pt idx="317">
                  <c:v>182.15689274999997</c:v>
                </c:pt>
                <c:pt idx="318">
                  <c:v>182.15689274999997</c:v>
                </c:pt>
                <c:pt idx="319">
                  <c:v>181.51387799999998</c:v>
                </c:pt>
                <c:pt idx="320">
                  <c:v>179.12553749999998</c:v>
                </c:pt>
                <c:pt idx="321">
                  <c:v>177.56393024999997</c:v>
                </c:pt>
                <c:pt idx="322">
                  <c:v>180.31970774999999</c:v>
                </c:pt>
                <c:pt idx="323">
                  <c:v>179.49297449999997</c:v>
                </c:pt>
              </c:numCache>
            </c:numRef>
          </c:val>
          <c:smooth val="0"/>
        </c:ser>
        <c:ser>
          <c:idx val="0"/>
          <c:order val="1"/>
          <c:tx>
            <c:strRef>
              <c:f>製圖!$B$1</c:f>
              <c:strCache>
                <c:ptCount val="1"/>
                <c:pt idx="0">
                  <c:v>小麥期貨平均(公噸)(美元)</c:v>
                </c:pt>
              </c:strCache>
            </c:strRef>
          </c:tx>
          <c:marker>
            <c:symbol val="none"/>
          </c:marker>
          <c:cat>
            <c:numRef>
              <c:f>製圖!$A$1098:$A$1421</c:f>
              <c:numCache>
                <c:formatCode>m/d/yyyy</c:formatCode>
                <c:ptCount val="324"/>
                <c:pt idx="0">
                  <c:v>42005</c:v>
                </c:pt>
                <c:pt idx="1">
                  <c:v>42006</c:v>
                </c:pt>
                <c:pt idx="2">
                  <c:v>42007</c:v>
                </c:pt>
                <c:pt idx="3">
                  <c:v>42008</c:v>
                </c:pt>
                <c:pt idx="4">
                  <c:v>42009</c:v>
                </c:pt>
                <c:pt idx="5">
                  <c:v>42010</c:v>
                </c:pt>
                <c:pt idx="6">
                  <c:v>42011</c:v>
                </c:pt>
                <c:pt idx="7">
                  <c:v>42012</c:v>
                </c:pt>
                <c:pt idx="8">
                  <c:v>42013</c:v>
                </c:pt>
                <c:pt idx="9">
                  <c:v>42014</c:v>
                </c:pt>
                <c:pt idx="10">
                  <c:v>42015</c:v>
                </c:pt>
                <c:pt idx="11">
                  <c:v>42016</c:v>
                </c:pt>
                <c:pt idx="12">
                  <c:v>42017</c:v>
                </c:pt>
                <c:pt idx="13">
                  <c:v>42018</c:v>
                </c:pt>
                <c:pt idx="14">
                  <c:v>42019</c:v>
                </c:pt>
                <c:pt idx="15">
                  <c:v>42020</c:v>
                </c:pt>
                <c:pt idx="16">
                  <c:v>42021</c:v>
                </c:pt>
                <c:pt idx="17">
                  <c:v>42022</c:v>
                </c:pt>
                <c:pt idx="18">
                  <c:v>42023</c:v>
                </c:pt>
                <c:pt idx="19">
                  <c:v>42024</c:v>
                </c:pt>
                <c:pt idx="20">
                  <c:v>42025</c:v>
                </c:pt>
                <c:pt idx="21">
                  <c:v>42026</c:v>
                </c:pt>
                <c:pt idx="22">
                  <c:v>42027</c:v>
                </c:pt>
                <c:pt idx="23">
                  <c:v>42028</c:v>
                </c:pt>
                <c:pt idx="24">
                  <c:v>42029</c:v>
                </c:pt>
                <c:pt idx="25">
                  <c:v>42030</c:v>
                </c:pt>
                <c:pt idx="26">
                  <c:v>42031</c:v>
                </c:pt>
                <c:pt idx="27">
                  <c:v>42032</c:v>
                </c:pt>
                <c:pt idx="28">
                  <c:v>42033</c:v>
                </c:pt>
                <c:pt idx="29">
                  <c:v>42034</c:v>
                </c:pt>
                <c:pt idx="30">
                  <c:v>42035</c:v>
                </c:pt>
                <c:pt idx="31">
                  <c:v>42036</c:v>
                </c:pt>
                <c:pt idx="32">
                  <c:v>42037</c:v>
                </c:pt>
                <c:pt idx="33">
                  <c:v>42038</c:v>
                </c:pt>
                <c:pt idx="34">
                  <c:v>42039</c:v>
                </c:pt>
                <c:pt idx="35">
                  <c:v>42040</c:v>
                </c:pt>
                <c:pt idx="36">
                  <c:v>42041</c:v>
                </c:pt>
                <c:pt idx="37">
                  <c:v>42042</c:v>
                </c:pt>
                <c:pt idx="38">
                  <c:v>42043</c:v>
                </c:pt>
                <c:pt idx="39">
                  <c:v>42044</c:v>
                </c:pt>
                <c:pt idx="40">
                  <c:v>42045</c:v>
                </c:pt>
                <c:pt idx="41">
                  <c:v>42046</c:v>
                </c:pt>
                <c:pt idx="42">
                  <c:v>42047</c:v>
                </c:pt>
                <c:pt idx="43">
                  <c:v>42048</c:v>
                </c:pt>
                <c:pt idx="44">
                  <c:v>42049</c:v>
                </c:pt>
                <c:pt idx="45">
                  <c:v>42050</c:v>
                </c:pt>
                <c:pt idx="46">
                  <c:v>42051</c:v>
                </c:pt>
                <c:pt idx="47">
                  <c:v>42052</c:v>
                </c:pt>
                <c:pt idx="48">
                  <c:v>42053</c:v>
                </c:pt>
                <c:pt idx="49">
                  <c:v>42054</c:v>
                </c:pt>
                <c:pt idx="50">
                  <c:v>42055</c:v>
                </c:pt>
                <c:pt idx="51">
                  <c:v>42056</c:v>
                </c:pt>
                <c:pt idx="52">
                  <c:v>42057</c:v>
                </c:pt>
                <c:pt idx="53">
                  <c:v>42058</c:v>
                </c:pt>
                <c:pt idx="54">
                  <c:v>42059</c:v>
                </c:pt>
                <c:pt idx="55">
                  <c:v>42060</c:v>
                </c:pt>
                <c:pt idx="56">
                  <c:v>42061</c:v>
                </c:pt>
                <c:pt idx="57">
                  <c:v>42062</c:v>
                </c:pt>
                <c:pt idx="58">
                  <c:v>42063</c:v>
                </c:pt>
                <c:pt idx="59">
                  <c:v>42064</c:v>
                </c:pt>
                <c:pt idx="60">
                  <c:v>42065</c:v>
                </c:pt>
                <c:pt idx="61">
                  <c:v>42066</c:v>
                </c:pt>
                <c:pt idx="62">
                  <c:v>42067</c:v>
                </c:pt>
                <c:pt idx="63">
                  <c:v>42068</c:v>
                </c:pt>
                <c:pt idx="64">
                  <c:v>42069</c:v>
                </c:pt>
                <c:pt idx="65">
                  <c:v>42070</c:v>
                </c:pt>
                <c:pt idx="66">
                  <c:v>42071</c:v>
                </c:pt>
                <c:pt idx="67">
                  <c:v>42072</c:v>
                </c:pt>
                <c:pt idx="68">
                  <c:v>42073</c:v>
                </c:pt>
                <c:pt idx="69">
                  <c:v>42074</c:v>
                </c:pt>
                <c:pt idx="70">
                  <c:v>42075</c:v>
                </c:pt>
                <c:pt idx="71">
                  <c:v>42076</c:v>
                </c:pt>
                <c:pt idx="72">
                  <c:v>42077</c:v>
                </c:pt>
                <c:pt idx="73">
                  <c:v>42078</c:v>
                </c:pt>
                <c:pt idx="74">
                  <c:v>42079</c:v>
                </c:pt>
                <c:pt idx="75">
                  <c:v>42080</c:v>
                </c:pt>
                <c:pt idx="76">
                  <c:v>42081</c:v>
                </c:pt>
                <c:pt idx="77">
                  <c:v>42082</c:v>
                </c:pt>
                <c:pt idx="78">
                  <c:v>42083</c:v>
                </c:pt>
                <c:pt idx="79">
                  <c:v>42084</c:v>
                </c:pt>
                <c:pt idx="80">
                  <c:v>42085</c:v>
                </c:pt>
                <c:pt idx="81">
                  <c:v>42086</c:v>
                </c:pt>
                <c:pt idx="82">
                  <c:v>42087</c:v>
                </c:pt>
                <c:pt idx="83">
                  <c:v>42088</c:v>
                </c:pt>
                <c:pt idx="84">
                  <c:v>42089</c:v>
                </c:pt>
                <c:pt idx="85">
                  <c:v>42090</c:v>
                </c:pt>
                <c:pt idx="86">
                  <c:v>42091</c:v>
                </c:pt>
                <c:pt idx="87">
                  <c:v>42092</c:v>
                </c:pt>
                <c:pt idx="88">
                  <c:v>42093</c:v>
                </c:pt>
                <c:pt idx="89">
                  <c:v>42094</c:v>
                </c:pt>
                <c:pt idx="90">
                  <c:v>42095</c:v>
                </c:pt>
                <c:pt idx="91">
                  <c:v>42096</c:v>
                </c:pt>
                <c:pt idx="92">
                  <c:v>42097</c:v>
                </c:pt>
                <c:pt idx="93">
                  <c:v>42098</c:v>
                </c:pt>
                <c:pt idx="94">
                  <c:v>42099</c:v>
                </c:pt>
                <c:pt idx="95">
                  <c:v>42100</c:v>
                </c:pt>
                <c:pt idx="96">
                  <c:v>42101</c:v>
                </c:pt>
                <c:pt idx="97">
                  <c:v>42102</c:v>
                </c:pt>
                <c:pt idx="98">
                  <c:v>42103</c:v>
                </c:pt>
                <c:pt idx="99">
                  <c:v>42104</c:v>
                </c:pt>
                <c:pt idx="100">
                  <c:v>42105</c:v>
                </c:pt>
                <c:pt idx="101">
                  <c:v>42106</c:v>
                </c:pt>
                <c:pt idx="102">
                  <c:v>42107</c:v>
                </c:pt>
                <c:pt idx="103">
                  <c:v>42108</c:v>
                </c:pt>
                <c:pt idx="104">
                  <c:v>42109</c:v>
                </c:pt>
                <c:pt idx="105">
                  <c:v>42110</c:v>
                </c:pt>
                <c:pt idx="106">
                  <c:v>42111</c:v>
                </c:pt>
                <c:pt idx="107">
                  <c:v>42112</c:v>
                </c:pt>
                <c:pt idx="108">
                  <c:v>42113</c:v>
                </c:pt>
                <c:pt idx="109">
                  <c:v>42114</c:v>
                </c:pt>
                <c:pt idx="110">
                  <c:v>42115</c:v>
                </c:pt>
                <c:pt idx="111">
                  <c:v>42116</c:v>
                </c:pt>
                <c:pt idx="112">
                  <c:v>42117</c:v>
                </c:pt>
                <c:pt idx="113">
                  <c:v>42118</c:v>
                </c:pt>
                <c:pt idx="114">
                  <c:v>42119</c:v>
                </c:pt>
                <c:pt idx="115">
                  <c:v>42120</c:v>
                </c:pt>
                <c:pt idx="116">
                  <c:v>42121</c:v>
                </c:pt>
                <c:pt idx="117">
                  <c:v>42122</c:v>
                </c:pt>
                <c:pt idx="118">
                  <c:v>42123</c:v>
                </c:pt>
                <c:pt idx="119">
                  <c:v>42124</c:v>
                </c:pt>
                <c:pt idx="120">
                  <c:v>42125</c:v>
                </c:pt>
                <c:pt idx="121">
                  <c:v>42126</c:v>
                </c:pt>
                <c:pt idx="122">
                  <c:v>42127</c:v>
                </c:pt>
                <c:pt idx="123">
                  <c:v>42128</c:v>
                </c:pt>
                <c:pt idx="124">
                  <c:v>42129</c:v>
                </c:pt>
                <c:pt idx="125">
                  <c:v>42130</c:v>
                </c:pt>
                <c:pt idx="126">
                  <c:v>42131</c:v>
                </c:pt>
                <c:pt idx="127">
                  <c:v>42132</c:v>
                </c:pt>
                <c:pt idx="128">
                  <c:v>42133</c:v>
                </c:pt>
                <c:pt idx="129">
                  <c:v>42134</c:v>
                </c:pt>
                <c:pt idx="130">
                  <c:v>42135</c:v>
                </c:pt>
                <c:pt idx="131">
                  <c:v>42136</c:v>
                </c:pt>
                <c:pt idx="132">
                  <c:v>42137</c:v>
                </c:pt>
                <c:pt idx="133">
                  <c:v>42138</c:v>
                </c:pt>
                <c:pt idx="134">
                  <c:v>42139</c:v>
                </c:pt>
                <c:pt idx="135">
                  <c:v>42140</c:v>
                </c:pt>
                <c:pt idx="136">
                  <c:v>42141</c:v>
                </c:pt>
                <c:pt idx="137">
                  <c:v>42142</c:v>
                </c:pt>
                <c:pt idx="138">
                  <c:v>42143</c:v>
                </c:pt>
                <c:pt idx="139">
                  <c:v>42144</c:v>
                </c:pt>
                <c:pt idx="140">
                  <c:v>42145</c:v>
                </c:pt>
                <c:pt idx="141">
                  <c:v>42146</c:v>
                </c:pt>
                <c:pt idx="142">
                  <c:v>42147</c:v>
                </c:pt>
                <c:pt idx="143">
                  <c:v>42148</c:v>
                </c:pt>
                <c:pt idx="144">
                  <c:v>42149</c:v>
                </c:pt>
                <c:pt idx="145">
                  <c:v>42150</c:v>
                </c:pt>
                <c:pt idx="146">
                  <c:v>42151</c:v>
                </c:pt>
                <c:pt idx="147">
                  <c:v>42152</c:v>
                </c:pt>
                <c:pt idx="148">
                  <c:v>42153</c:v>
                </c:pt>
                <c:pt idx="149">
                  <c:v>42154</c:v>
                </c:pt>
                <c:pt idx="150">
                  <c:v>42155</c:v>
                </c:pt>
                <c:pt idx="151">
                  <c:v>42156</c:v>
                </c:pt>
                <c:pt idx="152">
                  <c:v>42157</c:v>
                </c:pt>
                <c:pt idx="153">
                  <c:v>42158</c:v>
                </c:pt>
                <c:pt idx="154">
                  <c:v>42159</c:v>
                </c:pt>
                <c:pt idx="155">
                  <c:v>42160</c:v>
                </c:pt>
                <c:pt idx="156">
                  <c:v>42161</c:v>
                </c:pt>
                <c:pt idx="157">
                  <c:v>42162</c:v>
                </c:pt>
                <c:pt idx="158">
                  <c:v>42163</c:v>
                </c:pt>
                <c:pt idx="159">
                  <c:v>42164</c:v>
                </c:pt>
                <c:pt idx="160">
                  <c:v>42165</c:v>
                </c:pt>
                <c:pt idx="161">
                  <c:v>42166</c:v>
                </c:pt>
                <c:pt idx="162">
                  <c:v>42167</c:v>
                </c:pt>
                <c:pt idx="163">
                  <c:v>42168</c:v>
                </c:pt>
                <c:pt idx="164">
                  <c:v>42169</c:v>
                </c:pt>
                <c:pt idx="165">
                  <c:v>42170</c:v>
                </c:pt>
                <c:pt idx="166">
                  <c:v>42171</c:v>
                </c:pt>
                <c:pt idx="167">
                  <c:v>42172</c:v>
                </c:pt>
                <c:pt idx="168">
                  <c:v>42173</c:v>
                </c:pt>
                <c:pt idx="169">
                  <c:v>42174</c:v>
                </c:pt>
                <c:pt idx="170">
                  <c:v>42175</c:v>
                </c:pt>
                <c:pt idx="171">
                  <c:v>42176</c:v>
                </c:pt>
                <c:pt idx="172">
                  <c:v>42177</c:v>
                </c:pt>
                <c:pt idx="173">
                  <c:v>42178</c:v>
                </c:pt>
                <c:pt idx="174">
                  <c:v>42179</c:v>
                </c:pt>
                <c:pt idx="175">
                  <c:v>42180</c:v>
                </c:pt>
                <c:pt idx="176">
                  <c:v>42181</c:v>
                </c:pt>
                <c:pt idx="177">
                  <c:v>42182</c:v>
                </c:pt>
                <c:pt idx="178">
                  <c:v>42183</c:v>
                </c:pt>
                <c:pt idx="179">
                  <c:v>42184</c:v>
                </c:pt>
                <c:pt idx="180">
                  <c:v>42185</c:v>
                </c:pt>
                <c:pt idx="181">
                  <c:v>42186</c:v>
                </c:pt>
                <c:pt idx="182">
                  <c:v>42187</c:v>
                </c:pt>
                <c:pt idx="183">
                  <c:v>42188</c:v>
                </c:pt>
                <c:pt idx="184">
                  <c:v>42189</c:v>
                </c:pt>
                <c:pt idx="185">
                  <c:v>42190</c:v>
                </c:pt>
                <c:pt idx="186">
                  <c:v>42191</c:v>
                </c:pt>
                <c:pt idx="187">
                  <c:v>42192</c:v>
                </c:pt>
                <c:pt idx="188">
                  <c:v>42193</c:v>
                </c:pt>
                <c:pt idx="189">
                  <c:v>42194</c:v>
                </c:pt>
                <c:pt idx="190">
                  <c:v>42195</c:v>
                </c:pt>
                <c:pt idx="191">
                  <c:v>42196</c:v>
                </c:pt>
                <c:pt idx="192">
                  <c:v>42197</c:v>
                </c:pt>
                <c:pt idx="193">
                  <c:v>42198</c:v>
                </c:pt>
                <c:pt idx="194">
                  <c:v>42199</c:v>
                </c:pt>
                <c:pt idx="195">
                  <c:v>42200</c:v>
                </c:pt>
                <c:pt idx="196">
                  <c:v>42201</c:v>
                </c:pt>
                <c:pt idx="197">
                  <c:v>42202</c:v>
                </c:pt>
                <c:pt idx="198">
                  <c:v>42203</c:v>
                </c:pt>
                <c:pt idx="199">
                  <c:v>42204</c:v>
                </c:pt>
                <c:pt idx="200">
                  <c:v>42205</c:v>
                </c:pt>
                <c:pt idx="201">
                  <c:v>42206</c:v>
                </c:pt>
                <c:pt idx="202">
                  <c:v>42207</c:v>
                </c:pt>
                <c:pt idx="203">
                  <c:v>42208</c:v>
                </c:pt>
                <c:pt idx="204">
                  <c:v>42209</c:v>
                </c:pt>
                <c:pt idx="205">
                  <c:v>42210</c:v>
                </c:pt>
                <c:pt idx="206">
                  <c:v>42211</c:v>
                </c:pt>
                <c:pt idx="207">
                  <c:v>42212</c:v>
                </c:pt>
                <c:pt idx="208">
                  <c:v>42213</c:v>
                </c:pt>
                <c:pt idx="209">
                  <c:v>42214</c:v>
                </c:pt>
                <c:pt idx="210">
                  <c:v>42215</c:v>
                </c:pt>
                <c:pt idx="211">
                  <c:v>42216</c:v>
                </c:pt>
                <c:pt idx="212">
                  <c:v>42217</c:v>
                </c:pt>
                <c:pt idx="213">
                  <c:v>42218</c:v>
                </c:pt>
                <c:pt idx="214">
                  <c:v>42219</c:v>
                </c:pt>
                <c:pt idx="215">
                  <c:v>42220</c:v>
                </c:pt>
                <c:pt idx="216">
                  <c:v>42221</c:v>
                </c:pt>
                <c:pt idx="217">
                  <c:v>42222</c:v>
                </c:pt>
                <c:pt idx="218">
                  <c:v>42223</c:v>
                </c:pt>
                <c:pt idx="219">
                  <c:v>42224</c:v>
                </c:pt>
                <c:pt idx="220">
                  <c:v>42225</c:v>
                </c:pt>
                <c:pt idx="221">
                  <c:v>42226</c:v>
                </c:pt>
                <c:pt idx="222">
                  <c:v>42227</c:v>
                </c:pt>
                <c:pt idx="223">
                  <c:v>42228</c:v>
                </c:pt>
                <c:pt idx="224">
                  <c:v>42229</c:v>
                </c:pt>
                <c:pt idx="225">
                  <c:v>42230</c:v>
                </c:pt>
                <c:pt idx="226">
                  <c:v>42231</c:v>
                </c:pt>
                <c:pt idx="227">
                  <c:v>42232</c:v>
                </c:pt>
                <c:pt idx="228">
                  <c:v>42233</c:v>
                </c:pt>
                <c:pt idx="229">
                  <c:v>42234</c:v>
                </c:pt>
                <c:pt idx="230">
                  <c:v>42235</c:v>
                </c:pt>
                <c:pt idx="231">
                  <c:v>42236</c:v>
                </c:pt>
                <c:pt idx="232">
                  <c:v>42237</c:v>
                </c:pt>
                <c:pt idx="233">
                  <c:v>42238</c:v>
                </c:pt>
                <c:pt idx="234">
                  <c:v>42239</c:v>
                </c:pt>
                <c:pt idx="235">
                  <c:v>42240</c:v>
                </c:pt>
                <c:pt idx="236">
                  <c:v>42241</c:v>
                </c:pt>
                <c:pt idx="237">
                  <c:v>42242</c:v>
                </c:pt>
                <c:pt idx="238">
                  <c:v>42243</c:v>
                </c:pt>
                <c:pt idx="239">
                  <c:v>42244</c:v>
                </c:pt>
                <c:pt idx="240">
                  <c:v>42245</c:v>
                </c:pt>
                <c:pt idx="241">
                  <c:v>42246</c:v>
                </c:pt>
                <c:pt idx="242">
                  <c:v>42247</c:v>
                </c:pt>
                <c:pt idx="243">
                  <c:v>42248</c:v>
                </c:pt>
                <c:pt idx="244">
                  <c:v>42249</c:v>
                </c:pt>
                <c:pt idx="245">
                  <c:v>42250</c:v>
                </c:pt>
                <c:pt idx="246">
                  <c:v>42251</c:v>
                </c:pt>
                <c:pt idx="247">
                  <c:v>42252</c:v>
                </c:pt>
                <c:pt idx="248">
                  <c:v>42253</c:v>
                </c:pt>
                <c:pt idx="249">
                  <c:v>42254</c:v>
                </c:pt>
                <c:pt idx="250">
                  <c:v>42255</c:v>
                </c:pt>
                <c:pt idx="251">
                  <c:v>42256</c:v>
                </c:pt>
                <c:pt idx="252">
                  <c:v>42257</c:v>
                </c:pt>
                <c:pt idx="253">
                  <c:v>42258</c:v>
                </c:pt>
                <c:pt idx="254">
                  <c:v>42259</c:v>
                </c:pt>
                <c:pt idx="255">
                  <c:v>42260</c:v>
                </c:pt>
                <c:pt idx="256">
                  <c:v>42261</c:v>
                </c:pt>
                <c:pt idx="257">
                  <c:v>42262</c:v>
                </c:pt>
                <c:pt idx="258">
                  <c:v>42263</c:v>
                </c:pt>
                <c:pt idx="259">
                  <c:v>42264</c:v>
                </c:pt>
                <c:pt idx="260">
                  <c:v>42265</c:v>
                </c:pt>
                <c:pt idx="261">
                  <c:v>42266</c:v>
                </c:pt>
                <c:pt idx="262">
                  <c:v>42267</c:v>
                </c:pt>
                <c:pt idx="263">
                  <c:v>42268</c:v>
                </c:pt>
                <c:pt idx="264">
                  <c:v>42269</c:v>
                </c:pt>
                <c:pt idx="265">
                  <c:v>42270</c:v>
                </c:pt>
                <c:pt idx="266">
                  <c:v>42271</c:v>
                </c:pt>
                <c:pt idx="267">
                  <c:v>42272</c:v>
                </c:pt>
                <c:pt idx="268">
                  <c:v>42273</c:v>
                </c:pt>
                <c:pt idx="269">
                  <c:v>42274</c:v>
                </c:pt>
                <c:pt idx="270">
                  <c:v>42275</c:v>
                </c:pt>
                <c:pt idx="271">
                  <c:v>42276</c:v>
                </c:pt>
                <c:pt idx="272">
                  <c:v>42277</c:v>
                </c:pt>
                <c:pt idx="273">
                  <c:v>42278</c:v>
                </c:pt>
                <c:pt idx="274">
                  <c:v>42279</c:v>
                </c:pt>
                <c:pt idx="275">
                  <c:v>42280</c:v>
                </c:pt>
                <c:pt idx="276">
                  <c:v>42281</c:v>
                </c:pt>
                <c:pt idx="277">
                  <c:v>42282</c:v>
                </c:pt>
                <c:pt idx="278">
                  <c:v>42283</c:v>
                </c:pt>
                <c:pt idx="279">
                  <c:v>42284</c:v>
                </c:pt>
                <c:pt idx="280">
                  <c:v>42285</c:v>
                </c:pt>
                <c:pt idx="281">
                  <c:v>42286</c:v>
                </c:pt>
                <c:pt idx="282">
                  <c:v>42287</c:v>
                </c:pt>
                <c:pt idx="283">
                  <c:v>42288</c:v>
                </c:pt>
                <c:pt idx="284">
                  <c:v>42289</c:v>
                </c:pt>
                <c:pt idx="285">
                  <c:v>42290</c:v>
                </c:pt>
                <c:pt idx="286">
                  <c:v>42291</c:v>
                </c:pt>
                <c:pt idx="287">
                  <c:v>42292</c:v>
                </c:pt>
                <c:pt idx="288">
                  <c:v>42293</c:v>
                </c:pt>
                <c:pt idx="289">
                  <c:v>42294</c:v>
                </c:pt>
                <c:pt idx="290">
                  <c:v>42295</c:v>
                </c:pt>
                <c:pt idx="291">
                  <c:v>42296</c:v>
                </c:pt>
                <c:pt idx="292">
                  <c:v>42297</c:v>
                </c:pt>
                <c:pt idx="293">
                  <c:v>42298</c:v>
                </c:pt>
                <c:pt idx="294">
                  <c:v>42299</c:v>
                </c:pt>
                <c:pt idx="295">
                  <c:v>42300</c:v>
                </c:pt>
                <c:pt idx="296">
                  <c:v>42301</c:v>
                </c:pt>
                <c:pt idx="297">
                  <c:v>42302</c:v>
                </c:pt>
                <c:pt idx="298">
                  <c:v>42303</c:v>
                </c:pt>
                <c:pt idx="299">
                  <c:v>42304</c:v>
                </c:pt>
                <c:pt idx="300">
                  <c:v>42305</c:v>
                </c:pt>
                <c:pt idx="301">
                  <c:v>42306</c:v>
                </c:pt>
                <c:pt idx="302">
                  <c:v>42307</c:v>
                </c:pt>
                <c:pt idx="303">
                  <c:v>42308</c:v>
                </c:pt>
                <c:pt idx="304">
                  <c:v>42309</c:v>
                </c:pt>
                <c:pt idx="305">
                  <c:v>42310</c:v>
                </c:pt>
                <c:pt idx="306">
                  <c:v>42311</c:v>
                </c:pt>
                <c:pt idx="307">
                  <c:v>42312</c:v>
                </c:pt>
                <c:pt idx="308">
                  <c:v>42313</c:v>
                </c:pt>
                <c:pt idx="309">
                  <c:v>42314</c:v>
                </c:pt>
                <c:pt idx="310">
                  <c:v>42315</c:v>
                </c:pt>
                <c:pt idx="311">
                  <c:v>42316</c:v>
                </c:pt>
                <c:pt idx="312">
                  <c:v>42317</c:v>
                </c:pt>
                <c:pt idx="313">
                  <c:v>42318</c:v>
                </c:pt>
                <c:pt idx="314">
                  <c:v>42319</c:v>
                </c:pt>
                <c:pt idx="315">
                  <c:v>42320</c:v>
                </c:pt>
                <c:pt idx="316">
                  <c:v>42321</c:v>
                </c:pt>
                <c:pt idx="317">
                  <c:v>42322</c:v>
                </c:pt>
                <c:pt idx="318">
                  <c:v>42323</c:v>
                </c:pt>
                <c:pt idx="319">
                  <c:v>42324</c:v>
                </c:pt>
                <c:pt idx="320">
                  <c:v>42325</c:v>
                </c:pt>
                <c:pt idx="321">
                  <c:v>42326</c:v>
                </c:pt>
                <c:pt idx="322">
                  <c:v>42327</c:v>
                </c:pt>
                <c:pt idx="323">
                  <c:v>42328</c:v>
                </c:pt>
              </c:numCache>
            </c:numRef>
          </c:cat>
          <c:val>
            <c:numRef>
              <c:f>製圖!$B$1098:$B$1421</c:f>
              <c:numCache>
                <c:formatCode>0.00_ </c:formatCode>
                <c:ptCount val="324"/>
                <c:pt idx="0">
                  <c:v>221.19707399999999</c:v>
                </c:pt>
                <c:pt idx="1">
                  <c:v>213.57275625</c:v>
                </c:pt>
                <c:pt idx="2">
                  <c:v>213.57275625</c:v>
                </c:pt>
                <c:pt idx="3">
                  <c:v>213.57275625</c:v>
                </c:pt>
                <c:pt idx="4">
                  <c:v>216.42039299999996</c:v>
                </c:pt>
                <c:pt idx="5">
                  <c:v>217.43084475000001</c:v>
                </c:pt>
                <c:pt idx="6">
                  <c:v>212.92974149999998</c:v>
                </c:pt>
                <c:pt idx="7">
                  <c:v>208.33677899999998</c:v>
                </c:pt>
                <c:pt idx="8">
                  <c:v>207.14260874999999</c:v>
                </c:pt>
                <c:pt idx="9">
                  <c:v>207.14260874999999</c:v>
                </c:pt>
                <c:pt idx="10">
                  <c:v>207.14260874999999</c:v>
                </c:pt>
                <c:pt idx="11">
                  <c:v>204.11125349999998</c:v>
                </c:pt>
                <c:pt idx="12">
                  <c:v>201.35547599999998</c:v>
                </c:pt>
                <c:pt idx="13">
                  <c:v>197.58924674999997</c:v>
                </c:pt>
                <c:pt idx="14">
                  <c:v>195.75206175</c:v>
                </c:pt>
                <c:pt idx="15">
                  <c:v>195.75206175</c:v>
                </c:pt>
                <c:pt idx="16">
                  <c:v>195.75</c:v>
                </c:pt>
                <c:pt idx="17">
                  <c:v>195.75</c:v>
                </c:pt>
                <c:pt idx="18">
                  <c:v>195.75</c:v>
                </c:pt>
                <c:pt idx="19">
                  <c:v>197.31366899999998</c:v>
                </c:pt>
                <c:pt idx="20">
                  <c:v>197.22180975000001</c:v>
                </c:pt>
                <c:pt idx="21">
                  <c:v>196.11949874999999</c:v>
                </c:pt>
                <c:pt idx="22">
                  <c:v>194.74161000000001</c:v>
                </c:pt>
                <c:pt idx="23">
                  <c:v>194.74</c:v>
                </c:pt>
                <c:pt idx="24">
                  <c:v>194.74</c:v>
                </c:pt>
                <c:pt idx="25">
                  <c:v>191.25095849999997</c:v>
                </c:pt>
                <c:pt idx="26">
                  <c:v>190.699803</c:v>
                </c:pt>
                <c:pt idx="27">
                  <c:v>185.64754424999998</c:v>
                </c:pt>
                <c:pt idx="28">
                  <c:v>186.56613674999997</c:v>
                </c:pt>
                <c:pt idx="29">
                  <c:v>184.72895174999996</c:v>
                </c:pt>
                <c:pt idx="30">
                  <c:v>184.72895174999996</c:v>
                </c:pt>
                <c:pt idx="31">
                  <c:v>184.72895174999996</c:v>
                </c:pt>
                <c:pt idx="32">
                  <c:v>181.05458175000001</c:v>
                </c:pt>
                <c:pt idx="33">
                  <c:v>188.77075875</c:v>
                </c:pt>
                <c:pt idx="34">
                  <c:v>187.76030699999998</c:v>
                </c:pt>
                <c:pt idx="35">
                  <c:v>193.18000274999997</c:v>
                </c:pt>
                <c:pt idx="36">
                  <c:v>193.63929899999999</c:v>
                </c:pt>
                <c:pt idx="37">
                  <c:v>193.63929899999999</c:v>
                </c:pt>
                <c:pt idx="38">
                  <c:v>193.63929899999999</c:v>
                </c:pt>
                <c:pt idx="39">
                  <c:v>194.64975074999998</c:v>
                </c:pt>
                <c:pt idx="40">
                  <c:v>191.71025474999999</c:v>
                </c:pt>
                <c:pt idx="41">
                  <c:v>193.18000274999997</c:v>
                </c:pt>
                <c:pt idx="42">
                  <c:v>191.52653624999999</c:v>
                </c:pt>
                <c:pt idx="43">
                  <c:v>195.84392099999997</c:v>
                </c:pt>
                <c:pt idx="44">
                  <c:v>195.84392099999997</c:v>
                </c:pt>
                <c:pt idx="45">
                  <c:v>195.84392099999997</c:v>
                </c:pt>
                <c:pt idx="46">
                  <c:v>195.84392099999997</c:v>
                </c:pt>
                <c:pt idx="47">
                  <c:v>196.48693574999999</c:v>
                </c:pt>
                <c:pt idx="48">
                  <c:v>193.91487674999996</c:v>
                </c:pt>
                <c:pt idx="49">
                  <c:v>193.91487674999996</c:v>
                </c:pt>
                <c:pt idx="50">
                  <c:v>187.48472924999999</c:v>
                </c:pt>
                <c:pt idx="51">
                  <c:v>187.48472924999999</c:v>
                </c:pt>
                <c:pt idx="52">
                  <c:v>187.48472924999999</c:v>
                </c:pt>
                <c:pt idx="53">
                  <c:v>185.83126274999998</c:v>
                </c:pt>
                <c:pt idx="54">
                  <c:v>185.83126274999998</c:v>
                </c:pt>
                <c:pt idx="55">
                  <c:v>182.89176674999999</c:v>
                </c:pt>
                <c:pt idx="56">
                  <c:v>184.91267024999996</c:v>
                </c:pt>
                <c:pt idx="57">
                  <c:v>190.14864749999998</c:v>
                </c:pt>
                <c:pt idx="58">
                  <c:v>190.14864749999998</c:v>
                </c:pt>
                <c:pt idx="59">
                  <c:v>190.14864749999998</c:v>
                </c:pt>
                <c:pt idx="60">
                  <c:v>186.657996</c:v>
                </c:pt>
                <c:pt idx="61">
                  <c:v>186.93357374999999</c:v>
                </c:pt>
                <c:pt idx="62">
                  <c:v>181.33015949999998</c:v>
                </c:pt>
                <c:pt idx="63">
                  <c:v>176.82905625000001</c:v>
                </c:pt>
                <c:pt idx="64">
                  <c:v>178.48252274999999</c:v>
                </c:pt>
                <c:pt idx="65">
                  <c:v>178.48252274999999</c:v>
                </c:pt>
                <c:pt idx="66">
                  <c:v>178.48252274999999</c:v>
                </c:pt>
                <c:pt idx="67">
                  <c:v>181.60573724999998</c:v>
                </c:pt>
                <c:pt idx="68">
                  <c:v>182.43247049999999</c:v>
                </c:pt>
                <c:pt idx="69">
                  <c:v>184.82081099999999</c:v>
                </c:pt>
                <c:pt idx="70">
                  <c:v>188.58704025</c:v>
                </c:pt>
                <c:pt idx="71">
                  <c:v>184.45337399999997</c:v>
                </c:pt>
                <c:pt idx="72">
                  <c:v>184.45337399999997</c:v>
                </c:pt>
                <c:pt idx="73">
                  <c:v>184.45337399999997</c:v>
                </c:pt>
                <c:pt idx="74">
                  <c:v>188.862618</c:v>
                </c:pt>
                <c:pt idx="75">
                  <c:v>185.00452949999999</c:v>
                </c:pt>
                <c:pt idx="76">
                  <c:v>187.66844774999998</c:v>
                </c:pt>
                <c:pt idx="77">
                  <c:v>188.12774399999998</c:v>
                </c:pt>
                <c:pt idx="78">
                  <c:v>194.74161000000001</c:v>
                </c:pt>
                <c:pt idx="79">
                  <c:v>194.74161000000001</c:v>
                </c:pt>
                <c:pt idx="80">
                  <c:v>194.74161000000001</c:v>
                </c:pt>
                <c:pt idx="81">
                  <c:v>196.21135799999999</c:v>
                </c:pt>
                <c:pt idx="82">
                  <c:v>192.35326949999998</c:v>
                </c:pt>
                <c:pt idx="83">
                  <c:v>190.699803</c:v>
                </c:pt>
                <c:pt idx="84">
                  <c:v>183.44292224999998</c:v>
                </c:pt>
                <c:pt idx="85">
                  <c:v>186.56613674999997</c:v>
                </c:pt>
                <c:pt idx="86">
                  <c:v>186.56613674999997</c:v>
                </c:pt>
                <c:pt idx="87">
                  <c:v>186.56613674999997</c:v>
                </c:pt>
                <c:pt idx="88">
                  <c:v>194.83346924999998</c:v>
                </c:pt>
                <c:pt idx="89">
                  <c:v>188.03588474999998</c:v>
                </c:pt>
                <c:pt idx="90">
                  <c:v>194.19045449999999</c:v>
                </c:pt>
                <c:pt idx="91">
                  <c:v>197.03809125000001</c:v>
                </c:pt>
                <c:pt idx="92">
                  <c:v>197.03809125000001</c:v>
                </c:pt>
                <c:pt idx="93">
                  <c:v>197.03809125000001</c:v>
                </c:pt>
                <c:pt idx="94">
                  <c:v>197.03809125000001</c:v>
                </c:pt>
                <c:pt idx="95">
                  <c:v>193.91487674999996</c:v>
                </c:pt>
                <c:pt idx="96">
                  <c:v>193.271862</c:v>
                </c:pt>
                <c:pt idx="97">
                  <c:v>193.36372124999997</c:v>
                </c:pt>
                <c:pt idx="98">
                  <c:v>190.60794374999998</c:v>
                </c:pt>
                <c:pt idx="99">
                  <c:v>193.4555805</c:v>
                </c:pt>
                <c:pt idx="100">
                  <c:v>193.4555805</c:v>
                </c:pt>
                <c:pt idx="101">
                  <c:v>193.4555805</c:v>
                </c:pt>
                <c:pt idx="102">
                  <c:v>184.54523325</c:v>
                </c:pt>
                <c:pt idx="103">
                  <c:v>182.61618899999996</c:v>
                </c:pt>
                <c:pt idx="104">
                  <c:v>180.31970774999999</c:v>
                </c:pt>
                <c:pt idx="105">
                  <c:v>181.6975965</c:v>
                </c:pt>
                <c:pt idx="106">
                  <c:v>181.6975965</c:v>
                </c:pt>
                <c:pt idx="107">
                  <c:v>181.6975965</c:v>
                </c:pt>
                <c:pt idx="108">
                  <c:v>181.6975965</c:v>
                </c:pt>
                <c:pt idx="109">
                  <c:v>183.25920374999998</c:v>
                </c:pt>
                <c:pt idx="110">
                  <c:v>183.99407775</c:v>
                </c:pt>
                <c:pt idx="111">
                  <c:v>183.25920374999998</c:v>
                </c:pt>
                <c:pt idx="112">
                  <c:v>182.89176674999999</c:v>
                </c:pt>
                <c:pt idx="113">
                  <c:v>178.57438199999996</c:v>
                </c:pt>
                <c:pt idx="114">
                  <c:v>178.57438199999996</c:v>
                </c:pt>
                <c:pt idx="115">
                  <c:v>178.57438199999996</c:v>
                </c:pt>
                <c:pt idx="116">
                  <c:v>172.78724924999997</c:v>
                </c:pt>
                <c:pt idx="117">
                  <c:v>173.2465455</c:v>
                </c:pt>
                <c:pt idx="118">
                  <c:v>175.35930825</c:v>
                </c:pt>
                <c:pt idx="119">
                  <c:v>171.59307899999999</c:v>
                </c:pt>
                <c:pt idx="120">
                  <c:v>172.69538999999997</c:v>
                </c:pt>
                <c:pt idx="121">
                  <c:v>172.69538999999997</c:v>
                </c:pt>
                <c:pt idx="122">
                  <c:v>172.69538999999997</c:v>
                </c:pt>
                <c:pt idx="123">
                  <c:v>172.41981225000001</c:v>
                </c:pt>
                <c:pt idx="124">
                  <c:v>170.490768</c:v>
                </c:pt>
                <c:pt idx="125">
                  <c:v>174.80815274999998</c:v>
                </c:pt>
                <c:pt idx="126">
                  <c:v>171.13378274999999</c:v>
                </c:pt>
                <c:pt idx="127">
                  <c:v>175.08373049999997</c:v>
                </c:pt>
                <c:pt idx="128">
                  <c:v>175.08373049999997</c:v>
                </c:pt>
                <c:pt idx="129">
                  <c:v>175.08373049999997</c:v>
                </c:pt>
                <c:pt idx="130">
                  <c:v>174.99187124999997</c:v>
                </c:pt>
                <c:pt idx="131">
                  <c:v>176.09418224999999</c:v>
                </c:pt>
                <c:pt idx="132">
                  <c:v>176.73719699999998</c:v>
                </c:pt>
                <c:pt idx="133">
                  <c:v>184.36151475</c:v>
                </c:pt>
                <c:pt idx="134">
                  <c:v>187.76030699999998</c:v>
                </c:pt>
                <c:pt idx="135">
                  <c:v>187.76030699999998</c:v>
                </c:pt>
                <c:pt idx="136">
                  <c:v>187.76030699999998</c:v>
                </c:pt>
                <c:pt idx="137">
                  <c:v>191.71025474999999</c:v>
                </c:pt>
                <c:pt idx="138">
                  <c:v>187.48472924999999</c:v>
                </c:pt>
                <c:pt idx="139">
                  <c:v>188.49518099999997</c:v>
                </c:pt>
                <c:pt idx="140">
                  <c:v>191.80211399999999</c:v>
                </c:pt>
                <c:pt idx="141">
                  <c:v>189.32191424999996</c:v>
                </c:pt>
                <c:pt idx="142">
                  <c:v>189.32191424999996</c:v>
                </c:pt>
                <c:pt idx="143">
                  <c:v>189.32191424999996</c:v>
                </c:pt>
                <c:pt idx="144">
                  <c:v>189.32191424999996</c:v>
                </c:pt>
                <c:pt idx="145">
                  <c:v>181.33015949999998</c:v>
                </c:pt>
                <c:pt idx="146">
                  <c:v>179.21739674999998</c:v>
                </c:pt>
                <c:pt idx="147">
                  <c:v>179.58483375</c:v>
                </c:pt>
                <c:pt idx="148">
                  <c:v>175.26744899999997</c:v>
                </c:pt>
                <c:pt idx="149">
                  <c:v>175.26744899999997</c:v>
                </c:pt>
                <c:pt idx="150">
                  <c:v>175.26744899999997</c:v>
                </c:pt>
                <c:pt idx="151">
                  <c:v>181.42201874999998</c:v>
                </c:pt>
                <c:pt idx="152">
                  <c:v>188.31146249999998</c:v>
                </c:pt>
                <c:pt idx="153">
                  <c:v>187.66844774999998</c:v>
                </c:pt>
                <c:pt idx="154">
                  <c:v>192.44512874999998</c:v>
                </c:pt>
                <c:pt idx="155">
                  <c:v>189.96492899999998</c:v>
                </c:pt>
                <c:pt idx="156">
                  <c:v>189.96492899999998</c:v>
                </c:pt>
                <c:pt idx="157">
                  <c:v>189.96492899999998</c:v>
                </c:pt>
                <c:pt idx="158">
                  <c:v>194.00673599999999</c:v>
                </c:pt>
                <c:pt idx="159">
                  <c:v>195.56834325</c:v>
                </c:pt>
                <c:pt idx="160">
                  <c:v>188.67889949999997</c:v>
                </c:pt>
                <c:pt idx="161">
                  <c:v>185.28010725000001</c:v>
                </c:pt>
                <c:pt idx="162">
                  <c:v>185.09638874999996</c:v>
                </c:pt>
                <c:pt idx="163">
                  <c:v>185.09638874999996</c:v>
                </c:pt>
                <c:pt idx="164">
                  <c:v>185.09638874999996</c:v>
                </c:pt>
                <c:pt idx="165">
                  <c:v>179.76855225</c:v>
                </c:pt>
                <c:pt idx="166">
                  <c:v>179.58483375</c:v>
                </c:pt>
                <c:pt idx="167">
                  <c:v>180.50342624999996</c:v>
                </c:pt>
                <c:pt idx="168">
                  <c:v>179.30925599999998</c:v>
                </c:pt>
                <c:pt idx="169">
                  <c:v>179.49297449999997</c:v>
                </c:pt>
                <c:pt idx="170">
                  <c:v>179.49297449999997</c:v>
                </c:pt>
                <c:pt idx="171">
                  <c:v>179.49297449999997</c:v>
                </c:pt>
                <c:pt idx="172">
                  <c:v>184.17779625</c:v>
                </c:pt>
                <c:pt idx="173">
                  <c:v>191.61839549999996</c:v>
                </c:pt>
                <c:pt idx="174">
                  <c:v>190.33236600000001</c:v>
                </c:pt>
                <c:pt idx="175">
                  <c:v>195.47648399999997</c:v>
                </c:pt>
                <c:pt idx="176">
                  <c:v>206.59145324999997</c:v>
                </c:pt>
                <c:pt idx="177">
                  <c:v>206.59145324999997</c:v>
                </c:pt>
                <c:pt idx="178">
                  <c:v>206.59145324999997</c:v>
                </c:pt>
                <c:pt idx="179">
                  <c:v>213.29717849999997</c:v>
                </c:pt>
                <c:pt idx="180">
                  <c:v>225.88189574999996</c:v>
                </c:pt>
                <c:pt idx="181">
                  <c:v>215.86923749999997</c:v>
                </c:pt>
                <c:pt idx="182">
                  <c:v>215.22622274999998</c:v>
                </c:pt>
                <c:pt idx="183">
                  <c:v>215.22622274999998</c:v>
                </c:pt>
                <c:pt idx="184">
                  <c:v>215.22622274999998</c:v>
                </c:pt>
                <c:pt idx="185">
                  <c:v>215.22622274999998</c:v>
                </c:pt>
                <c:pt idx="186">
                  <c:v>216.23667449999996</c:v>
                </c:pt>
                <c:pt idx="187">
                  <c:v>212.92974149999998</c:v>
                </c:pt>
                <c:pt idx="188">
                  <c:v>210.26582324999998</c:v>
                </c:pt>
                <c:pt idx="189">
                  <c:v>210.26582324999998</c:v>
                </c:pt>
                <c:pt idx="190">
                  <c:v>213.6646155</c:v>
                </c:pt>
                <c:pt idx="191">
                  <c:v>213.6646155</c:v>
                </c:pt>
                <c:pt idx="192">
                  <c:v>213.6646155</c:v>
                </c:pt>
                <c:pt idx="193">
                  <c:v>215.59365974999997</c:v>
                </c:pt>
                <c:pt idx="194">
                  <c:v>214.39948949999999</c:v>
                </c:pt>
                <c:pt idx="195">
                  <c:v>208.24491974999998</c:v>
                </c:pt>
                <c:pt idx="196">
                  <c:v>206.59145324999997</c:v>
                </c:pt>
                <c:pt idx="197">
                  <c:v>203.56009800000001</c:v>
                </c:pt>
                <c:pt idx="198">
                  <c:v>203.56009800000001</c:v>
                </c:pt>
                <c:pt idx="199">
                  <c:v>203.56009800000001</c:v>
                </c:pt>
                <c:pt idx="200">
                  <c:v>195.75206175</c:v>
                </c:pt>
                <c:pt idx="201">
                  <c:v>192.81256575</c:v>
                </c:pt>
                <c:pt idx="202">
                  <c:v>189.87306974999998</c:v>
                </c:pt>
                <c:pt idx="203">
                  <c:v>191.61839549999996</c:v>
                </c:pt>
                <c:pt idx="204">
                  <c:v>188.03588474999998</c:v>
                </c:pt>
                <c:pt idx="205">
                  <c:v>188.03588474999998</c:v>
                </c:pt>
                <c:pt idx="206">
                  <c:v>188.03588474999998</c:v>
                </c:pt>
                <c:pt idx="207">
                  <c:v>184.63709249999999</c:v>
                </c:pt>
                <c:pt idx="208">
                  <c:v>187.66844774999998</c:v>
                </c:pt>
                <c:pt idx="209">
                  <c:v>182.34061124999999</c:v>
                </c:pt>
                <c:pt idx="210">
                  <c:v>182.43247049999999</c:v>
                </c:pt>
                <c:pt idx="211">
                  <c:v>183.44292224999998</c:v>
                </c:pt>
                <c:pt idx="212">
                  <c:v>183.44292224999998</c:v>
                </c:pt>
                <c:pt idx="213">
                  <c:v>183.44292224999998</c:v>
                </c:pt>
                <c:pt idx="214">
                  <c:v>183.35106299999998</c:v>
                </c:pt>
                <c:pt idx="215">
                  <c:v>181.33015949999998</c:v>
                </c:pt>
                <c:pt idx="216">
                  <c:v>184.45337399999997</c:v>
                </c:pt>
                <c:pt idx="217">
                  <c:v>186.290559</c:v>
                </c:pt>
                <c:pt idx="218">
                  <c:v>187.57658849999999</c:v>
                </c:pt>
                <c:pt idx="219">
                  <c:v>187.57658849999999</c:v>
                </c:pt>
                <c:pt idx="220">
                  <c:v>187.57658849999999</c:v>
                </c:pt>
                <c:pt idx="221">
                  <c:v>193.08814349999997</c:v>
                </c:pt>
                <c:pt idx="222">
                  <c:v>186.38241824999997</c:v>
                </c:pt>
                <c:pt idx="223">
                  <c:v>180.87086325000001</c:v>
                </c:pt>
                <c:pt idx="224">
                  <c:v>184.91267024999996</c:v>
                </c:pt>
                <c:pt idx="225">
                  <c:v>186.1068405</c:v>
                </c:pt>
                <c:pt idx="226">
                  <c:v>186.1068405</c:v>
                </c:pt>
                <c:pt idx="227">
                  <c:v>186.1068405</c:v>
                </c:pt>
                <c:pt idx="228">
                  <c:v>183.90221849999998</c:v>
                </c:pt>
                <c:pt idx="229">
                  <c:v>181.60573724999998</c:v>
                </c:pt>
                <c:pt idx="230">
                  <c:v>182.34061124999999</c:v>
                </c:pt>
                <c:pt idx="231">
                  <c:v>186.01498124999998</c:v>
                </c:pt>
                <c:pt idx="232">
                  <c:v>183.53478149999998</c:v>
                </c:pt>
                <c:pt idx="233">
                  <c:v>183.53478149999998</c:v>
                </c:pt>
                <c:pt idx="234">
                  <c:v>183.53478149999998</c:v>
                </c:pt>
                <c:pt idx="235">
                  <c:v>184.91267024999996</c:v>
                </c:pt>
                <c:pt idx="236">
                  <c:v>181.881315</c:v>
                </c:pt>
                <c:pt idx="237">
                  <c:v>179.95227075</c:v>
                </c:pt>
                <c:pt idx="238">
                  <c:v>177.93136724999999</c:v>
                </c:pt>
                <c:pt idx="239">
                  <c:v>175.26744899999997</c:v>
                </c:pt>
                <c:pt idx="240">
                  <c:v>175.26744899999997</c:v>
                </c:pt>
                <c:pt idx="241">
                  <c:v>175.26744899999997</c:v>
                </c:pt>
                <c:pt idx="242">
                  <c:v>177.2883525</c:v>
                </c:pt>
                <c:pt idx="243">
                  <c:v>177.839508</c:v>
                </c:pt>
                <c:pt idx="244">
                  <c:v>173.79770099999999</c:v>
                </c:pt>
                <c:pt idx="245">
                  <c:v>167.73499049999998</c:v>
                </c:pt>
                <c:pt idx="246">
                  <c:v>168.19428675</c:v>
                </c:pt>
                <c:pt idx="247">
                  <c:v>168.19428675</c:v>
                </c:pt>
                <c:pt idx="248">
                  <c:v>168.19428675</c:v>
                </c:pt>
                <c:pt idx="249">
                  <c:v>168.19428675</c:v>
                </c:pt>
                <c:pt idx="250">
                  <c:v>170.95006425</c:v>
                </c:pt>
                <c:pt idx="251">
                  <c:v>169.75589399999998</c:v>
                </c:pt>
                <c:pt idx="252">
                  <c:v>171.96051599999998</c:v>
                </c:pt>
                <c:pt idx="253">
                  <c:v>174.71629350000001</c:v>
                </c:pt>
                <c:pt idx="254">
                  <c:v>174.71629350000001</c:v>
                </c:pt>
                <c:pt idx="255">
                  <c:v>174.71629350000001</c:v>
                </c:pt>
                <c:pt idx="256">
                  <c:v>178.48252274999999</c:v>
                </c:pt>
                <c:pt idx="257">
                  <c:v>181.78945574999997</c:v>
                </c:pt>
                <c:pt idx="258">
                  <c:v>179.40111525</c:v>
                </c:pt>
                <c:pt idx="259">
                  <c:v>176.92091549999998</c:v>
                </c:pt>
                <c:pt idx="260">
                  <c:v>178.84995974999998</c:v>
                </c:pt>
                <c:pt idx="261">
                  <c:v>178.84995974999998</c:v>
                </c:pt>
                <c:pt idx="262">
                  <c:v>178.84995974999998</c:v>
                </c:pt>
                <c:pt idx="263">
                  <c:v>182.52432974999999</c:v>
                </c:pt>
                <c:pt idx="264">
                  <c:v>182.0650335</c:v>
                </c:pt>
                <c:pt idx="265">
                  <c:v>186.4742775</c:v>
                </c:pt>
                <c:pt idx="266">
                  <c:v>182.70804824999999</c:v>
                </c:pt>
                <c:pt idx="267">
                  <c:v>186.56613674999997</c:v>
                </c:pt>
                <c:pt idx="268">
                  <c:v>186.56613674999997</c:v>
                </c:pt>
                <c:pt idx="269">
                  <c:v>186.56613674999997</c:v>
                </c:pt>
                <c:pt idx="270">
                  <c:v>185.73940349999998</c:v>
                </c:pt>
                <c:pt idx="271">
                  <c:v>185.09638874999996</c:v>
                </c:pt>
                <c:pt idx="272">
                  <c:v>188.40332175</c:v>
                </c:pt>
                <c:pt idx="273">
                  <c:v>190.42422524999998</c:v>
                </c:pt>
                <c:pt idx="274">
                  <c:v>190.42422524999998</c:v>
                </c:pt>
                <c:pt idx="275">
                  <c:v>190.42422524999998</c:v>
                </c:pt>
                <c:pt idx="276">
                  <c:v>190.42422524999998</c:v>
                </c:pt>
                <c:pt idx="277">
                  <c:v>189.41377349999999</c:v>
                </c:pt>
                <c:pt idx="278">
                  <c:v>193.36372124999997</c:v>
                </c:pt>
                <c:pt idx="279">
                  <c:v>189.87306974999998</c:v>
                </c:pt>
                <c:pt idx="280">
                  <c:v>187.94402549999998</c:v>
                </c:pt>
                <c:pt idx="281">
                  <c:v>187.11729224999999</c:v>
                </c:pt>
                <c:pt idx="282">
                  <c:v>187.11729224999999</c:v>
                </c:pt>
                <c:pt idx="283">
                  <c:v>187.11729224999999</c:v>
                </c:pt>
                <c:pt idx="284">
                  <c:v>186.19869974999997</c:v>
                </c:pt>
                <c:pt idx="285">
                  <c:v>190.699803</c:v>
                </c:pt>
                <c:pt idx="286">
                  <c:v>186.74985525</c:v>
                </c:pt>
                <c:pt idx="287">
                  <c:v>184.63709249999999</c:v>
                </c:pt>
                <c:pt idx="288">
                  <c:v>180.87086325000001</c:v>
                </c:pt>
                <c:pt idx="289">
                  <c:v>180.87086325000001</c:v>
                </c:pt>
                <c:pt idx="290">
                  <c:v>180.87086325000001</c:v>
                </c:pt>
                <c:pt idx="291">
                  <c:v>178.48252274999999</c:v>
                </c:pt>
                <c:pt idx="292">
                  <c:v>180.50342624999996</c:v>
                </c:pt>
                <c:pt idx="293">
                  <c:v>181.78945574999997</c:v>
                </c:pt>
                <c:pt idx="294">
                  <c:v>180.31970774999999</c:v>
                </c:pt>
                <c:pt idx="295">
                  <c:v>180.22784849999999</c:v>
                </c:pt>
                <c:pt idx="296">
                  <c:v>180.22784849999999</c:v>
                </c:pt>
                <c:pt idx="297">
                  <c:v>180.22784849999999</c:v>
                </c:pt>
                <c:pt idx="298">
                  <c:v>187.02543299999996</c:v>
                </c:pt>
                <c:pt idx="299">
                  <c:v>187.11729224999999</c:v>
                </c:pt>
                <c:pt idx="300">
                  <c:v>185.92312199999998</c:v>
                </c:pt>
                <c:pt idx="301">
                  <c:v>189.23005499999999</c:v>
                </c:pt>
                <c:pt idx="302">
                  <c:v>191.80211399999999</c:v>
                </c:pt>
                <c:pt idx="303">
                  <c:v>191.80211399999999</c:v>
                </c:pt>
                <c:pt idx="304">
                  <c:v>191.80211399999999</c:v>
                </c:pt>
                <c:pt idx="305">
                  <c:v>186.657996</c:v>
                </c:pt>
                <c:pt idx="306">
                  <c:v>189.78121049999999</c:v>
                </c:pt>
                <c:pt idx="307">
                  <c:v>193.36372124999997</c:v>
                </c:pt>
                <c:pt idx="308">
                  <c:v>193.36372124999997</c:v>
                </c:pt>
                <c:pt idx="309">
                  <c:v>192.26141024999998</c:v>
                </c:pt>
                <c:pt idx="310">
                  <c:v>192.26141024999998</c:v>
                </c:pt>
                <c:pt idx="311">
                  <c:v>192.26141024999998</c:v>
                </c:pt>
                <c:pt idx="312">
                  <c:v>184.36151475</c:v>
                </c:pt>
                <c:pt idx="313">
                  <c:v>180.31970774999999</c:v>
                </c:pt>
                <c:pt idx="314">
                  <c:v>181.78945574999997</c:v>
                </c:pt>
                <c:pt idx="315">
                  <c:v>182.98362599999996</c:v>
                </c:pt>
                <c:pt idx="316">
                  <c:v>182.15689274999997</c:v>
                </c:pt>
                <c:pt idx="317">
                  <c:v>182.15689274999997</c:v>
                </c:pt>
                <c:pt idx="318">
                  <c:v>182.15689274999997</c:v>
                </c:pt>
                <c:pt idx="319">
                  <c:v>181.51387799999998</c:v>
                </c:pt>
                <c:pt idx="320">
                  <c:v>179.12553749999998</c:v>
                </c:pt>
                <c:pt idx="321">
                  <c:v>177.56393024999997</c:v>
                </c:pt>
                <c:pt idx="322">
                  <c:v>180.31970774999999</c:v>
                </c:pt>
                <c:pt idx="323">
                  <c:v>179.49297449999997</c:v>
                </c:pt>
              </c:numCache>
            </c:numRef>
          </c:val>
          <c:smooth val="0"/>
        </c:ser>
        <c:dLbls>
          <c:showLegendKey val="0"/>
          <c:showVal val="0"/>
          <c:showCatName val="0"/>
          <c:showSerName val="0"/>
          <c:showPercent val="0"/>
          <c:showBubbleSize val="0"/>
        </c:dLbls>
        <c:marker val="1"/>
        <c:smooth val="0"/>
        <c:axId val="273526784"/>
        <c:axId val="273528320"/>
      </c:lineChart>
      <c:dateAx>
        <c:axId val="273526784"/>
        <c:scaling>
          <c:orientation val="minMax"/>
        </c:scaling>
        <c:delete val="0"/>
        <c:axPos val="b"/>
        <c:numFmt formatCode="yyyy/m/d" sourceLinked="0"/>
        <c:majorTickMark val="out"/>
        <c:minorTickMark val="none"/>
        <c:tickLblPos val="nextTo"/>
        <c:txPr>
          <a:bodyPr rot="-2700000" vert="horz"/>
          <a:lstStyle/>
          <a:p>
            <a:pPr>
              <a:defRPr sz="1000" b="0" i="0" u="none" strike="noStrike" baseline="0">
                <a:solidFill>
                  <a:srgbClr val="000000"/>
                </a:solidFill>
                <a:latin typeface="Times New Roman"/>
                <a:ea typeface="Times New Roman"/>
                <a:cs typeface="Times New Roman"/>
              </a:defRPr>
            </a:pPr>
            <a:endParaRPr lang="zh-TW"/>
          </a:p>
        </c:txPr>
        <c:crossAx val="273528320"/>
        <c:crosses val="autoZero"/>
        <c:auto val="1"/>
        <c:lblOffset val="100"/>
        <c:baseTimeUnit val="days"/>
      </c:dateAx>
      <c:valAx>
        <c:axId val="273528320"/>
        <c:scaling>
          <c:orientation val="minMax"/>
          <c:max val="240"/>
          <c:min val="160"/>
        </c:scaling>
        <c:delete val="0"/>
        <c:axPos val="l"/>
        <c:title>
          <c:tx>
            <c:rich>
              <a:bodyPr rot="0" vert="horz"/>
              <a:lstStyle/>
              <a:p>
                <a:pPr algn="ctr">
                  <a:defRPr sz="1200" b="0" i="0" u="none" strike="noStrike" baseline="0">
                    <a:solidFill>
                      <a:srgbClr val="000000"/>
                    </a:solidFill>
                    <a:latin typeface="新細明體"/>
                    <a:ea typeface="新細明體"/>
                    <a:cs typeface="新細明體"/>
                  </a:defRPr>
                </a:pPr>
                <a:r>
                  <a:rPr lang="en-US" altLang="zh-TW" sz="1000" b="0" i="0" u="none" strike="noStrike" baseline="0">
                    <a:solidFill>
                      <a:srgbClr val="000000"/>
                    </a:solidFill>
                    <a:latin typeface="標楷體"/>
                    <a:ea typeface="標楷體"/>
                  </a:rPr>
                  <a:t>(</a:t>
                </a:r>
                <a:r>
                  <a:rPr lang="zh-TW" altLang="en-US" sz="1000" b="0" i="0" u="none" strike="noStrike" baseline="0">
                    <a:solidFill>
                      <a:srgbClr val="000000"/>
                    </a:solidFill>
                    <a:latin typeface="標楷體"/>
                    <a:ea typeface="標楷體"/>
                  </a:rPr>
                  <a:t>美元</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公噸</a:t>
                </a:r>
                <a:r>
                  <a:rPr lang="en-US" altLang="zh-TW" sz="1000" b="0" i="0" u="none" strike="noStrike" baseline="0">
                    <a:solidFill>
                      <a:srgbClr val="000000"/>
                    </a:solidFill>
                    <a:latin typeface="標楷體"/>
                    <a:ea typeface="標楷體"/>
                    <a:cs typeface="Times New Roman"/>
                  </a:rPr>
                  <a:t>)</a:t>
                </a:r>
                <a:endParaRPr lang="zh-TW" altLang="en-US" sz="1000" b="0" i="0" u="none" strike="noStrike" baseline="0">
                  <a:solidFill>
                    <a:srgbClr val="000000"/>
                  </a:solidFill>
                  <a:latin typeface="標楷體"/>
                  <a:ea typeface="標楷體"/>
                </a:endParaRPr>
              </a:p>
            </c:rich>
          </c:tx>
          <c:layout>
            <c:manualLayout>
              <c:xMode val="edge"/>
              <c:yMode val="edge"/>
              <c:x val="1.4619830427960672E-2"/>
              <c:y val="1.7550555086522281E-2"/>
            </c:manualLayout>
          </c:layout>
          <c:overlay val="0"/>
          <c:spPr>
            <a:noFill/>
            <a:ln w="25400">
              <a:noFill/>
            </a:ln>
          </c:spPr>
        </c:title>
        <c:numFmt formatCode="#,##0_);\(#,##0\)" sourceLinked="0"/>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zh-TW"/>
          </a:p>
        </c:txPr>
        <c:crossAx val="273526784"/>
        <c:crosses val="autoZero"/>
        <c:crossBetween val="between"/>
        <c:majorUnit val="10"/>
      </c:valAx>
      <c:spPr>
        <a:noFill/>
        <a:ln w="25400">
          <a:noFill/>
        </a:ln>
      </c:spPr>
    </c:plotArea>
    <c:plotVisOnly val="1"/>
    <c:dispBlanksAs val="gap"/>
    <c:showDLblsOverMax val="0"/>
  </c:chart>
  <c:spPr>
    <a:noFill/>
    <a:ln w="9525">
      <a:noFill/>
    </a:ln>
  </c:spPr>
  <c:txPr>
    <a:bodyPr/>
    <a:lstStyle/>
    <a:p>
      <a:pPr>
        <a:defRPr>
          <a:latin typeface="Times New Roman" pitchFamily="18" charset="0"/>
          <a:ea typeface="標楷體" pitchFamily="65" charset="-120"/>
          <a:cs typeface="Times New Roman" pitchFamily="18" charset="0"/>
        </a:defRPr>
      </a:pPr>
      <a:endParaRPr lang="zh-TW"/>
    </a:p>
  </c:txPr>
  <c:externalData r:id="rId1">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834835290380993E-2"/>
          <c:y val="9.7133808654595505E-2"/>
          <c:w val="0.88887692169123045"/>
          <c:h val="0.6751084770218897"/>
        </c:manualLayout>
      </c:layout>
      <c:lineChart>
        <c:grouping val="standard"/>
        <c:varyColors val="0"/>
        <c:ser>
          <c:idx val="0"/>
          <c:order val="0"/>
          <c:tx>
            <c:strRef>
              <c:f>麵食!$B$2</c:f>
              <c:strCache>
                <c:ptCount val="1"/>
                <c:pt idx="0">
                  <c:v>便利店－味味</c:v>
                </c:pt>
              </c:strCache>
            </c:strRef>
          </c:tx>
          <c:spPr>
            <a:ln w="22225" cap="rnd">
              <a:solidFill>
                <a:srgbClr val="4F81BD"/>
              </a:solidFill>
              <a:round/>
            </a:ln>
            <a:effectLst/>
          </c:spPr>
          <c:marker>
            <c:symbol val="none"/>
          </c:marker>
          <c:cat>
            <c:strRef>
              <c:f>麵食!$A$32:$A$173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麵食!$B$32:$B$173</c:f>
              <c:numCache>
                <c:formatCode>0.00</c:formatCode>
                <c:ptCount val="142"/>
                <c:pt idx="0">
                  <c:v>18</c:v>
                </c:pt>
                <c:pt idx="1">
                  <c:v>18</c:v>
                </c:pt>
                <c:pt idx="2">
                  <c:v>18</c:v>
                </c:pt>
                <c:pt idx="3">
                  <c:v>18</c:v>
                </c:pt>
                <c:pt idx="4">
                  <c:v>18</c:v>
                </c:pt>
                <c:pt idx="5">
                  <c:v>18</c:v>
                </c:pt>
                <c:pt idx="6">
                  <c:v>18</c:v>
                </c:pt>
                <c:pt idx="7">
                  <c:v>18</c:v>
                </c:pt>
                <c:pt idx="8">
                  <c:v>18</c:v>
                </c:pt>
                <c:pt idx="9">
                  <c:v>18</c:v>
                </c:pt>
                <c:pt idx="10">
                  <c:v>18</c:v>
                </c:pt>
                <c:pt idx="11">
                  <c:v>18</c:v>
                </c:pt>
                <c:pt idx="12">
                  <c:v>18</c:v>
                </c:pt>
                <c:pt idx="13">
                  <c:v>18</c:v>
                </c:pt>
                <c:pt idx="14">
                  <c:v>18</c:v>
                </c:pt>
                <c:pt idx="15">
                  <c:v>18</c:v>
                </c:pt>
                <c:pt idx="16">
                  <c:v>18</c:v>
                </c:pt>
                <c:pt idx="17">
                  <c:v>18</c:v>
                </c:pt>
                <c:pt idx="18">
                  <c:v>18</c:v>
                </c:pt>
                <c:pt idx="19">
                  <c:v>18</c:v>
                </c:pt>
                <c:pt idx="20">
                  <c:v>18</c:v>
                </c:pt>
                <c:pt idx="21">
                  <c:v>18</c:v>
                </c:pt>
                <c:pt idx="22">
                  <c:v>18</c:v>
                </c:pt>
                <c:pt idx="23">
                  <c:v>18</c:v>
                </c:pt>
                <c:pt idx="24">
                  <c:v>18</c:v>
                </c:pt>
                <c:pt idx="25">
                  <c:v>18</c:v>
                </c:pt>
                <c:pt idx="26">
                  <c:v>18</c:v>
                </c:pt>
                <c:pt idx="27">
                  <c:v>18</c:v>
                </c:pt>
                <c:pt idx="28">
                  <c:v>18</c:v>
                </c:pt>
                <c:pt idx="29">
                  <c:v>18</c:v>
                </c:pt>
                <c:pt idx="30">
                  <c:v>18</c:v>
                </c:pt>
                <c:pt idx="31">
                  <c:v>18</c:v>
                </c:pt>
                <c:pt idx="32">
                  <c:v>18</c:v>
                </c:pt>
                <c:pt idx="33">
                  <c:v>18</c:v>
                </c:pt>
                <c:pt idx="34">
                  <c:v>18</c:v>
                </c:pt>
                <c:pt idx="35">
                  <c:v>18</c:v>
                </c:pt>
                <c:pt idx="36">
                  <c:v>18</c:v>
                </c:pt>
                <c:pt idx="37">
                  <c:v>18</c:v>
                </c:pt>
                <c:pt idx="38">
                  <c:v>18</c:v>
                </c:pt>
                <c:pt idx="39">
                  <c:v>18</c:v>
                </c:pt>
                <c:pt idx="40">
                  <c:v>18</c:v>
                </c:pt>
                <c:pt idx="41">
                  <c:v>18</c:v>
                </c:pt>
                <c:pt idx="42">
                  <c:v>18</c:v>
                </c:pt>
                <c:pt idx="43">
                  <c:v>18</c:v>
                </c:pt>
                <c:pt idx="44">
                  <c:v>18</c:v>
                </c:pt>
                <c:pt idx="45">
                  <c:v>18</c:v>
                </c:pt>
                <c:pt idx="46">
                  <c:v>18</c:v>
                </c:pt>
                <c:pt idx="47">
                  <c:v>18</c:v>
                </c:pt>
                <c:pt idx="48">
                  <c:v>18</c:v>
                </c:pt>
                <c:pt idx="49">
                  <c:v>18</c:v>
                </c:pt>
                <c:pt idx="50">
                  <c:v>18</c:v>
                </c:pt>
                <c:pt idx="51">
                  <c:v>18</c:v>
                </c:pt>
                <c:pt idx="52">
                  <c:v>18</c:v>
                </c:pt>
                <c:pt idx="53">
                  <c:v>18</c:v>
                </c:pt>
                <c:pt idx="54">
                  <c:v>18</c:v>
                </c:pt>
                <c:pt idx="55">
                  <c:v>17.25</c:v>
                </c:pt>
                <c:pt idx="56">
                  <c:v>17.25</c:v>
                </c:pt>
                <c:pt idx="57">
                  <c:v>17.25</c:v>
                </c:pt>
                <c:pt idx="58">
                  <c:v>17.25</c:v>
                </c:pt>
                <c:pt idx="59">
                  <c:v>17.25</c:v>
                </c:pt>
                <c:pt idx="60">
                  <c:v>17.25</c:v>
                </c:pt>
                <c:pt idx="61">
                  <c:v>17.25</c:v>
                </c:pt>
                <c:pt idx="62">
                  <c:v>17.25</c:v>
                </c:pt>
                <c:pt idx="63">
                  <c:v>18</c:v>
                </c:pt>
                <c:pt idx="64">
                  <c:v>17.25</c:v>
                </c:pt>
                <c:pt idx="65">
                  <c:v>17.25</c:v>
                </c:pt>
                <c:pt idx="66">
                  <c:v>17.25</c:v>
                </c:pt>
                <c:pt idx="67">
                  <c:v>17.25</c:v>
                </c:pt>
                <c:pt idx="68">
                  <c:v>17.25</c:v>
                </c:pt>
                <c:pt idx="69">
                  <c:v>17.25</c:v>
                </c:pt>
                <c:pt idx="70">
                  <c:v>17.25</c:v>
                </c:pt>
                <c:pt idx="71">
                  <c:v>17.25</c:v>
                </c:pt>
                <c:pt idx="72">
                  <c:v>17.25</c:v>
                </c:pt>
                <c:pt idx="73">
                  <c:v>15.9</c:v>
                </c:pt>
                <c:pt idx="74">
                  <c:v>16.2</c:v>
                </c:pt>
                <c:pt idx="75">
                  <c:v>16.2</c:v>
                </c:pt>
                <c:pt idx="76">
                  <c:v>14.850000000000001</c:v>
                </c:pt>
                <c:pt idx="77">
                  <c:v>14.850000000000001</c:v>
                </c:pt>
                <c:pt idx="78">
                  <c:v>15.15</c:v>
                </c:pt>
                <c:pt idx="79">
                  <c:v>17.25</c:v>
                </c:pt>
                <c:pt idx="80">
                  <c:v>17.25</c:v>
                </c:pt>
                <c:pt idx="81">
                  <c:v>17.25</c:v>
                </c:pt>
                <c:pt idx="82">
                  <c:v>17.25</c:v>
                </c:pt>
                <c:pt idx="83">
                  <c:v>16.95</c:v>
                </c:pt>
                <c:pt idx="84">
                  <c:v>16.95</c:v>
                </c:pt>
                <c:pt idx="85">
                  <c:v>16.95</c:v>
                </c:pt>
                <c:pt idx="86">
                  <c:v>16.95</c:v>
                </c:pt>
                <c:pt idx="87">
                  <c:v>17.45</c:v>
                </c:pt>
                <c:pt idx="88">
                  <c:v>17.45</c:v>
                </c:pt>
                <c:pt idx="89">
                  <c:v>17.45</c:v>
                </c:pt>
                <c:pt idx="90">
                  <c:v>17.45</c:v>
                </c:pt>
                <c:pt idx="91">
                  <c:v>17.25</c:v>
                </c:pt>
                <c:pt idx="92">
                  <c:v>17.25</c:v>
                </c:pt>
                <c:pt idx="93">
                  <c:v>17.25</c:v>
                </c:pt>
                <c:pt idx="94">
                  <c:v>17.25</c:v>
                </c:pt>
                <c:pt idx="95">
                  <c:v>17.25</c:v>
                </c:pt>
                <c:pt idx="96">
                  <c:v>17.25</c:v>
                </c:pt>
                <c:pt idx="97">
                  <c:v>17.25</c:v>
                </c:pt>
                <c:pt idx="98">
                  <c:v>17.25</c:v>
                </c:pt>
                <c:pt idx="99">
                  <c:v>17.25</c:v>
                </c:pt>
                <c:pt idx="100">
                  <c:v>17.25</c:v>
                </c:pt>
                <c:pt idx="101">
                  <c:v>17.25</c:v>
                </c:pt>
                <c:pt idx="102">
                  <c:v>17.25</c:v>
                </c:pt>
                <c:pt idx="103">
                  <c:v>17.25</c:v>
                </c:pt>
                <c:pt idx="104">
                  <c:v>17.25</c:v>
                </c:pt>
                <c:pt idx="105">
                  <c:v>17.25</c:v>
                </c:pt>
                <c:pt idx="106">
                  <c:v>17.25</c:v>
                </c:pt>
                <c:pt idx="107">
                  <c:v>17.25</c:v>
                </c:pt>
                <c:pt idx="108">
                  <c:v>17.25</c:v>
                </c:pt>
                <c:pt idx="109">
                  <c:v>17.25</c:v>
                </c:pt>
                <c:pt idx="110">
                  <c:v>17.25</c:v>
                </c:pt>
                <c:pt idx="111">
                  <c:v>17.25</c:v>
                </c:pt>
                <c:pt idx="112">
                  <c:v>17.25</c:v>
                </c:pt>
                <c:pt idx="113">
                  <c:v>17.25</c:v>
                </c:pt>
                <c:pt idx="114">
                  <c:v>17.25</c:v>
                </c:pt>
                <c:pt idx="115">
                  <c:v>17.25</c:v>
                </c:pt>
                <c:pt idx="116">
                  <c:v>18</c:v>
                </c:pt>
                <c:pt idx="117">
                  <c:v>17.45</c:v>
                </c:pt>
                <c:pt idx="118">
                  <c:v>17.45</c:v>
                </c:pt>
                <c:pt idx="119">
                  <c:v>17.45</c:v>
                </c:pt>
                <c:pt idx="120">
                  <c:v>17.45</c:v>
                </c:pt>
                <c:pt idx="121">
                  <c:v>17.45</c:v>
                </c:pt>
                <c:pt idx="122">
                  <c:v>17.45</c:v>
                </c:pt>
                <c:pt idx="123">
                  <c:v>17.45</c:v>
                </c:pt>
                <c:pt idx="124">
                  <c:v>18</c:v>
                </c:pt>
                <c:pt idx="125">
                  <c:v>18</c:v>
                </c:pt>
                <c:pt idx="126">
                  <c:v>18</c:v>
                </c:pt>
                <c:pt idx="127">
                  <c:v>18</c:v>
                </c:pt>
                <c:pt idx="128">
                  <c:v>18</c:v>
                </c:pt>
                <c:pt idx="129">
                  <c:v>18</c:v>
                </c:pt>
                <c:pt idx="130">
                  <c:v>18</c:v>
                </c:pt>
                <c:pt idx="131">
                  <c:v>18</c:v>
                </c:pt>
                <c:pt idx="132">
                  <c:v>18</c:v>
                </c:pt>
                <c:pt idx="133">
                  <c:v>18</c:v>
                </c:pt>
                <c:pt idx="134">
                  <c:v>16.95</c:v>
                </c:pt>
                <c:pt idx="135">
                  <c:v>16.95</c:v>
                </c:pt>
                <c:pt idx="136">
                  <c:v>17.25</c:v>
                </c:pt>
                <c:pt idx="137">
                  <c:v>17.600000000000001</c:v>
                </c:pt>
                <c:pt idx="138">
                  <c:v>17.600000000000001</c:v>
                </c:pt>
                <c:pt idx="139">
                  <c:v>17.600000000000001</c:v>
                </c:pt>
                <c:pt idx="140">
                  <c:v>17.600000000000001</c:v>
                </c:pt>
                <c:pt idx="141">
                  <c:v>17.600000000000001</c:v>
                </c:pt>
              </c:numCache>
            </c:numRef>
          </c:val>
          <c:smooth val="0"/>
        </c:ser>
        <c:ser>
          <c:idx val="1"/>
          <c:order val="1"/>
          <c:tx>
            <c:strRef>
              <c:f>麵食!$D$2</c:f>
              <c:strCache>
                <c:ptCount val="1"/>
                <c:pt idx="0">
                  <c:v>超市－味味</c:v>
                </c:pt>
              </c:strCache>
            </c:strRef>
          </c:tx>
          <c:spPr>
            <a:ln w="28575" cap="rnd">
              <a:solidFill>
                <a:srgbClr val="C0504D"/>
              </a:solidFill>
              <a:prstDash val="sysDot"/>
              <a:round/>
            </a:ln>
            <a:effectLst/>
          </c:spPr>
          <c:marker>
            <c:symbol val="none"/>
          </c:marker>
          <c:cat>
            <c:strRef>
              <c:f>麵食!$A$32:$A$173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麵食!$D$32:$D$173</c:f>
              <c:numCache>
                <c:formatCode>0.00</c:formatCode>
                <c:ptCount val="142"/>
                <c:pt idx="0">
                  <c:v>14.014285714285716</c:v>
                </c:pt>
                <c:pt idx="1">
                  <c:v>14.028571428571428</c:v>
                </c:pt>
                <c:pt idx="2">
                  <c:v>15.03</c:v>
                </c:pt>
                <c:pt idx="3">
                  <c:v>14.71</c:v>
                </c:pt>
                <c:pt idx="4">
                  <c:v>15.08</c:v>
                </c:pt>
                <c:pt idx="5">
                  <c:v>14.830769230769231</c:v>
                </c:pt>
                <c:pt idx="6">
                  <c:v>15.107692307692306</c:v>
                </c:pt>
                <c:pt idx="7">
                  <c:v>14.707692307692309</c:v>
                </c:pt>
                <c:pt idx="8">
                  <c:v>14.115384615384615</c:v>
                </c:pt>
                <c:pt idx="9">
                  <c:v>14.32</c:v>
                </c:pt>
                <c:pt idx="10">
                  <c:v>14.1875</c:v>
                </c:pt>
                <c:pt idx="11">
                  <c:v>14.437500000000004</c:v>
                </c:pt>
                <c:pt idx="12">
                  <c:v>14.587500000000004</c:v>
                </c:pt>
                <c:pt idx="13">
                  <c:v>14.494117647058827</c:v>
                </c:pt>
                <c:pt idx="14">
                  <c:v>14.400000000000004</c:v>
                </c:pt>
                <c:pt idx="15">
                  <c:v>14.037500000000001</c:v>
                </c:pt>
                <c:pt idx="16">
                  <c:v>14.253333333333334</c:v>
                </c:pt>
                <c:pt idx="17">
                  <c:v>14.55294117647059</c:v>
                </c:pt>
                <c:pt idx="18">
                  <c:v>14.600000000000001</c:v>
                </c:pt>
                <c:pt idx="19">
                  <c:v>14.0875</c:v>
                </c:pt>
                <c:pt idx="20">
                  <c:v>14.05</c:v>
                </c:pt>
                <c:pt idx="21">
                  <c:v>14.137500000000001</c:v>
                </c:pt>
                <c:pt idx="22">
                  <c:v>14.3</c:v>
                </c:pt>
                <c:pt idx="23">
                  <c:v>14.129411764705884</c:v>
                </c:pt>
                <c:pt idx="24">
                  <c:v>13.905882352941177</c:v>
                </c:pt>
                <c:pt idx="25">
                  <c:v>13.482352941176471</c:v>
                </c:pt>
                <c:pt idx="26">
                  <c:v>13.188235294117648</c:v>
                </c:pt>
                <c:pt idx="27">
                  <c:v>13.682352941176472</c:v>
                </c:pt>
                <c:pt idx="28">
                  <c:v>13.729411764705885</c:v>
                </c:pt>
                <c:pt idx="29">
                  <c:v>14.176470588235297</c:v>
                </c:pt>
                <c:pt idx="30">
                  <c:v>14.164705882352944</c:v>
                </c:pt>
                <c:pt idx="31">
                  <c:v>14.600000000000003</c:v>
                </c:pt>
                <c:pt idx="32">
                  <c:v>14.600000000000003</c:v>
                </c:pt>
                <c:pt idx="33">
                  <c:v>14.712500000000002</c:v>
                </c:pt>
                <c:pt idx="34">
                  <c:v>14.626666666666669</c:v>
                </c:pt>
                <c:pt idx="35">
                  <c:v>14.162500000000003</c:v>
                </c:pt>
                <c:pt idx="36">
                  <c:v>14.225000000000003</c:v>
                </c:pt>
                <c:pt idx="37">
                  <c:v>14.712500000000002</c:v>
                </c:pt>
                <c:pt idx="38">
                  <c:v>14.773333333333337</c:v>
                </c:pt>
                <c:pt idx="39">
                  <c:v>14.333333333333336</c:v>
                </c:pt>
                <c:pt idx="40">
                  <c:v>13.870588235294122</c:v>
                </c:pt>
                <c:pt idx="41">
                  <c:v>14.352941176470592</c:v>
                </c:pt>
                <c:pt idx="42">
                  <c:v>14.423529411764708</c:v>
                </c:pt>
                <c:pt idx="43">
                  <c:v>14.482352941176472</c:v>
                </c:pt>
                <c:pt idx="44">
                  <c:v>14.011764705882356</c:v>
                </c:pt>
                <c:pt idx="45">
                  <c:v>14.82352941176471</c:v>
                </c:pt>
                <c:pt idx="46">
                  <c:v>14.58823529411765</c:v>
                </c:pt>
                <c:pt idx="47">
                  <c:v>14.211764705882354</c:v>
                </c:pt>
                <c:pt idx="48">
                  <c:v>13.894117647058826</c:v>
                </c:pt>
                <c:pt idx="49">
                  <c:v>14.023529411764708</c:v>
                </c:pt>
                <c:pt idx="50">
                  <c:v>14.058823529411766</c:v>
                </c:pt>
                <c:pt idx="51">
                  <c:v>14.411764705882355</c:v>
                </c:pt>
                <c:pt idx="52">
                  <c:v>14.305882352941179</c:v>
                </c:pt>
                <c:pt idx="53">
                  <c:v>14.550000000000002</c:v>
                </c:pt>
                <c:pt idx="54">
                  <c:v>14.612500000000002</c:v>
                </c:pt>
                <c:pt idx="55">
                  <c:v>14.847058823529414</c:v>
                </c:pt>
                <c:pt idx="56">
                  <c:v>14.87058823529412</c:v>
                </c:pt>
                <c:pt idx="57">
                  <c:v>14.687500000000002</c:v>
                </c:pt>
                <c:pt idx="58">
                  <c:v>14.717647058823532</c:v>
                </c:pt>
                <c:pt idx="59">
                  <c:v>14.612500000000001</c:v>
                </c:pt>
                <c:pt idx="60">
                  <c:v>14.512499999999999</c:v>
                </c:pt>
                <c:pt idx="61">
                  <c:v>14.4625</c:v>
                </c:pt>
                <c:pt idx="62">
                  <c:v>13.900000000000002</c:v>
                </c:pt>
                <c:pt idx="63">
                  <c:v>14.600000000000001</c:v>
                </c:pt>
                <c:pt idx="64">
                  <c:v>14.075000000000001</c:v>
                </c:pt>
                <c:pt idx="65">
                  <c:v>13.987500000000002</c:v>
                </c:pt>
                <c:pt idx="66">
                  <c:v>13.962500000000004</c:v>
                </c:pt>
                <c:pt idx="67">
                  <c:v>14.700000000000003</c:v>
                </c:pt>
                <c:pt idx="68">
                  <c:v>14.762499999999999</c:v>
                </c:pt>
                <c:pt idx="69">
                  <c:v>14.137500000000003</c:v>
                </c:pt>
                <c:pt idx="70">
                  <c:v>13.962500000000002</c:v>
                </c:pt>
                <c:pt idx="71">
                  <c:v>14.362500000000002</c:v>
                </c:pt>
                <c:pt idx="72">
                  <c:v>14.112500000000001</c:v>
                </c:pt>
                <c:pt idx="73">
                  <c:v>14.212500000000002</c:v>
                </c:pt>
                <c:pt idx="74">
                  <c:v>13.937500000000004</c:v>
                </c:pt>
                <c:pt idx="75">
                  <c:v>13.837500000000002</c:v>
                </c:pt>
                <c:pt idx="76">
                  <c:v>12.986666666666668</c:v>
                </c:pt>
                <c:pt idx="77">
                  <c:v>13.162500000000001</c:v>
                </c:pt>
                <c:pt idx="78">
                  <c:v>13.237500000000001</c:v>
                </c:pt>
                <c:pt idx="79">
                  <c:v>13.237500000000001</c:v>
                </c:pt>
                <c:pt idx="80">
                  <c:v>14.200000000000001</c:v>
                </c:pt>
                <c:pt idx="81">
                  <c:v>14.2125</c:v>
                </c:pt>
                <c:pt idx="82">
                  <c:v>14.862500000000001</c:v>
                </c:pt>
                <c:pt idx="83">
                  <c:v>14.6625</c:v>
                </c:pt>
                <c:pt idx="84">
                  <c:v>14.650000000000002</c:v>
                </c:pt>
                <c:pt idx="85">
                  <c:v>14.725000000000003</c:v>
                </c:pt>
                <c:pt idx="86">
                  <c:v>14.725000000000003</c:v>
                </c:pt>
                <c:pt idx="87">
                  <c:v>14.712500000000002</c:v>
                </c:pt>
                <c:pt idx="88">
                  <c:v>14.687500000000002</c:v>
                </c:pt>
                <c:pt idx="89">
                  <c:v>14.425000000000002</c:v>
                </c:pt>
                <c:pt idx="90">
                  <c:v>14.487500000000002</c:v>
                </c:pt>
                <c:pt idx="91">
                  <c:v>14.562500000000002</c:v>
                </c:pt>
                <c:pt idx="92">
                  <c:v>14.412500000000001</c:v>
                </c:pt>
                <c:pt idx="93">
                  <c:v>14.737500000000002</c:v>
                </c:pt>
                <c:pt idx="94">
                  <c:v>14.737500000000002</c:v>
                </c:pt>
                <c:pt idx="95">
                  <c:v>14.125000000000002</c:v>
                </c:pt>
                <c:pt idx="96">
                  <c:v>14.000000000000002</c:v>
                </c:pt>
                <c:pt idx="97">
                  <c:v>14.525000000000002</c:v>
                </c:pt>
                <c:pt idx="98">
                  <c:v>13.571428571428571</c:v>
                </c:pt>
                <c:pt idx="99">
                  <c:v>14.657142857142858</c:v>
                </c:pt>
                <c:pt idx="100">
                  <c:v>14.714285714285717</c:v>
                </c:pt>
                <c:pt idx="101">
                  <c:v>14.771428571428574</c:v>
                </c:pt>
                <c:pt idx="102">
                  <c:v>14.506666666666668</c:v>
                </c:pt>
                <c:pt idx="103">
                  <c:v>14.826666666666666</c:v>
                </c:pt>
                <c:pt idx="104">
                  <c:v>14.186666666666667</c:v>
                </c:pt>
                <c:pt idx="105">
                  <c:v>14.240000000000002</c:v>
                </c:pt>
                <c:pt idx="106">
                  <c:v>14.76</c:v>
                </c:pt>
                <c:pt idx="107">
                  <c:v>14.746666666666668</c:v>
                </c:pt>
                <c:pt idx="108">
                  <c:v>14.533333333333335</c:v>
                </c:pt>
                <c:pt idx="109">
                  <c:v>14.113333333333335</c:v>
                </c:pt>
                <c:pt idx="110">
                  <c:v>14.146666666666668</c:v>
                </c:pt>
                <c:pt idx="111">
                  <c:v>14.146666666666668</c:v>
                </c:pt>
                <c:pt idx="112">
                  <c:v>15.066666666666668</c:v>
                </c:pt>
                <c:pt idx="113">
                  <c:v>14.773333333333337</c:v>
                </c:pt>
                <c:pt idx="114">
                  <c:v>14.626666666666669</c:v>
                </c:pt>
                <c:pt idx="115">
                  <c:v>14.573333333333334</c:v>
                </c:pt>
                <c:pt idx="116">
                  <c:v>14.200000000000001</c:v>
                </c:pt>
                <c:pt idx="117">
                  <c:v>14.82666666666667</c:v>
                </c:pt>
                <c:pt idx="118">
                  <c:v>15.000000000000002</c:v>
                </c:pt>
                <c:pt idx="119">
                  <c:v>14.800000000000002</c:v>
                </c:pt>
                <c:pt idx="120">
                  <c:v>13.773333333333335</c:v>
                </c:pt>
                <c:pt idx="121">
                  <c:v>14.440000000000001</c:v>
                </c:pt>
                <c:pt idx="122">
                  <c:v>14.952941176470592</c:v>
                </c:pt>
                <c:pt idx="123">
                  <c:v>13.950000000000001</c:v>
                </c:pt>
                <c:pt idx="124">
                  <c:v>15.287500000000001</c:v>
                </c:pt>
                <c:pt idx="125">
                  <c:v>14.600000000000001</c:v>
                </c:pt>
                <c:pt idx="126">
                  <c:v>14.975000000000001</c:v>
                </c:pt>
                <c:pt idx="127">
                  <c:v>14.360000000000001</c:v>
                </c:pt>
                <c:pt idx="128">
                  <c:v>14.662500000000001</c:v>
                </c:pt>
                <c:pt idx="129">
                  <c:v>14.987500000000002</c:v>
                </c:pt>
                <c:pt idx="130">
                  <c:v>14.725000000000001</c:v>
                </c:pt>
                <c:pt idx="131">
                  <c:v>14.500000000000002</c:v>
                </c:pt>
                <c:pt idx="132">
                  <c:v>14.625</c:v>
                </c:pt>
                <c:pt idx="133">
                  <c:v>14.717647058823532</c:v>
                </c:pt>
                <c:pt idx="134">
                  <c:v>14.647058823529413</c:v>
                </c:pt>
                <c:pt idx="135">
                  <c:v>14.070588235294119</c:v>
                </c:pt>
                <c:pt idx="136">
                  <c:v>14.035294117647059</c:v>
                </c:pt>
                <c:pt idx="137">
                  <c:v>14.82352941176471</c:v>
                </c:pt>
                <c:pt idx="138">
                  <c:v>14.776470588235297</c:v>
                </c:pt>
                <c:pt idx="139">
                  <c:v>14.658823529411766</c:v>
                </c:pt>
                <c:pt idx="140">
                  <c:v>14.941176470588237</c:v>
                </c:pt>
                <c:pt idx="141">
                  <c:v>14.870588235294118</c:v>
                </c:pt>
              </c:numCache>
            </c:numRef>
          </c:val>
          <c:smooth val="0"/>
        </c:ser>
        <c:ser>
          <c:idx val="2"/>
          <c:order val="2"/>
          <c:tx>
            <c:strRef>
              <c:f>麵食!$F$2</c:f>
              <c:strCache>
                <c:ptCount val="1"/>
                <c:pt idx="0">
                  <c:v>量販店－味味</c:v>
                </c:pt>
              </c:strCache>
            </c:strRef>
          </c:tx>
          <c:spPr>
            <a:ln w="38100" cap="rnd">
              <a:solidFill>
                <a:srgbClr val="9BBB59"/>
              </a:solidFill>
              <a:prstDash val="solid"/>
              <a:round/>
            </a:ln>
            <a:effectLst/>
          </c:spPr>
          <c:marker>
            <c:symbol val="none"/>
          </c:marker>
          <c:cat>
            <c:strRef>
              <c:f>麵食!$A$32:$A$173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麵食!$F$32:$F$173</c:f>
              <c:numCache>
                <c:formatCode>0.00</c:formatCode>
                <c:ptCount val="142"/>
                <c:pt idx="0">
                  <c:v>13.355555555555556</c:v>
                </c:pt>
                <c:pt idx="1">
                  <c:v>13.6</c:v>
                </c:pt>
                <c:pt idx="2">
                  <c:v>13.35</c:v>
                </c:pt>
                <c:pt idx="3">
                  <c:v>13.33</c:v>
                </c:pt>
                <c:pt idx="4">
                  <c:v>13.83</c:v>
                </c:pt>
                <c:pt idx="5">
                  <c:v>13</c:v>
                </c:pt>
                <c:pt idx="6">
                  <c:v>13.422222222222222</c:v>
                </c:pt>
                <c:pt idx="7">
                  <c:v>12.911111111111111</c:v>
                </c:pt>
                <c:pt idx="8">
                  <c:v>13.466666666666665</c:v>
                </c:pt>
                <c:pt idx="9">
                  <c:v>14.044444444444444</c:v>
                </c:pt>
                <c:pt idx="10">
                  <c:v>13.9</c:v>
                </c:pt>
                <c:pt idx="11">
                  <c:v>14.05909090909091</c:v>
                </c:pt>
                <c:pt idx="12">
                  <c:v>14.145454545454548</c:v>
                </c:pt>
                <c:pt idx="13">
                  <c:v>13.160000000000002</c:v>
                </c:pt>
                <c:pt idx="14">
                  <c:v>13.919999999999998</c:v>
                </c:pt>
                <c:pt idx="15">
                  <c:v>13.180000000000001</c:v>
                </c:pt>
                <c:pt idx="16">
                  <c:v>13.325000000000001</c:v>
                </c:pt>
                <c:pt idx="17">
                  <c:v>13.680000000000001</c:v>
                </c:pt>
                <c:pt idx="18">
                  <c:v>13.38</c:v>
                </c:pt>
                <c:pt idx="19">
                  <c:v>13.539999999999997</c:v>
                </c:pt>
                <c:pt idx="20">
                  <c:v>13.239999999999998</c:v>
                </c:pt>
                <c:pt idx="21">
                  <c:v>13.36</c:v>
                </c:pt>
                <c:pt idx="22">
                  <c:v>13.139999999999997</c:v>
                </c:pt>
                <c:pt idx="23">
                  <c:v>13.16</c:v>
                </c:pt>
                <c:pt idx="24">
                  <c:v>12.98</c:v>
                </c:pt>
                <c:pt idx="25">
                  <c:v>13.039999999999997</c:v>
                </c:pt>
                <c:pt idx="26">
                  <c:v>13.039999999999997</c:v>
                </c:pt>
                <c:pt idx="27">
                  <c:v>13.02</c:v>
                </c:pt>
                <c:pt idx="28">
                  <c:v>12.933333333333332</c:v>
                </c:pt>
                <c:pt idx="29">
                  <c:v>13.8</c:v>
                </c:pt>
                <c:pt idx="30">
                  <c:v>13.4</c:v>
                </c:pt>
                <c:pt idx="31">
                  <c:v>13</c:v>
                </c:pt>
                <c:pt idx="32">
                  <c:v>13.488888888888889</c:v>
                </c:pt>
                <c:pt idx="33">
                  <c:v>13.9</c:v>
                </c:pt>
                <c:pt idx="34">
                  <c:v>12.888888888888891</c:v>
                </c:pt>
                <c:pt idx="35">
                  <c:v>12.98</c:v>
                </c:pt>
                <c:pt idx="36">
                  <c:v>13.48</c:v>
                </c:pt>
                <c:pt idx="37">
                  <c:v>13.1</c:v>
                </c:pt>
                <c:pt idx="38">
                  <c:v>12.98</c:v>
                </c:pt>
                <c:pt idx="39">
                  <c:v>13.155555555555557</c:v>
                </c:pt>
                <c:pt idx="40">
                  <c:v>13.2</c:v>
                </c:pt>
                <c:pt idx="41">
                  <c:v>13.044444444444444</c:v>
                </c:pt>
                <c:pt idx="42">
                  <c:v>13.044444444444444</c:v>
                </c:pt>
                <c:pt idx="43">
                  <c:v>13.177777777777777</c:v>
                </c:pt>
                <c:pt idx="44">
                  <c:v>13.2</c:v>
                </c:pt>
                <c:pt idx="45">
                  <c:v>13.466666666666665</c:v>
                </c:pt>
                <c:pt idx="46">
                  <c:v>13.2</c:v>
                </c:pt>
                <c:pt idx="47">
                  <c:v>13.622222222222222</c:v>
                </c:pt>
                <c:pt idx="48">
                  <c:v>13.333333333333334</c:v>
                </c:pt>
                <c:pt idx="49">
                  <c:v>13.466666666666667</c:v>
                </c:pt>
                <c:pt idx="50">
                  <c:v>13.022222222222222</c:v>
                </c:pt>
                <c:pt idx="51">
                  <c:v>13.133333333333333</c:v>
                </c:pt>
                <c:pt idx="52">
                  <c:v>13.222222222222221</c:v>
                </c:pt>
                <c:pt idx="53">
                  <c:v>13.222222222222221</c:v>
                </c:pt>
                <c:pt idx="54">
                  <c:v>13.02222222222222</c:v>
                </c:pt>
                <c:pt idx="55">
                  <c:v>13.177777777777777</c:v>
                </c:pt>
                <c:pt idx="56">
                  <c:v>13.177777777777777</c:v>
                </c:pt>
                <c:pt idx="57">
                  <c:v>13.822222222222221</c:v>
                </c:pt>
                <c:pt idx="58">
                  <c:v>13.755555555555555</c:v>
                </c:pt>
                <c:pt idx="59">
                  <c:v>13.399999999999999</c:v>
                </c:pt>
                <c:pt idx="60">
                  <c:v>13.355555555555554</c:v>
                </c:pt>
                <c:pt idx="61">
                  <c:v>13.044444444444444</c:v>
                </c:pt>
                <c:pt idx="62">
                  <c:v>13.588888888888889</c:v>
                </c:pt>
                <c:pt idx="63">
                  <c:v>12.955555555555556</c:v>
                </c:pt>
                <c:pt idx="64">
                  <c:v>13</c:v>
                </c:pt>
                <c:pt idx="65">
                  <c:v>12.78</c:v>
                </c:pt>
                <c:pt idx="66">
                  <c:v>12.98</c:v>
                </c:pt>
                <c:pt idx="67">
                  <c:v>12.777777777777779</c:v>
                </c:pt>
                <c:pt idx="68">
                  <c:v>12.82</c:v>
                </c:pt>
                <c:pt idx="69">
                  <c:v>13.219999999999999</c:v>
                </c:pt>
                <c:pt idx="70">
                  <c:v>12.9</c:v>
                </c:pt>
                <c:pt idx="71">
                  <c:v>13</c:v>
                </c:pt>
                <c:pt idx="72">
                  <c:v>12.66</c:v>
                </c:pt>
                <c:pt idx="73">
                  <c:v>13.039999999999997</c:v>
                </c:pt>
                <c:pt idx="74">
                  <c:v>12.679999999999998</c:v>
                </c:pt>
                <c:pt idx="75">
                  <c:v>12.66</c:v>
                </c:pt>
                <c:pt idx="76">
                  <c:v>12.33333333333333</c:v>
                </c:pt>
                <c:pt idx="77">
                  <c:v>12.579999999999998</c:v>
                </c:pt>
                <c:pt idx="78">
                  <c:v>12.4</c:v>
                </c:pt>
                <c:pt idx="79">
                  <c:v>12.14</c:v>
                </c:pt>
                <c:pt idx="80">
                  <c:v>12.74</c:v>
                </c:pt>
                <c:pt idx="81">
                  <c:v>12.9</c:v>
                </c:pt>
                <c:pt idx="82">
                  <c:v>12.739999999999998</c:v>
                </c:pt>
                <c:pt idx="83">
                  <c:v>12.8</c:v>
                </c:pt>
                <c:pt idx="84">
                  <c:v>12.822222222222223</c:v>
                </c:pt>
                <c:pt idx="85">
                  <c:v>12.78</c:v>
                </c:pt>
                <c:pt idx="86">
                  <c:v>12.960000000000003</c:v>
                </c:pt>
                <c:pt idx="87">
                  <c:v>13.02</c:v>
                </c:pt>
                <c:pt idx="88">
                  <c:v>13.38</c:v>
                </c:pt>
                <c:pt idx="89">
                  <c:v>13.3</c:v>
                </c:pt>
                <c:pt idx="90">
                  <c:v>13.080000000000002</c:v>
                </c:pt>
                <c:pt idx="91">
                  <c:v>13.14</c:v>
                </c:pt>
                <c:pt idx="92">
                  <c:v>12.860000000000003</c:v>
                </c:pt>
                <c:pt idx="93">
                  <c:v>12.760000000000002</c:v>
                </c:pt>
                <c:pt idx="94">
                  <c:v>12.760000000000002</c:v>
                </c:pt>
                <c:pt idx="95">
                  <c:v>12.839999999999998</c:v>
                </c:pt>
                <c:pt idx="96">
                  <c:v>12.64</c:v>
                </c:pt>
                <c:pt idx="97">
                  <c:v>12.860000000000003</c:v>
                </c:pt>
                <c:pt idx="98">
                  <c:v>13.181818181818182</c:v>
                </c:pt>
                <c:pt idx="99">
                  <c:v>12.781818181818181</c:v>
                </c:pt>
                <c:pt idx="100">
                  <c:v>12.2</c:v>
                </c:pt>
                <c:pt idx="101">
                  <c:v>12.26</c:v>
                </c:pt>
                <c:pt idx="102">
                  <c:v>12.472727272727271</c:v>
                </c:pt>
                <c:pt idx="103">
                  <c:v>12.818181818181818</c:v>
                </c:pt>
                <c:pt idx="104">
                  <c:v>12.719999999999999</c:v>
                </c:pt>
                <c:pt idx="105">
                  <c:v>12.781818181818181</c:v>
                </c:pt>
                <c:pt idx="106">
                  <c:v>12.727272727272727</c:v>
                </c:pt>
                <c:pt idx="107">
                  <c:v>12.8</c:v>
                </c:pt>
                <c:pt idx="108">
                  <c:v>12.709090909090911</c:v>
                </c:pt>
                <c:pt idx="109">
                  <c:v>12.6</c:v>
                </c:pt>
                <c:pt idx="110">
                  <c:v>12.490909090909092</c:v>
                </c:pt>
                <c:pt idx="111">
                  <c:v>12.490909090909092</c:v>
                </c:pt>
                <c:pt idx="112">
                  <c:v>12.563636363636364</c:v>
                </c:pt>
                <c:pt idx="113">
                  <c:v>12.690909090909093</c:v>
                </c:pt>
                <c:pt idx="114">
                  <c:v>12.8</c:v>
                </c:pt>
                <c:pt idx="115">
                  <c:v>12.8</c:v>
                </c:pt>
                <c:pt idx="116">
                  <c:v>13.163636363636364</c:v>
                </c:pt>
                <c:pt idx="117">
                  <c:v>12.818181818181818</c:v>
                </c:pt>
                <c:pt idx="118">
                  <c:v>12.8</c:v>
                </c:pt>
                <c:pt idx="119">
                  <c:v>12.727272727272727</c:v>
                </c:pt>
                <c:pt idx="120">
                  <c:v>12.8</c:v>
                </c:pt>
                <c:pt idx="121">
                  <c:v>12.527272727272729</c:v>
                </c:pt>
                <c:pt idx="122">
                  <c:v>12.18</c:v>
                </c:pt>
                <c:pt idx="123">
                  <c:v>12.254545454545456</c:v>
                </c:pt>
                <c:pt idx="124">
                  <c:v>13.054545454545455</c:v>
                </c:pt>
                <c:pt idx="125">
                  <c:v>13.290909090909093</c:v>
                </c:pt>
                <c:pt idx="126">
                  <c:v>13.981818181818182</c:v>
                </c:pt>
                <c:pt idx="127">
                  <c:v>13.8</c:v>
                </c:pt>
                <c:pt idx="128">
                  <c:v>13.818181818181818</c:v>
                </c:pt>
                <c:pt idx="129">
                  <c:v>13.745454545454544</c:v>
                </c:pt>
                <c:pt idx="130">
                  <c:v>14.2</c:v>
                </c:pt>
                <c:pt idx="131">
                  <c:v>14.072727272727274</c:v>
                </c:pt>
                <c:pt idx="132">
                  <c:v>13.909090909090908</c:v>
                </c:pt>
                <c:pt idx="133">
                  <c:v>13.963636363636367</c:v>
                </c:pt>
                <c:pt idx="134">
                  <c:v>13.7</c:v>
                </c:pt>
                <c:pt idx="135">
                  <c:v>13.38</c:v>
                </c:pt>
                <c:pt idx="136">
                  <c:v>13.509090909090911</c:v>
                </c:pt>
                <c:pt idx="137">
                  <c:v>13.636363636363637</c:v>
                </c:pt>
                <c:pt idx="138">
                  <c:v>13.909090909090908</c:v>
                </c:pt>
                <c:pt idx="139">
                  <c:v>14</c:v>
                </c:pt>
                <c:pt idx="140">
                  <c:v>14.036363636363633</c:v>
                </c:pt>
                <c:pt idx="141">
                  <c:v>14.236363636363636</c:v>
                </c:pt>
              </c:numCache>
            </c:numRef>
          </c:val>
          <c:smooth val="0"/>
        </c:ser>
        <c:dLbls>
          <c:showLegendKey val="0"/>
          <c:showVal val="0"/>
          <c:showCatName val="0"/>
          <c:showSerName val="0"/>
          <c:showPercent val="0"/>
          <c:showBubbleSize val="0"/>
        </c:dLbls>
        <c:marker val="1"/>
        <c:smooth val="0"/>
        <c:axId val="273242752"/>
        <c:axId val="273269120"/>
      </c:lineChart>
      <c:catAx>
        <c:axId val="273242752"/>
        <c:scaling>
          <c:orientation val="minMax"/>
        </c:scaling>
        <c:delete val="0"/>
        <c:axPos val="b"/>
        <c:numFmt formatCode="General" sourceLinked="1"/>
        <c:majorTickMark val="in"/>
        <c:minorTickMark val="none"/>
        <c:tickLblPos val="nextTo"/>
        <c:spPr>
          <a:noFill/>
          <a:ln w="9525" cap="flat" cmpd="sng" algn="ctr">
            <a:solidFill>
              <a:sysClr val="windowText" lastClr="000000"/>
            </a:solidFill>
            <a:round/>
          </a:ln>
          <a:effectLst/>
        </c:spPr>
        <c:txPr>
          <a:bodyPr rot="-2700000" spcFirstLastPara="1" vertOverflow="ellipsis" vert="horz" wrap="square" anchor="ctr" anchorCtr="1"/>
          <a:lstStyle/>
          <a:p>
            <a:pPr>
              <a:defRPr sz="900" b="0" i="0" u="none" strike="noStrike" kern="1200" baseline="0">
                <a:ln>
                  <a:noFill/>
                </a:ln>
                <a:solidFill>
                  <a:sysClr val="windowText" lastClr="000000"/>
                </a:solidFill>
                <a:latin typeface="+mn-lt"/>
                <a:ea typeface="+mn-ea"/>
                <a:cs typeface="+mn-cs"/>
              </a:defRPr>
            </a:pPr>
            <a:endParaRPr lang="zh-TW"/>
          </a:p>
        </c:txPr>
        <c:crossAx val="273269120"/>
        <c:crosses val="autoZero"/>
        <c:auto val="1"/>
        <c:lblAlgn val="ctr"/>
        <c:lblOffset val="100"/>
        <c:tickLblSkip val="5"/>
        <c:noMultiLvlLbl val="0"/>
      </c:catAx>
      <c:valAx>
        <c:axId val="273269120"/>
        <c:scaling>
          <c:orientation val="minMax"/>
          <c:min val="12"/>
        </c:scaling>
        <c:delete val="0"/>
        <c:axPos val="l"/>
        <c:numFmt formatCode="0.00" sourceLinked="1"/>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TW"/>
          </a:p>
        </c:txPr>
        <c:crossAx val="273242752"/>
        <c:crosses val="autoZero"/>
        <c:crossBetween val="between"/>
      </c:valAx>
      <c:spPr>
        <a:noFill/>
        <a:ln w="25400">
          <a:noFill/>
        </a:ln>
      </c:spPr>
    </c:plotArea>
    <c:legend>
      <c:legendPos val="t"/>
      <c:layout>
        <c:manualLayout>
          <c:xMode val="edge"/>
          <c:yMode val="edge"/>
          <c:x val="2.2222222222222223E-2"/>
          <c:y val="2.777780891267595E-2"/>
          <c:w val="0.75471696472723526"/>
          <c:h val="7.9787784534050679E-2"/>
        </c:manualLayout>
      </c:layout>
      <c:overlay val="0"/>
      <c:spPr>
        <a:noFill/>
        <a:ln w="25400">
          <a:noFill/>
        </a:ln>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TW"/>
        </a:p>
      </c:txPr>
    </c:legend>
    <c:plotVisOnly val="1"/>
    <c:dispBlanksAs val="gap"/>
    <c:showDLblsOverMax val="0"/>
  </c:chart>
  <c:spPr>
    <a:noFill/>
    <a:ln w="9525">
      <a:noFill/>
    </a:ln>
  </c:spPr>
  <c:txPr>
    <a:bodyPr/>
    <a:lstStyle/>
    <a:p>
      <a:pPr>
        <a:defRPr/>
      </a:pPr>
      <a:endParaRPr lang="zh-TW"/>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853249475890985E-2"/>
          <c:y val="0.16014234875444841"/>
          <c:w val="0.85115303983228507"/>
          <c:h val="0.61209964412811391"/>
        </c:manualLayout>
      </c:layout>
      <c:lineChart>
        <c:grouping val="standard"/>
        <c:varyColors val="0"/>
        <c:ser>
          <c:idx val="0"/>
          <c:order val="0"/>
          <c:tx>
            <c:strRef>
              <c:f>麵食!$C$2</c:f>
              <c:strCache>
                <c:ptCount val="1"/>
                <c:pt idx="0">
                  <c:v>便利店－好勁道</c:v>
                </c:pt>
              </c:strCache>
            </c:strRef>
          </c:tx>
          <c:spPr>
            <a:ln w="22225" cap="rnd">
              <a:solidFill>
                <a:srgbClr val="4F81BD"/>
              </a:solidFill>
              <a:round/>
            </a:ln>
            <a:effectLst/>
          </c:spPr>
          <c:marker>
            <c:symbol val="none"/>
          </c:marker>
          <c:cat>
            <c:strRef>
              <c:f>麵食!$A$32:$A$173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麵食!$C$32:$C$173</c:f>
              <c:numCache>
                <c:formatCode>0.00</c:formatCode>
                <c:ptCount val="142"/>
                <c:pt idx="0">
                  <c:v>30</c:v>
                </c:pt>
                <c:pt idx="1">
                  <c:v>30</c:v>
                </c:pt>
                <c:pt idx="2">
                  <c:v>30</c:v>
                </c:pt>
                <c:pt idx="3">
                  <c:v>30</c:v>
                </c:pt>
                <c:pt idx="4">
                  <c:v>30</c:v>
                </c:pt>
                <c:pt idx="5">
                  <c:v>30</c:v>
                </c:pt>
                <c:pt idx="6">
                  <c:v>30</c:v>
                </c:pt>
                <c:pt idx="7">
                  <c:v>30</c:v>
                </c:pt>
                <c:pt idx="8">
                  <c:v>30</c:v>
                </c:pt>
                <c:pt idx="9">
                  <c:v>30</c:v>
                </c:pt>
                <c:pt idx="10">
                  <c:v>30</c:v>
                </c:pt>
                <c:pt idx="11">
                  <c:v>30</c:v>
                </c:pt>
                <c:pt idx="12">
                  <c:v>30</c:v>
                </c:pt>
                <c:pt idx="13">
                  <c:v>30</c:v>
                </c:pt>
                <c:pt idx="14">
                  <c:v>30</c:v>
                </c:pt>
                <c:pt idx="15">
                  <c:v>30</c:v>
                </c:pt>
                <c:pt idx="16">
                  <c:v>30</c:v>
                </c:pt>
                <c:pt idx="17">
                  <c:v>30</c:v>
                </c:pt>
                <c:pt idx="18">
                  <c:v>30</c:v>
                </c:pt>
                <c:pt idx="19">
                  <c:v>30</c:v>
                </c:pt>
                <c:pt idx="20">
                  <c:v>30</c:v>
                </c:pt>
                <c:pt idx="21">
                  <c:v>30</c:v>
                </c:pt>
                <c:pt idx="22">
                  <c:v>30</c:v>
                </c:pt>
                <c:pt idx="23">
                  <c:v>30</c:v>
                </c:pt>
                <c:pt idx="24">
                  <c:v>30</c:v>
                </c:pt>
                <c:pt idx="25">
                  <c:v>30</c:v>
                </c:pt>
                <c:pt idx="26">
                  <c:v>30</c:v>
                </c:pt>
                <c:pt idx="27">
                  <c:v>30</c:v>
                </c:pt>
                <c:pt idx="28">
                  <c:v>30</c:v>
                </c:pt>
                <c:pt idx="29">
                  <c:v>30</c:v>
                </c:pt>
                <c:pt idx="30">
                  <c:v>30</c:v>
                </c:pt>
                <c:pt idx="31">
                  <c:v>30</c:v>
                </c:pt>
                <c:pt idx="32">
                  <c:v>30</c:v>
                </c:pt>
                <c:pt idx="33">
                  <c:v>30</c:v>
                </c:pt>
                <c:pt idx="34">
                  <c:v>30</c:v>
                </c:pt>
                <c:pt idx="35">
                  <c:v>30</c:v>
                </c:pt>
                <c:pt idx="36">
                  <c:v>30</c:v>
                </c:pt>
                <c:pt idx="37">
                  <c:v>30</c:v>
                </c:pt>
                <c:pt idx="38">
                  <c:v>30</c:v>
                </c:pt>
                <c:pt idx="39">
                  <c:v>30</c:v>
                </c:pt>
                <c:pt idx="40">
                  <c:v>30</c:v>
                </c:pt>
                <c:pt idx="41">
                  <c:v>30</c:v>
                </c:pt>
                <c:pt idx="42">
                  <c:v>30</c:v>
                </c:pt>
                <c:pt idx="43">
                  <c:v>30</c:v>
                </c:pt>
                <c:pt idx="44">
                  <c:v>30</c:v>
                </c:pt>
                <c:pt idx="45">
                  <c:v>30</c:v>
                </c:pt>
                <c:pt idx="46">
                  <c:v>30</c:v>
                </c:pt>
                <c:pt idx="47">
                  <c:v>30</c:v>
                </c:pt>
                <c:pt idx="48">
                  <c:v>30</c:v>
                </c:pt>
                <c:pt idx="49">
                  <c:v>30</c:v>
                </c:pt>
                <c:pt idx="50">
                  <c:v>30</c:v>
                </c:pt>
                <c:pt idx="51">
                  <c:v>30</c:v>
                </c:pt>
                <c:pt idx="52">
                  <c:v>30</c:v>
                </c:pt>
                <c:pt idx="53">
                  <c:v>30</c:v>
                </c:pt>
                <c:pt idx="54">
                  <c:v>30</c:v>
                </c:pt>
                <c:pt idx="55">
                  <c:v>30</c:v>
                </c:pt>
                <c:pt idx="56">
                  <c:v>30</c:v>
                </c:pt>
                <c:pt idx="57">
                  <c:v>30</c:v>
                </c:pt>
                <c:pt idx="58">
                  <c:v>30</c:v>
                </c:pt>
                <c:pt idx="59">
                  <c:v>30</c:v>
                </c:pt>
                <c:pt idx="60">
                  <c:v>30</c:v>
                </c:pt>
                <c:pt idx="61">
                  <c:v>30</c:v>
                </c:pt>
                <c:pt idx="62">
                  <c:v>30</c:v>
                </c:pt>
                <c:pt idx="63">
                  <c:v>30</c:v>
                </c:pt>
                <c:pt idx="64">
                  <c:v>30</c:v>
                </c:pt>
                <c:pt idx="65">
                  <c:v>30</c:v>
                </c:pt>
                <c:pt idx="66">
                  <c:v>30</c:v>
                </c:pt>
                <c:pt idx="67">
                  <c:v>30</c:v>
                </c:pt>
                <c:pt idx="68">
                  <c:v>30</c:v>
                </c:pt>
                <c:pt idx="69">
                  <c:v>30</c:v>
                </c:pt>
                <c:pt idx="70">
                  <c:v>30</c:v>
                </c:pt>
                <c:pt idx="71">
                  <c:v>30</c:v>
                </c:pt>
                <c:pt idx="72">
                  <c:v>30</c:v>
                </c:pt>
                <c:pt idx="73">
                  <c:v>30</c:v>
                </c:pt>
                <c:pt idx="74">
                  <c:v>30</c:v>
                </c:pt>
                <c:pt idx="75">
                  <c:v>30</c:v>
                </c:pt>
                <c:pt idx="76">
                  <c:v>30</c:v>
                </c:pt>
                <c:pt idx="77">
                  <c:v>30</c:v>
                </c:pt>
                <c:pt idx="78">
                  <c:v>30</c:v>
                </c:pt>
                <c:pt idx="79">
                  <c:v>30</c:v>
                </c:pt>
                <c:pt idx="80">
                  <c:v>30</c:v>
                </c:pt>
                <c:pt idx="81">
                  <c:v>30</c:v>
                </c:pt>
                <c:pt idx="82">
                  <c:v>30</c:v>
                </c:pt>
                <c:pt idx="83">
                  <c:v>30</c:v>
                </c:pt>
                <c:pt idx="84">
                  <c:v>30</c:v>
                </c:pt>
                <c:pt idx="85">
                  <c:v>30</c:v>
                </c:pt>
                <c:pt idx="86">
                  <c:v>30</c:v>
                </c:pt>
                <c:pt idx="87">
                  <c:v>30</c:v>
                </c:pt>
                <c:pt idx="88">
                  <c:v>30</c:v>
                </c:pt>
                <c:pt idx="89">
                  <c:v>30</c:v>
                </c:pt>
                <c:pt idx="90">
                  <c:v>30</c:v>
                </c:pt>
                <c:pt idx="91">
                  <c:v>30</c:v>
                </c:pt>
                <c:pt idx="92">
                  <c:v>30</c:v>
                </c:pt>
                <c:pt idx="93">
                  <c:v>30</c:v>
                </c:pt>
                <c:pt idx="94">
                  <c:v>30</c:v>
                </c:pt>
                <c:pt idx="95">
                  <c:v>30</c:v>
                </c:pt>
                <c:pt idx="96">
                  <c:v>30</c:v>
                </c:pt>
                <c:pt idx="97">
                  <c:v>30</c:v>
                </c:pt>
                <c:pt idx="98">
                  <c:v>30</c:v>
                </c:pt>
                <c:pt idx="99">
                  <c:v>30</c:v>
                </c:pt>
                <c:pt idx="100">
                  <c:v>30</c:v>
                </c:pt>
                <c:pt idx="101">
                  <c:v>30</c:v>
                </c:pt>
                <c:pt idx="102">
                  <c:v>30</c:v>
                </c:pt>
                <c:pt idx="103">
                  <c:v>30</c:v>
                </c:pt>
                <c:pt idx="104">
                  <c:v>30</c:v>
                </c:pt>
                <c:pt idx="105">
                  <c:v>30</c:v>
                </c:pt>
                <c:pt idx="106">
                  <c:v>30</c:v>
                </c:pt>
                <c:pt idx="107">
                  <c:v>30</c:v>
                </c:pt>
                <c:pt idx="108">
                  <c:v>30</c:v>
                </c:pt>
                <c:pt idx="109">
                  <c:v>30</c:v>
                </c:pt>
                <c:pt idx="110">
                  <c:v>30</c:v>
                </c:pt>
                <c:pt idx="111">
                  <c:v>30</c:v>
                </c:pt>
                <c:pt idx="112">
                  <c:v>30</c:v>
                </c:pt>
                <c:pt idx="113">
                  <c:v>30</c:v>
                </c:pt>
                <c:pt idx="114">
                  <c:v>30</c:v>
                </c:pt>
                <c:pt idx="115">
                  <c:v>30</c:v>
                </c:pt>
                <c:pt idx="116">
                  <c:v>30</c:v>
                </c:pt>
                <c:pt idx="117">
                  <c:v>30</c:v>
                </c:pt>
                <c:pt idx="118">
                  <c:v>30</c:v>
                </c:pt>
                <c:pt idx="119">
                  <c:v>30</c:v>
                </c:pt>
                <c:pt idx="120">
                  <c:v>30</c:v>
                </c:pt>
                <c:pt idx="121">
                  <c:v>30</c:v>
                </c:pt>
                <c:pt idx="122">
                  <c:v>30</c:v>
                </c:pt>
                <c:pt idx="123">
                  <c:v>30</c:v>
                </c:pt>
                <c:pt idx="124">
                  <c:v>30</c:v>
                </c:pt>
                <c:pt idx="125">
                  <c:v>30</c:v>
                </c:pt>
                <c:pt idx="126">
                  <c:v>30</c:v>
                </c:pt>
                <c:pt idx="127">
                  <c:v>30</c:v>
                </c:pt>
                <c:pt idx="128">
                  <c:v>30</c:v>
                </c:pt>
                <c:pt idx="129">
                  <c:v>30</c:v>
                </c:pt>
                <c:pt idx="130">
                  <c:v>30</c:v>
                </c:pt>
                <c:pt idx="131">
                  <c:v>30</c:v>
                </c:pt>
                <c:pt idx="132">
                  <c:v>30</c:v>
                </c:pt>
                <c:pt idx="133">
                  <c:v>30</c:v>
                </c:pt>
                <c:pt idx="134">
                  <c:v>30</c:v>
                </c:pt>
                <c:pt idx="135">
                  <c:v>30</c:v>
                </c:pt>
                <c:pt idx="136">
                  <c:v>30</c:v>
                </c:pt>
                <c:pt idx="137">
                  <c:v>30</c:v>
                </c:pt>
                <c:pt idx="138">
                  <c:v>30</c:v>
                </c:pt>
                <c:pt idx="139">
                  <c:v>29.25</c:v>
                </c:pt>
                <c:pt idx="140">
                  <c:v>30</c:v>
                </c:pt>
                <c:pt idx="141">
                  <c:v>30</c:v>
                </c:pt>
              </c:numCache>
            </c:numRef>
          </c:val>
          <c:smooth val="0"/>
        </c:ser>
        <c:ser>
          <c:idx val="1"/>
          <c:order val="1"/>
          <c:tx>
            <c:strRef>
              <c:f>麵食!$E$2</c:f>
              <c:strCache>
                <c:ptCount val="1"/>
                <c:pt idx="0">
                  <c:v>超市－好勁道</c:v>
                </c:pt>
              </c:strCache>
            </c:strRef>
          </c:tx>
          <c:spPr>
            <a:ln w="28575" cap="rnd">
              <a:solidFill>
                <a:srgbClr val="C0504D"/>
              </a:solidFill>
              <a:prstDash val="sysDot"/>
              <a:round/>
            </a:ln>
            <a:effectLst/>
          </c:spPr>
          <c:marker>
            <c:symbol val="none"/>
          </c:marker>
          <c:cat>
            <c:strRef>
              <c:f>麵食!$A$32:$A$173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麵食!$E$32:$E$173</c:f>
              <c:numCache>
                <c:formatCode>0.00</c:formatCode>
                <c:ptCount val="142"/>
                <c:pt idx="0">
                  <c:v>26.092857142857145</c:v>
                </c:pt>
                <c:pt idx="1">
                  <c:v>26.561538461538461</c:v>
                </c:pt>
                <c:pt idx="2">
                  <c:v>25.77</c:v>
                </c:pt>
                <c:pt idx="3">
                  <c:v>26.14</c:v>
                </c:pt>
                <c:pt idx="4">
                  <c:v>26.07</c:v>
                </c:pt>
                <c:pt idx="5">
                  <c:v>25.785714285714285</c:v>
                </c:pt>
                <c:pt idx="6">
                  <c:v>25.857142857142858</c:v>
                </c:pt>
                <c:pt idx="7">
                  <c:v>25.642857142857142</c:v>
                </c:pt>
                <c:pt idx="8">
                  <c:v>26</c:v>
                </c:pt>
                <c:pt idx="9">
                  <c:v>26.533333333333335</c:v>
                </c:pt>
                <c:pt idx="10">
                  <c:v>26.1875</c:v>
                </c:pt>
                <c:pt idx="11">
                  <c:v>26.235294117647058</c:v>
                </c:pt>
                <c:pt idx="12">
                  <c:v>26.235294117647058</c:v>
                </c:pt>
                <c:pt idx="13">
                  <c:v>26.411764705882351</c:v>
                </c:pt>
                <c:pt idx="14">
                  <c:v>26.388888888888889</c:v>
                </c:pt>
                <c:pt idx="15">
                  <c:v>26</c:v>
                </c:pt>
                <c:pt idx="16">
                  <c:v>26.5</c:v>
                </c:pt>
                <c:pt idx="17">
                  <c:v>26.235294117647058</c:v>
                </c:pt>
                <c:pt idx="18">
                  <c:v>26.235294117647058</c:v>
                </c:pt>
                <c:pt idx="19">
                  <c:v>26.411764705882351</c:v>
                </c:pt>
                <c:pt idx="20">
                  <c:v>26.235294117647058</c:v>
                </c:pt>
                <c:pt idx="21">
                  <c:v>26.411764705882351</c:v>
                </c:pt>
                <c:pt idx="22">
                  <c:v>26.117647058823529</c:v>
                </c:pt>
                <c:pt idx="23">
                  <c:v>25.882352941176471</c:v>
                </c:pt>
                <c:pt idx="24">
                  <c:v>25.764705882352942</c:v>
                </c:pt>
                <c:pt idx="25">
                  <c:v>25.411764705882351</c:v>
                </c:pt>
                <c:pt idx="26">
                  <c:v>25.823529411764707</c:v>
                </c:pt>
                <c:pt idx="27">
                  <c:v>25.823529411764707</c:v>
                </c:pt>
                <c:pt idx="28">
                  <c:v>26</c:v>
                </c:pt>
                <c:pt idx="29">
                  <c:v>26.411764705882351</c:v>
                </c:pt>
                <c:pt idx="30">
                  <c:v>26.411764705882351</c:v>
                </c:pt>
                <c:pt idx="31">
                  <c:v>26.529411764705884</c:v>
                </c:pt>
                <c:pt idx="32">
                  <c:v>26.705882352941178</c:v>
                </c:pt>
                <c:pt idx="33">
                  <c:v>26.352941176470587</c:v>
                </c:pt>
                <c:pt idx="34">
                  <c:v>26.5625</c:v>
                </c:pt>
                <c:pt idx="35">
                  <c:v>26.117647058823529</c:v>
                </c:pt>
                <c:pt idx="36">
                  <c:v>26.235294117647058</c:v>
                </c:pt>
                <c:pt idx="37">
                  <c:v>26.019607843137255</c:v>
                </c:pt>
                <c:pt idx="38">
                  <c:v>26.196078431372548</c:v>
                </c:pt>
                <c:pt idx="39">
                  <c:v>26.235294117647058</c:v>
                </c:pt>
                <c:pt idx="40">
                  <c:v>25.764705882352942</c:v>
                </c:pt>
                <c:pt idx="41">
                  <c:v>26.294117647058822</c:v>
                </c:pt>
                <c:pt idx="42">
                  <c:v>25.941176470588236</c:v>
                </c:pt>
                <c:pt idx="43">
                  <c:v>26.029411764705884</c:v>
                </c:pt>
                <c:pt idx="44">
                  <c:v>25.970588235294116</c:v>
                </c:pt>
                <c:pt idx="45">
                  <c:v>26.352941176470587</c:v>
                </c:pt>
                <c:pt idx="46">
                  <c:v>26.352941176470587</c:v>
                </c:pt>
                <c:pt idx="47">
                  <c:v>25.882352941176471</c:v>
                </c:pt>
                <c:pt idx="48">
                  <c:v>26.029411764705884</c:v>
                </c:pt>
                <c:pt idx="49">
                  <c:v>26.235294117647058</c:v>
                </c:pt>
                <c:pt idx="50">
                  <c:v>26.352941176470587</c:v>
                </c:pt>
                <c:pt idx="51">
                  <c:v>26.235294117647058</c:v>
                </c:pt>
                <c:pt idx="52">
                  <c:v>26.470588235294116</c:v>
                </c:pt>
                <c:pt idx="53">
                  <c:v>26.375</c:v>
                </c:pt>
                <c:pt idx="54">
                  <c:v>26.235294117647058</c:v>
                </c:pt>
                <c:pt idx="55">
                  <c:v>26.529411764705884</c:v>
                </c:pt>
                <c:pt idx="56">
                  <c:v>26.529411764705884</c:v>
                </c:pt>
                <c:pt idx="57">
                  <c:v>26.647058823529413</c:v>
                </c:pt>
                <c:pt idx="58">
                  <c:v>26.722222222222221</c:v>
                </c:pt>
                <c:pt idx="59">
                  <c:v>26</c:v>
                </c:pt>
                <c:pt idx="60">
                  <c:v>26.176470588235293</c:v>
                </c:pt>
                <c:pt idx="61">
                  <c:v>26.176470588235293</c:v>
                </c:pt>
                <c:pt idx="62">
                  <c:v>26.235294117647058</c:v>
                </c:pt>
                <c:pt idx="63">
                  <c:v>25.933333333333334</c:v>
                </c:pt>
                <c:pt idx="64">
                  <c:v>26.444444444444443</c:v>
                </c:pt>
                <c:pt idx="65">
                  <c:v>26.611111111111111</c:v>
                </c:pt>
                <c:pt idx="66">
                  <c:v>26.647058823529413</c:v>
                </c:pt>
                <c:pt idx="67">
                  <c:v>25.555555555555557</c:v>
                </c:pt>
                <c:pt idx="68">
                  <c:v>25.5</c:v>
                </c:pt>
                <c:pt idx="69">
                  <c:v>26.222222222222221</c:v>
                </c:pt>
                <c:pt idx="70">
                  <c:v>26.388888888888889</c:v>
                </c:pt>
                <c:pt idx="71">
                  <c:v>26.055555555555557</c:v>
                </c:pt>
                <c:pt idx="72">
                  <c:v>26.055555555555557</c:v>
                </c:pt>
                <c:pt idx="73">
                  <c:v>26.166666666666668</c:v>
                </c:pt>
                <c:pt idx="74">
                  <c:v>25.666666666666668</c:v>
                </c:pt>
                <c:pt idx="75">
                  <c:v>25.333333333333332</c:v>
                </c:pt>
                <c:pt idx="76">
                  <c:v>25.117647058823529</c:v>
                </c:pt>
                <c:pt idx="77">
                  <c:v>26</c:v>
                </c:pt>
                <c:pt idx="78">
                  <c:v>26.222222222222221</c:v>
                </c:pt>
                <c:pt idx="79">
                  <c:v>26</c:v>
                </c:pt>
                <c:pt idx="80">
                  <c:v>26.444444444444443</c:v>
                </c:pt>
                <c:pt idx="81">
                  <c:v>26.722222222222221</c:v>
                </c:pt>
                <c:pt idx="82">
                  <c:v>26.166666666666668</c:v>
                </c:pt>
                <c:pt idx="83">
                  <c:v>26.944444444444443</c:v>
                </c:pt>
                <c:pt idx="84">
                  <c:v>26.833333333333332</c:v>
                </c:pt>
                <c:pt idx="85">
                  <c:v>26.611111111111111</c:v>
                </c:pt>
                <c:pt idx="86">
                  <c:v>26.388888888888889</c:v>
                </c:pt>
                <c:pt idx="87">
                  <c:v>26.685185185185187</c:v>
                </c:pt>
                <c:pt idx="88">
                  <c:v>26.629629629629633</c:v>
                </c:pt>
                <c:pt idx="89">
                  <c:v>27.055555555555557</c:v>
                </c:pt>
                <c:pt idx="90">
                  <c:v>27.055555555555557</c:v>
                </c:pt>
                <c:pt idx="91">
                  <c:v>27.055555555555557</c:v>
                </c:pt>
                <c:pt idx="92">
                  <c:v>27.111111111111111</c:v>
                </c:pt>
                <c:pt idx="93">
                  <c:v>27.111111111111111</c:v>
                </c:pt>
                <c:pt idx="94">
                  <c:v>26.722222222222221</c:v>
                </c:pt>
                <c:pt idx="95">
                  <c:v>26.705882352941178</c:v>
                </c:pt>
                <c:pt idx="96">
                  <c:v>26.583333333333332</c:v>
                </c:pt>
                <c:pt idx="97">
                  <c:v>26.941176470588236</c:v>
                </c:pt>
                <c:pt idx="98">
                  <c:v>27.0625</c:v>
                </c:pt>
                <c:pt idx="99">
                  <c:v>26.4375</c:v>
                </c:pt>
                <c:pt idx="100">
                  <c:v>26.125</c:v>
                </c:pt>
                <c:pt idx="101">
                  <c:v>26.8125</c:v>
                </c:pt>
                <c:pt idx="102">
                  <c:v>26.882352941176471</c:v>
                </c:pt>
                <c:pt idx="103">
                  <c:v>27</c:v>
                </c:pt>
                <c:pt idx="104">
                  <c:v>26.705882352941178</c:v>
                </c:pt>
                <c:pt idx="105">
                  <c:v>26.882352941176471</c:v>
                </c:pt>
                <c:pt idx="106">
                  <c:v>27.117647058823529</c:v>
                </c:pt>
                <c:pt idx="107">
                  <c:v>26.3125</c:v>
                </c:pt>
                <c:pt idx="108">
                  <c:v>26.882352941176471</c:v>
                </c:pt>
                <c:pt idx="109">
                  <c:v>27.117647058823529</c:v>
                </c:pt>
                <c:pt idx="110">
                  <c:v>26.6875</c:v>
                </c:pt>
                <c:pt idx="111">
                  <c:v>27.125</c:v>
                </c:pt>
                <c:pt idx="112">
                  <c:v>27</c:v>
                </c:pt>
                <c:pt idx="113">
                  <c:v>27.058823529411764</c:v>
                </c:pt>
                <c:pt idx="114">
                  <c:v>26.875</c:v>
                </c:pt>
                <c:pt idx="115">
                  <c:v>26.352941176470587</c:v>
                </c:pt>
                <c:pt idx="116">
                  <c:v>26.823529411764707</c:v>
                </c:pt>
                <c:pt idx="117">
                  <c:v>27.0625</c:v>
                </c:pt>
                <c:pt idx="118">
                  <c:v>27.0625</c:v>
                </c:pt>
                <c:pt idx="119">
                  <c:v>27.117647058823529</c:v>
                </c:pt>
                <c:pt idx="120">
                  <c:v>27.411764705882351</c:v>
                </c:pt>
                <c:pt idx="121">
                  <c:v>26.6875</c:v>
                </c:pt>
                <c:pt idx="122">
                  <c:v>27.235294117647058</c:v>
                </c:pt>
                <c:pt idx="123">
                  <c:v>26.823529411764707</c:v>
                </c:pt>
                <c:pt idx="124">
                  <c:v>26.588235294117649</c:v>
                </c:pt>
                <c:pt idx="125">
                  <c:v>26.470588235294116</c:v>
                </c:pt>
                <c:pt idx="126">
                  <c:v>26.705882352941178</c:v>
                </c:pt>
                <c:pt idx="127">
                  <c:v>27.133529411764705</c:v>
                </c:pt>
                <c:pt idx="128">
                  <c:v>26.470588235294116</c:v>
                </c:pt>
                <c:pt idx="129">
                  <c:v>26.25</c:v>
                </c:pt>
                <c:pt idx="130">
                  <c:v>26.470588235294116</c:v>
                </c:pt>
                <c:pt idx="131">
                  <c:v>26.529411764705884</c:v>
                </c:pt>
                <c:pt idx="132">
                  <c:v>26.235294117647058</c:v>
                </c:pt>
                <c:pt idx="133">
                  <c:v>26.039411764705882</c:v>
                </c:pt>
                <c:pt idx="134">
                  <c:v>26.51</c:v>
                </c:pt>
                <c:pt idx="135">
                  <c:v>26.235294117647058</c:v>
                </c:pt>
                <c:pt idx="136">
                  <c:v>26.352941176470587</c:v>
                </c:pt>
                <c:pt idx="137">
                  <c:v>26.2</c:v>
                </c:pt>
                <c:pt idx="138">
                  <c:v>26.291875000000001</c:v>
                </c:pt>
                <c:pt idx="139">
                  <c:v>26.4375</c:v>
                </c:pt>
                <c:pt idx="140">
                  <c:v>26.0625</c:v>
                </c:pt>
                <c:pt idx="141">
                  <c:v>26.1875</c:v>
                </c:pt>
              </c:numCache>
            </c:numRef>
          </c:val>
          <c:smooth val="0"/>
        </c:ser>
        <c:ser>
          <c:idx val="2"/>
          <c:order val="2"/>
          <c:tx>
            <c:strRef>
              <c:f>麵食!$G$2</c:f>
              <c:strCache>
                <c:ptCount val="1"/>
                <c:pt idx="0">
                  <c:v>量販店－好勁道</c:v>
                </c:pt>
              </c:strCache>
            </c:strRef>
          </c:tx>
          <c:spPr>
            <a:ln w="38100" cap="rnd">
              <a:solidFill>
                <a:srgbClr val="9BBB59"/>
              </a:solidFill>
              <a:round/>
            </a:ln>
            <a:effectLst/>
          </c:spPr>
          <c:marker>
            <c:symbol val="none"/>
          </c:marker>
          <c:cat>
            <c:strRef>
              <c:f>麵食!$A$32:$A$173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麵食!$G$32:$G$173</c:f>
              <c:numCache>
                <c:formatCode>0.00</c:formatCode>
                <c:ptCount val="142"/>
                <c:pt idx="0">
                  <c:v>23.555555555555557</c:v>
                </c:pt>
                <c:pt idx="1">
                  <c:v>23.444444444444443</c:v>
                </c:pt>
                <c:pt idx="2">
                  <c:v>23.44</c:v>
                </c:pt>
                <c:pt idx="3">
                  <c:v>23.44</c:v>
                </c:pt>
                <c:pt idx="4">
                  <c:v>23.44</c:v>
                </c:pt>
                <c:pt idx="5">
                  <c:v>23.44</c:v>
                </c:pt>
                <c:pt idx="6">
                  <c:v>25</c:v>
                </c:pt>
                <c:pt idx="7">
                  <c:v>24.888888888888889</c:v>
                </c:pt>
                <c:pt idx="8">
                  <c:v>24.111111111111111</c:v>
                </c:pt>
                <c:pt idx="9">
                  <c:v>23.888888888888889</c:v>
                </c:pt>
                <c:pt idx="10">
                  <c:v>23.6</c:v>
                </c:pt>
                <c:pt idx="11">
                  <c:v>23.3</c:v>
                </c:pt>
                <c:pt idx="12">
                  <c:v>23.454545454545453</c:v>
                </c:pt>
                <c:pt idx="13">
                  <c:v>22.9</c:v>
                </c:pt>
                <c:pt idx="14">
                  <c:v>22.9</c:v>
                </c:pt>
                <c:pt idx="15">
                  <c:v>23</c:v>
                </c:pt>
                <c:pt idx="16">
                  <c:v>23</c:v>
                </c:pt>
                <c:pt idx="17">
                  <c:v>23.2</c:v>
                </c:pt>
                <c:pt idx="18">
                  <c:v>23.2</c:v>
                </c:pt>
                <c:pt idx="19">
                  <c:v>23.7</c:v>
                </c:pt>
                <c:pt idx="20">
                  <c:v>23.5</c:v>
                </c:pt>
                <c:pt idx="21">
                  <c:v>23.5</c:v>
                </c:pt>
                <c:pt idx="22">
                  <c:v>23.2</c:v>
                </c:pt>
                <c:pt idx="23">
                  <c:v>23.5</c:v>
                </c:pt>
                <c:pt idx="24">
                  <c:v>23.5</c:v>
                </c:pt>
                <c:pt idx="25">
                  <c:v>23.7</c:v>
                </c:pt>
                <c:pt idx="26">
                  <c:v>23.7</c:v>
                </c:pt>
                <c:pt idx="27">
                  <c:v>23.7</c:v>
                </c:pt>
                <c:pt idx="28">
                  <c:v>23.333333333333332</c:v>
                </c:pt>
                <c:pt idx="29">
                  <c:v>23.8</c:v>
                </c:pt>
                <c:pt idx="30">
                  <c:v>23.8</c:v>
                </c:pt>
                <c:pt idx="31">
                  <c:v>23.4</c:v>
                </c:pt>
                <c:pt idx="32">
                  <c:v>23.111111111111111</c:v>
                </c:pt>
                <c:pt idx="33">
                  <c:v>23.111111111111111</c:v>
                </c:pt>
                <c:pt idx="34">
                  <c:v>23.555555555555557</c:v>
                </c:pt>
                <c:pt idx="35">
                  <c:v>23.7</c:v>
                </c:pt>
                <c:pt idx="36">
                  <c:v>23.7</c:v>
                </c:pt>
                <c:pt idx="37">
                  <c:v>23.7</c:v>
                </c:pt>
                <c:pt idx="38">
                  <c:v>24</c:v>
                </c:pt>
                <c:pt idx="39">
                  <c:v>23.7</c:v>
                </c:pt>
                <c:pt idx="40">
                  <c:v>23.7</c:v>
                </c:pt>
                <c:pt idx="41">
                  <c:v>23.7</c:v>
                </c:pt>
                <c:pt idx="42">
                  <c:v>23.7</c:v>
                </c:pt>
                <c:pt idx="43">
                  <c:v>23.8</c:v>
                </c:pt>
                <c:pt idx="44">
                  <c:v>23.8</c:v>
                </c:pt>
                <c:pt idx="45">
                  <c:v>23.666666666666668</c:v>
                </c:pt>
                <c:pt idx="46">
                  <c:v>23.4</c:v>
                </c:pt>
                <c:pt idx="47">
                  <c:v>23.3</c:v>
                </c:pt>
                <c:pt idx="48">
                  <c:v>23.4</c:v>
                </c:pt>
                <c:pt idx="49">
                  <c:v>23.4</c:v>
                </c:pt>
                <c:pt idx="50">
                  <c:v>23.6</c:v>
                </c:pt>
                <c:pt idx="51">
                  <c:v>23.7</c:v>
                </c:pt>
                <c:pt idx="52">
                  <c:v>23.8</c:v>
                </c:pt>
                <c:pt idx="53">
                  <c:v>23.5</c:v>
                </c:pt>
                <c:pt idx="54">
                  <c:v>23.4</c:v>
                </c:pt>
                <c:pt idx="55">
                  <c:v>23.1</c:v>
                </c:pt>
                <c:pt idx="56">
                  <c:v>23.1</c:v>
                </c:pt>
                <c:pt idx="57">
                  <c:v>23.2</c:v>
                </c:pt>
                <c:pt idx="58">
                  <c:v>23.2</c:v>
                </c:pt>
                <c:pt idx="59">
                  <c:v>23.1</c:v>
                </c:pt>
                <c:pt idx="60">
                  <c:v>23.2</c:v>
                </c:pt>
                <c:pt idx="61">
                  <c:v>23.4</c:v>
                </c:pt>
                <c:pt idx="62">
                  <c:v>23.4</c:v>
                </c:pt>
                <c:pt idx="63">
                  <c:v>23.375</c:v>
                </c:pt>
                <c:pt idx="64">
                  <c:v>23.3</c:v>
                </c:pt>
                <c:pt idx="65">
                  <c:v>23.3</c:v>
                </c:pt>
                <c:pt idx="66">
                  <c:v>23.6</c:v>
                </c:pt>
                <c:pt idx="67">
                  <c:v>23.666666666666668</c:v>
                </c:pt>
                <c:pt idx="68">
                  <c:v>23.7</c:v>
                </c:pt>
                <c:pt idx="69">
                  <c:v>23.6</c:v>
                </c:pt>
                <c:pt idx="70">
                  <c:v>23.8</c:v>
                </c:pt>
                <c:pt idx="71">
                  <c:v>23.8</c:v>
                </c:pt>
                <c:pt idx="72">
                  <c:v>23.8</c:v>
                </c:pt>
                <c:pt idx="73">
                  <c:v>23.8</c:v>
                </c:pt>
                <c:pt idx="74">
                  <c:v>23.7</c:v>
                </c:pt>
                <c:pt idx="75">
                  <c:v>23.6</c:v>
                </c:pt>
                <c:pt idx="76">
                  <c:v>23.333333333333332</c:v>
                </c:pt>
                <c:pt idx="77">
                  <c:v>23.5</c:v>
                </c:pt>
                <c:pt idx="78">
                  <c:v>23.5</c:v>
                </c:pt>
                <c:pt idx="79">
                  <c:v>23.5</c:v>
                </c:pt>
                <c:pt idx="80">
                  <c:v>23.5</c:v>
                </c:pt>
                <c:pt idx="81">
                  <c:v>23.5</c:v>
                </c:pt>
                <c:pt idx="82">
                  <c:v>25.1</c:v>
                </c:pt>
                <c:pt idx="83">
                  <c:v>25</c:v>
                </c:pt>
                <c:pt idx="84">
                  <c:v>25.1</c:v>
                </c:pt>
                <c:pt idx="85">
                  <c:v>24.6</c:v>
                </c:pt>
                <c:pt idx="86">
                  <c:v>23.7</c:v>
                </c:pt>
                <c:pt idx="87">
                  <c:v>24</c:v>
                </c:pt>
                <c:pt idx="88">
                  <c:v>23.4</c:v>
                </c:pt>
                <c:pt idx="89">
                  <c:v>23.7</c:v>
                </c:pt>
                <c:pt idx="90">
                  <c:v>23.8</c:v>
                </c:pt>
                <c:pt idx="91">
                  <c:v>23.7</c:v>
                </c:pt>
                <c:pt idx="92">
                  <c:v>23.5</c:v>
                </c:pt>
                <c:pt idx="93">
                  <c:v>23.4</c:v>
                </c:pt>
                <c:pt idx="94">
                  <c:v>23.6</c:v>
                </c:pt>
                <c:pt idx="95">
                  <c:v>23.9</c:v>
                </c:pt>
                <c:pt idx="96">
                  <c:v>23.5</c:v>
                </c:pt>
                <c:pt idx="97">
                  <c:v>24.6</c:v>
                </c:pt>
                <c:pt idx="98">
                  <c:v>24.818181818181817</c:v>
                </c:pt>
                <c:pt idx="99">
                  <c:v>23.454545454545453</c:v>
                </c:pt>
                <c:pt idx="100">
                  <c:v>24.272727272727273</c:v>
                </c:pt>
                <c:pt idx="101">
                  <c:v>23.6</c:v>
                </c:pt>
                <c:pt idx="102">
                  <c:v>23.181818181818183</c:v>
                </c:pt>
                <c:pt idx="103">
                  <c:v>24.363636363636363</c:v>
                </c:pt>
                <c:pt idx="104">
                  <c:v>23.5</c:v>
                </c:pt>
                <c:pt idx="105">
                  <c:v>23.363636363636363</c:v>
                </c:pt>
                <c:pt idx="106">
                  <c:v>23.818181818181817</c:v>
                </c:pt>
                <c:pt idx="107">
                  <c:v>23.09090909090909</c:v>
                </c:pt>
                <c:pt idx="108">
                  <c:v>23.545454545454547</c:v>
                </c:pt>
                <c:pt idx="109">
                  <c:v>25.545454545454547</c:v>
                </c:pt>
                <c:pt idx="110">
                  <c:v>23.818181818181817</c:v>
                </c:pt>
                <c:pt idx="111">
                  <c:v>24</c:v>
                </c:pt>
                <c:pt idx="112">
                  <c:v>23.636363636363637</c:v>
                </c:pt>
                <c:pt idx="113">
                  <c:v>23.454545454545453</c:v>
                </c:pt>
                <c:pt idx="114">
                  <c:v>23.636363636363637</c:v>
                </c:pt>
                <c:pt idx="115">
                  <c:v>24</c:v>
                </c:pt>
                <c:pt idx="116">
                  <c:v>23.272727272727273</c:v>
                </c:pt>
                <c:pt idx="117">
                  <c:v>23.636363636363637</c:v>
                </c:pt>
                <c:pt idx="118">
                  <c:v>24.363636363636363</c:v>
                </c:pt>
                <c:pt idx="119">
                  <c:v>23.818181818181817</c:v>
                </c:pt>
                <c:pt idx="120">
                  <c:v>24</c:v>
                </c:pt>
                <c:pt idx="121">
                  <c:v>24.09090909090909</c:v>
                </c:pt>
                <c:pt idx="122">
                  <c:v>24.9</c:v>
                </c:pt>
                <c:pt idx="123">
                  <c:v>24.8</c:v>
                </c:pt>
                <c:pt idx="124">
                  <c:v>23.888888888888889</c:v>
                </c:pt>
                <c:pt idx="125">
                  <c:v>24.6</c:v>
                </c:pt>
                <c:pt idx="126">
                  <c:v>24.7</c:v>
                </c:pt>
                <c:pt idx="127">
                  <c:v>24.2</c:v>
                </c:pt>
                <c:pt idx="128">
                  <c:v>24.3</c:v>
                </c:pt>
                <c:pt idx="129">
                  <c:v>25.5</c:v>
                </c:pt>
                <c:pt idx="130">
                  <c:v>24.8</c:v>
                </c:pt>
                <c:pt idx="131">
                  <c:v>24.888888888888889</c:v>
                </c:pt>
                <c:pt idx="132">
                  <c:v>24.5</c:v>
                </c:pt>
                <c:pt idx="133">
                  <c:v>24.4</c:v>
                </c:pt>
                <c:pt idx="134">
                  <c:v>24.555555555555557</c:v>
                </c:pt>
                <c:pt idx="135">
                  <c:v>24.6</c:v>
                </c:pt>
                <c:pt idx="136">
                  <c:v>24.714285714285715</c:v>
                </c:pt>
                <c:pt idx="137">
                  <c:v>24.75</c:v>
                </c:pt>
                <c:pt idx="138">
                  <c:v>24.666666666666668</c:v>
                </c:pt>
                <c:pt idx="139">
                  <c:v>24.222222222222221</c:v>
                </c:pt>
                <c:pt idx="140">
                  <c:v>24.5</c:v>
                </c:pt>
                <c:pt idx="141">
                  <c:v>24.4</c:v>
                </c:pt>
              </c:numCache>
            </c:numRef>
          </c:val>
          <c:smooth val="0"/>
        </c:ser>
        <c:dLbls>
          <c:showLegendKey val="0"/>
          <c:showVal val="0"/>
          <c:showCatName val="0"/>
          <c:showSerName val="0"/>
          <c:showPercent val="0"/>
          <c:showBubbleSize val="0"/>
        </c:dLbls>
        <c:marker val="1"/>
        <c:smooth val="0"/>
        <c:axId val="268133888"/>
        <c:axId val="268135424"/>
      </c:lineChart>
      <c:catAx>
        <c:axId val="268133888"/>
        <c:scaling>
          <c:orientation val="minMax"/>
        </c:scaling>
        <c:delete val="0"/>
        <c:axPos val="b"/>
        <c:numFmt formatCode="General" sourceLinked="1"/>
        <c:majorTickMark val="in"/>
        <c:minorTickMark val="none"/>
        <c:tickLblPos val="nextTo"/>
        <c:spPr>
          <a:noFill/>
          <a:ln w="9525" cap="flat" cmpd="sng" algn="ctr">
            <a:solidFill>
              <a:sysClr val="windowText" lastClr="000000"/>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zh-TW"/>
          </a:p>
        </c:txPr>
        <c:crossAx val="268135424"/>
        <c:crosses val="autoZero"/>
        <c:auto val="1"/>
        <c:lblAlgn val="ctr"/>
        <c:lblOffset val="100"/>
        <c:tickLblSkip val="5"/>
        <c:noMultiLvlLbl val="0"/>
      </c:catAx>
      <c:valAx>
        <c:axId val="268135424"/>
        <c:scaling>
          <c:orientation val="minMax"/>
          <c:min val="22"/>
        </c:scaling>
        <c:delete val="0"/>
        <c:axPos val="l"/>
        <c:numFmt formatCode="0.00" sourceLinked="1"/>
        <c:majorTickMark val="in"/>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TW"/>
          </a:p>
        </c:txPr>
        <c:crossAx val="268133888"/>
        <c:crosses val="autoZero"/>
        <c:crossBetween val="between"/>
      </c:valAx>
      <c:spPr>
        <a:noFill/>
        <a:ln w="25400">
          <a:noFill/>
        </a:ln>
      </c:spPr>
    </c:plotArea>
    <c:legend>
      <c:legendPos val="t"/>
      <c:overlay val="0"/>
      <c:spPr>
        <a:noFill/>
        <a:ln w="25400">
          <a:noFill/>
        </a:ln>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TW"/>
        </a:p>
      </c:txPr>
    </c:legend>
    <c:plotVisOnly val="1"/>
    <c:dispBlanksAs val="gap"/>
    <c:showDLblsOverMax val="0"/>
  </c:chart>
  <c:spPr>
    <a:noFill/>
    <a:ln w="9525">
      <a:noFill/>
    </a:ln>
  </c:spPr>
  <c:txPr>
    <a:bodyPr/>
    <a:lstStyle/>
    <a:p>
      <a:pPr>
        <a:defRPr/>
      </a:pPr>
      <a:endParaRPr lang="zh-TW"/>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6345527549574067E-2"/>
          <c:y val="0.11068521921764242"/>
          <c:w val="0.82416625977141178"/>
          <c:h val="0.64672315671751324"/>
        </c:manualLayout>
      </c:layout>
      <c:lineChart>
        <c:grouping val="standard"/>
        <c:varyColors val="0"/>
        <c:ser>
          <c:idx val="1"/>
          <c:order val="1"/>
          <c:tx>
            <c:strRef>
              <c:f>吐司!$C$1</c:f>
              <c:strCache>
                <c:ptCount val="1"/>
                <c:pt idx="0">
                  <c:v>超市</c:v>
                </c:pt>
              </c:strCache>
            </c:strRef>
          </c:tx>
          <c:spPr>
            <a:ln>
              <a:prstDash val="sysDot"/>
            </a:ln>
          </c:spPr>
          <c:marker>
            <c:symbol val="none"/>
          </c:marker>
          <c:cat>
            <c:strRef>
              <c:f>吐司!$A$32:$A$173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吐司!$C$32:$C$173</c:f>
              <c:numCache>
                <c:formatCode>#,##0.00_ </c:formatCode>
                <c:ptCount val="142"/>
                <c:pt idx="0">
                  <c:v>27.666666666666668</c:v>
                </c:pt>
                <c:pt idx="1">
                  <c:v>27.444444444444443</c:v>
                </c:pt>
                <c:pt idx="2">
                  <c:v>27.22</c:v>
                </c:pt>
                <c:pt idx="3">
                  <c:v>27.33</c:v>
                </c:pt>
                <c:pt idx="4">
                  <c:v>27</c:v>
                </c:pt>
                <c:pt idx="5">
                  <c:v>26.78</c:v>
                </c:pt>
                <c:pt idx="6">
                  <c:v>29.125</c:v>
                </c:pt>
                <c:pt idx="7">
                  <c:v>27.625</c:v>
                </c:pt>
                <c:pt idx="8">
                  <c:v>28.625</c:v>
                </c:pt>
                <c:pt idx="9">
                  <c:v>29</c:v>
                </c:pt>
                <c:pt idx="10">
                  <c:v>29.111111111111111</c:v>
                </c:pt>
                <c:pt idx="11">
                  <c:v>27.777777777777779</c:v>
                </c:pt>
                <c:pt idx="12">
                  <c:v>27.8</c:v>
                </c:pt>
                <c:pt idx="13">
                  <c:v>28.7</c:v>
                </c:pt>
                <c:pt idx="14">
                  <c:v>28.363636363636363</c:v>
                </c:pt>
                <c:pt idx="15">
                  <c:v>27.545454545454547</c:v>
                </c:pt>
                <c:pt idx="16">
                  <c:v>27.583333333333332</c:v>
                </c:pt>
                <c:pt idx="17">
                  <c:v>28.75</c:v>
                </c:pt>
                <c:pt idx="18">
                  <c:v>28.333333333333332</c:v>
                </c:pt>
                <c:pt idx="19">
                  <c:v>29</c:v>
                </c:pt>
                <c:pt idx="20">
                  <c:v>28</c:v>
                </c:pt>
                <c:pt idx="21">
                  <c:v>28.416666666666668</c:v>
                </c:pt>
                <c:pt idx="22">
                  <c:v>29</c:v>
                </c:pt>
                <c:pt idx="23">
                  <c:v>28.75</c:v>
                </c:pt>
                <c:pt idx="24">
                  <c:v>28.583333333333332</c:v>
                </c:pt>
                <c:pt idx="25">
                  <c:v>28.90909090909091</c:v>
                </c:pt>
                <c:pt idx="26">
                  <c:v>28.181818181818183</c:v>
                </c:pt>
                <c:pt idx="27">
                  <c:v>28.272727272727273</c:v>
                </c:pt>
                <c:pt idx="28">
                  <c:v>27.545454545454547</c:v>
                </c:pt>
                <c:pt idx="29">
                  <c:v>27.636363636363637</c:v>
                </c:pt>
                <c:pt idx="30">
                  <c:v>28.545454545454547</c:v>
                </c:pt>
                <c:pt idx="31">
                  <c:v>28.09090909090909</c:v>
                </c:pt>
                <c:pt idx="32">
                  <c:v>28.545454545454547</c:v>
                </c:pt>
                <c:pt idx="33">
                  <c:v>28.545454545454547</c:v>
                </c:pt>
                <c:pt idx="34">
                  <c:v>28.545454545454547</c:v>
                </c:pt>
                <c:pt idx="35">
                  <c:v>28.545454545454547</c:v>
                </c:pt>
                <c:pt idx="36">
                  <c:v>28.545454545454547</c:v>
                </c:pt>
                <c:pt idx="37">
                  <c:v>28</c:v>
                </c:pt>
                <c:pt idx="38">
                  <c:v>28.333333333333332</c:v>
                </c:pt>
                <c:pt idx="39">
                  <c:v>27.583333333333332</c:v>
                </c:pt>
                <c:pt idx="40">
                  <c:v>26.818181818181817</c:v>
                </c:pt>
                <c:pt idx="41">
                  <c:v>27.5</c:v>
                </c:pt>
                <c:pt idx="42">
                  <c:v>27.416666666666668</c:v>
                </c:pt>
                <c:pt idx="43">
                  <c:v>27.416666666666668</c:v>
                </c:pt>
                <c:pt idx="44">
                  <c:v>27.916666666666668</c:v>
                </c:pt>
                <c:pt idx="45">
                  <c:v>28.416666666666668</c:v>
                </c:pt>
                <c:pt idx="46">
                  <c:v>28.416666666666668</c:v>
                </c:pt>
                <c:pt idx="47">
                  <c:v>28.583333333333332</c:v>
                </c:pt>
                <c:pt idx="48">
                  <c:v>28</c:v>
                </c:pt>
                <c:pt idx="49">
                  <c:v>28</c:v>
                </c:pt>
                <c:pt idx="50">
                  <c:v>28</c:v>
                </c:pt>
                <c:pt idx="51">
                  <c:v>28</c:v>
                </c:pt>
                <c:pt idx="52">
                  <c:v>28</c:v>
                </c:pt>
                <c:pt idx="53">
                  <c:v>28</c:v>
                </c:pt>
                <c:pt idx="54">
                  <c:v>26.6</c:v>
                </c:pt>
                <c:pt idx="55">
                  <c:v>26.6</c:v>
                </c:pt>
                <c:pt idx="56">
                  <c:v>27.3</c:v>
                </c:pt>
                <c:pt idx="57">
                  <c:v>27.3</c:v>
                </c:pt>
                <c:pt idx="58">
                  <c:v>27.8</c:v>
                </c:pt>
                <c:pt idx="59">
                  <c:v>27.5</c:v>
                </c:pt>
                <c:pt idx="60">
                  <c:v>27.5</c:v>
                </c:pt>
                <c:pt idx="61">
                  <c:v>27.5</c:v>
                </c:pt>
                <c:pt idx="62">
                  <c:v>26.8</c:v>
                </c:pt>
                <c:pt idx="63">
                  <c:v>27.333333333333332</c:v>
                </c:pt>
                <c:pt idx="64">
                  <c:v>27</c:v>
                </c:pt>
                <c:pt idx="65">
                  <c:v>26.833333333333332</c:v>
                </c:pt>
                <c:pt idx="66">
                  <c:v>26.833333333333332</c:v>
                </c:pt>
                <c:pt idx="67">
                  <c:v>26.46153846153846</c:v>
                </c:pt>
                <c:pt idx="68">
                  <c:v>26.46</c:v>
                </c:pt>
                <c:pt idx="69">
                  <c:v>27.23076923076923</c:v>
                </c:pt>
                <c:pt idx="70">
                  <c:v>27.23076923076923</c:v>
                </c:pt>
                <c:pt idx="71">
                  <c:v>27.23076923076923</c:v>
                </c:pt>
                <c:pt idx="72">
                  <c:v>26.76923076923077</c:v>
                </c:pt>
                <c:pt idx="73">
                  <c:v>26.846153846153847</c:v>
                </c:pt>
                <c:pt idx="74">
                  <c:v>26.846153846153847</c:v>
                </c:pt>
                <c:pt idx="75">
                  <c:v>26.923076923076923</c:v>
                </c:pt>
                <c:pt idx="76">
                  <c:v>25.5</c:v>
                </c:pt>
                <c:pt idx="77">
                  <c:v>26.692307692307693</c:v>
                </c:pt>
                <c:pt idx="78">
                  <c:v>27.076923076923077</c:v>
                </c:pt>
                <c:pt idx="79">
                  <c:v>26.76923076923077</c:v>
                </c:pt>
                <c:pt idx="80">
                  <c:v>26.76923076923077</c:v>
                </c:pt>
                <c:pt idx="81">
                  <c:v>27.23076923076923</c:v>
                </c:pt>
                <c:pt idx="82">
                  <c:v>27.076923076923077</c:v>
                </c:pt>
                <c:pt idx="83">
                  <c:v>26.846153846153847</c:v>
                </c:pt>
                <c:pt idx="84">
                  <c:v>27.23076923076923</c:v>
                </c:pt>
                <c:pt idx="85">
                  <c:v>27</c:v>
                </c:pt>
                <c:pt idx="86">
                  <c:v>26.76923076923077</c:v>
                </c:pt>
                <c:pt idx="87">
                  <c:v>26.615384615384617</c:v>
                </c:pt>
                <c:pt idx="88">
                  <c:v>26.923076923076923</c:v>
                </c:pt>
                <c:pt idx="89">
                  <c:v>26.46153846153846</c:v>
                </c:pt>
                <c:pt idx="90">
                  <c:v>26.615384615384617</c:v>
                </c:pt>
                <c:pt idx="91">
                  <c:v>26.46153846153846</c:v>
                </c:pt>
                <c:pt idx="92">
                  <c:v>27.23076923076923</c:v>
                </c:pt>
                <c:pt idx="93">
                  <c:v>26.76923076923077</c:v>
                </c:pt>
                <c:pt idx="94">
                  <c:v>27.23076923076923</c:v>
                </c:pt>
                <c:pt idx="95">
                  <c:v>26.692307692307693</c:v>
                </c:pt>
                <c:pt idx="96">
                  <c:v>26.692307692307693</c:v>
                </c:pt>
                <c:pt idx="97">
                  <c:v>26.692307692307693</c:v>
                </c:pt>
                <c:pt idx="98">
                  <c:v>27.23076923076923</c:v>
                </c:pt>
                <c:pt idx="99">
                  <c:v>27</c:v>
                </c:pt>
                <c:pt idx="100">
                  <c:v>27</c:v>
                </c:pt>
                <c:pt idx="101">
                  <c:v>26.307692307692307</c:v>
                </c:pt>
                <c:pt idx="102">
                  <c:v>26.846153846153847</c:v>
                </c:pt>
                <c:pt idx="103">
                  <c:v>26.384615384615383</c:v>
                </c:pt>
                <c:pt idx="104">
                  <c:v>26.384615384615383</c:v>
                </c:pt>
                <c:pt idx="105">
                  <c:v>26.923076923076923</c:v>
                </c:pt>
                <c:pt idx="106">
                  <c:v>26.692307692307693</c:v>
                </c:pt>
                <c:pt idx="107">
                  <c:v>26</c:v>
                </c:pt>
                <c:pt idx="108">
                  <c:v>26.76923076923077</c:v>
                </c:pt>
                <c:pt idx="109">
                  <c:v>26.76923076923077</c:v>
                </c:pt>
                <c:pt idx="110">
                  <c:v>26.416666666666668</c:v>
                </c:pt>
                <c:pt idx="111">
                  <c:v>26.75</c:v>
                </c:pt>
                <c:pt idx="112">
                  <c:v>26.75</c:v>
                </c:pt>
                <c:pt idx="113">
                  <c:v>26.75</c:v>
                </c:pt>
                <c:pt idx="114">
                  <c:v>26.416666666666668</c:v>
                </c:pt>
                <c:pt idx="115">
                  <c:v>26.416666666666668</c:v>
                </c:pt>
                <c:pt idx="116">
                  <c:v>26.916666666666668</c:v>
                </c:pt>
                <c:pt idx="117">
                  <c:v>26.75</c:v>
                </c:pt>
                <c:pt idx="118">
                  <c:v>26.75</c:v>
                </c:pt>
                <c:pt idx="119">
                  <c:v>26.833333333333332</c:v>
                </c:pt>
                <c:pt idx="120">
                  <c:v>26.833333333333332</c:v>
                </c:pt>
                <c:pt idx="121">
                  <c:v>27.75</c:v>
                </c:pt>
                <c:pt idx="122">
                  <c:v>28.5</c:v>
                </c:pt>
                <c:pt idx="123">
                  <c:v>28.5</c:v>
                </c:pt>
                <c:pt idx="124">
                  <c:v>28.071428571428573</c:v>
                </c:pt>
                <c:pt idx="125">
                  <c:v>28.071428571428573</c:v>
                </c:pt>
                <c:pt idx="126">
                  <c:v>28.071428571428573</c:v>
                </c:pt>
                <c:pt idx="127">
                  <c:v>27.53846153846154</c:v>
                </c:pt>
                <c:pt idx="128">
                  <c:v>27.384615384615383</c:v>
                </c:pt>
                <c:pt idx="129">
                  <c:v>27.23076923076923</c:v>
                </c:pt>
                <c:pt idx="130">
                  <c:v>27.846153846153847</c:v>
                </c:pt>
                <c:pt idx="131">
                  <c:v>28.307692307692307</c:v>
                </c:pt>
                <c:pt idx="132">
                  <c:v>28.307692307692307</c:v>
                </c:pt>
                <c:pt idx="133">
                  <c:v>28.307692307692307</c:v>
                </c:pt>
                <c:pt idx="134">
                  <c:v>28.692307692307693</c:v>
                </c:pt>
                <c:pt idx="135">
                  <c:v>28.692307692307693</c:v>
                </c:pt>
                <c:pt idx="136">
                  <c:v>28.76923076923077</c:v>
                </c:pt>
                <c:pt idx="137">
                  <c:v>29</c:v>
                </c:pt>
                <c:pt idx="138">
                  <c:v>28.153846153846153</c:v>
                </c:pt>
                <c:pt idx="139">
                  <c:v>28.692307692307693</c:v>
                </c:pt>
                <c:pt idx="140">
                  <c:v>28.692307692307693</c:v>
                </c:pt>
                <c:pt idx="141">
                  <c:v>29.142857142857142</c:v>
                </c:pt>
              </c:numCache>
            </c:numRef>
          </c:val>
          <c:smooth val="0"/>
        </c:ser>
        <c:ser>
          <c:idx val="2"/>
          <c:order val="2"/>
          <c:tx>
            <c:strRef>
              <c:f>吐司!$D$1</c:f>
              <c:strCache>
                <c:ptCount val="1"/>
                <c:pt idx="0">
                  <c:v>量販店</c:v>
                </c:pt>
              </c:strCache>
            </c:strRef>
          </c:tx>
          <c:marker>
            <c:symbol val="none"/>
          </c:marker>
          <c:cat>
            <c:strRef>
              <c:f>吐司!$A$32:$A$173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吐司!$D$32:$D$173</c:f>
              <c:numCache>
                <c:formatCode>#,##0.00_ </c:formatCode>
                <c:ptCount val="142"/>
                <c:pt idx="0">
                  <c:v>27.333333333333332</c:v>
                </c:pt>
                <c:pt idx="1">
                  <c:v>27.333333333333332</c:v>
                </c:pt>
                <c:pt idx="2">
                  <c:v>27.67</c:v>
                </c:pt>
                <c:pt idx="3">
                  <c:v>27.67</c:v>
                </c:pt>
                <c:pt idx="4">
                  <c:v>27.67</c:v>
                </c:pt>
                <c:pt idx="5">
                  <c:v>25.17</c:v>
                </c:pt>
                <c:pt idx="6">
                  <c:v>24.625</c:v>
                </c:pt>
                <c:pt idx="7">
                  <c:v>24.625</c:v>
                </c:pt>
                <c:pt idx="8">
                  <c:v>24.666666666666668</c:v>
                </c:pt>
                <c:pt idx="9">
                  <c:v>24.666666666666668</c:v>
                </c:pt>
                <c:pt idx="10">
                  <c:v>24.8</c:v>
                </c:pt>
                <c:pt idx="11">
                  <c:v>24.181818181818183</c:v>
                </c:pt>
                <c:pt idx="12">
                  <c:v>24.8</c:v>
                </c:pt>
                <c:pt idx="13">
                  <c:v>25</c:v>
                </c:pt>
                <c:pt idx="14">
                  <c:v>23.4</c:v>
                </c:pt>
                <c:pt idx="15">
                  <c:v>23.4</c:v>
                </c:pt>
                <c:pt idx="16">
                  <c:v>24.375</c:v>
                </c:pt>
                <c:pt idx="17">
                  <c:v>24.8</c:v>
                </c:pt>
                <c:pt idx="18">
                  <c:v>25</c:v>
                </c:pt>
                <c:pt idx="19">
                  <c:v>24.4</c:v>
                </c:pt>
                <c:pt idx="20">
                  <c:v>24.9</c:v>
                </c:pt>
                <c:pt idx="21">
                  <c:v>25</c:v>
                </c:pt>
                <c:pt idx="22">
                  <c:v>24.8</c:v>
                </c:pt>
                <c:pt idx="23">
                  <c:v>24.2</c:v>
                </c:pt>
                <c:pt idx="24">
                  <c:v>25</c:v>
                </c:pt>
                <c:pt idx="25">
                  <c:v>25</c:v>
                </c:pt>
                <c:pt idx="26">
                  <c:v>25</c:v>
                </c:pt>
                <c:pt idx="27">
                  <c:v>24.9</c:v>
                </c:pt>
                <c:pt idx="28">
                  <c:v>24.916666666666668</c:v>
                </c:pt>
                <c:pt idx="29">
                  <c:v>23.5</c:v>
                </c:pt>
                <c:pt idx="30">
                  <c:v>23.5</c:v>
                </c:pt>
                <c:pt idx="31">
                  <c:v>24.2</c:v>
                </c:pt>
                <c:pt idx="32">
                  <c:v>24.333333333333332</c:v>
                </c:pt>
                <c:pt idx="33">
                  <c:v>24.4</c:v>
                </c:pt>
                <c:pt idx="34">
                  <c:v>24.333333333333332</c:v>
                </c:pt>
                <c:pt idx="35">
                  <c:v>24.2</c:v>
                </c:pt>
                <c:pt idx="36">
                  <c:v>24.2</c:v>
                </c:pt>
                <c:pt idx="37">
                  <c:v>24.2</c:v>
                </c:pt>
                <c:pt idx="38">
                  <c:v>24.2</c:v>
                </c:pt>
                <c:pt idx="39">
                  <c:v>24.777777777777779</c:v>
                </c:pt>
                <c:pt idx="40">
                  <c:v>24.6</c:v>
                </c:pt>
                <c:pt idx="41">
                  <c:v>24.6</c:v>
                </c:pt>
                <c:pt idx="42">
                  <c:v>24.7</c:v>
                </c:pt>
                <c:pt idx="43">
                  <c:v>25</c:v>
                </c:pt>
                <c:pt idx="44">
                  <c:v>25.1</c:v>
                </c:pt>
                <c:pt idx="45">
                  <c:v>24.8</c:v>
                </c:pt>
                <c:pt idx="46">
                  <c:v>25.6</c:v>
                </c:pt>
                <c:pt idx="47">
                  <c:v>26.1</c:v>
                </c:pt>
                <c:pt idx="48">
                  <c:v>25.5</c:v>
                </c:pt>
                <c:pt idx="49">
                  <c:v>25.6</c:v>
                </c:pt>
                <c:pt idx="50">
                  <c:v>26.3</c:v>
                </c:pt>
                <c:pt idx="51">
                  <c:v>26.5</c:v>
                </c:pt>
                <c:pt idx="52">
                  <c:v>26</c:v>
                </c:pt>
                <c:pt idx="53">
                  <c:v>26</c:v>
                </c:pt>
                <c:pt idx="54">
                  <c:v>25.444444444444443</c:v>
                </c:pt>
                <c:pt idx="55">
                  <c:v>25.9</c:v>
                </c:pt>
                <c:pt idx="56">
                  <c:v>25.9</c:v>
                </c:pt>
                <c:pt idx="57">
                  <c:v>25.9</c:v>
                </c:pt>
                <c:pt idx="58">
                  <c:v>26.111111111111111</c:v>
                </c:pt>
                <c:pt idx="59">
                  <c:v>26</c:v>
                </c:pt>
                <c:pt idx="60">
                  <c:v>26.2</c:v>
                </c:pt>
                <c:pt idx="61">
                  <c:v>26.5</c:v>
                </c:pt>
                <c:pt idx="62">
                  <c:v>26.6</c:v>
                </c:pt>
                <c:pt idx="63">
                  <c:v>26</c:v>
                </c:pt>
                <c:pt idx="64">
                  <c:v>26</c:v>
                </c:pt>
                <c:pt idx="65">
                  <c:v>25.875</c:v>
                </c:pt>
                <c:pt idx="66">
                  <c:v>25.9</c:v>
                </c:pt>
                <c:pt idx="67">
                  <c:v>24.888888888888889</c:v>
                </c:pt>
                <c:pt idx="68">
                  <c:v>26</c:v>
                </c:pt>
                <c:pt idx="69">
                  <c:v>25.9</c:v>
                </c:pt>
                <c:pt idx="70">
                  <c:v>26.1</c:v>
                </c:pt>
                <c:pt idx="71">
                  <c:v>26.1</c:v>
                </c:pt>
                <c:pt idx="72">
                  <c:v>26.1</c:v>
                </c:pt>
                <c:pt idx="73">
                  <c:v>26.1</c:v>
                </c:pt>
                <c:pt idx="74">
                  <c:v>25.4</c:v>
                </c:pt>
                <c:pt idx="75">
                  <c:v>26.1</c:v>
                </c:pt>
                <c:pt idx="76">
                  <c:v>26.222222222222221</c:v>
                </c:pt>
                <c:pt idx="77">
                  <c:v>25.3</c:v>
                </c:pt>
                <c:pt idx="78">
                  <c:v>25.6</c:v>
                </c:pt>
                <c:pt idx="79">
                  <c:v>25.9</c:v>
                </c:pt>
                <c:pt idx="80">
                  <c:v>25.2</c:v>
                </c:pt>
                <c:pt idx="81">
                  <c:v>25.4</c:v>
                </c:pt>
                <c:pt idx="82">
                  <c:v>25.4</c:v>
                </c:pt>
                <c:pt idx="83">
                  <c:v>25.9</c:v>
                </c:pt>
                <c:pt idx="84">
                  <c:v>25.9</c:v>
                </c:pt>
                <c:pt idx="85">
                  <c:v>25.3</c:v>
                </c:pt>
                <c:pt idx="86">
                  <c:v>24.8</c:v>
                </c:pt>
                <c:pt idx="87">
                  <c:v>24.7</c:v>
                </c:pt>
                <c:pt idx="88">
                  <c:v>25.5</c:v>
                </c:pt>
                <c:pt idx="89">
                  <c:v>25.5</c:v>
                </c:pt>
                <c:pt idx="90">
                  <c:v>24.4</c:v>
                </c:pt>
                <c:pt idx="91">
                  <c:v>22.5</c:v>
                </c:pt>
                <c:pt idx="92">
                  <c:v>25.3</c:v>
                </c:pt>
                <c:pt idx="93">
                  <c:v>25.9</c:v>
                </c:pt>
                <c:pt idx="94">
                  <c:v>25.9</c:v>
                </c:pt>
                <c:pt idx="95">
                  <c:v>25.9</c:v>
                </c:pt>
                <c:pt idx="96">
                  <c:v>25.5</c:v>
                </c:pt>
                <c:pt idx="97">
                  <c:v>25.9</c:v>
                </c:pt>
                <c:pt idx="98">
                  <c:v>25.9</c:v>
                </c:pt>
                <c:pt idx="99">
                  <c:v>25.9</c:v>
                </c:pt>
                <c:pt idx="100">
                  <c:v>26</c:v>
                </c:pt>
                <c:pt idx="101">
                  <c:v>26.2</c:v>
                </c:pt>
                <c:pt idx="102">
                  <c:v>26.545454545454547</c:v>
                </c:pt>
                <c:pt idx="103">
                  <c:v>26.545454545454547</c:v>
                </c:pt>
                <c:pt idx="104">
                  <c:v>26.5</c:v>
                </c:pt>
                <c:pt idx="105">
                  <c:v>25.636363636363637</c:v>
                </c:pt>
                <c:pt idx="106">
                  <c:v>25.90909090909091</c:v>
                </c:pt>
                <c:pt idx="107">
                  <c:v>24</c:v>
                </c:pt>
                <c:pt idx="108">
                  <c:v>25.09090909090909</c:v>
                </c:pt>
                <c:pt idx="109">
                  <c:v>24.09090909090909</c:v>
                </c:pt>
                <c:pt idx="110">
                  <c:v>24.454545454545453</c:v>
                </c:pt>
                <c:pt idx="111">
                  <c:v>25.454545454545453</c:v>
                </c:pt>
                <c:pt idx="112">
                  <c:v>25.454545454545453</c:v>
                </c:pt>
                <c:pt idx="113">
                  <c:v>25.727272727272727</c:v>
                </c:pt>
                <c:pt idx="114">
                  <c:v>25.818181818181817</c:v>
                </c:pt>
                <c:pt idx="115">
                  <c:v>26</c:v>
                </c:pt>
                <c:pt idx="116">
                  <c:v>26.454545454545453</c:v>
                </c:pt>
                <c:pt idx="117">
                  <c:v>26.454545454545453</c:v>
                </c:pt>
                <c:pt idx="118">
                  <c:v>27.181818181818183</c:v>
                </c:pt>
                <c:pt idx="119">
                  <c:v>27.181818181818183</c:v>
                </c:pt>
                <c:pt idx="120">
                  <c:v>27.727272727272727</c:v>
                </c:pt>
                <c:pt idx="121">
                  <c:v>27.727272727272727</c:v>
                </c:pt>
                <c:pt idx="122">
                  <c:v>27.818181818181817</c:v>
                </c:pt>
                <c:pt idx="123">
                  <c:v>28.454545454545453</c:v>
                </c:pt>
                <c:pt idx="124">
                  <c:v>27.727272727272727</c:v>
                </c:pt>
                <c:pt idx="125">
                  <c:v>28.5</c:v>
                </c:pt>
                <c:pt idx="126">
                  <c:v>28.454545454545453</c:v>
                </c:pt>
                <c:pt idx="127">
                  <c:v>28.727272727272727</c:v>
                </c:pt>
                <c:pt idx="128">
                  <c:v>27.90909090909091</c:v>
                </c:pt>
                <c:pt idx="129">
                  <c:v>28.454545454545453</c:v>
                </c:pt>
                <c:pt idx="130">
                  <c:v>27.454545454545453</c:v>
                </c:pt>
                <c:pt idx="131">
                  <c:v>28.727272727272727</c:v>
                </c:pt>
                <c:pt idx="132">
                  <c:v>28.727272727272727</c:v>
                </c:pt>
                <c:pt idx="133">
                  <c:v>27.90909090909091</c:v>
                </c:pt>
                <c:pt idx="134">
                  <c:v>28.363636363636363</c:v>
                </c:pt>
                <c:pt idx="135">
                  <c:v>27.545454545454547</c:v>
                </c:pt>
                <c:pt idx="136">
                  <c:v>28.363636363636363</c:v>
                </c:pt>
                <c:pt idx="137">
                  <c:v>28.181818181818183</c:v>
                </c:pt>
                <c:pt idx="138">
                  <c:v>28.272727272727273</c:v>
                </c:pt>
                <c:pt idx="139">
                  <c:v>28.272727272727273</c:v>
                </c:pt>
                <c:pt idx="140">
                  <c:v>28.272727272727273</c:v>
                </c:pt>
                <c:pt idx="141">
                  <c:v>29.454545454545453</c:v>
                </c:pt>
              </c:numCache>
            </c:numRef>
          </c:val>
          <c:smooth val="0"/>
        </c:ser>
        <c:dLbls>
          <c:showLegendKey val="0"/>
          <c:showVal val="0"/>
          <c:showCatName val="0"/>
          <c:showSerName val="0"/>
          <c:showPercent val="0"/>
          <c:showBubbleSize val="0"/>
        </c:dLbls>
        <c:marker val="1"/>
        <c:smooth val="0"/>
        <c:axId val="273892864"/>
        <c:axId val="273894400"/>
      </c:lineChart>
      <c:lineChart>
        <c:grouping val="standard"/>
        <c:varyColors val="0"/>
        <c:ser>
          <c:idx val="0"/>
          <c:order val="0"/>
          <c:tx>
            <c:strRef>
              <c:f>吐司!$B$1</c:f>
              <c:strCache>
                <c:ptCount val="1"/>
                <c:pt idx="0">
                  <c:v>便利店</c:v>
                </c:pt>
              </c:strCache>
            </c:strRef>
          </c:tx>
          <c:spPr>
            <a:ln>
              <a:prstDash val="sysDash"/>
            </a:ln>
          </c:spPr>
          <c:marker>
            <c:symbol val="none"/>
          </c:marker>
          <c:cat>
            <c:strRef>
              <c:f>吐司!$A$32:$A$173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吐司!$B$32:$B$173</c:f>
              <c:numCache>
                <c:formatCode>#,##0.00_ </c:formatCode>
                <c:ptCount val="142"/>
                <c:pt idx="0">
                  <c:v>33.75</c:v>
                </c:pt>
                <c:pt idx="1">
                  <c:v>33.75</c:v>
                </c:pt>
                <c:pt idx="2">
                  <c:v>32.5</c:v>
                </c:pt>
                <c:pt idx="3">
                  <c:v>32.5</c:v>
                </c:pt>
                <c:pt idx="4">
                  <c:v>32.5</c:v>
                </c:pt>
                <c:pt idx="5">
                  <c:v>32.5</c:v>
                </c:pt>
                <c:pt idx="6">
                  <c:v>33.75</c:v>
                </c:pt>
                <c:pt idx="7">
                  <c:v>35</c:v>
                </c:pt>
                <c:pt idx="8">
                  <c:v>35</c:v>
                </c:pt>
                <c:pt idx="9">
                  <c:v>35</c:v>
                </c:pt>
                <c:pt idx="10">
                  <c:v>35</c:v>
                </c:pt>
                <c:pt idx="11">
                  <c:v>35</c:v>
                </c:pt>
                <c:pt idx="12">
                  <c:v>35</c:v>
                </c:pt>
                <c:pt idx="13">
                  <c:v>35</c:v>
                </c:pt>
                <c:pt idx="14">
                  <c:v>35</c:v>
                </c:pt>
                <c:pt idx="15">
                  <c:v>35</c:v>
                </c:pt>
                <c:pt idx="16">
                  <c:v>35</c:v>
                </c:pt>
                <c:pt idx="17">
                  <c:v>35</c:v>
                </c:pt>
                <c:pt idx="18">
                  <c:v>35</c:v>
                </c:pt>
                <c:pt idx="19">
                  <c:v>35</c:v>
                </c:pt>
                <c:pt idx="20">
                  <c:v>35</c:v>
                </c:pt>
                <c:pt idx="21">
                  <c:v>35</c:v>
                </c:pt>
                <c:pt idx="22">
                  <c:v>35</c:v>
                </c:pt>
                <c:pt idx="23">
                  <c:v>35</c:v>
                </c:pt>
                <c:pt idx="24">
                  <c:v>35</c:v>
                </c:pt>
                <c:pt idx="25">
                  <c:v>35</c:v>
                </c:pt>
                <c:pt idx="26">
                  <c:v>35</c:v>
                </c:pt>
                <c:pt idx="27">
                  <c:v>35</c:v>
                </c:pt>
                <c:pt idx="28">
                  <c:v>35</c:v>
                </c:pt>
                <c:pt idx="29">
                  <c:v>33.75</c:v>
                </c:pt>
                <c:pt idx="30">
                  <c:v>33.75</c:v>
                </c:pt>
                <c:pt idx="31">
                  <c:v>33.75</c:v>
                </c:pt>
                <c:pt idx="32">
                  <c:v>33.75</c:v>
                </c:pt>
                <c:pt idx="33">
                  <c:v>33.75</c:v>
                </c:pt>
                <c:pt idx="34">
                  <c:v>33.75</c:v>
                </c:pt>
                <c:pt idx="35">
                  <c:v>33.75</c:v>
                </c:pt>
                <c:pt idx="36">
                  <c:v>33.75</c:v>
                </c:pt>
                <c:pt idx="37">
                  <c:v>33.75</c:v>
                </c:pt>
                <c:pt idx="38">
                  <c:v>33.75</c:v>
                </c:pt>
                <c:pt idx="39">
                  <c:v>33.75</c:v>
                </c:pt>
                <c:pt idx="40">
                  <c:v>33.75</c:v>
                </c:pt>
                <c:pt idx="41">
                  <c:v>33.75</c:v>
                </c:pt>
                <c:pt idx="42">
                  <c:v>33.75</c:v>
                </c:pt>
                <c:pt idx="43">
                  <c:v>33.75</c:v>
                </c:pt>
                <c:pt idx="44">
                  <c:v>33.75</c:v>
                </c:pt>
                <c:pt idx="45">
                  <c:v>33.75</c:v>
                </c:pt>
                <c:pt idx="46">
                  <c:v>33.75</c:v>
                </c:pt>
                <c:pt idx="47">
                  <c:v>35</c:v>
                </c:pt>
                <c:pt idx="48">
                  <c:v>35</c:v>
                </c:pt>
                <c:pt idx="49">
                  <c:v>35</c:v>
                </c:pt>
                <c:pt idx="50">
                  <c:v>35</c:v>
                </c:pt>
                <c:pt idx="51">
                  <c:v>35</c:v>
                </c:pt>
                <c:pt idx="52">
                  <c:v>35</c:v>
                </c:pt>
                <c:pt idx="53">
                  <c:v>35</c:v>
                </c:pt>
                <c:pt idx="54">
                  <c:v>35</c:v>
                </c:pt>
                <c:pt idx="55">
                  <c:v>35</c:v>
                </c:pt>
                <c:pt idx="56">
                  <c:v>35</c:v>
                </c:pt>
                <c:pt idx="57">
                  <c:v>35</c:v>
                </c:pt>
                <c:pt idx="58">
                  <c:v>35</c:v>
                </c:pt>
                <c:pt idx="59">
                  <c:v>35</c:v>
                </c:pt>
                <c:pt idx="60">
                  <c:v>35</c:v>
                </c:pt>
                <c:pt idx="61">
                  <c:v>35</c:v>
                </c:pt>
                <c:pt idx="62">
                  <c:v>35</c:v>
                </c:pt>
                <c:pt idx="63">
                  <c:v>33.75</c:v>
                </c:pt>
                <c:pt idx="64">
                  <c:v>33.75</c:v>
                </c:pt>
                <c:pt idx="65">
                  <c:v>33.75</c:v>
                </c:pt>
                <c:pt idx="66">
                  <c:v>33.75</c:v>
                </c:pt>
                <c:pt idx="67">
                  <c:v>33.75</c:v>
                </c:pt>
                <c:pt idx="68">
                  <c:v>33.75</c:v>
                </c:pt>
                <c:pt idx="69">
                  <c:v>33.75</c:v>
                </c:pt>
                <c:pt idx="70">
                  <c:v>33.75</c:v>
                </c:pt>
                <c:pt idx="71">
                  <c:v>33.75</c:v>
                </c:pt>
                <c:pt idx="72">
                  <c:v>35</c:v>
                </c:pt>
                <c:pt idx="73">
                  <c:v>35</c:v>
                </c:pt>
                <c:pt idx="74">
                  <c:v>35</c:v>
                </c:pt>
                <c:pt idx="75">
                  <c:v>36.25</c:v>
                </c:pt>
                <c:pt idx="76">
                  <c:v>36.25</c:v>
                </c:pt>
                <c:pt idx="77">
                  <c:v>36.25</c:v>
                </c:pt>
                <c:pt idx="78">
                  <c:v>36.25</c:v>
                </c:pt>
                <c:pt idx="79">
                  <c:v>36.25</c:v>
                </c:pt>
                <c:pt idx="80">
                  <c:v>36.666666666666664</c:v>
                </c:pt>
                <c:pt idx="81">
                  <c:v>35</c:v>
                </c:pt>
                <c:pt idx="82">
                  <c:v>35</c:v>
                </c:pt>
                <c:pt idx="83">
                  <c:v>35</c:v>
                </c:pt>
                <c:pt idx="84">
                  <c:v>35</c:v>
                </c:pt>
                <c:pt idx="85">
                  <c:v>35</c:v>
                </c:pt>
                <c:pt idx="86">
                  <c:v>35.75</c:v>
                </c:pt>
                <c:pt idx="87">
                  <c:v>35.75</c:v>
                </c:pt>
                <c:pt idx="88">
                  <c:v>35.75</c:v>
                </c:pt>
                <c:pt idx="89">
                  <c:v>35</c:v>
                </c:pt>
                <c:pt idx="90">
                  <c:v>35</c:v>
                </c:pt>
                <c:pt idx="91">
                  <c:v>35</c:v>
                </c:pt>
                <c:pt idx="92">
                  <c:v>35</c:v>
                </c:pt>
                <c:pt idx="93">
                  <c:v>35</c:v>
                </c:pt>
                <c:pt idx="94">
                  <c:v>35</c:v>
                </c:pt>
                <c:pt idx="95">
                  <c:v>35</c:v>
                </c:pt>
                <c:pt idx="96">
                  <c:v>35</c:v>
                </c:pt>
                <c:pt idx="97">
                  <c:v>35</c:v>
                </c:pt>
                <c:pt idx="98">
                  <c:v>33.5</c:v>
                </c:pt>
                <c:pt idx="99">
                  <c:v>33.5</c:v>
                </c:pt>
                <c:pt idx="100">
                  <c:v>33.5</c:v>
                </c:pt>
                <c:pt idx="101">
                  <c:v>33.5</c:v>
                </c:pt>
                <c:pt idx="102">
                  <c:v>33.5</c:v>
                </c:pt>
                <c:pt idx="103">
                  <c:v>33.5</c:v>
                </c:pt>
                <c:pt idx="104">
                  <c:v>35</c:v>
                </c:pt>
                <c:pt idx="105">
                  <c:v>35</c:v>
                </c:pt>
                <c:pt idx="106">
                  <c:v>35</c:v>
                </c:pt>
                <c:pt idx="107">
                  <c:v>35</c:v>
                </c:pt>
                <c:pt idx="108">
                  <c:v>35</c:v>
                </c:pt>
                <c:pt idx="109">
                  <c:v>35</c:v>
                </c:pt>
                <c:pt idx="110">
                  <c:v>35</c:v>
                </c:pt>
                <c:pt idx="111">
                  <c:v>37.5</c:v>
                </c:pt>
                <c:pt idx="112">
                  <c:v>37.5</c:v>
                </c:pt>
                <c:pt idx="113">
                  <c:v>37.5</c:v>
                </c:pt>
                <c:pt idx="114">
                  <c:v>37.5</c:v>
                </c:pt>
                <c:pt idx="115">
                  <c:v>37.5</c:v>
                </c:pt>
                <c:pt idx="116">
                  <c:v>37.5</c:v>
                </c:pt>
                <c:pt idx="117">
                  <c:v>37.5</c:v>
                </c:pt>
                <c:pt idx="118">
                  <c:v>36</c:v>
                </c:pt>
                <c:pt idx="119">
                  <c:v>36</c:v>
                </c:pt>
                <c:pt idx="120">
                  <c:v>41.5</c:v>
                </c:pt>
                <c:pt idx="121">
                  <c:v>41.5</c:v>
                </c:pt>
                <c:pt idx="122">
                  <c:v>41.5</c:v>
                </c:pt>
                <c:pt idx="123">
                  <c:v>44</c:v>
                </c:pt>
                <c:pt idx="124">
                  <c:v>41.5</c:v>
                </c:pt>
                <c:pt idx="125">
                  <c:v>41.5</c:v>
                </c:pt>
                <c:pt idx="126">
                  <c:v>41.5</c:v>
                </c:pt>
                <c:pt idx="127">
                  <c:v>48</c:v>
                </c:pt>
                <c:pt idx="128">
                  <c:v>41.5</c:v>
                </c:pt>
                <c:pt idx="129">
                  <c:v>41.5</c:v>
                </c:pt>
                <c:pt idx="130">
                  <c:v>41.5</c:v>
                </c:pt>
                <c:pt idx="131">
                  <c:v>41.5</c:v>
                </c:pt>
                <c:pt idx="132">
                  <c:v>41.5</c:v>
                </c:pt>
                <c:pt idx="133">
                  <c:v>41.5</c:v>
                </c:pt>
                <c:pt idx="134">
                  <c:v>41.5</c:v>
                </c:pt>
                <c:pt idx="135">
                  <c:v>41.5</c:v>
                </c:pt>
                <c:pt idx="136">
                  <c:v>40</c:v>
                </c:pt>
                <c:pt idx="137">
                  <c:v>40</c:v>
                </c:pt>
                <c:pt idx="138">
                  <c:v>40</c:v>
                </c:pt>
                <c:pt idx="139">
                  <c:v>32</c:v>
                </c:pt>
                <c:pt idx="140">
                  <c:v>32</c:v>
                </c:pt>
                <c:pt idx="141">
                  <c:v>32</c:v>
                </c:pt>
              </c:numCache>
            </c:numRef>
          </c:val>
          <c:smooth val="0"/>
        </c:ser>
        <c:dLbls>
          <c:showLegendKey val="0"/>
          <c:showVal val="0"/>
          <c:showCatName val="0"/>
          <c:showSerName val="0"/>
          <c:showPercent val="0"/>
          <c:showBubbleSize val="0"/>
        </c:dLbls>
        <c:marker val="1"/>
        <c:smooth val="0"/>
        <c:axId val="273896192"/>
        <c:axId val="273897728"/>
      </c:lineChart>
      <c:catAx>
        <c:axId val="273892864"/>
        <c:scaling>
          <c:orientation val="minMax"/>
        </c:scaling>
        <c:delete val="0"/>
        <c:axPos val="b"/>
        <c:numFmt formatCode="General" sourceLinked="1"/>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3894400"/>
        <c:crosses val="autoZero"/>
        <c:auto val="1"/>
        <c:lblAlgn val="ctr"/>
        <c:lblOffset val="100"/>
        <c:tickLblSkip val="7"/>
        <c:noMultiLvlLbl val="1"/>
      </c:catAx>
      <c:valAx>
        <c:axId val="273894400"/>
        <c:scaling>
          <c:orientation val="minMax"/>
          <c:max val="30"/>
          <c:min val="20"/>
        </c:scaling>
        <c:delete val="0"/>
        <c:axPos val="l"/>
        <c:numFmt formatCode="#,##0.0_);[Red]\(#,##0.0\)" sourceLinked="0"/>
        <c:majorTickMark val="out"/>
        <c:minorTickMark val="none"/>
        <c:tickLblPos val="nextTo"/>
        <c:txPr>
          <a:bodyPr/>
          <a:lstStyle/>
          <a:p>
            <a:pPr>
              <a:defRPr>
                <a:latin typeface="Times New Roman" pitchFamily="18" charset="0"/>
                <a:cs typeface="Times New Roman" pitchFamily="18" charset="0"/>
              </a:defRPr>
            </a:pPr>
            <a:endParaRPr lang="zh-TW"/>
          </a:p>
        </c:txPr>
        <c:crossAx val="273892864"/>
        <c:crosses val="autoZero"/>
        <c:crossBetween val="between"/>
      </c:valAx>
      <c:catAx>
        <c:axId val="273896192"/>
        <c:scaling>
          <c:orientation val="minMax"/>
        </c:scaling>
        <c:delete val="1"/>
        <c:axPos val="b"/>
        <c:numFmt formatCode="General" sourceLinked="1"/>
        <c:majorTickMark val="out"/>
        <c:minorTickMark val="none"/>
        <c:tickLblPos val="nextTo"/>
        <c:crossAx val="273897728"/>
        <c:crosses val="autoZero"/>
        <c:auto val="1"/>
        <c:lblAlgn val="ctr"/>
        <c:lblOffset val="100"/>
        <c:noMultiLvlLbl val="0"/>
      </c:catAx>
      <c:valAx>
        <c:axId val="273897728"/>
        <c:scaling>
          <c:orientation val="minMax"/>
          <c:max val="50"/>
          <c:min val="28"/>
        </c:scaling>
        <c:delete val="0"/>
        <c:axPos val="r"/>
        <c:numFmt formatCode="#,##0.0_ " sourceLinked="0"/>
        <c:majorTickMark val="out"/>
        <c:minorTickMark val="none"/>
        <c:tickLblPos val="nextTo"/>
        <c:crossAx val="273896192"/>
        <c:crosses val="max"/>
        <c:crossBetween val="between"/>
      </c:valAx>
      <c:spPr>
        <a:noFill/>
        <a:ln w="25400">
          <a:noFill/>
        </a:ln>
      </c:spPr>
    </c:plotArea>
    <c:legend>
      <c:legendPos val="r"/>
      <c:layout>
        <c:manualLayout>
          <c:xMode val="edge"/>
          <c:yMode val="edge"/>
          <c:x val="0.19691903653524342"/>
          <c:y val="2.9726941785204127E-2"/>
          <c:w val="0.57046401607206509"/>
          <c:h val="8.5664291963504557E-2"/>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0342929740629E-2"/>
          <c:y val="9.3358807300805757E-2"/>
          <c:w val="0.88144225800793563"/>
          <c:h val="0.6430932601314745"/>
        </c:manualLayout>
      </c:layout>
      <c:lineChart>
        <c:grouping val="standard"/>
        <c:varyColors val="0"/>
        <c:ser>
          <c:idx val="0"/>
          <c:order val="0"/>
          <c:tx>
            <c:v>便利店</c:v>
          </c:tx>
          <c:spPr>
            <a:ln w="28575" cap="rnd">
              <a:solidFill>
                <a:srgbClr val="C00000"/>
              </a:solidFill>
              <a:prstDash val="dash"/>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工作表1!$F$2:$AY$2</c:f>
              <c:numCache>
                <c:formatCode>0.0_);[Red]\(0.0\)</c:formatCode>
                <c:ptCount val="46"/>
                <c:pt idx="0">
                  <c:v>52</c:v>
                </c:pt>
                <c:pt idx="1">
                  <c:v>52</c:v>
                </c:pt>
                <c:pt idx="2">
                  <c:v>52</c:v>
                </c:pt>
                <c:pt idx="3">
                  <c:v>52</c:v>
                </c:pt>
                <c:pt idx="4">
                  <c:v>52</c:v>
                </c:pt>
                <c:pt idx="5">
                  <c:v>52</c:v>
                </c:pt>
                <c:pt idx="6">
                  <c:v>52</c:v>
                </c:pt>
                <c:pt idx="7">
                  <c:v>52</c:v>
                </c:pt>
                <c:pt idx="8">
                  <c:v>52</c:v>
                </c:pt>
                <c:pt idx="9">
                  <c:v>52</c:v>
                </c:pt>
                <c:pt idx="10">
                  <c:v>52</c:v>
                </c:pt>
                <c:pt idx="11">
                  <c:v>52</c:v>
                </c:pt>
                <c:pt idx="12">
                  <c:v>52</c:v>
                </c:pt>
                <c:pt idx="13">
                  <c:v>52</c:v>
                </c:pt>
                <c:pt idx="14">
                  <c:v>52</c:v>
                </c:pt>
                <c:pt idx="15">
                  <c:v>52</c:v>
                </c:pt>
                <c:pt idx="16">
                  <c:v>52</c:v>
                </c:pt>
                <c:pt idx="17">
                  <c:v>52</c:v>
                </c:pt>
                <c:pt idx="18">
                  <c:v>52</c:v>
                </c:pt>
                <c:pt idx="19">
                  <c:v>52</c:v>
                </c:pt>
                <c:pt idx="20">
                  <c:v>52</c:v>
                </c:pt>
                <c:pt idx="21">
                  <c:v>52</c:v>
                </c:pt>
                <c:pt idx="22">
                  <c:v>52</c:v>
                </c:pt>
                <c:pt idx="23">
                  <c:v>52</c:v>
                </c:pt>
                <c:pt idx="24">
                  <c:v>52</c:v>
                </c:pt>
                <c:pt idx="25">
                  <c:v>52</c:v>
                </c:pt>
                <c:pt idx="26">
                  <c:v>52</c:v>
                </c:pt>
                <c:pt idx="27">
                  <c:v>52</c:v>
                </c:pt>
                <c:pt idx="28">
                  <c:v>52</c:v>
                </c:pt>
                <c:pt idx="29">
                  <c:v>52</c:v>
                </c:pt>
                <c:pt idx="30">
                  <c:v>52</c:v>
                </c:pt>
                <c:pt idx="31">
                  <c:v>52</c:v>
                </c:pt>
                <c:pt idx="32">
                  <c:v>52</c:v>
                </c:pt>
                <c:pt idx="33">
                  <c:v>52</c:v>
                </c:pt>
                <c:pt idx="34">
                  <c:v>52</c:v>
                </c:pt>
                <c:pt idx="35">
                  <c:v>52</c:v>
                </c:pt>
                <c:pt idx="36">
                  <c:v>52</c:v>
                </c:pt>
                <c:pt idx="37">
                  <c:v>52</c:v>
                </c:pt>
                <c:pt idx="38">
                  <c:v>52</c:v>
                </c:pt>
                <c:pt idx="39">
                  <c:v>52</c:v>
                </c:pt>
                <c:pt idx="40">
                  <c:v>52</c:v>
                </c:pt>
                <c:pt idx="41">
                  <c:v>52</c:v>
                </c:pt>
                <c:pt idx="42">
                  <c:v>52</c:v>
                </c:pt>
                <c:pt idx="43">
                  <c:v>52</c:v>
                </c:pt>
                <c:pt idx="44">
                  <c:v>52</c:v>
                </c:pt>
                <c:pt idx="45">
                  <c:v>52</c:v>
                </c:pt>
              </c:numCache>
            </c:numRef>
          </c:val>
          <c:smooth val="0"/>
        </c:ser>
        <c:ser>
          <c:idx val="1"/>
          <c:order val="1"/>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工作表1!$F$3:$AY$3</c:f>
              <c:numCache>
                <c:formatCode>0.0_);[Red]\(0.0\)</c:formatCode>
                <c:ptCount val="46"/>
                <c:pt idx="0">
                  <c:v>91.285714285714292</c:v>
                </c:pt>
                <c:pt idx="1">
                  <c:v>104.14285714285714</c:v>
                </c:pt>
                <c:pt idx="2">
                  <c:v>101.66666666666667</c:v>
                </c:pt>
                <c:pt idx="3">
                  <c:v>107</c:v>
                </c:pt>
                <c:pt idx="4">
                  <c:v>109.85714285714286</c:v>
                </c:pt>
                <c:pt idx="5">
                  <c:v>108.28571428571429</c:v>
                </c:pt>
                <c:pt idx="6">
                  <c:v>112.71428571428571</c:v>
                </c:pt>
                <c:pt idx="7">
                  <c:v>115.57142857142857</c:v>
                </c:pt>
                <c:pt idx="8">
                  <c:v>98.142857142857139</c:v>
                </c:pt>
                <c:pt idx="9">
                  <c:v>97</c:v>
                </c:pt>
                <c:pt idx="10">
                  <c:v>107.14285714285714</c:v>
                </c:pt>
                <c:pt idx="11">
                  <c:v>109.57142857142857</c:v>
                </c:pt>
                <c:pt idx="12">
                  <c:v>95.5</c:v>
                </c:pt>
                <c:pt idx="13">
                  <c:v>102.625</c:v>
                </c:pt>
                <c:pt idx="14">
                  <c:v>107</c:v>
                </c:pt>
                <c:pt idx="15">
                  <c:v>95.571428571428569</c:v>
                </c:pt>
                <c:pt idx="16">
                  <c:v>110.14285714285714</c:v>
                </c:pt>
                <c:pt idx="17">
                  <c:v>99.25</c:v>
                </c:pt>
                <c:pt idx="18">
                  <c:v>111</c:v>
                </c:pt>
                <c:pt idx="19">
                  <c:v>107</c:v>
                </c:pt>
                <c:pt idx="20">
                  <c:v>112.71428571428571</c:v>
                </c:pt>
                <c:pt idx="21">
                  <c:v>111</c:v>
                </c:pt>
                <c:pt idx="22">
                  <c:v>111.28571428571429</c:v>
                </c:pt>
                <c:pt idx="23">
                  <c:v>106.44444444444444</c:v>
                </c:pt>
                <c:pt idx="24">
                  <c:v>107.3</c:v>
                </c:pt>
                <c:pt idx="25">
                  <c:v>105.625</c:v>
                </c:pt>
                <c:pt idx="26">
                  <c:v>101.33333333333333</c:v>
                </c:pt>
                <c:pt idx="27">
                  <c:v>101.33333333333333</c:v>
                </c:pt>
                <c:pt idx="28">
                  <c:v>115.33333333333333</c:v>
                </c:pt>
                <c:pt idx="29">
                  <c:v>112.44444444444444</c:v>
                </c:pt>
                <c:pt idx="30">
                  <c:v>104.125</c:v>
                </c:pt>
                <c:pt idx="31">
                  <c:v>109.125</c:v>
                </c:pt>
                <c:pt idx="32">
                  <c:v>103.44444444444444</c:v>
                </c:pt>
                <c:pt idx="33">
                  <c:v>115.5</c:v>
                </c:pt>
                <c:pt idx="34">
                  <c:v>110.75</c:v>
                </c:pt>
                <c:pt idx="35">
                  <c:v>110.75</c:v>
                </c:pt>
                <c:pt idx="36">
                  <c:v>97.5</c:v>
                </c:pt>
                <c:pt idx="37">
                  <c:v>110.375</c:v>
                </c:pt>
                <c:pt idx="38">
                  <c:v>110.375</c:v>
                </c:pt>
                <c:pt idx="39">
                  <c:v>104.625</c:v>
                </c:pt>
                <c:pt idx="40">
                  <c:v>98.625</c:v>
                </c:pt>
                <c:pt idx="41">
                  <c:v>104.625</c:v>
                </c:pt>
                <c:pt idx="42">
                  <c:v>101.14285714285714</c:v>
                </c:pt>
                <c:pt idx="43">
                  <c:v>112.75</c:v>
                </c:pt>
                <c:pt idx="44">
                  <c:v>96.125</c:v>
                </c:pt>
                <c:pt idx="45">
                  <c:v>107.375</c:v>
                </c:pt>
              </c:numCache>
            </c:numRef>
          </c:val>
          <c:smooth val="0"/>
        </c:ser>
        <c:ser>
          <c:idx val="2"/>
          <c:order val="2"/>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工作表1!$F$4:$AY$4</c:f>
              <c:numCache>
                <c:formatCode>0.0_);[Red]\(0.0\)</c:formatCode>
                <c:ptCount val="46"/>
                <c:pt idx="0">
                  <c:v>83.222222222222229</c:v>
                </c:pt>
                <c:pt idx="1">
                  <c:v>88.777777777777771</c:v>
                </c:pt>
                <c:pt idx="2">
                  <c:v>85.9</c:v>
                </c:pt>
                <c:pt idx="3">
                  <c:v>87.7</c:v>
                </c:pt>
                <c:pt idx="4">
                  <c:v>92.7</c:v>
                </c:pt>
                <c:pt idx="5">
                  <c:v>85.888888888888886</c:v>
                </c:pt>
                <c:pt idx="6">
                  <c:v>87.6</c:v>
                </c:pt>
                <c:pt idx="7">
                  <c:v>87.9</c:v>
                </c:pt>
                <c:pt idx="8">
                  <c:v>84.1</c:v>
                </c:pt>
                <c:pt idx="9">
                  <c:v>83.909090909090907</c:v>
                </c:pt>
                <c:pt idx="10">
                  <c:v>91.63636363636364</c:v>
                </c:pt>
                <c:pt idx="11">
                  <c:v>88.909090909090907</c:v>
                </c:pt>
                <c:pt idx="12">
                  <c:v>86.090909090909093</c:v>
                </c:pt>
                <c:pt idx="13">
                  <c:v>84</c:v>
                </c:pt>
                <c:pt idx="14">
                  <c:v>84.545454545454547</c:v>
                </c:pt>
                <c:pt idx="15">
                  <c:v>90</c:v>
                </c:pt>
                <c:pt idx="16">
                  <c:v>86.181818181818187</c:v>
                </c:pt>
                <c:pt idx="17">
                  <c:v>90.36363636363636</c:v>
                </c:pt>
                <c:pt idx="18">
                  <c:v>84.727272727272734</c:v>
                </c:pt>
                <c:pt idx="19">
                  <c:v>91.909090909090907</c:v>
                </c:pt>
                <c:pt idx="20">
                  <c:v>84.63636363636364</c:v>
                </c:pt>
                <c:pt idx="21">
                  <c:v>86.36363636363636</c:v>
                </c:pt>
                <c:pt idx="22">
                  <c:v>95.181818181818187</c:v>
                </c:pt>
                <c:pt idx="23">
                  <c:v>96</c:v>
                </c:pt>
                <c:pt idx="24">
                  <c:v>91.36363636363636</c:v>
                </c:pt>
                <c:pt idx="25">
                  <c:v>93.545454545454547</c:v>
                </c:pt>
                <c:pt idx="26">
                  <c:v>92.818181818181813</c:v>
                </c:pt>
                <c:pt idx="27">
                  <c:v>85.909090909090907</c:v>
                </c:pt>
                <c:pt idx="28">
                  <c:v>92.63636363636364</c:v>
                </c:pt>
                <c:pt idx="29">
                  <c:v>92.818181818181813</c:v>
                </c:pt>
                <c:pt idx="30">
                  <c:v>93.909090909090907</c:v>
                </c:pt>
                <c:pt idx="31">
                  <c:v>95.909090909090907</c:v>
                </c:pt>
                <c:pt idx="32">
                  <c:v>96.454545454545453</c:v>
                </c:pt>
                <c:pt idx="33">
                  <c:v>95.272727272727266</c:v>
                </c:pt>
                <c:pt idx="34">
                  <c:v>93.909090909090907</c:v>
                </c:pt>
                <c:pt idx="35">
                  <c:v>89.272727272727266</c:v>
                </c:pt>
                <c:pt idx="36">
                  <c:v>93.818181818181813</c:v>
                </c:pt>
                <c:pt idx="37">
                  <c:v>94</c:v>
                </c:pt>
                <c:pt idx="38">
                  <c:v>91.181818181818187</c:v>
                </c:pt>
                <c:pt idx="39">
                  <c:v>90.63636363636364</c:v>
                </c:pt>
                <c:pt idx="40">
                  <c:v>87.909090909090907</c:v>
                </c:pt>
                <c:pt idx="41">
                  <c:v>89.909090909090907</c:v>
                </c:pt>
                <c:pt idx="42">
                  <c:v>94.181818181818187</c:v>
                </c:pt>
                <c:pt idx="43">
                  <c:v>86.545454545454547</c:v>
                </c:pt>
                <c:pt idx="44">
                  <c:v>96.1</c:v>
                </c:pt>
                <c:pt idx="45">
                  <c:v>96.272727272727266</c:v>
                </c:pt>
              </c:numCache>
            </c:numRef>
          </c:val>
          <c:smooth val="0"/>
        </c:ser>
        <c:dLbls>
          <c:showLegendKey val="0"/>
          <c:showVal val="0"/>
          <c:showCatName val="0"/>
          <c:showSerName val="0"/>
          <c:showPercent val="0"/>
          <c:showBubbleSize val="0"/>
        </c:dLbls>
        <c:marker val="1"/>
        <c:smooth val="0"/>
        <c:axId val="273935360"/>
        <c:axId val="273937152"/>
      </c:lineChart>
      <c:dateAx>
        <c:axId val="273935360"/>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3937152"/>
        <c:crosses val="autoZero"/>
        <c:auto val="1"/>
        <c:lblOffset val="100"/>
        <c:baseTimeUnit val="days"/>
        <c:majorUnit val="1"/>
        <c:majorTimeUnit val="months"/>
      </c:dateAx>
      <c:valAx>
        <c:axId val="273937152"/>
        <c:scaling>
          <c:orientation val="minMax"/>
          <c:min val="4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3935360"/>
        <c:crosses val="autoZero"/>
        <c:crossBetween val="between"/>
      </c:valAx>
      <c:spPr>
        <a:noFill/>
        <a:ln>
          <a:noFill/>
        </a:ln>
        <a:effectLst/>
      </c:spPr>
    </c:plotArea>
    <c:legend>
      <c:legendPos val="b"/>
      <c:layout>
        <c:manualLayout>
          <c:xMode val="edge"/>
          <c:yMode val="edge"/>
          <c:x val="0.30649671355202585"/>
          <c:y val="1.0979583825549878E-2"/>
          <c:w val="0.48165281079364425"/>
          <c:h val="7.3947742958834564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7434286930349918"/>
        </c:manualLayout>
      </c:layout>
      <c:lineChart>
        <c:grouping val="standard"/>
        <c:varyColors val="0"/>
        <c:ser>
          <c:idx val="1"/>
          <c:order val="0"/>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工作表1!$F$7:$AY$7</c:f>
              <c:numCache>
                <c:formatCode>0.0_);[Red]\(0.0\)</c:formatCode>
                <c:ptCount val="46"/>
                <c:pt idx="0">
                  <c:v>128.42857142857142</c:v>
                </c:pt>
                <c:pt idx="1">
                  <c:v>122.71428571428571</c:v>
                </c:pt>
                <c:pt idx="2">
                  <c:v>122.83333333333333</c:v>
                </c:pt>
                <c:pt idx="3">
                  <c:v>128.14285714285714</c:v>
                </c:pt>
                <c:pt idx="4">
                  <c:v>125.57142857142857</c:v>
                </c:pt>
                <c:pt idx="5">
                  <c:v>124.14285714285714</c:v>
                </c:pt>
                <c:pt idx="6">
                  <c:v>112.57142857142857</c:v>
                </c:pt>
                <c:pt idx="7">
                  <c:v>128.42857142857142</c:v>
                </c:pt>
                <c:pt idx="8">
                  <c:v>128.42857142857142</c:v>
                </c:pt>
                <c:pt idx="9">
                  <c:v>117</c:v>
                </c:pt>
                <c:pt idx="10">
                  <c:v>125.57142857142857</c:v>
                </c:pt>
                <c:pt idx="11">
                  <c:v>128.33333333333334</c:v>
                </c:pt>
                <c:pt idx="12">
                  <c:v>128.42857142857142</c:v>
                </c:pt>
                <c:pt idx="13">
                  <c:v>128.42857142857142</c:v>
                </c:pt>
                <c:pt idx="14">
                  <c:v>128.33333333333334</c:v>
                </c:pt>
                <c:pt idx="15">
                  <c:v>113</c:v>
                </c:pt>
                <c:pt idx="16">
                  <c:v>112.8</c:v>
                </c:pt>
                <c:pt idx="17">
                  <c:v>126</c:v>
                </c:pt>
                <c:pt idx="18">
                  <c:v>125.2</c:v>
                </c:pt>
                <c:pt idx="19">
                  <c:v>127.33333333333333</c:v>
                </c:pt>
                <c:pt idx="20">
                  <c:v>116.83333333333333</c:v>
                </c:pt>
                <c:pt idx="21">
                  <c:v>123.4</c:v>
                </c:pt>
                <c:pt idx="22">
                  <c:v>129.6</c:v>
                </c:pt>
                <c:pt idx="23">
                  <c:v>124.33333333333333</c:v>
                </c:pt>
                <c:pt idx="24">
                  <c:v>124.33333333333333</c:v>
                </c:pt>
                <c:pt idx="25">
                  <c:v>129.6</c:v>
                </c:pt>
                <c:pt idx="26">
                  <c:v>128.33333333333334</c:v>
                </c:pt>
                <c:pt idx="27">
                  <c:v>108.2</c:v>
                </c:pt>
                <c:pt idx="28">
                  <c:v>128.19999999999999</c:v>
                </c:pt>
                <c:pt idx="29">
                  <c:v>128.19999999999999</c:v>
                </c:pt>
                <c:pt idx="30">
                  <c:v>128.19999999999999</c:v>
                </c:pt>
                <c:pt idx="31">
                  <c:v>128</c:v>
                </c:pt>
                <c:pt idx="32">
                  <c:v>128</c:v>
                </c:pt>
                <c:pt idx="33">
                  <c:v>124</c:v>
                </c:pt>
                <c:pt idx="34">
                  <c:v>116</c:v>
                </c:pt>
                <c:pt idx="35">
                  <c:v>116</c:v>
                </c:pt>
                <c:pt idx="36">
                  <c:v>125.33333333333333</c:v>
                </c:pt>
                <c:pt idx="37">
                  <c:v>125.33333333333333</c:v>
                </c:pt>
                <c:pt idx="38">
                  <c:v>125.33333333333333</c:v>
                </c:pt>
                <c:pt idx="39">
                  <c:v>107.33333333333333</c:v>
                </c:pt>
                <c:pt idx="40">
                  <c:v>118.66666666666667</c:v>
                </c:pt>
                <c:pt idx="41">
                  <c:v>118.66666666666667</c:v>
                </c:pt>
                <c:pt idx="42">
                  <c:v>111.33333333333333</c:v>
                </c:pt>
                <c:pt idx="43">
                  <c:v>121.33333333333333</c:v>
                </c:pt>
                <c:pt idx="44">
                  <c:v>110.25</c:v>
                </c:pt>
                <c:pt idx="45">
                  <c:v>120</c:v>
                </c:pt>
              </c:numCache>
            </c:numRef>
          </c:val>
          <c:smooth val="0"/>
        </c:ser>
        <c:ser>
          <c:idx val="2"/>
          <c:order val="1"/>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工作表1!$F$8:$AY$8</c:f>
              <c:numCache>
                <c:formatCode>0.0_);[Red]\(0.0\)</c:formatCode>
                <c:ptCount val="46"/>
                <c:pt idx="0">
                  <c:v>98.8</c:v>
                </c:pt>
                <c:pt idx="1">
                  <c:v>100.1</c:v>
                </c:pt>
                <c:pt idx="2">
                  <c:v>108.18181818181819</c:v>
                </c:pt>
                <c:pt idx="3">
                  <c:v>106.45454545454545</c:v>
                </c:pt>
                <c:pt idx="4">
                  <c:v>104.72727272727273</c:v>
                </c:pt>
                <c:pt idx="5">
                  <c:v>105.8</c:v>
                </c:pt>
                <c:pt idx="6">
                  <c:v>99.818181818181813</c:v>
                </c:pt>
                <c:pt idx="7">
                  <c:v>101.63636363636364</c:v>
                </c:pt>
                <c:pt idx="8">
                  <c:v>105.9</c:v>
                </c:pt>
                <c:pt idx="9">
                  <c:v>104.54545454545455</c:v>
                </c:pt>
                <c:pt idx="10">
                  <c:v>101.75</c:v>
                </c:pt>
                <c:pt idx="11">
                  <c:v>102.28571428571429</c:v>
                </c:pt>
                <c:pt idx="12">
                  <c:v>103.71428571428571</c:v>
                </c:pt>
                <c:pt idx="13">
                  <c:v>98</c:v>
                </c:pt>
                <c:pt idx="14">
                  <c:v>98.25</c:v>
                </c:pt>
                <c:pt idx="15">
                  <c:v>105.75</c:v>
                </c:pt>
                <c:pt idx="16">
                  <c:v>97.5</c:v>
                </c:pt>
                <c:pt idx="17">
                  <c:v>108.5</c:v>
                </c:pt>
                <c:pt idx="18">
                  <c:v>111.25</c:v>
                </c:pt>
                <c:pt idx="19">
                  <c:v>112.8</c:v>
                </c:pt>
                <c:pt idx="20">
                  <c:v>111</c:v>
                </c:pt>
                <c:pt idx="21">
                  <c:v>108.75</c:v>
                </c:pt>
                <c:pt idx="22">
                  <c:v>111</c:v>
                </c:pt>
                <c:pt idx="23">
                  <c:v>103.5</c:v>
                </c:pt>
                <c:pt idx="24">
                  <c:v>103.5</c:v>
                </c:pt>
                <c:pt idx="25">
                  <c:v>105.25</c:v>
                </c:pt>
                <c:pt idx="26">
                  <c:v>105.25</c:v>
                </c:pt>
                <c:pt idx="27">
                  <c:v>105.25</c:v>
                </c:pt>
                <c:pt idx="28">
                  <c:v>107.75</c:v>
                </c:pt>
                <c:pt idx="29">
                  <c:v>105.25</c:v>
                </c:pt>
                <c:pt idx="30">
                  <c:v>105.25</c:v>
                </c:pt>
                <c:pt idx="31">
                  <c:v>106.75</c:v>
                </c:pt>
                <c:pt idx="32">
                  <c:v>107.25</c:v>
                </c:pt>
                <c:pt idx="33">
                  <c:v>107.5</c:v>
                </c:pt>
                <c:pt idx="34">
                  <c:v>110</c:v>
                </c:pt>
                <c:pt idx="35">
                  <c:v>108.33333333333333</c:v>
                </c:pt>
                <c:pt idx="36">
                  <c:v>112.33333333333333</c:v>
                </c:pt>
                <c:pt idx="37">
                  <c:v>109.66666666666667</c:v>
                </c:pt>
                <c:pt idx="38">
                  <c:v>109.66666666666667</c:v>
                </c:pt>
                <c:pt idx="39">
                  <c:v>108.66666666666667</c:v>
                </c:pt>
                <c:pt idx="40">
                  <c:v>108.66666666666667</c:v>
                </c:pt>
                <c:pt idx="41">
                  <c:v>107.66666666666667</c:v>
                </c:pt>
                <c:pt idx="42">
                  <c:v>106.66666666666667</c:v>
                </c:pt>
                <c:pt idx="43">
                  <c:v>102.66666666666667</c:v>
                </c:pt>
                <c:pt idx="44">
                  <c:v>102.66666666666667</c:v>
                </c:pt>
                <c:pt idx="45">
                  <c:v>112.33333333333333</c:v>
                </c:pt>
              </c:numCache>
            </c:numRef>
          </c:val>
          <c:smooth val="0"/>
        </c:ser>
        <c:dLbls>
          <c:showLegendKey val="0"/>
          <c:showVal val="0"/>
          <c:showCatName val="0"/>
          <c:showSerName val="0"/>
          <c:showPercent val="0"/>
          <c:showBubbleSize val="0"/>
        </c:dLbls>
        <c:marker val="1"/>
        <c:smooth val="0"/>
        <c:axId val="268155904"/>
        <c:axId val="273875712"/>
      </c:lineChart>
      <c:dateAx>
        <c:axId val="268155904"/>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3875712"/>
        <c:crosses val="autoZero"/>
        <c:auto val="1"/>
        <c:lblOffset val="100"/>
        <c:baseTimeUnit val="days"/>
        <c:majorUnit val="1"/>
        <c:majorTimeUnit val="months"/>
      </c:dateAx>
      <c:valAx>
        <c:axId val="273875712"/>
        <c:scaling>
          <c:orientation val="minMax"/>
          <c:min val="9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68155904"/>
        <c:crosses val="autoZero"/>
        <c:crossBetween val="between"/>
      </c:valAx>
      <c:spPr>
        <a:noFill/>
        <a:ln>
          <a:noFill/>
        </a:ln>
        <a:effectLst/>
      </c:spPr>
    </c:plotArea>
    <c:legend>
      <c:legendPos val="b"/>
      <c:layout>
        <c:manualLayout>
          <c:xMode val="edge"/>
          <c:yMode val="edge"/>
          <c:x val="0.30649671355202585"/>
          <c:y val="1.0979583825549878E-2"/>
          <c:w val="0.48347434811387729"/>
          <c:h val="8.2658833857754105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6404679232804231"/>
        </c:manualLayout>
      </c:layout>
      <c:lineChart>
        <c:grouping val="standard"/>
        <c:varyColors val="0"/>
        <c:ser>
          <c:idx val="0"/>
          <c:order val="0"/>
          <c:tx>
            <c:v>便利店</c:v>
          </c:tx>
          <c:spPr>
            <a:ln w="28575" cap="rnd">
              <a:solidFill>
                <a:srgbClr val="C00000"/>
              </a:solidFill>
              <a:prstDash val="dash"/>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工作表1!$F$10:$AY$10</c:f>
              <c:numCache>
                <c:formatCode>0.0_);[Red]\(0.0\)</c:formatCode>
                <c:ptCount val="46"/>
                <c:pt idx="0">
                  <c:v>165</c:v>
                </c:pt>
                <c:pt idx="1">
                  <c:v>165</c:v>
                </c:pt>
                <c:pt idx="2">
                  <c:v>165</c:v>
                </c:pt>
                <c:pt idx="3">
                  <c:v>165</c:v>
                </c:pt>
                <c:pt idx="4">
                  <c:v>165</c:v>
                </c:pt>
                <c:pt idx="5">
                  <c:v>165</c:v>
                </c:pt>
                <c:pt idx="6">
                  <c:v>165</c:v>
                </c:pt>
                <c:pt idx="7">
                  <c:v>165</c:v>
                </c:pt>
                <c:pt idx="8">
                  <c:v>165</c:v>
                </c:pt>
                <c:pt idx="9">
                  <c:v>165</c:v>
                </c:pt>
                <c:pt idx="10">
                  <c:v>165</c:v>
                </c:pt>
                <c:pt idx="11">
                  <c:v>165</c:v>
                </c:pt>
                <c:pt idx="12">
                  <c:v>165</c:v>
                </c:pt>
                <c:pt idx="13">
                  <c:v>165</c:v>
                </c:pt>
                <c:pt idx="14">
                  <c:v>165</c:v>
                </c:pt>
                <c:pt idx="15">
                  <c:v>165</c:v>
                </c:pt>
                <c:pt idx="16">
                  <c:v>165</c:v>
                </c:pt>
                <c:pt idx="17">
                  <c:v>165</c:v>
                </c:pt>
                <c:pt idx="18">
                  <c:v>165</c:v>
                </c:pt>
                <c:pt idx="19">
                  <c:v>168.75</c:v>
                </c:pt>
                <c:pt idx="20">
                  <c:v>176.25</c:v>
                </c:pt>
                <c:pt idx="21">
                  <c:v>176.25</c:v>
                </c:pt>
                <c:pt idx="22">
                  <c:v>176.25</c:v>
                </c:pt>
                <c:pt idx="23">
                  <c:v>176.25</c:v>
                </c:pt>
                <c:pt idx="24">
                  <c:v>176.25</c:v>
                </c:pt>
                <c:pt idx="25">
                  <c:v>176.25</c:v>
                </c:pt>
                <c:pt idx="26">
                  <c:v>176.25</c:v>
                </c:pt>
                <c:pt idx="27">
                  <c:v>176.25</c:v>
                </c:pt>
                <c:pt idx="28">
                  <c:v>176.25</c:v>
                </c:pt>
                <c:pt idx="29">
                  <c:v>180</c:v>
                </c:pt>
                <c:pt idx="30">
                  <c:v>180</c:v>
                </c:pt>
                <c:pt idx="31">
                  <c:v>180</c:v>
                </c:pt>
                <c:pt idx="32">
                  <c:v>180</c:v>
                </c:pt>
                <c:pt idx="33">
                  <c:v>180</c:v>
                </c:pt>
                <c:pt idx="34">
                  <c:v>180</c:v>
                </c:pt>
                <c:pt idx="35">
                  <c:v>180</c:v>
                </c:pt>
                <c:pt idx="36">
                  <c:v>180</c:v>
                </c:pt>
                <c:pt idx="37">
                  <c:v>180</c:v>
                </c:pt>
                <c:pt idx="38">
                  <c:v>180</c:v>
                </c:pt>
                <c:pt idx="39">
                  <c:v>180</c:v>
                </c:pt>
                <c:pt idx="40">
                  <c:v>180</c:v>
                </c:pt>
                <c:pt idx="41">
                  <c:v>180</c:v>
                </c:pt>
                <c:pt idx="42">
                  <c:v>180</c:v>
                </c:pt>
                <c:pt idx="43">
                  <c:v>180</c:v>
                </c:pt>
                <c:pt idx="44">
                  <c:v>180</c:v>
                </c:pt>
                <c:pt idx="45">
                  <c:v>180</c:v>
                </c:pt>
              </c:numCache>
            </c:numRef>
          </c:val>
          <c:smooth val="0"/>
        </c:ser>
        <c:ser>
          <c:idx val="1"/>
          <c:order val="1"/>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工作表1!$F$11:$AY$11</c:f>
              <c:numCache>
                <c:formatCode>0.0_);[Red]\(0.0\)</c:formatCode>
                <c:ptCount val="46"/>
                <c:pt idx="0">
                  <c:v>189</c:v>
                </c:pt>
                <c:pt idx="1">
                  <c:v>189</c:v>
                </c:pt>
                <c:pt idx="2">
                  <c:v>174</c:v>
                </c:pt>
                <c:pt idx="3">
                  <c:v>181.5</c:v>
                </c:pt>
                <c:pt idx="4">
                  <c:v>181.5</c:v>
                </c:pt>
                <c:pt idx="5">
                  <c:v>196.5</c:v>
                </c:pt>
                <c:pt idx="6">
                  <c:v>184</c:v>
                </c:pt>
                <c:pt idx="7">
                  <c:v>194</c:v>
                </c:pt>
                <c:pt idx="8">
                  <c:v>181.5</c:v>
                </c:pt>
                <c:pt idx="9">
                  <c:v>196.5</c:v>
                </c:pt>
                <c:pt idx="10">
                  <c:v>196.5</c:v>
                </c:pt>
                <c:pt idx="11">
                  <c:v>197</c:v>
                </c:pt>
                <c:pt idx="12">
                  <c:v>197</c:v>
                </c:pt>
                <c:pt idx="13">
                  <c:v>196.5</c:v>
                </c:pt>
                <c:pt idx="14">
                  <c:v>197</c:v>
                </c:pt>
                <c:pt idx="15">
                  <c:v>196.5</c:v>
                </c:pt>
                <c:pt idx="16">
                  <c:v>196.5</c:v>
                </c:pt>
                <c:pt idx="17">
                  <c:v>196.5</c:v>
                </c:pt>
                <c:pt idx="18">
                  <c:v>196.5</c:v>
                </c:pt>
                <c:pt idx="19">
                  <c:v>196.5</c:v>
                </c:pt>
                <c:pt idx="20">
                  <c:v>195.75</c:v>
                </c:pt>
                <c:pt idx="21">
                  <c:v>202.33333333333334</c:v>
                </c:pt>
                <c:pt idx="22">
                  <c:v>206</c:v>
                </c:pt>
                <c:pt idx="23">
                  <c:v>202.33333333333334</c:v>
                </c:pt>
                <c:pt idx="24">
                  <c:v>206</c:v>
                </c:pt>
                <c:pt idx="25">
                  <c:v>206</c:v>
                </c:pt>
                <c:pt idx="26">
                  <c:v>212.25</c:v>
                </c:pt>
                <c:pt idx="27">
                  <c:v>209.66666666666666</c:v>
                </c:pt>
                <c:pt idx="28">
                  <c:v>189</c:v>
                </c:pt>
                <c:pt idx="29">
                  <c:v>209.66666666666666</c:v>
                </c:pt>
                <c:pt idx="30">
                  <c:v>202.33333333333334</c:v>
                </c:pt>
                <c:pt idx="31">
                  <c:v>211.75</c:v>
                </c:pt>
                <c:pt idx="32">
                  <c:v>202.33333333333334</c:v>
                </c:pt>
                <c:pt idx="33">
                  <c:v>192.33333333333334</c:v>
                </c:pt>
                <c:pt idx="34">
                  <c:v>199.33333333333334</c:v>
                </c:pt>
                <c:pt idx="35">
                  <c:v>209.66666666666666</c:v>
                </c:pt>
                <c:pt idx="36">
                  <c:v>209.66666666666666</c:v>
                </c:pt>
                <c:pt idx="37">
                  <c:v>209.66666666666666</c:v>
                </c:pt>
                <c:pt idx="38">
                  <c:v>209.66666666666666</c:v>
                </c:pt>
                <c:pt idx="39">
                  <c:v>189</c:v>
                </c:pt>
                <c:pt idx="40">
                  <c:v>202.33333333333334</c:v>
                </c:pt>
                <c:pt idx="41">
                  <c:v>209.66666666666666</c:v>
                </c:pt>
                <c:pt idx="42">
                  <c:v>204.5</c:v>
                </c:pt>
                <c:pt idx="43">
                  <c:v>189</c:v>
                </c:pt>
                <c:pt idx="44">
                  <c:v>209.66666666666666</c:v>
                </c:pt>
                <c:pt idx="45">
                  <c:v>209.66666666666666</c:v>
                </c:pt>
              </c:numCache>
            </c:numRef>
          </c:val>
          <c:smooth val="0"/>
        </c:ser>
        <c:ser>
          <c:idx val="2"/>
          <c:order val="2"/>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工作表1!$F$12:$AY$12</c:f>
              <c:numCache>
                <c:formatCode>0.0_);[Red]\(0.0\)</c:formatCode>
                <c:ptCount val="46"/>
                <c:pt idx="0">
                  <c:v>186.88888888888889</c:v>
                </c:pt>
                <c:pt idx="1">
                  <c:v>172.44444444444446</c:v>
                </c:pt>
                <c:pt idx="2">
                  <c:v>171.22222222222223</c:v>
                </c:pt>
                <c:pt idx="3">
                  <c:v>189</c:v>
                </c:pt>
                <c:pt idx="4">
                  <c:v>196</c:v>
                </c:pt>
                <c:pt idx="5">
                  <c:v>185.77777777777777</c:v>
                </c:pt>
                <c:pt idx="6">
                  <c:v>180.5</c:v>
                </c:pt>
                <c:pt idx="7">
                  <c:v>180.5</c:v>
                </c:pt>
                <c:pt idx="8">
                  <c:v>182.1</c:v>
                </c:pt>
                <c:pt idx="9">
                  <c:v>180.09090909090909</c:v>
                </c:pt>
                <c:pt idx="10">
                  <c:v>180</c:v>
                </c:pt>
                <c:pt idx="11">
                  <c:v>182.54545454545453</c:v>
                </c:pt>
                <c:pt idx="12">
                  <c:v>175.09090909090909</c:v>
                </c:pt>
                <c:pt idx="13">
                  <c:v>177.36363636363637</c:v>
                </c:pt>
                <c:pt idx="14">
                  <c:v>183.72727272727272</c:v>
                </c:pt>
                <c:pt idx="15">
                  <c:v>183.72727272727272</c:v>
                </c:pt>
                <c:pt idx="16">
                  <c:v>193.36363636363637</c:v>
                </c:pt>
                <c:pt idx="17">
                  <c:v>197.18181818181819</c:v>
                </c:pt>
                <c:pt idx="18">
                  <c:v>197.2</c:v>
                </c:pt>
                <c:pt idx="19">
                  <c:v>197.11111111111111</c:v>
                </c:pt>
                <c:pt idx="20">
                  <c:v>202</c:v>
                </c:pt>
                <c:pt idx="21">
                  <c:v>215.85714285714286</c:v>
                </c:pt>
                <c:pt idx="22">
                  <c:v>210.375</c:v>
                </c:pt>
                <c:pt idx="23">
                  <c:v>213.71428571428572</c:v>
                </c:pt>
                <c:pt idx="24">
                  <c:v>211.875</c:v>
                </c:pt>
                <c:pt idx="25">
                  <c:v>190.77777777777777</c:v>
                </c:pt>
                <c:pt idx="26">
                  <c:v>188.88888888888889</c:v>
                </c:pt>
                <c:pt idx="27">
                  <c:v>188.90909090909091</c:v>
                </c:pt>
                <c:pt idx="28">
                  <c:v>197.90909090909091</c:v>
                </c:pt>
                <c:pt idx="29">
                  <c:v>210</c:v>
                </c:pt>
                <c:pt idx="30">
                  <c:v>211.27272727272728</c:v>
                </c:pt>
                <c:pt idx="31">
                  <c:v>229.5</c:v>
                </c:pt>
                <c:pt idx="32">
                  <c:v>197.9</c:v>
                </c:pt>
                <c:pt idx="33">
                  <c:v>208.1</c:v>
                </c:pt>
                <c:pt idx="34">
                  <c:v>214.6</c:v>
                </c:pt>
                <c:pt idx="35">
                  <c:v>212.66666666666666</c:v>
                </c:pt>
                <c:pt idx="36">
                  <c:v>214.9</c:v>
                </c:pt>
                <c:pt idx="37">
                  <c:v>215.3</c:v>
                </c:pt>
                <c:pt idx="38">
                  <c:v>208.55555555555554</c:v>
                </c:pt>
                <c:pt idx="39">
                  <c:v>200.3</c:v>
                </c:pt>
                <c:pt idx="40">
                  <c:v>193</c:v>
                </c:pt>
                <c:pt idx="41">
                  <c:v>204.90909090909091</c:v>
                </c:pt>
                <c:pt idx="42">
                  <c:v>200.66666666666666</c:v>
                </c:pt>
                <c:pt idx="43">
                  <c:v>213.5</c:v>
                </c:pt>
                <c:pt idx="44">
                  <c:v>215.72727272727272</c:v>
                </c:pt>
                <c:pt idx="45">
                  <c:v>207.72727272727272</c:v>
                </c:pt>
              </c:numCache>
            </c:numRef>
          </c:val>
          <c:smooth val="0"/>
        </c:ser>
        <c:dLbls>
          <c:showLegendKey val="0"/>
          <c:showVal val="0"/>
          <c:showCatName val="0"/>
          <c:showSerName val="0"/>
          <c:showPercent val="0"/>
          <c:showBubbleSize val="0"/>
        </c:dLbls>
        <c:marker val="1"/>
        <c:smooth val="0"/>
        <c:axId val="268313344"/>
        <c:axId val="268314880"/>
      </c:lineChart>
      <c:dateAx>
        <c:axId val="268313344"/>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68314880"/>
        <c:crosses val="autoZero"/>
        <c:auto val="1"/>
        <c:lblOffset val="100"/>
        <c:baseTimeUnit val="days"/>
        <c:majorUnit val="1"/>
        <c:majorTimeUnit val="months"/>
      </c:dateAx>
      <c:valAx>
        <c:axId val="268314880"/>
        <c:scaling>
          <c:orientation val="minMax"/>
          <c:min val="14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68313344"/>
        <c:crosses val="autoZero"/>
        <c:crossBetween val="between"/>
      </c:valAx>
      <c:spPr>
        <a:noFill/>
        <a:ln>
          <a:noFill/>
        </a:ln>
        <a:effectLst/>
      </c:spPr>
    </c:plotArea>
    <c:legend>
      <c:legendPos val="b"/>
      <c:layout>
        <c:manualLayout>
          <c:xMode val="edge"/>
          <c:yMode val="edge"/>
          <c:x val="0.30649671355202585"/>
          <c:y val="1.0979583825549878E-2"/>
          <c:w val="0.48347434811387729"/>
          <c:h val="8.2063291654787596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6404679232804231"/>
        </c:manualLayout>
      </c:layout>
      <c:lineChart>
        <c:grouping val="standard"/>
        <c:varyColors val="0"/>
        <c:ser>
          <c:idx val="0"/>
          <c:order val="0"/>
          <c:tx>
            <c:v>便利店</c:v>
          </c:tx>
          <c:spPr>
            <a:ln w="28575" cap="rnd">
              <a:solidFill>
                <a:srgbClr val="C00000"/>
              </a:solidFill>
              <a:prstDash val="dash"/>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工作表1!$F$14:$AY$14</c:f>
              <c:numCache>
                <c:formatCode>0.0_);[Red]\(0.0\)</c:formatCode>
                <c:ptCount val="46"/>
                <c:pt idx="0">
                  <c:v>65</c:v>
                </c:pt>
                <c:pt idx="1">
                  <c:v>65</c:v>
                </c:pt>
                <c:pt idx="2">
                  <c:v>65</c:v>
                </c:pt>
                <c:pt idx="3">
                  <c:v>65</c:v>
                </c:pt>
                <c:pt idx="4">
                  <c:v>65</c:v>
                </c:pt>
                <c:pt idx="5">
                  <c:v>65</c:v>
                </c:pt>
                <c:pt idx="6">
                  <c:v>65</c:v>
                </c:pt>
                <c:pt idx="7">
                  <c:v>65</c:v>
                </c:pt>
                <c:pt idx="8">
                  <c:v>65</c:v>
                </c:pt>
                <c:pt idx="9">
                  <c:v>65</c:v>
                </c:pt>
                <c:pt idx="10">
                  <c:v>65</c:v>
                </c:pt>
                <c:pt idx="11">
                  <c:v>65</c:v>
                </c:pt>
                <c:pt idx="12">
                  <c:v>65</c:v>
                </c:pt>
                <c:pt idx="13">
                  <c:v>63.5</c:v>
                </c:pt>
                <c:pt idx="14">
                  <c:v>63.5</c:v>
                </c:pt>
                <c:pt idx="15">
                  <c:v>63.5</c:v>
                </c:pt>
                <c:pt idx="16">
                  <c:v>63.5</c:v>
                </c:pt>
                <c:pt idx="17">
                  <c:v>63.5</c:v>
                </c:pt>
                <c:pt idx="18">
                  <c:v>63.5</c:v>
                </c:pt>
                <c:pt idx="19">
                  <c:v>63.5</c:v>
                </c:pt>
                <c:pt idx="20">
                  <c:v>63.5</c:v>
                </c:pt>
                <c:pt idx="21">
                  <c:v>63.5</c:v>
                </c:pt>
                <c:pt idx="22">
                  <c:v>63.75</c:v>
                </c:pt>
                <c:pt idx="23">
                  <c:v>63.75</c:v>
                </c:pt>
                <c:pt idx="24">
                  <c:v>63.75</c:v>
                </c:pt>
                <c:pt idx="25">
                  <c:v>63.75</c:v>
                </c:pt>
                <c:pt idx="26">
                  <c:v>63.75</c:v>
                </c:pt>
                <c:pt idx="27">
                  <c:v>63.5</c:v>
                </c:pt>
                <c:pt idx="28">
                  <c:v>63.5</c:v>
                </c:pt>
                <c:pt idx="29">
                  <c:v>65</c:v>
                </c:pt>
                <c:pt idx="30">
                  <c:v>65</c:v>
                </c:pt>
                <c:pt idx="31">
                  <c:v>65</c:v>
                </c:pt>
                <c:pt idx="32">
                  <c:v>65</c:v>
                </c:pt>
                <c:pt idx="33">
                  <c:v>65</c:v>
                </c:pt>
                <c:pt idx="34">
                  <c:v>65</c:v>
                </c:pt>
                <c:pt idx="35">
                  <c:v>65</c:v>
                </c:pt>
                <c:pt idx="36">
                  <c:v>70</c:v>
                </c:pt>
                <c:pt idx="37">
                  <c:v>75</c:v>
                </c:pt>
                <c:pt idx="38">
                  <c:v>73.25</c:v>
                </c:pt>
                <c:pt idx="39">
                  <c:v>73.25</c:v>
                </c:pt>
                <c:pt idx="40">
                  <c:v>75</c:v>
                </c:pt>
                <c:pt idx="41">
                  <c:v>75</c:v>
                </c:pt>
                <c:pt idx="42">
                  <c:v>75</c:v>
                </c:pt>
                <c:pt idx="43">
                  <c:v>75</c:v>
                </c:pt>
                <c:pt idx="44">
                  <c:v>75</c:v>
                </c:pt>
                <c:pt idx="45">
                  <c:v>75</c:v>
                </c:pt>
              </c:numCache>
            </c:numRef>
          </c:val>
          <c:smooth val="0"/>
        </c:ser>
        <c:ser>
          <c:idx val="1"/>
          <c:order val="1"/>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工作表1!$F$15:$AY$15</c:f>
              <c:numCache>
                <c:formatCode>0.0_);[Red]\(0.0\)</c:formatCode>
                <c:ptCount val="46"/>
                <c:pt idx="0">
                  <c:v>54.535185185185192</c:v>
                </c:pt>
                <c:pt idx="1">
                  <c:v>54.156843137254903</c:v>
                </c:pt>
                <c:pt idx="2">
                  <c:v>53.708333333333336</c:v>
                </c:pt>
                <c:pt idx="3">
                  <c:v>53.708333333333336</c:v>
                </c:pt>
                <c:pt idx="4">
                  <c:v>52.875</c:v>
                </c:pt>
                <c:pt idx="5">
                  <c:v>54.395833333333336</c:v>
                </c:pt>
                <c:pt idx="6">
                  <c:v>54.666666666666671</c:v>
                </c:pt>
                <c:pt idx="7">
                  <c:v>56</c:v>
                </c:pt>
                <c:pt idx="8">
                  <c:v>56.352941176470587</c:v>
                </c:pt>
                <c:pt idx="9">
                  <c:v>52.583549019607844</c:v>
                </c:pt>
                <c:pt idx="10">
                  <c:v>55.5878431372549</c:v>
                </c:pt>
                <c:pt idx="11">
                  <c:v>56.1875</c:v>
                </c:pt>
                <c:pt idx="12">
                  <c:v>55.294117647058826</c:v>
                </c:pt>
                <c:pt idx="13">
                  <c:v>54.490196078431374</c:v>
                </c:pt>
                <c:pt idx="14">
                  <c:v>50.849562499999998</c:v>
                </c:pt>
                <c:pt idx="15">
                  <c:v>50.417083333333338</c:v>
                </c:pt>
                <c:pt idx="16">
                  <c:v>54.395812499999998</c:v>
                </c:pt>
                <c:pt idx="17">
                  <c:v>55.666666666666671</c:v>
                </c:pt>
                <c:pt idx="18">
                  <c:v>55.041687500000002</c:v>
                </c:pt>
                <c:pt idx="19">
                  <c:v>55.823529411764703</c:v>
                </c:pt>
                <c:pt idx="20">
                  <c:v>55.293725490196081</c:v>
                </c:pt>
                <c:pt idx="21">
                  <c:v>55</c:v>
                </c:pt>
                <c:pt idx="22">
                  <c:v>54.625</c:v>
                </c:pt>
                <c:pt idx="23">
                  <c:v>54.235294117647058</c:v>
                </c:pt>
                <c:pt idx="24">
                  <c:v>54.627470588235298</c:v>
                </c:pt>
                <c:pt idx="25">
                  <c:v>55.5</c:v>
                </c:pt>
                <c:pt idx="26">
                  <c:v>57</c:v>
                </c:pt>
                <c:pt idx="27">
                  <c:v>51.878058823529415</c:v>
                </c:pt>
                <c:pt idx="28">
                  <c:v>55.058823529411768</c:v>
                </c:pt>
                <c:pt idx="29">
                  <c:v>53.076078431372551</c:v>
                </c:pt>
                <c:pt idx="30">
                  <c:v>53.860588235294117</c:v>
                </c:pt>
                <c:pt idx="31">
                  <c:v>55.941176470588232</c:v>
                </c:pt>
                <c:pt idx="32">
                  <c:v>53.897843137254903</c:v>
                </c:pt>
                <c:pt idx="33">
                  <c:v>55.721372549019605</c:v>
                </c:pt>
                <c:pt idx="34">
                  <c:v>53.781960784313732</c:v>
                </c:pt>
                <c:pt idx="35">
                  <c:v>53.723117647058821</c:v>
                </c:pt>
                <c:pt idx="36">
                  <c:v>58.487823529411763</c:v>
                </c:pt>
                <c:pt idx="37">
                  <c:v>57.66429411764706</c:v>
                </c:pt>
                <c:pt idx="38">
                  <c:v>58.429000000000002</c:v>
                </c:pt>
                <c:pt idx="39">
                  <c:v>55.740411764705883</c:v>
                </c:pt>
                <c:pt idx="40">
                  <c:v>56.557937500000001</c:v>
                </c:pt>
                <c:pt idx="41">
                  <c:v>59.622764705882354</c:v>
                </c:pt>
                <c:pt idx="42">
                  <c:v>58.720823529411767</c:v>
                </c:pt>
                <c:pt idx="43">
                  <c:v>56.210999999999999</c:v>
                </c:pt>
                <c:pt idx="44">
                  <c:v>57.974187499999999</c:v>
                </c:pt>
                <c:pt idx="45">
                  <c:v>60.975705882352941</c:v>
                </c:pt>
              </c:numCache>
            </c:numRef>
          </c:val>
          <c:smooth val="0"/>
        </c:ser>
        <c:ser>
          <c:idx val="2"/>
          <c:order val="2"/>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工作表1!$F$16:$AY$16</c:f>
              <c:numCache>
                <c:formatCode>0.0_);[Red]\(0.0\)</c:formatCode>
                <c:ptCount val="46"/>
                <c:pt idx="0">
                  <c:v>49.466299999999997</c:v>
                </c:pt>
                <c:pt idx="1">
                  <c:v>48.393299999999996</c:v>
                </c:pt>
                <c:pt idx="2">
                  <c:v>62.036393939393946</c:v>
                </c:pt>
                <c:pt idx="3">
                  <c:v>60.857575757575766</c:v>
                </c:pt>
                <c:pt idx="4">
                  <c:v>60.093939393939394</c:v>
                </c:pt>
                <c:pt idx="5">
                  <c:v>52.010000000000005</c:v>
                </c:pt>
                <c:pt idx="6">
                  <c:v>49.757545454545451</c:v>
                </c:pt>
                <c:pt idx="7">
                  <c:v>49.178757575757572</c:v>
                </c:pt>
                <c:pt idx="8">
                  <c:v>92.329633333333334</c:v>
                </c:pt>
                <c:pt idx="9">
                  <c:v>88.96299999999998</c:v>
                </c:pt>
                <c:pt idx="10">
                  <c:v>48.759969696969684</c:v>
                </c:pt>
                <c:pt idx="11">
                  <c:v>50.81815151515152</c:v>
                </c:pt>
                <c:pt idx="12">
                  <c:v>50.296969696969697</c:v>
                </c:pt>
                <c:pt idx="13">
                  <c:v>46.938212121212125</c:v>
                </c:pt>
                <c:pt idx="14">
                  <c:v>42.607909090909089</c:v>
                </c:pt>
                <c:pt idx="15">
                  <c:v>46.056969696969702</c:v>
                </c:pt>
                <c:pt idx="16">
                  <c:v>47.93239393939394</c:v>
                </c:pt>
                <c:pt idx="17">
                  <c:v>49.387272727272723</c:v>
                </c:pt>
                <c:pt idx="18">
                  <c:v>45.990272727272732</c:v>
                </c:pt>
                <c:pt idx="19">
                  <c:v>49.454545454545453</c:v>
                </c:pt>
                <c:pt idx="20">
                  <c:v>54.6</c:v>
                </c:pt>
                <c:pt idx="21">
                  <c:v>54.269090909090913</c:v>
                </c:pt>
                <c:pt idx="22">
                  <c:v>53.393333333333324</c:v>
                </c:pt>
                <c:pt idx="23">
                  <c:v>53.338787878787883</c:v>
                </c:pt>
                <c:pt idx="24">
                  <c:v>52.575454545454541</c:v>
                </c:pt>
                <c:pt idx="25">
                  <c:v>54.42969696969697</c:v>
                </c:pt>
                <c:pt idx="26">
                  <c:v>50.878787878787875</c:v>
                </c:pt>
                <c:pt idx="27">
                  <c:v>43.341545454545454</c:v>
                </c:pt>
                <c:pt idx="28">
                  <c:v>50.663333333333327</c:v>
                </c:pt>
                <c:pt idx="29">
                  <c:v>52.67</c:v>
                </c:pt>
                <c:pt idx="30">
                  <c:v>48.424242424242429</c:v>
                </c:pt>
                <c:pt idx="31">
                  <c:v>47.636363636363633</c:v>
                </c:pt>
                <c:pt idx="32">
                  <c:v>52.18181818181818</c:v>
                </c:pt>
                <c:pt idx="33">
                  <c:v>53.032727272727264</c:v>
                </c:pt>
                <c:pt idx="34">
                  <c:v>52</c:v>
                </c:pt>
                <c:pt idx="35">
                  <c:v>51.150909090909089</c:v>
                </c:pt>
                <c:pt idx="36">
                  <c:v>50.181181818181813</c:v>
                </c:pt>
                <c:pt idx="37">
                  <c:v>53.062999999999995</c:v>
                </c:pt>
                <c:pt idx="38">
                  <c:v>48.093636363636364</c:v>
                </c:pt>
                <c:pt idx="39">
                  <c:v>45.451212121212116</c:v>
                </c:pt>
                <c:pt idx="40">
                  <c:v>50.363636363636367</c:v>
                </c:pt>
                <c:pt idx="41">
                  <c:v>47.242454545454549</c:v>
                </c:pt>
                <c:pt idx="42">
                  <c:v>52.059969696969695</c:v>
                </c:pt>
                <c:pt idx="43">
                  <c:v>47.272090909090906</c:v>
                </c:pt>
                <c:pt idx="44">
                  <c:v>47.326636363636368</c:v>
                </c:pt>
                <c:pt idx="45">
                  <c:v>44.996333333333332</c:v>
                </c:pt>
              </c:numCache>
            </c:numRef>
          </c:val>
          <c:smooth val="0"/>
        </c:ser>
        <c:dLbls>
          <c:showLegendKey val="0"/>
          <c:showVal val="0"/>
          <c:showCatName val="0"/>
          <c:showSerName val="0"/>
          <c:showPercent val="0"/>
          <c:showBubbleSize val="0"/>
        </c:dLbls>
        <c:marker val="1"/>
        <c:smooth val="0"/>
        <c:axId val="268343552"/>
        <c:axId val="268357632"/>
      </c:lineChart>
      <c:dateAx>
        <c:axId val="268343552"/>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68357632"/>
        <c:crosses val="autoZero"/>
        <c:auto val="1"/>
        <c:lblOffset val="100"/>
        <c:baseTimeUnit val="days"/>
        <c:majorUnit val="1"/>
        <c:majorTimeUnit val="months"/>
      </c:dateAx>
      <c:valAx>
        <c:axId val="268357632"/>
        <c:scaling>
          <c:orientation val="minMax"/>
          <c:min val="4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68343552"/>
        <c:crosses val="autoZero"/>
        <c:crossBetween val="between"/>
      </c:valAx>
      <c:spPr>
        <a:noFill/>
        <a:ln>
          <a:noFill/>
        </a:ln>
        <a:effectLst/>
      </c:spPr>
    </c:plotArea>
    <c:legend>
      <c:legendPos val="b"/>
      <c:layout>
        <c:manualLayout>
          <c:xMode val="edge"/>
          <c:yMode val="edge"/>
          <c:x val="0.30649671355202585"/>
          <c:y val="1.0979583825549878E-2"/>
          <c:w val="0.47998992147146519"/>
          <c:h val="8.0897651161651568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6404679232804231"/>
        </c:manualLayout>
      </c:layout>
      <c:lineChart>
        <c:grouping val="standard"/>
        <c:varyColors val="0"/>
        <c:ser>
          <c:idx val="0"/>
          <c:order val="0"/>
          <c:tx>
            <c:v>便利店</c:v>
          </c:tx>
          <c:spPr>
            <a:ln w="28575" cap="rnd">
              <a:solidFill>
                <a:srgbClr val="C00000"/>
              </a:solidFill>
              <a:prstDash val="dash"/>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工作表1!$F$18:$AY$18</c:f>
              <c:numCache>
                <c:formatCode>0.0_);[Red]\(0.0\)</c:formatCode>
                <c:ptCount val="46"/>
                <c:pt idx="0">
                  <c:v>36</c:v>
                </c:pt>
                <c:pt idx="1">
                  <c:v>32</c:v>
                </c:pt>
                <c:pt idx="2">
                  <c:v>32</c:v>
                </c:pt>
                <c:pt idx="3">
                  <c:v>36</c:v>
                </c:pt>
                <c:pt idx="4">
                  <c:v>36</c:v>
                </c:pt>
                <c:pt idx="5">
                  <c:v>36</c:v>
                </c:pt>
                <c:pt idx="6">
                  <c:v>36</c:v>
                </c:pt>
                <c:pt idx="7">
                  <c:v>36</c:v>
                </c:pt>
                <c:pt idx="8">
                  <c:v>36</c:v>
                </c:pt>
                <c:pt idx="9">
                  <c:v>36</c:v>
                </c:pt>
                <c:pt idx="10">
                  <c:v>36</c:v>
                </c:pt>
                <c:pt idx="11">
                  <c:v>36</c:v>
                </c:pt>
                <c:pt idx="12">
                  <c:v>36</c:v>
                </c:pt>
                <c:pt idx="13">
                  <c:v>36</c:v>
                </c:pt>
                <c:pt idx="14">
                  <c:v>36</c:v>
                </c:pt>
                <c:pt idx="15">
                  <c:v>36</c:v>
                </c:pt>
                <c:pt idx="16">
                  <c:v>36</c:v>
                </c:pt>
                <c:pt idx="17">
                  <c:v>36</c:v>
                </c:pt>
                <c:pt idx="18">
                  <c:v>36</c:v>
                </c:pt>
                <c:pt idx="19">
                  <c:v>36</c:v>
                </c:pt>
                <c:pt idx="20">
                  <c:v>36</c:v>
                </c:pt>
                <c:pt idx="21">
                  <c:v>36</c:v>
                </c:pt>
                <c:pt idx="22">
                  <c:v>36</c:v>
                </c:pt>
                <c:pt idx="23">
                  <c:v>36</c:v>
                </c:pt>
                <c:pt idx="24">
                  <c:v>36</c:v>
                </c:pt>
                <c:pt idx="25">
                  <c:v>36</c:v>
                </c:pt>
                <c:pt idx="26">
                  <c:v>36</c:v>
                </c:pt>
                <c:pt idx="27">
                  <c:v>36</c:v>
                </c:pt>
                <c:pt idx="28">
                  <c:v>36</c:v>
                </c:pt>
                <c:pt idx="29">
                  <c:v>36</c:v>
                </c:pt>
                <c:pt idx="30">
                  <c:v>36</c:v>
                </c:pt>
                <c:pt idx="31">
                  <c:v>36</c:v>
                </c:pt>
                <c:pt idx="32">
                  <c:v>36</c:v>
                </c:pt>
                <c:pt idx="33">
                  <c:v>36</c:v>
                </c:pt>
                <c:pt idx="34">
                  <c:v>36</c:v>
                </c:pt>
                <c:pt idx="35">
                  <c:v>36</c:v>
                </c:pt>
                <c:pt idx="36">
                  <c:v>36</c:v>
                </c:pt>
                <c:pt idx="37">
                  <c:v>36</c:v>
                </c:pt>
                <c:pt idx="38">
                  <c:v>36</c:v>
                </c:pt>
                <c:pt idx="39">
                  <c:v>36</c:v>
                </c:pt>
                <c:pt idx="40">
                  <c:v>36</c:v>
                </c:pt>
                <c:pt idx="41">
                  <c:v>36</c:v>
                </c:pt>
                <c:pt idx="42">
                  <c:v>36</c:v>
                </c:pt>
                <c:pt idx="43">
                  <c:v>36</c:v>
                </c:pt>
                <c:pt idx="44">
                  <c:v>36</c:v>
                </c:pt>
                <c:pt idx="45">
                  <c:v>36</c:v>
                </c:pt>
              </c:numCache>
            </c:numRef>
          </c:val>
          <c:smooth val="0"/>
        </c:ser>
        <c:ser>
          <c:idx val="1"/>
          <c:order val="1"/>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工作表1!$F$19:$AY$19</c:f>
              <c:numCache>
                <c:formatCode>0.0_);[Red]\(0.0\)</c:formatCode>
                <c:ptCount val="46"/>
                <c:pt idx="0">
                  <c:v>27.5</c:v>
                </c:pt>
                <c:pt idx="1">
                  <c:v>28.533333333333335</c:v>
                </c:pt>
                <c:pt idx="2">
                  <c:v>28.142857142857142</c:v>
                </c:pt>
                <c:pt idx="3">
                  <c:v>29.071428571428573</c:v>
                </c:pt>
                <c:pt idx="4">
                  <c:v>29.071428571428573</c:v>
                </c:pt>
                <c:pt idx="5">
                  <c:v>29.071428571428573</c:v>
                </c:pt>
                <c:pt idx="6">
                  <c:v>28.933333333333334</c:v>
                </c:pt>
                <c:pt idx="7">
                  <c:v>27.266666666666666</c:v>
                </c:pt>
                <c:pt idx="8">
                  <c:v>28.666666666666668</c:v>
                </c:pt>
                <c:pt idx="9">
                  <c:v>28.8</c:v>
                </c:pt>
                <c:pt idx="10">
                  <c:v>28.866666666666667</c:v>
                </c:pt>
                <c:pt idx="11">
                  <c:v>27.045238095238094</c:v>
                </c:pt>
                <c:pt idx="12">
                  <c:v>28.488888888888891</c:v>
                </c:pt>
                <c:pt idx="13">
                  <c:v>28.288888888888891</c:v>
                </c:pt>
                <c:pt idx="14">
                  <c:v>27.473809523809525</c:v>
                </c:pt>
                <c:pt idx="15">
                  <c:v>28.428571428571427</c:v>
                </c:pt>
                <c:pt idx="16">
                  <c:v>28.642857142857142</c:v>
                </c:pt>
                <c:pt idx="17">
                  <c:v>28.933333333333334</c:v>
                </c:pt>
                <c:pt idx="18">
                  <c:v>28.642857142857142</c:v>
                </c:pt>
                <c:pt idx="19">
                  <c:v>28.933333333333334</c:v>
                </c:pt>
                <c:pt idx="20">
                  <c:v>28.133333333333333</c:v>
                </c:pt>
                <c:pt idx="21">
                  <c:v>28.428571428571427</c:v>
                </c:pt>
                <c:pt idx="22">
                  <c:v>28.642857142857142</c:v>
                </c:pt>
                <c:pt idx="23">
                  <c:v>28.666666666666668</c:v>
                </c:pt>
                <c:pt idx="24">
                  <c:v>28.666666666666668</c:v>
                </c:pt>
                <c:pt idx="25">
                  <c:v>28.642857142857142</c:v>
                </c:pt>
                <c:pt idx="26">
                  <c:v>28.933333333333334</c:v>
                </c:pt>
                <c:pt idx="27">
                  <c:v>28.933333333333334</c:v>
                </c:pt>
                <c:pt idx="28">
                  <c:v>28.933333333333334</c:v>
                </c:pt>
                <c:pt idx="29">
                  <c:v>28.6</c:v>
                </c:pt>
                <c:pt idx="30">
                  <c:v>28.8</c:v>
                </c:pt>
                <c:pt idx="31">
                  <c:v>28.8</c:v>
                </c:pt>
                <c:pt idx="32">
                  <c:v>28.933333333333334</c:v>
                </c:pt>
                <c:pt idx="33">
                  <c:v>28.933333333333334</c:v>
                </c:pt>
                <c:pt idx="34">
                  <c:v>28.933333333333334</c:v>
                </c:pt>
                <c:pt idx="35">
                  <c:v>28.933333333333334</c:v>
                </c:pt>
                <c:pt idx="36">
                  <c:v>28.933333333333334</c:v>
                </c:pt>
                <c:pt idx="37">
                  <c:v>28.133333333333333</c:v>
                </c:pt>
                <c:pt idx="38">
                  <c:v>28.533333333333335</c:v>
                </c:pt>
                <c:pt idx="39">
                  <c:v>28</c:v>
                </c:pt>
                <c:pt idx="40">
                  <c:v>27.6</c:v>
                </c:pt>
                <c:pt idx="41">
                  <c:v>28.933333333333334</c:v>
                </c:pt>
                <c:pt idx="42">
                  <c:v>28.466666666666665</c:v>
                </c:pt>
                <c:pt idx="43">
                  <c:v>28.933333333333334</c:v>
                </c:pt>
                <c:pt idx="44">
                  <c:v>28.933333333333334</c:v>
                </c:pt>
                <c:pt idx="45">
                  <c:v>28.933333333333334</c:v>
                </c:pt>
              </c:numCache>
            </c:numRef>
          </c:val>
          <c:smooth val="0"/>
        </c:ser>
        <c:ser>
          <c:idx val="2"/>
          <c:order val="2"/>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工作表1!$F$20:$AY$20</c:f>
              <c:numCache>
                <c:formatCode>0.0_);[Red]\(0.0\)</c:formatCode>
                <c:ptCount val="46"/>
                <c:pt idx="0">
                  <c:v>24.615874999999999</c:v>
                </c:pt>
                <c:pt idx="1">
                  <c:v>24.700041666666667</c:v>
                </c:pt>
                <c:pt idx="2">
                  <c:v>31.325592592592596</c:v>
                </c:pt>
                <c:pt idx="3">
                  <c:v>30.040833333333332</c:v>
                </c:pt>
                <c:pt idx="4">
                  <c:v>31.912500000000001</c:v>
                </c:pt>
                <c:pt idx="5">
                  <c:v>25.323333333333331</c:v>
                </c:pt>
                <c:pt idx="6">
                  <c:v>24.95</c:v>
                </c:pt>
                <c:pt idx="7">
                  <c:v>24.25</c:v>
                </c:pt>
                <c:pt idx="8">
                  <c:v>24.870416666666667</c:v>
                </c:pt>
                <c:pt idx="9">
                  <c:v>23.222222222222221</c:v>
                </c:pt>
                <c:pt idx="10">
                  <c:v>23.78074074074074</c:v>
                </c:pt>
                <c:pt idx="11">
                  <c:v>24.333333333333332</c:v>
                </c:pt>
                <c:pt idx="12">
                  <c:v>24.111111111111111</c:v>
                </c:pt>
                <c:pt idx="13">
                  <c:v>25.566666666666666</c:v>
                </c:pt>
                <c:pt idx="14">
                  <c:v>24.411111111111111</c:v>
                </c:pt>
                <c:pt idx="15">
                  <c:v>24.888888888888889</c:v>
                </c:pt>
                <c:pt idx="16">
                  <c:v>26.111111111111111</c:v>
                </c:pt>
                <c:pt idx="17">
                  <c:v>26.444444444444443</c:v>
                </c:pt>
                <c:pt idx="18">
                  <c:v>26.444444444444443</c:v>
                </c:pt>
                <c:pt idx="19">
                  <c:v>24.262222222222224</c:v>
                </c:pt>
                <c:pt idx="20">
                  <c:v>26.595555555555556</c:v>
                </c:pt>
                <c:pt idx="21">
                  <c:v>26.595555555555556</c:v>
                </c:pt>
                <c:pt idx="22">
                  <c:v>26.222222222222221</c:v>
                </c:pt>
                <c:pt idx="23">
                  <c:v>26</c:v>
                </c:pt>
                <c:pt idx="24">
                  <c:v>26</c:v>
                </c:pt>
                <c:pt idx="25">
                  <c:v>26.333333333333332</c:v>
                </c:pt>
                <c:pt idx="26">
                  <c:v>25.555555555555557</c:v>
                </c:pt>
                <c:pt idx="27">
                  <c:v>25.333333333333332</c:v>
                </c:pt>
                <c:pt idx="28">
                  <c:v>26.222222222222221</c:v>
                </c:pt>
                <c:pt idx="29">
                  <c:v>26</c:v>
                </c:pt>
                <c:pt idx="30">
                  <c:v>24.966666666666665</c:v>
                </c:pt>
                <c:pt idx="31">
                  <c:v>25.333333333333332</c:v>
                </c:pt>
                <c:pt idx="32">
                  <c:v>26.111111111111111</c:v>
                </c:pt>
                <c:pt idx="33">
                  <c:v>25.066666666666666</c:v>
                </c:pt>
                <c:pt idx="34">
                  <c:v>26.369629629629628</c:v>
                </c:pt>
                <c:pt idx="35">
                  <c:v>26.336296296296293</c:v>
                </c:pt>
                <c:pt idx="36">
                  <c:v>25.444444444444443</c:v>
                </c:pt>
                <c:pt idx="37">
                  <c:v>26.336666666666666</c:v>
                </c:pt>
                <c:pt idx="38">
                  <c:v>25.847777777777779</c:v>
                </c:pt>
                <c:pt idx="39">
                  <c:v>25.258888888888887</c:v>
                </c:pt>
                <c:pt idx="40">
                  <c:v>25.814444444444444</c:v>
                </c:pt>
                <c:pt idx="41">
                  <c:v>25.791249999999998</c:v>
                </c:pt>
                <c:pt idx="42">
                  <c:v>26.67</c:v>
                </c:pt>
                <c:pt idx="43">
                  <c:v>25.578749999999999</c:v>
                </c:pt>
                <c:pt idx="44">
                  <c:v>25.578749999999999</c:v>
                </c:pt>
                <c:pt idx="45">
                  <c:v>26.114444444444445</c:v>
                </c:pt>
              </c:numCache>
            </c:numRef>
          </c:val>
          <c:smooth val="0"/>
        </c:ser>
        <c:dLbls>
          <c:showLegendKey val="0"/>
          <c:showVal val="0"/>
          <c:showCatName val="0"/>
          <c:showSerName val="0"/>
          <c:showPercent val="0"/>
          <c:showBubbleSize val="0"/>
        </c:dLbls>
        <c:marker val="1"/>
        <c:smooth val="0"/>
        <c:axId val="274231296"/>
        <c:axId val="274232832"/>
      </c:lineChart>
      <c:dateAx>
        <c:axId val="274231296"/>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4232832"/>
        <c:crosses val="autoZero"/>
        <c:auto val="1"/>
        <c:lblOffset val="100"/>
        <c:baseTimeUnit val="days"/>
        <c:majorUnit val="1"/>
        <c:majorTimeUnit val="months"/>
      </c:dateAx>
      <c:valAx>
        <c:axId val="274232832"/>
        <c:scaling>
          <c:orientation val="minMax"/>
          <c:min val="2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4231296"/>
        <c:crosses val="autoZero"/>
        <c:crossBetween val="between"/>
      </c:valAx>
      <c:spPr>
        <a:noFill/>
        <a:ln>
          <a:noFill/>
        </a:ln>
        <a:effectLst/>
      </c:spPr>
    </c:plotArea>
    <c:legend>
      <c:legendPos val="b"/>
      <c:layout>
        <c:manualLayout>
          <c:xMode val="edge"/>
          <c:yMode val="edge"/>
          <c:x val="0.30649671355202585"/>
          <c:y val="1.0979583825549878E-2"/>
          <c:w val="0.47998992147146519"/>
          <c:h val="8.0897651161651568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6404679232804231"/>
        </c:manualLayout>
      </c:layout>
      <c:lineChart>
        <c:grouping val="standard"/>
        <c:varyColors val="0"/>
        <c:ser>
          <c:idx val="1"/>
          <c:order val="0"/>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工作表1!$F$23:$AY$23</c:f>
              <c:numCache>
                <c:formatCode>0.0_);[Red]\(0.0\)</c:formatCode>
                <c:ptCount val="46"/>
                <c:pt idx="0">
                  <c:v>32.714285714285715</c:v>
                </c:pt>
                <c:pt idx="1">
                  <c:v>33.615384615384613</c:v>
                </c:pt>
                <c:pt idx="2">
                  <c:v>32.541666666666664</c:v>
                </c:pt>
                <c:pt idx="3">
                  <c:v>32.653846153846153</c:v>
                </c:pt>
                <c:pt idx="4">
                  <c:v>32.92307692307692</c:v>
                </c:pt>
                <c:pt idx="5">
                  <c:v>33.307692307692307</c:v>
                </c:pt>
                <c:pt idx="6">
                  <c:v>32.357142857142854</c:v>
                </c:pt>
                <c:pt idx="7">
                  <c:v>32.678571428571431</c:v>
                </c:pt>
                <c:pt idx="8">
                  <c:v>32.571428571428569</c:v>
                </c:pt>
                <c:pt idx="9">
                  <c:v>32.857142857142854</c:v>
                </c:pt>
                <c:pt idx="10">
                  <c:v>30.954761904761906</c:v>
                </c:pt>
                <c:pt idx="11">
                  <c:v>31.73076923076923</c:v>
                </c:pt>
                <c:pt idx="12">
                  <c:v>31.321428571428573</c:v>
                </c:pt>
                <c:pt idx="13">
                  <c:v>32.571428571428569</c:v>
                </c:pt>
                <c:pt idx="14">
                  <c:v>30.333307692307692</c:v>
                </c:pt>
                <c:pt idx="15">
                  <c:v>31.487153846153845</c:v>
                </c:pt>
                <c:pt idx="16">
                  <c:v>32.769230769230766</c:v>
                </c:pt>
                <c:pt idx="17">
                  <c:v>33.357142857142854</c:v>
                </c:pt>
                <c:pt idx="18">
                  <c:v>32.769230769230766</c:v>
                </c:pt>
                <c:pt idx="19">
                  <c:v>33.214285714285715</c:v>
                </c:pt>
                <c:pt idx="20">
                  <c:v>32.857142857142854</c:v>
                </c:pt>
                <c:pt idx="21">
                  <c:v>32.692307692307693</c:v>
                </c:pt>
                <c:pt idx="22">
                  <c:v>32.769230769230766</c:v>
                </c:pt>
                <c:pt idx="23">
                  <c:v>32.928571428571431</c:v>
                </c:pt>
                <c:pt idx="24">
                  <c:v>32.785714285714285</c:v>
                </c:pt>
                <c:pt idx="25">
                  <c:v>32.846153846153847</c:v>
                </c:pt>
                <c:pt idx="26">
                  <c:v>33.357142857142854</c:v>
                </c:pt>
                <c:pt idx="27">
                  <c:v>33.357142857142854</c:v>
                </c:pt>
                <c:pt idx="28">
                  <c:v>33</c:v>
                </c:pt>
                <c:pt idx="29">
                  <c:v>32.928571428571431</c:v>
                </c:pt>
                <c:pt idx="30">
                  <c:v>33.357142857142854</c:v>
                </c:pt>
                <c:pt idx="31">
                  <c:v>32.714285714285715</c:v>
                </c:pt>
                <c:pt idx="32">
                  <c:v>32.928571428571431</c:v>
                </c:pt>
                <c:pt idx="33">
                  <c:v>33.285714285714285</c:v>
                </c:pt>
                <c:pt idx="34">
                  <c:v>33.5</c:v>
                </c:pt>
                <c:pt idx="35">
                  <c:v>33.428571428571431</c:v>
                </c:pt>
                <c:pt idx="36">
                  <c:v>33.142857142857146</c:v>
                </c:pt>
                <c:pt idx="37">
                  <c:v>32.071428571428569</c:v>
                </c:pt>
                <c:pt idx="38">
                  <c:v>32.119285714285716</c:v>
                </c:pt>
                <c:pt idx="39">
                  <c:v>32.928571428571431</c:v>
                </c:pt>
                <c:pt idx="40">
                  <c:v>33.071428571428569</c:v>
                </c:pt>
                <c:pt idx="41">
                  <c:v>33.071428571428569</c:v>
                </c:pt>
                <c:pt idx="42">
                  <c:v>33</c:v>
                </c:pt>
                <c:pt idx="43">
                  <c:v>33.5</c:v>
                </c:pt>
                <c:pt idx="44">
                  <c:v>33.5</c:v>
                </c:pt>
                <c:pt idx="45">
                  <c:v>33.5</c:v>
                </c:pt>
              </c:numCache>
            </c:numRef>
          </c:val>
          <c:smooth val="0"/>
        </c:ser>
        <c:ser>
          <c:idx val="2"/>
          <c:order val="1"/>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工作表1!$F$24:$AY$24</c:f>
              <c:numCache>
                <c:formatCode>0.0_);[Red]\(0.0\)</c:formatCode>
                <c:ptCount val="46"/>
                <c:pt idx="0">
                  <c:v>28.325966666666666</c:v>
                </c:pt>
                <c:pt idx="1">
                  <c:v>27.322633333333329</c:v>
                </c:pt>
                <c:pt idx="2">
                  <c:v>31.066333333333329</c:v>
                </c:pt>
                <c:pt idx="3">
                  <c:v>30.503033333333331</c:v>
                </c:pt>
                <c:pt idx="4">
                  <c:v>34.399424242424239</c:v>
                </c:pt>
                <c:pt idx="5">
                  <c:v>29.732700000000001</c:v>
                </c:pt>
                <c:pt idx="6">
                  <c:v>29.514878787878789</c:v>
                </c:pt>
                <c:pt idx="7">
                  <c:v>30.247909090909094</c:v>
                </c:pt>
                <c:pt idx="8">
                  <c:v>29.596366666666665</c:v>
                </c:pt>
                <c:pt idx="9">
                  <c:v>30.062454545454546</c:v>
                </c:pt>
                <c:pt idx="10">
                  <c:v>30.371545454545455</c:v>
                </c:pt>
                <c:pt idx="11">
                  <c:v>29.274878787878787</c:v>
                </c:pt>
                <c:pt idx="12">
                  <c:v>29.632393939393936</c:v>
                </c:pt>
                <c:pt idx="13">
                  <c:v>27.472424242424243</c:v>
                </c:pt>
                <c:pt idx="14">
                  <c:v>27.50269696969697</c:v>
                </c:pt>
                <c:pt idx="15">
                  <c:v>26.990303030303028</c:v>
                </c:pt>
                <c:pt idx="16">
                  <c:v>27.478181818181817</c:v>
                </c:pt>
                <c:pt idx="17">
                  <c:v>25.90909090909091</c:v>
                </c:pt>
                <c:pt idx="18">
                  <c:v>27.484848484848488</c:v>
                </c:pt>
                <c:pt idx="19">
                  <c:v>27.993939393939396</c:v>
                </c:pt>
                <c:pt idx="20">
                  <c:v>26.630303030303029</c:v>
                </c:pt>
                <c:pt idx="21">
                  <c:v>27.630303030303029</c:v>
                </c:pt>
                <c:pt idx="22">
                  <c:v>28.060606060606059</c:v>
                </c:pt>
                <c:pt idx="23">
                  <c:v>28.572727272727274</c:v>
                </c:pt>
                <c:pt idx="24">
                  <c:v>28.245454545454546</c:v>
                </c:pt>
                <c:pt idx="25">
                  <c:v>28.454545454545453</c:v>
                </c:pt>
                <c:pt idx="26">
                  <c:v>28.848181818181818</c:v>
                </c:pt>
                <c:pt idx="27">
                  <c:v>27.357272727272722</c:v>
                </c:pt>
                <c:pt idx="28">
                  <c:v>27.303030303030308</c:v>
                </c:pt>
                <c:pt idx="29">
                  <c:v>28.511515151515152</c:v>
                </c:pt>
                <c:pt idx="30">
                  <c:v>28.698787878787879</c:v>
                </c:pt>
                <c:pt idx="31">
                  <c:v>29.393333333333331</c:v>
                </c:pt>
                <c:pt idx="32">
                  <c:v>28.335757575757576</c:v>
                </c:pt>
                <c:pt idx="33">
                  <c:v>29.24787878787879</c:v>
                </c:pt>
                <c:pt idx="34">
                  <c:v>29.881818181818179</c:v>
                </c:pt>
                <c:pt idx="35">
                  <c:v>31.033333333333335</c:v>
                </c:pt>
                <c:pt idx="36">
                  <c:v>31.08727272727273</c:v>
                </c:pt>
                <c:pt idx="37">
                  <c:v>31.902696969696969</c:v>
                </c:pt>
                <c:pt idx="38">
                  <c:v>27.475121212121213</c:v>
                </c:pt>
                <c:pt idx="39">
                  <c:v>27.50542424242424</c:v>
                </c:pt>
                <c:pt idx="40">
                  <c:v>28.811787878787879</c:v>
                </c:pt>
                <c:pt idx="41">
                  <c:v>30.939393939393941</c:v>
                </c:pt>
                <c:pt idx="42">
                  <c:v>30.936030303030304</c:v>
                </c:pt>
                <c:pt idx="43">
                  <c:v>28.603030303030302</c:v>
                </c:pt>
                <c:pt idx="44">
                  <c:v>29.030303030303035</c:v>
                </c:pt>
                <c:pt idx="45">
                  <c:v>29.605454545454549</c:v>
                </c:pt>
              </c:numCache>
            </c:numRef>
          </c:val>
          <c:smooth val="0"/>
        </c:ser>
        <c:dLbls>
          <c:showLegendKey val="0"/>
          <c:showVal val="0"/>
          <c:showCatName val="0"/>
          <c:showSerName val="0"/>
          <c:showPercent val="0"/>
          <c:showBubbleSize val="0"/>
        </c:dLbls>
        <c:marker val="1"/>
        <c:smooth val="0"/>
        <c:axId val="274403328"/>
        <c:axId val="274404864"/>
      </c:lineChart>
      <c:dateAx>
        <c:axId val="274403328"/>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4404864"/>
        <c:crosses val="autoZero"/>
        <c:auto val="1"/>
        <c:lblOffset val="100"/>
        <c:baseTimeUnit val="days"/>
        <c:majorUnit val="1"/>
        <c:majorTimeUnit val="months"/>
      </c:dateAx>
      <c:valAx>
        <c:axId val="274404864"/>
        <c:scaling>
          <c:orientation val="minMax"/>
          <c:min val="2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4403328"/>
        <c:crosses val="autoZero"/>
        <c:crossBetween val="between"/>
      </c:valAx>
      <c:spPr>
        <a:noFill/>
        <a:ln>
          <a:noFill/>
        </a:ln>
        <a:effectLst/>
      </c:spPr>
    </c:plotArea>
    <c:legend>
      <c:legendPos val="b"/>
      <c:layout>
        <c:manualLayout>
          <c:xMode val="edge"/>
          <c:yMode val="edge"/>
          <c:x val="0.30649671355202585"/>
          <c:y val="1.0979583825549878E-2"/>
          <c:w val="0.47998992147146519"/>
          <c:h val="8.0897651161651568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929133858267723E-2"/>
          <c:y val="8.4180236199800321E-2"/>
          <c:w val="0.9029386528369685"/>
          <c:h val="0.67735347074789709"/>
        </c:manualLayout>
      </c:layout>
      <c:lineChart>
        <c:grouping val="standard"/>
        <c:varyColors val="0"/>
        <c:ser>
          <c:idx val="0"/>
          <c:order val="0"/>
          <c:tx>
            <c:strRef>
              <c:f>乳品類!$E$2</c:f>
              <c:strCache>
                <c:ptCount val="1"/>
                <c:pt idx="0">
                  <c:v>便利店－AB優酪乳</c:v>
                </c:pt>
              </c:strCache>
            </c:strRef>
          </c:tx>
          <c:marker>
            <c:symbol val="none"/>
          </c:marker>
          <c:cat>
            <c:strRef>
              <c:f>乳品類!$A$33:$A$173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乳品類!$E$33:$E$173</c:f>
              <c:numCache>
                <c:formatCode>0.00</c:formatCode>
                <c:ptCount val="141"/>
                <c:pt idx="0">
                  <c:v>25</c:v>
                </c:pt>
                <c:pt idx="1">
                  <c:v>25</c:v>
                </c:pt>
                <c:pt idx="2">
                  <c:v>25</c:v>
                </c:pt>
                <c:pt idx="3">
                  <c:v>25</c:v>
                </c:pt>
                <c:pt idx="4">
                  <c:v>25</c:v>
                </c:pt>
                <c:pt idx="5">
                  <c:v>25</c:v>
                </c:pt>
                <c:pt idx="6">
                  <c:v>25</c:v>
                </c:pt>
                <c:pt idx="7">
                  <c:v>25</c:v>
                </c:pt>
                <c:pt idx="8">
                  <c:v>27.25</c:v>
                </c:pt>
                <c:pt idx="9">
                  <c:v>27.25</c:v>
                </c:pt>
                <c:pt idx="10">
                  <c:v>28</c:v>
                </c:pt>
                <c:pt idx="11">
                  <c:v>28</c:v>
                </c:pt>
                <c:pt idx="12">
                  <c:v>28</c:v>
                </c:pt>
                <c:pt idx="13">
                  <c:v>28</c:v>
                </c:pt>
                <c:pt idx="14">
                  <c:v>28</c:v>
                </c:pt>
                <c:pt idx="15">
                  <c:v>28</c:v>
                </c:pt>
                <c:pt idx="16">
                  <c:v>28</c:v>
                </c:pt>
                <c:pt idx="17">
                  <c:v>28</c:v>
                </c:pt>
                <c:pt idx="18">
                  <c:v>28</c:v>
                </c:pt>
                <c:pt idx="19">
                  <c:v>28</c:v>
                </c:pt>
                <c:pt idx="20">
                  <c:v>28</c:v>
                </c:pt>
                <c:pt idx="21">
                  <c:v>28</c:v>
                </c:pt>
                <c:pt idx="22">
                  <c:v>28</c:v>
                </c:pt>
                <c:pt idx="23">
                  <c:v>28</c:v>
                </c:pt>
                <c:pt idx="24">
                  <c:v>28</c:v>
                </c:pt>
                <c:pt idx="25">
                  <c:v>28</c:v>
                </c:pt>
                <c:pt idx="26">
                  <c:v>28</c:v>
                </c:pt>
                <c:pt idx="27">
                  <c:v>28</c:v>
                </c:pt>
                <c:pt idx="28">
                  <c:v>28</c:v>
                </c:pt>
                <c:pt idx="29">
                  <c:v>28</c:v>
                </c:pt>
                <c:pt idx="30">
                  <c:v>28</c:v>
                </c:pt>
                <c:pt idx="31">
                  <c:v>28</c:v>
                </c:pt>
                <c:pt idx="32">
                  <c:v>28</c:v>
                </c:pt>
                <c:pt idx="33">
                  <c:v>28</c:v>
                </c:pt>
                <c:pt idx="34">
                  <c:v>28</c:v>
                </c:pt>
                <c:pt idx="35">
                  <c:v>28</c:v>
                </c:pt>
                <c:pt idx="36">
                  <c:v>28</c:v>
                </c:pt>
                <c:pt idx="37">
                  <c:v>28</c:v>
                </c:pt>
                <c:pt idx="38">
                  <c:v>28</c:v>
                </c:pt>
                <c:pt idx="39">
                  <c:v>28</c:v>
                </c:pt>
                <c:pt idx="40">
                  <c:v>28</c:v>
                </c:pt>
                <c:pt idx="41">
                  <c:v>28</c:v>
                </c:pt>
                <c:pt idx="42">
                  <c:v>28</c:v>
                </c:pt>
                <c:pt idx="43">
                  <c:v>28</c:v>
                </c:pt>
                <c:pt idx="44">
                  <c:v>28</c:v>
                </c:pt>
                <c:pt idx="45">
                  <c:v>28</c:v>
                </c:pt>
                <c:pt idx="46">
                  <c:v>28</c:v>
                </c:pt>
                <c:pt idx="47">
                  <c:v>28</c:v>
                </c:pt>
                <c:pt idx="48">
                  <c:v>28</c:v>
                </c:pt>
                <c:pt idx="49">
                  <c:v>28</c:v>
                </c:pt>
                <c:pt idx="50">
                  <c:v>28</c:v>
                </c:pt>
                <c:pt idx="51">
                  <c:v>28</c:v>
                </c:pt>
                <c:pt idx="52">
                  <c:v>28</c:v>
                </c:pt>
                <c:pt idx="53">
                  <c:v>28</c:v>
                </c:pt>
                <c:pt idx="54">
                  <c:v>26.5</c:v>
                </c:pt>
                <c:pt idx="55">
                  <c:v>26.5</c:v>
                </c:pt>
                <c:pt idx="56">
                  <c:v>26.5</c:v>
                </c:pt>
                <c:pt idx="57">
                  <c:v>28</c:v>
                </c:pt>
                <c:pt idx="58">
                  <c:v>28</c:v>
                </c:pt>
                <c:pt idx="59">
                  <c:v>28</c:v>
                </c:pt>
                <c:pt idx="60">
                  <c:v>28</c:v>
                </c:pt>
                <c:pt idx="61">
                  <c:v>28</c:v>
                </c:pt>
                <c:pt idx="62">
                  <c:v>28</c:v>
                </c:pt>
                <c:pt idx="63">
                  <c:v>28</c:v>
                </c:pt>
                <c:pt idx="64">
                  <c:v>28</c:v>
                </c:pt>
                <c:pt idx="65">
                  <c:v>28</c:v>
                </c:pt>
                <c:pt idx="66">
                  <c:v>28</c:v>
                </c:pt>
                <c:pt idx="67">
                  <c:v>28</c:v>
                </c:pt>
                <c:pt idx="68">
                  <c:v>28</c:v>
                </c:pt>
                <c:pt idx="69">
                  <c:v>28</c:v>
                </c:pt>
                <c:pt idx="70">
                  <c:v>28</c:v>
                </c:pt>
                <c:pt idx="71">
                  <c:v>28</c:v>
                </c:pt>
                <c:pt idx="72">
                  <c:v>28</c:v>
                </c:pt>
                <c:pt idx="73">
                  <c:v>28</c:v>
                </c:pt>
                <c:pt idx="74">
                  <c:v>28</c:v>
                </c:pt>
                <c:pt idx="75">
                  <c:v>28</c:v>
                </c:pt>
                <c:pt idx="76">
                  <c:v>28</c:v>
                </c:pt>
                <c:pt idx="77">
                  <c:v>28</c:v>
                </c:pt>
                <c:pt idx="78">
                  <c:v>28</c:v>
                </c:pt>
                <c:pt idx="79">
                  <c:v>28</c:v>
                </c:pt>
                <c:pt idx="80">
                  <c:v>28</c:v>
                </c:pt>
                <c:pt idx="81">
                  <c:v>28</c:v>
                </c:pt>
                <c:pt idx="82">
                  <c:v>28</c:v>
                </c:pt>
                <c:pt idx="83">
                  <c:v>28</c:v>
                </c:pt>
                <c:pt idx="84">
                  <c:v>28</c:v>
                </c:pt>
                <c:pt idx="85">
                  <c:v>28</c:v>
                </c:pt>
                <c:pt idx="86">
                  <c:v>28</c:v>
                </c:pt>
                <c:pt idx="87">
                  <c:v>28</c:v>
                </c:pt>
                <c:pt idx="88">
                  <c:v>28</c:v>
                </c:pt>
                <c:pt idx="89">
                  <c:v>28</c:v>
                </c:pt>
                <c:pt idx="90">
                  <c:v>28</c:v>
                </c:pt>
                <c:pt idx="91">
                  <c:v>28</c:v>
                </c:pt>
                <c:pt idx="92">
                  <c:v>28</c:v>
                </c:pt>
                <c:pt idx="93">
                  <c:v>28</c:v>
                </c:pt>
                <c:pt idx="94">
                  <c:v>28</c:v>
                </c:pt>
                <c:pt idx="95">
                  <c:v>28</c:v>
                </c:pt>
                <c:pt idx="96">
                  <c:v>28</c:v>
                </c:pt>
                <c:pt idx="97">
                  <c:v>28</c:v>
                </c:pt>
                <c:pt idx="98">
                  <c:v>28</c:v>
                </c:pt>
                <c:pt idx="99">
                  <c:v>28</c:v>
                </c:pt>
                <c:pt idx="100">
                  <c:v>28</c:v>
                </c:pt>
                <c:pt idx="101">
                  <c:v>28</c:v>
                </c:pt>
                <c:pt idx="102">
                  <c:v>28</c:v>
                </c:pt>
                <c:pt idx="103">
                  <c:v>28</c:v>
                </c:pt>
                <c:pt idx="104">
                  <c:v>28</c:v>
                </c:pt>
                <c:pt idx="105">
                  <c:v>28</c:v>
                </c:pt>
                <c:pt idx="106">
                  <c:v>28</c:v>
                </c:pt>
                <c:pt idx="107">
                  <c:v>28</c:v>
                </c:pt>
                <c:pt idx="108">
                  <c:v>28</c:v>
                </c:pt>
                <c:pt idx="109">
                  <c:v>28</c:v>
                </c:pt>
                <c:pt idx="110">
                  <c:v>28</c:v>
                </c:pt>
                <c:pt idx="111">
                  <c:v>28</c:v>
                </c:pt>
                <c:pt idx="112">
                  <c:v>28</c:v>
                </c:pt>
                <c:pt idx="113">
                  <c:v>28</c:v>
                </c:pt>
                <c:pt idx="114">
                  <c:v>28</c:v>
                </c:pt>
                <c:pt idx="115">
                  <c:v>28</c:v>
                </c:pt>
                <c:pt idx="116">
                  <c:v>28</c:v>
                </c:pt>
                <c:pt idx="117">
                  <c:v>28</c:v>
                </c:pt>
                <c:pt idx="118">
                  <c:v>28</c:v>
                </c:pt>
                <c:pt idx="119">
                  <c:v>28</c:v>
                </c:pt>
                <c:pt idx="120">
                  <c:v>28</c:v>
                </c:pt>
                <c:pt idx="121">
                  <c:v>28</c:v>
                </c:pt>
                <c:pt idx="122">
                  <c:v>28</c:v>
                </c:pt>
                <c:pt idx="123">
                  <c:v>28</c:v>
                </c:pt>
                <c:pt idx="124">
                  <c:v>28</c:v>
                </c:pt>
                <c:pt idx="125">
                  <c:v>28</c:v>
                </c:pt>
                <c:pt idx="126">
                  <c:v>28</c:v>
                </c:pt>
                <c:pt idx="127">
                  <c:v>28</c:v>
                </c:pt>
                <c:pt idx="128">
                  <c:v>28</c:v>
                </c:pt>
                <c:pt idx="129">
                  <c:v>28</c:v>
                </c:pt>
                <c:pt idx="130">
                  <c:v>28</c:v>
                </c:pt>
                <c:pt idx="131">
                  <c:v>28</c:v>
                </c:pt>
                <c:pt idx="132">
                  <c:v>28</c:v>
                </c:pt>
                <c:pt idx="133">
                  <c:v>28</c:v>
                </c:pt>
                <c:pt idx="134">
                  <c:v>28</c:v>
                </c:pt>
                <c:pt idx="135">
                  <c:v>28</c:v>
                </c:pt>
                <c:pt idx="136">
                  <c:v>28</c:v>
                </c:pt>
                <c:pt idx="137">
                  <c:v>28</c:v>
                </c:pt>
                <c:pt idx="138">
                  <c:v>28</c:v>
                </c:pt>
                <c:pt idx="139">
                  <c:v>28</c:v>
                </c:pt>
                <c:pt idx="140">
                  <c:v>28</c:v>
                </c:pt>
              </c:numCache>
            </c:numRef>
          </c:val>
          <c:smooth val="0"/>
        </c:ser>
        <c:ser>
          <c:idx val="1"/>
          <c:order val="1"/>
          <c:tx>
            <c:strRef>
              <c:f>乳品類!$F$2</c:f>
              <c:strCache>
                <c:ptCount val="1"/>
                <c:pt idx="0">
                  <c:v>超市－AB優酪乳</c:v>
                </c:pt>
              </c:strCache>
            </c:strRef>
          </c:tx>
          <c:spPr>
            <a:ln>
              <a:prstDash val="sysDash"/>
            </a:ln>
          </c:spPr>
          <c:marker>
            <c:symbol val="none"/>
          </c:marker>
          <c:cat>
            <c:strRef>
              <c:f>乳品類!$A$33:$A$173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乳品類!$F$33:$F$173</c:f>
              <c:numCache>
                <c:formatCode>0.00</c:formatCode>
                <c:ptCount val="141"/>
                <c:pt idx="0">
                  <c:v>24.428571428571427</c:v>
                </c:pt>
                <c:pt idx="1">
                  <c:v>24.5</c:v>
                </c:pt>
                <c:pt idx="2">
                  <c:v>23.07</c:v>
                </c:pt>
                <c:pt idx="3">
                  <c:v>23.86</c:v>
                </c:pt>
                <c:pt idx="4">
                  <c:v>23.875</c:v>
                </c:pt>
                <c:pt idx="5">
                  <c:v>24.75</c:v>
                </c:pt>
                <c:pt idx="6">
                  <c:v>24.25</c:v>
                </c:pt>
                <c:pt idx="7">
                  <c:v>24.25</c:v>
                </c:pt>
                <c:pt idx="8">
                  <c:v>24.2</c:v>
                </c:pt>
                <c:pt idx="9">
                  <c:v>24.25</c:v>
                </c:pt>
                <c:pt idx="10">
                  <c:v>24.25</c:v>
                </c:pt>
                <c:pt idx="11">
                  <c:v>24.2</c:v>
                </c:pt>
                <c:pt idx="12">
                  <c:v>23.6</c:v>
                </c:pt>
                <c:pt idx="13">
                  <c:v>23.833333333333332</c:v>
                </c:pt>
                <c:pt idx="14">
                  <c:v>23.857142857142858</c:v>
                </c:pt>
                <c:pt idx="15">
                  <c:v>23.857142857142858</c:v>
                </c:pt>
                <c:pt idx="16">
                  <c:v>24.285714285714285</c:v>
                </c:pt>
                <c:pt idx="17">
                  <c:v>24.285714285714285</c:v>
                </c:pt>
                <c:pt idx="18">
                  <c:v>24.333333333333332</c:v>
                </c:pt>
                <c:pt idx="19">
                  <c:v>24.333333333333332</c:v>
                </c:pt>
                <c:pt idx="20">
                  <c:v>24.333333333333332</c:v>
                </c:pt>
                <c:pt idx="21">
                  <c:v>24.333333333333332</c:v>
                </c:pt>
                <c:pt idx="22">
                  <c:v>24.333333333333332</c:v>
                </c:pt>
                <c:pt idx="23">
                  <c:v>24.333333333333332</c:v>
                </c:pt>
                <c:pt idx="24">
                  <c:v>24.428571428571427</c:v>
                </c:pt>
                <c:pt idx="25">
                  <c:v>24.428571428571427</c:v>
                </c:pt>
                <c:pt idx="26">
                  <c:v>24.857142857142858</c:v>
                </c:pt>
                <c:pt idx="27">
                  <c:v>24.833333333333332</c:v>
                </c:pt>
                <c:pt idx="28">
                  <c:v>24.833333333333332</c:v>
                </c:pt>
                <c:pt idx="29">
                  <c:v>24.833333333333332</c:v>
                </c:pt>
                <c:pt idx="30">
                  <c:v>24.833333333333332</c:v>
                </c:pt>
                <c:pt idx="31">
                  <c:v>24.833333333333332</c:v>
                </c:pt>
                <c:pt idx="32">
                  <c:v>24.833333333333332</c:v>
                </c:pt>
                <c:pt idx="33">
                  <c:v>24.833333333333332</c:v>
                </c:pt>
                <c:pt idx="34">
                  <c:v>24.833333333333332</c:v>
                </c:pt>
                <c:pt idx="35">
                  <c:v>24.833333333333332</c:v>
                </c:pt>
                <c:pt idx="36">
                  <c:v>24.833333333333332</c:v>
                </c:pt>
                <c:pt idx="37">
                  <c:v>24.833333333333332</c:v>
                </c:pt>
                <c:pt idx="38">
                  <c:v>24.833333333333332</c:v>
                </c:pt>
                <c:pt idx="39">
                  <c:v>24.857142857142858</c:v>
                </c:pt>
                <c:pt idx="40">
                  <c:v>24.857142857142858</c:v>
                </c:pt>
                <c:pt idx="41">
                  <c:v>24.857142857142858</c:v>
                </c:pt>
                <c:pt idx="42">
                  <c:v>24.857142857142858</c:v>
                </c:pt>
                <c:pt idx="43">
                  <c:v>24.857142857142858</c:v>
                </c:pt>
                <c:pt idx="44">
                  <c:v>24.857142857142858</c:v>
                </c:pt>
                <c:pt idx="45">
                  <c:v>24.428571428571427</c:v>
                </c:pt>
                <c:pt idx="46">
                  <c:v>24.428571428571427</c:v>
                </c:pt>
                <c:pt idx="47">
                  <c:v>24.428571428571427</c:v>
                </c:pt>
                <c:pt idx="48">
                  <c:v>24.333333333333332</c:v>
                </c:pt>
                <c:pt idx="49">
                  <c:v>24.833333333333332</c:v>
                </c:pt>
                <c:pt idx="50">
                  <c:v>24.833333333333332</c:v>
                </c:pt>
                <c:pt idx="51">
                  <c:v>24.857142857142858</c:v>
                </c:pt>
                <c:pt idx="52">
                  <c:v>24.333333333333332</c:v>
                </c:pt>
                <c:pt idx="53">
                  <c:v>24.428571428571427</c:v>
                </c:pt>
                <c:pt idx="54">
                  <c:v>24.428571428571427</c:v>
                </c:pt>
                <c:pt idx="55">
                  <c:v>24.333333333333332</c:v>
                </c:pt>
                <c:pt idx="56">
                  <c:v>24.857142857142858</c:v>
                </c:pt>
                <c:pt idx="57">
                  <c:v>24.857142857142858</c:v>
                </c:pt>
                <c:pt idx="58">
                  <c:v>24.5</c:v>
                </c:pt>
                <c:pt idx="59">
                  <c:v>24.571428571428573</c:v>
                </c:pt>
                <c:pt idx="60">
                  <c:v>24.571428571428573</c:v>
                </c:pt>
                <c:pt idx="61">
                  <c:v>24.857142857142858</c:v>
                </c:pt>
                <c:pt idx="62">
                  <c:v>24.928571430000002</c:v>
                </c:pt>
                <c:pt idx="63">
                  <c:v>25</c:v>
                </c:pt>
                <c:pt idx="64">
                  <c:v>25.25</c:v>
                </c:pt>
                <c:pt idx="65">
                  <c:v>25.222222222222221</c:v>
                </c:pt>
                <c:pt idx="66">
                  <c:v>24.9</c:v>
                </c:pt>
                <c:pt idx="67">
                  <c:v>24.9</c:v>
                </c:pt>
                <c:pt idx="68">
                  <c:v>24.9</c:v>
                </c:pt>
                <c:pt idx="69">
                  <c:v>24.9</c:v>
                </c:pt>
                <c:pt idx="70">
                  <c:v>24.454545454545453</c:v>
                </c:pt>
                <c:pt idx="71">
                  <c:v>24.90909090909091</c:v>
                </c:pt>
                <c:pt idx="72">
                  <c:v>23.90909090909091</c:v>
                </c:pt>
                <c:pt idx="73">
                  <c:v>24.90909090909091</c:v>
                </c:pt>
                <c:pt idx="74">
                  <c:v>24.90909090909091</c:v>
                </c:pt>
                <c:pt idx="75">
                  <c:v>24.9</c:v>
                </c:pt>
                <c:pt idx="76">
                  <c:v>24.90909090909091</c:v>
                </c:pt>
                <c:pt idx="77">
                  <c:v>24.90909090909091</c:v>
                </c:pt>
                <c:pt idx="78">
                  <c:v>24.90909090909091</c:v>
                </c:pt>
                <c:pt idx="79">
                  <c:v>24.90909090909091</c:v>
                </c:pt>
                <c:pt idx="80">
                  <c:v>24.90909090909091</c:v>
                </c:pt>
                <c:pt idx="81">
                  <c:v>24.90909090909091</c:v>
                </c:pt>
                <c:pt idx="82">
                  <c:v>25.181818181818183</c:v>
                </c:pt>
                <c:pt idx="83">
                  <c:v>24.90909090909091</c:v>
                </c:pt>
                <c:pt idx="84">
                  <c:v>24.666666666666668</c:v>
                </c:pt>
                <c:pt idx="85">
                  <c:v>24.9</c:v>
                </c:pt>
                <c:pt idx="86">
                  <c:v>24.9</c:v>
                </c:pt>
                <c:pt idx="87">
                  <c:v>24.9</c:v>
                </c:pt>
                <c:pt idx="88">
                  <c:v>24.7</c:v>
                </c:pt>
                <c:pt idx="89">
                  <c:v>24.7</c:v>
                </c:pt>
                <c:pt idx="90">
                  <c:v>24.9</c:v>
                </c:pt>
                <c:pt idx="91">
                  <c:v>24.9</c:v>
                </c:pt>
                <c:pt idx="92">
                  <c:v>24.9</c:v>
                </c:pt>
                <c:pt idx="93">
                  <c:v>24.9</c:v>
                </c:pt>
                <c:pt idx="94">
                  <c:v>24.888888888888889</c:v>
                </c:pt>
                <c:pt idx="95">
                  <c:v>24.9</c:v>
                </c:pt>
                <c:pt idx="96">
                  <c:v>24.9</c:v>
                </c:pt>
                <c:pt idx="97">
                  <c:v>24.888888888888889</c:v>
                </c:pt>
                <c:pt idx="98">
                  <c:v>24.9</c:v>
                </c:pt>
                <c:pt idx="99">
                  <c:v>24.9</c:v>
                </c:pt>
                <c:pt idx="100">
                  <c:v>24.9</c:v>
                </c:pt>
                <c:pt idx="101">
                  <c:v>24.9</c:v>
                </c:pt>
                <c:pt idx="102">
                  <c:v>24.9</c:v>
                </c:pt>
                <c:pt idx="103">
                  <c:v>25.181818181818183</c:v>
                </c:pt>
                <c:pt idx="104">
                  <c:v>25.083333333333332</c:v>
                </c:pt>
                <c:pt idx="105">
                  <c:v>25.083333333333332</c:v>
                </c:pt>
                <c:pt idx="106">
                  <c:v>25.09090909090909</c:v>
                </c:pt>
                <c:pt idx="107">
                  <c:v>25.09090909090909</c:v>
                </c:pt>
                <c:pt idx="108">
                  <c:v>25.083333333333332</c:v>
                </c:pt>
                <c:pt idx="109">
                  <c:v>25.09090909090909</c:v>
                </c:pt>
                <c:pt idx="110">
                  <c:v>25.09090909090909</c:v>
                </c:pt>
                <c:pt idx="111">
                  <c:v>25</c:v>
                </c:pt>
                <c:pt idx="112">
                  <c:v>25.083333333333332</c:v>
                </c:pt>
                <c:pt idx="113">
                  <c:v>25.09090909090909</c:v>
                </c:pt>
                <c:pt idx="114">
                  <c:v>25.083333333333332</c:v>
                </c:pt>
                <c:pt idx="115">
                  <c:v>25.083333333333332</c:v>
                </c:pt>
                <c:pt idx="116">
                  <c:v>25.1</c:v>
                </c:pt>
                <c:pt idx="117">
                  <c:v>24.90909090909091</c:v>
                </c:pt>
                <c:pt idx="118">
                  <c:v>24.916666666666668</c:v>
                </c:pt>
                <c:pt idx="119">
                  <c:v>24.916666666666668</c:v>
                </c:pt>
                <c:pt idx="120">
                  <c:v>24.727272727272727</c:v>
                </c:pt>
                <c:pt idx="121">
                  <c:v>24.7</c:v>
                </c:pt>
                <c:pt idx="122">
                  <c:v>24.818181818181817</c:v>
                </c:pt>
                <c:pt idx="123">
                  <c:v>25.181818181818183</c:v>
                </c:pt>
                <c:pt idx="124">
                  <c:v>25.181818181818183</c:v>
                </c:pt>
                <c:pt idx="125">
                  <c:v>25.181818181818183</c:v>
                </c:pt>
                <c:pt idx="126">
                  <c:v>25.181818181818183</c:v>
                </c:pt>
                <c:pt idx="127">
                  <c:v>25.181818181818183</c:v>
                </c:pt>
                <c:pt idx="128">
                  <c:v>25.181818181818183</c:v>
                </c:pt>
                <c:pt idx="129">
                  <c:v>25.181818181818183</c:v>
                </c:pt>
                <c:pt idx="130">
                  <c:v>25.181818181818183</c:v>
                </c:pt>
                <c:pt idx="131">
                  <c:v>25.181818181818183</c:v>
                </c:pt>
                <c:pt idx="132">
                  <c:v>25.181818181818183</c:v>
                </c:pt>
                <c:pt idx="133">
                  <c:v>25.181818181818183</c:v>
                </c:pt>
                <c:pt idx="134">
                  <c:v>25.181818181818183</c:v>
                </c:pt>
                <c:pt idx="135">
                  <c:v>25.181818181818183</c:v>
                </c:pt>
                <c:pt idx="136">
                  <c:v>25.181818181818183</c:v>
                </c:pt>
                <c:pt idx="137">
                  <c:v>25.2</c:v>
                </c:pt>
                <c:pt idx="138">
                  <c:v>24.9</c:v>
                </c:pt>
                <c:pt idx="139">
                  <c:v>25.181818181818183</c:v>
                </c:pt>
                <c:pt idx="140">
                  <c:v>25.181818181818183</c:v>
                </c:pt>
              </c:numCache>
            </c:numRef>
          </c:val>
          <c:smooth val="0"/>
        </c:ser>
        <c:ser>
          <c:idx val="2"/>
          <c:order val="2"/>
          <c:tx>
            <c:strRef>
              <c:f>乳品類!$G$2</c:f>
              <c:strCache>
                <c:ptCount val="1"/>
                <c:pt idx="0">
                  <c:v>量販店－AB優酪乳</c:v>
                </c:pt>
              </c:strCache>
            </c:strRef>
          </c:tx>
          <c:spPr>
            <a:ln>
              <a:prstDash val="sysDot"/>
            </a:ln>
          </c:spPr>
          <c:marker>
            <c:symbol val="none"/>
          </c:marker>
          <c:cat>
            <c:strRef>
              <c:f>乳品類!$A$33:$A$173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乳品類!$G$33:$G$173</c:f>
              <c:numCache>
                <c:formatCode>0.00</c:formatCode>
                <c:ptCount val="141"/>
                <c:pt idx="0">
                  <c:v>22.714285714285715</c:v>
                </c:pt>
                <c:pt idx="1">
                  <c:v>22.43</c:v>
                </c:pt>
                <c:pt idx="2">
                  <c:v>22.43</c:v>
                </c:pt>
                <c:pt idx="3">
                  <c:v>22.43</c:v>
                </c:pt>
                <c:pt idx="4">
                  <c:v>22.43</c:v>
                </c:pt>
                <c:pt idx="5">
                  <c:v>22.714285714285715</c:v>
                </c:pt>
                <c:pt idx="6">
                  <c:v>22.714285714285715</c:v>
                </c:pt>
                <c:pt idx="7">
                  <c:v>22.142857142857142</c:v>
                </c:pt>
                <c:pt idx="8">
                  <c:v>22.142857142857142</c:v>
                </c:pt>
                <c:pt idx="9">
                  <c:v>22.375</c:v>
                </c:pt>
                <c:pt idx="10">
                  <c:v>22.125</c:v>
                </c:pt>
                <c:pt idx="11">
                  <c:v>22.444444444444443</c:v>
                </c:pt>
                <c:pt idx="12">
                  <c:v>23.25</c:v>
                </c:pt>
                <c:pt idx="13">
                  <c:v>23.25</c:v>
                </c:pt>
                <c:pt idx="14">
                  <c:v>23.5</c:v>
                </c:pt>
                <c:pt idx="15">
                  <c:v>23.166666666666668</c:v>
                </c:pt>
                <c:pt idx="16">
                  <c:v>24</c:v>
                </c:pt>
                <c:pt idx="17">
                  <c:v>24</c:v>
                </c:pt>
                <c:pt idx="18">
                  <c:v>24</c:v>
                </c:pt>
                <c:pt idx="19">
                  <c:v>24.285714285714285</c:v>
                </c:pt>
                <c:pt idx="20">
                  <c:v>24</c:v>
                </c:pt>
                <c:pt idx="21">
                  <c:v>24</c:v>
                </c:pt>
                <c:pt idx="22">
                  <c:v>23.428571428571427</c:v>
                </c:pt>
                <c:pt idx="23">
                  <c:v>23.571428571428573</c:v>
                </c:pt>
                <c:pt idx="24">
                  <c:v>23.571428571428573</c:v>
                </c:pt>
                <c:pt idx="25">
                  <c:v>23.571428571428573</c:v>
                </c:pt>
                <c:pt idx="26">
                  <c:v>24</c:v>
                </c:pt>
                <c:pt idx="27">
                  <c:v>24</c:v>
                </c:pt>
                <c:pt idx="28">
                  <c:v>23.833333333333332</c:v>
                </c:pt>
                <c:pt idx="29">
                  <c:v>24</c:v>
                </c:pt>
                <c:pt idx="30">
                  <c:v>24.2</c:v>
                </c:pt>
                <c:pt idx="31">
                  <c:v>24.2</c:v>
                </c:pt>
                <c:pt idx="32">
                  <c:v>24.166666666666668</c:v>
                </c:pt>
                <c:pt idx="33">
                  <c:v>24.166666666666668</c:v>
                </c:pt>
                <c:pt idx="34">
                  <c:v>24</c:v>
                </c:pt>
                <c:pt idx="35">
                  <c:v>24.166666666666668</c:v>
                </c:pt>
                <c:pt idx="36">
                  <c:v>23.666666666666668</c:v>
                </c:pt>
                <c:pt idx="37">
                  <c:v>23.666666666666668</c:v>
                </c:pt>
                <c:pt idx="38">
                  <c:v>23.666666666666668</c:v>
                </c:pt>
                <c:pt idx="39">
                  <c:v>23.714285714285715</c:v>
                </c:pt>
                <c:pt idx="40">
                  <c:v>23.714285714285715</c:v>
                </c:pt>
                <c:pt idx="41">
                  <c:v>23.714285714285715</c:v>
                </c:pt>
                <c:pt idx="42">
                  <c:v>23.714285714285715</c:v>
                </c:pt>
                <c:pt idx="43">
                  <c:v>23.428571428571427</c:v>
                </c:pt>
                <c:pt idx="44">
                  <c:v>23.714285714285715</c:v>
                </c:pt>
                <c:pt idx="45">
                  <c:v>23.714285714285715</c:v>
                </c:pt>
                <c:pt idx="46">
                  <c:v>23.428571428571427</c:v>
                </c:pt>
                <c:pt idx="47">
                  <c:v>23.714285714285715</c:v>
                </c:pt>
                <c:pt idx="48">
                  <c:v>23.714285714285715</c:v>
                </c:pt>
                <c:pt idx="49">
                  <c:v>23.714285714285715</c:v>
                </c:pt>
                <c:pt idx="50">
                  <c:v>23.714285714285715</c:v>
                </c:pt>
                <c:pt idx="51">
                  <c:v>23.142857142857142</c:v>
                </c:pt>
                <c:pt idx="52">
                  <c:v>22.857142857142858</c:v>
                </c:pt>
                <c:pt idx="53">
                  <c:v>23.428571428571427</c:v>
                </c:pt>
                <c:pt idx="54">
                  <c:v>23.428571428571427</c:v>
                </c:pt>
                <c:pt idx="55">
                  <c:v>23.571428571428573</c:v>
                </c:pt>
                <c:pt idx="56">
                  <c:v>23.571428571428573</c:v>
                </c:pt>
                <c:pt idx="57">
                  <c:v>23.428571428571427</c:v>
                </c:pt>
                <c:pt idx="58">
                  <c:v>23.428571428571427</c:v>
                </c:pt>
                <c:pt idx="59">
                  <c:v>23.428571428571427</c:v>
                </c:pt>
                <c:pt idx="60">
                  <c:v>23.285714285714285</c:v>
                </c:pt>
                <c:pt idx="61">
                  <c:v>23.285714285714285</c:v>
                </c:pt>
                <c:pt idx="62">
                  <c:v>23.476190476190474</c:v>
                </c:pt>
                <c:pt idx="63">
                  <c:v>23.666666666666668</c:v>
                </c:pt>
                <c:pt idx="64">
                  <c:v>23.8</c:v>
                </c:pt>
                <c:pt idx="65">
                  <c:v>23.857142857142858</c:v>
                </c:pt>
                <c:pt idx="66">
                  <c:v>23.428571428571427</c:v>
                </c:pt>
                <c:pt idx="67">
                  <c:v>23.428570000000001</c:v>
                </c:pt>
                <c:pt idx="68">
                  <c:v>23.428571428571427</c:v>
                </c:pt>
                <c:pt idx="69">
                  <c:v>23.428571428571427</c:v>
                </c:pt>
                <c:pt idx="70">
                  <c:v>23.428571428571427</c:v>
                </c:pt>
                <c:pt idx="71">
                  <c:v>23.333333333333332</c:v>
                </c:pt>
                <c:pt idx="72">
                  <c:v>23.666666666666668</c:v>
                </c:pt>
                <c:pt idx="73">
                  <c:v>23.666666666666668</c:v>
                </c:pt>
                <c:pt idx="74">
                  <c:v>23.666666666666668</c:v>
                </c:pt>
                <c:pt idx="75">
                  <c:v>24</c:v>
                </c:pt>
                <c:pt idx="76">
                  <c:v>24.166666666666668</c:v>
                </c:pt>
                <c:pt idx="77">
                  <c:v>24</c:v>
                </c:pt>
                <c:pt idx="78">
                  <c:v>23.666666666666668</c:v>
                </c:pt>
                <c:pt idx="79">
                  <c:v>23.5</c:v>
                </c:pt>
                <c:pt idx="80">
                  <c:v>23.5</c:v>
                </c:pt>
                <c:pt idx="81">
                  <c:v>23.5</c:v>
                </c:pt>
                <c:pt idx="82">
                  <c:v>23.5</c:v>
                </c:pt>
                <c:pt idx="83">
                  <c:v>23.5</c:v>
                </c:pt>
                <c:pt idx="84">
                  <c:v>23.5</c:v>
                </c:pt>
                <c:pt idx="85">
                  <c:v>23.5</c:v>
                </c:pt>
                <c:pt idx="86">
                  <c:v>23.5</c:v>
                </c:pt>
                <c:pt idx="87">
                  <c:v>23.571428571428573</c:v>
                </c:pt>
                <c:pt idx="88">
                  <c:v>23.571428571428573</c:v>
                </c:pt>
                <c:pt idx="89">
                  <c:v>23.571428571428573</c:v>
                </c:pt>
                <c:pt idx="90">
                  <c:v>23.571428571428573</c:v>
                </c:pt>
                <c:pt idx="91">
                  <c:v>23.571428571428573</c:v>
                </c:pt>
                <c:pt idx="92">
                  <c:v>23.571428571428573</c:v>
                </c:pt>
                <c:pt idx="93">
                  <c:v>23.571428571428573</c:v>
                </c:pt>
                <c:pt idx="94">
                  <c:v>23.571428571428573</c:v>
                </c:pt>
                <c:pt idx="95">
                  <c:v>23.571428571428573</c:v>
                </c:pt>
                <c:pt idx="96">
                  <c:v>23.571428571428573</c:v>
                </c:pt>
                <c:pt idx="97">
                  <c:v>23.571428571428573</c:v>
                </c:pt>
                <c:pt idx="98">
                  <c:v>23.571428571428573</c:v>
                </c:pt>
                <c:pt idx="99">
                  <c:v>23.571428571428573</c:v>
                </c:pt>
                <c:pt idx="100">
                  <c:v>23.571428571428573</c:v>
                </c:pt>
                <c:pt idx="101">
                  <c:v>23.571428571428573</c:v>
                </c:pt>
                <c:pt idx="102">
                  <c:v>23.571428571428573</c:v>
                </c:pt>
                <c:pt idx="103">
                  <c:v>23.666666666666668</c:v>
                </c:pt>
                <c:pt idx="104">
                  <c:v>23.666666666666668</c:v>
                </c:pt>
                <c:pt idx="105">
                  <c:v>23.666666666666668</c:v>
                </c:pt>
                <c:pt idx="106">
                  <c:v>23.666666666666668</c:v>
                </c:pt>
                <c:pt idx="107">
                  <c:v>23.666666666666668</c:v>
                </c:pt>
                <c:pt idx="108">
                  <c:v>23.666666666666668</c:v>
                </c:pt>
                <c:pt idx="109">
                  <c:v>23.833333333333332</c:v>
                </c:pt>
                <c:pt idx="110">
                  <c:v>24.166666666666668</c:v>
                </c:pt>
                <c:pt idx="111">
                  <c:v>24.333333333333332</c:v>
                </c:pt>
                <c:pt idx="112">
                  <c:v>24.166666666666668</c:v>
                </c:pt>
                <c:pt idx="113">
                  <c:v>24</c:v>
                </c:pt>
                <c:pt idx="114">
                  <c:v>24.166666666666668</c:v>
                </c:pt>
                <c:pt idx="115">
                  <c:v>24.166666666666668</c:v>
                </c:pt>
                <c:pt idx="116">
                  <c:v>24.166666666666668</c:v>
                </c:pt>
                <c:pt idx="117">
                  <c:v>24</c:v>
                </c:pt>
                <c:pt idx="118">
                  <c:v>23.833333333333332</c:v>
                </c:pt>
                <c:pt idx="119">
                  <c:v>24</c:v>
                </c:pt>
                <c:pt idx="120">
                  <c:v>23.6</c:v>
                </c:pt>
                <c:pt idx="121">
                  <c:v>23.166666666666668</c:v>
                </c:pt>
                <c:pt idx="122">
                  <c:v>23.166666666666668</c:v>
                </c:pt>
                <c:pt idx="123">
                  <c:v>23.166666666666668</c:v>
                </c:pt>
                <c:pt idx="124">
                  <c:v>23.166666666666668</c:v>
                </c:pt>
                <c:pt idx="125">
                  <c:v>23</c:v>
                </c:pt>
                <c:pt idx="126">
                  <c:v>23</c:v>
                </c:pt>
                <c:pt idx="127">
                  <c:v>23.2</c:v>
                </c:pt>
                <c:pt idx="128">
                  <c:v>23</c:v>
                </c:pt>
                <c:pt idx="129">
                  <c:v>23.2</c:v>
                </c:pt>
                <c:pt idx="130">
                  <c:v>23</c:v>
                </c:pt>
                <c:pt idx="131">
                  <c:v>23</c:v>
                </c:pt>
                <c:pt idx="132">
                  <c:v>23.2</c:v>
                </c:pt>
                <c:pt idx="133">
                  <c:v>23.4</c:v>
                </c:pt>
                <c:pt idx="134">
                  <c:v>23.833333333333332</c:v>
                </c:pt>
                <c:pt idx="135">
                  <c:v>23.833333333333332</c:v>
                </c:pt>
                <c:pt idx="136">
                  <c:v>23.833333333333332</c:v>
                </c:pt>
                <c:pt idx="137">
                  <c:v>23.833333333333332</c:v>
                </c:pt>
                <c:pt idx="138">
                  <c:v>23.833333333333332</c:v>
                </c:pt>
                <c:pt idx="139">
                  <c:v>23.833333333333332</c:v>
                </c:pt>
                <c:pt idx="140">
                  <c:v>23.833333333333332</c:v>
                </c:pt>
              </c:numCache>
            </c:numRef>
          </c:val>
          <c:smooth val="0"/>
        </c:ser>
        <c:dLbls>
          <c:showLegendKey val="0"/>
          <c:showVal val="0"/>
          <c:showCatName val="0"/>
          <c:showSerName val="0"/>
          <c:showPercent val="0"/>
          <c:showBubbleSize val="0"/>
        </c:dLbls>
        <c:marker val="1"/>
        <c:smooth val="0"/>
        <c:axId val="274221696"/>
        <c:axId val="274452864"/>
      </c:lineChart>
      <c:dateAx>
        <c:axId val="274221696"/>
        <c:scaling>
          <c:orientation val="minMax"/>
        </c:scaling>
        <c:delete val="0"/>
        <c:axPos val="b"/>
        <c:numFmt formatCode="General" sourceLinked="0"/>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4452864"/>
        <c:crosses val="autoZero"/>
        <c:auto val="0"/>
        <c:lblOffset val="100"/>
        <c:baseTimeUnit val="days"/>
        <c:majorUnit val="5"/>
        <c:majorTimeUnit val="days"/>
        <c:minorUnit val="3"/>
        <c:minorTimeUnit val="days"/>
      </c:dateAx>
      <c:valAx>
        <c:axId val="274452864"/>
        <c:scaling>
          <c:orientation val="minMax"/>
          <c:max val="29"/>
          <c:min val="22"/>
        </c:scaling>
        <c:delete val="0"/>
        <c:axPos val="l"/>
        <c:numFmt formatCode="#,##0_);\(#,##0\)" sourceLinked="0"/>
        <c:majorTickMark val="out"/>
        <c:minorTickMark val="none"/>
        <c:tickLblPos val="nextTo"/>
        <c:crossAx val="274221696"/>
        <c:crosses val="autoZero"/>
        <c:crossBetween val="between"/>
      </c:valAx>
      <c:spPr>
        <a:noFill/>
        <a:ln w="25400">
          <a:noFill/>
        </a:ln>
      </c:spPr>
    </c:plotArea>
    <c:legend>
      <c:legendPos val="r"/>
      <c:layout>
        <c:manualLayout>
          <c:xMode val="edge"/>
          <c:yMode val="edge"/>
          <c:x val="7.9495418280421143E-2"/>
          <c:y val="2.4791676572064089E-2"/>
          <c:w val="0.89960716225752257"/>
          <c:h val="0.11994824590588148"/>
        </c:manualLayout>
      </c:layout>
      <c:overlay val="0"/>
    </c:legend>
    <c:plotVisOnly val="1"/>
    <c:dispBlanksAs val="gap"/>
    <c:showDLblsOverMax val="0"/>
  </c:chart>
  <c:spPr>
    <a:noFill/>
    <a:ln w="9525">
      <a:noFill/>
    </a:ln>
  </c:spPr>
  <c:txPr>
    <a:bodyPr/>
    <a:lstStyle/>
    <a:p>
      <a:pPr>
        <a:defRPr>
          <a:latin typeface="Times New Roman" pitchFamily="18" charset="0"/>
          <a:ea typeface="標楷體" pitchFamily="65" charset="-120"/>
          <a:cs typeface="Times New Roman" pitchFamily="18" charset="0"/>
        </a:defRPr>
      </a:pPr>
      <a:endParaRPr lang="zh-TW"/>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4396175823972182E-2"/>
          <c:y val="0.13082277159566133"/>
          <c:w val="0.83225806451612905"/>
          <c:h val="0.62845023080437346"/>
        </c:manualLayout>
      </c:layout>
      <c:lineChart>
        <c:grouping val="standard"/>
        <c:varyColors val="0"/>
        <c:ser>
          <c:idx val="2"/>
          <c:order val="1"/>
          <c:tx>
            <c:strRef>
              <c:f>乳品類!$C$2</c:f>
              <c:strCache>
                <c:ptCount val="1"/>
                <c:pt idx="0">
                  <c:v>超市－林鳳營鮮乳</c:v>
                </c:pt>
              </c:strCache>
            </c:strRef>
          </c:tx>
          <c:marker>
            <c:symbol val="none"/>
          </c:marker>
          <c:cat>
            <c:strRef>
              <c:f>乳品類!$A$32:$A$173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乳品類!$C$32:$C$173</c:f>
              <c:numCache>
                <c:formatCode>0.00</c:formatCode>
                <c:ptCount val="142"/>
                <c:pt idx="0">
                  <c:v>142.69230769230768</c:v>
                </c:pt>
                <c:pt idx="1">
                  <c:v>145.33333333333334</c:v>
                </c:pt>
                <c:pt idx="2">
                  <c:v>148.38</c:v>
                </c:pt>
                <c:pt idx="3">
                  <c:v>145.43</c:v>
                </c:pt>
                <c:pt idx="4">
                  <c:v>144.29</c:v>
                </c:pt>
                <c:pt idx="5">
                  <c:v>144</c:v>
                </c:pt>
                <c:pt idx="6">
                  <c:v>147.28571428571428</c:v>
                </c:pt>
                <c:pt idx="7">
                  <c:v>147.64285714285714</c:v>
                </c:pt>
                <c:pt idx="8">
                  <c:v>146.35714285714286</c:v>
                </c:pt>
                <c:pt idx="9">
                  <c:v>147.33333333333334</c:v>
                </c:pt>
                <c:pt idx="10">
                  <c:v>147.86666666666667</c:v>
                </c:pt>
                <c:pt idx="11">
                  <c:v>148.4</c:v>
                </c:pt>
                <c:pt idx="12">
                  <c:v>148.4</c:v>
                </c:pt>
                <c:pt idx="13">
                  <c:v>148.75</c:v>
                </c:pt>
                <c:pt idx="14">
                  <c:v>148.52941176470588</c:v>
                </c:pt>
                <c:pt idx="15">
                  <c:v>148.64705882352942</c:v>
                </c:pt>
                <c:pt idx="16">
                  <c:v>148.6</c:v>
                </c:pt>
                <c:pt idx="17">
                  <c:v>148.64705882352942</c:v>
                </c:pt>
                <c:pt idx="18">
                  <c:v>148.58823529411765</c:v>
                </c:pt>
                <c:pt idx="19">
                  <c:v>148.8125</c:v>
                </c:pt>
                <c:pt idx="20">
                  <c:v>148.47058823529412</c:v>
                </c:pt>
                <c:pt idx="21">
                  <c:v>148.8235294117647</c:v>
                </c:pt>
                <c:pt idx="22">
                  <c:v>148.8235294117647</c:v>
                </c:pt>
                <c:pt idx="23">
                  <c:v>149.64285714285714</c:v>
                </c:pt>
                <c:pt idx="24">
                  <c:v>148.92857142857142</c:v>
                </c:pt>
                <c:pt idx="25">
                  <c:v>150.07142857142858</c:v>
                </c:pt>
                <c:pt idx="26">
                  <c:v>149.78571428571428</c:v>
                </c:pt>
                <c:pt idx="27">
                  <c:v>150.07142857142858</c:v>
                </c:pt>
                <c:pt idx="28">
                  <c:v>149.92307692307693</c:v>
                </c:pt>
                <c:pt idx="29">
                  <c:v>149.07692307692307</c:v>
                </c:pt>
                <c:pt idx="30">
                  <c:v>150.92307692307693</c:v>
                </c:pt>
                <c:pt idx="31">
                  <c:v>150.07142857142858</c:v>
                </c:pt>
                <c:pt idx="32">
                  <c:v>149.73333333333332</c:v>
                </c:pt>
                <c:pt idx="33">
                  <c:v>148.85714285714286</c:v>
                </c:pt>
                <c:pt idx="34">
                  <c:v>148.85714285714286</c:v>
                </c:pt>
                <c:pt idx="35">
                  <c:v>149.86666666666667</c:v>
                </c:pt>
                <c:pt idx="36">
                  <c:v>150.1875</c:v>
                </c:pt>
                <c:pt idx="37">
                  <c:v>149.875</c:v>
                </c:pt>
                <c:pt idx="38">
                  <c:v>147.64705882352942</c:v>
                </c:pt>
                <c:pt idx="39">
                  <c:v>148.8235294117647</c:v>
                </c:pt>
                <c:pt idx="40">
                  <c:v>148.94117647058823</c:v>
                </c:pt>
                <c:pt idx="41">
                  <c:v>148.0625</c:v>
                </c:pt>
                <c:pt idx="42">
                  <c:v>148.25</c:v>
                </c:pt>
                <c:pt idx="43">
                  <c:v>148.875</c:v>
                </c:pt>
                <c:pt idx="44">
                  <c:v>147.8125</c:v>
                </c:pt>
                <c:pt idx="45">
                  <c:v>148.625</c:v>
                </c:pt>
                <c:pt idx="46">
                  <c:v>148.25</c:v>
                </c:pt>
                <c:pt idx="47">
                  <c:v>147.8125</c:v>
                </c:pt>
                <c:pt idx="48">
                  <c:v>151.9375</c:v>
                </c:pt>
                <c:pt idx="49">
                  <c:v>150.9375</c:v>
                </c:pt>
                <c:pt idx="50">
                  <c:v>150.9375</c:v>
                </c:pt>
                <c:pt idx="51">
                  <c:v>148.9375</c:v>
                </c:pt>
                <c:pt idx="52">
                  <c:v>148.0625</c:v>
                </c:pt>
                <c:pt idx="53">
                  <c:v>148.125</c:v>
                </c:pt>
                <c:pt idx="54">
                  <c:v>147.5625</c:v>
                </c:pt>
                <c:pt idx="55">
                  <c:v>146.88235294117646</c:v>
                </c:pt>
                <c:pt idx="56">
                  <c:v>147.05882352941177</c:v>
                </c:pt>
                <c:pt idx="57">
                  <c:v>148.5625</c:v>
                </c:pt>
                <c:pt idx="58">
                  <c:v>148.35294117647058</c:v>
                </c:pt>
                <c:pt idx="59">
                  <c:v>147.5625</c:v>
                </c:pt>
                <c:pt idx="60">
                  <c:v>147.875</c:v>
                </c:pt>
                <c:pt idx="61">
                  <c:v>148.75</c:v>
                </c:pt>
                <c:pt idx="62">
                  <c:v>148.8125</c:v>
                </c:pt>
                <c:pt idx="63">
                  <c:v>148.8125</c:v>
                </c:pt>
                <c:pt idx="64">
                  <c:v>147.5625</c:v>
                </c:pt>
                <c:pt idx="65">
                  <c:v>149.25</c:v>
                </c:pt>
                <c:pt idx="66">
                  <c:v>149.25</c:v>
                </c:pt>
                <c:pt idx="67">
                  <c:v>149.76470588235293</c:v>
                </c:pt>
                <c:pt idx="68">
                  <c:v>149.7647</c:v>
                </c:pt>
                <c:pt idx="69">
                  <c:v>146.58823529411765</c:v>
                </c:pt>
                <c:pt idx="70">
                  <c:v>148.94117647058823</c:v>
                </c:pt>
                <c:pt idx="71">
                  <c:v>149.47058823529412</c:v>
                </c:pt>
                <c:pt idx="72">
                  <c:v>149.47058823529412</c:v>
                </c:pt>
                <c:pt idx="73">
                  <c:v>148.35294117647058</c:v>
                </c:pt>
                <c:pt idx="74">
                  <c:v>148.0625</c:v>
                </c:pt>
                <c:pt idx="75">
                  <c:v>149.125</c:v>
                </c:pt>
                <c:pt idx="76">
                  <c:v>149.19999999999999</c:v>
                </c:pt>
                <c:pt idx="77">
                  <c:v>148.9375</c:v>
                </c:pt>
                <c:pt idx="78">
                  <c:v>148.75</c:v>
                </c:pt>
                <c:pt idx="79">
                  <c:v>147.6875</c:v>
                </c:pt>
                <c:pt idx="80">
                  <c:v>149</c:v>
                </c:pt>
                <c:pt idx="81">
                  <c:v>148.80000000000001</c:v>
                </c:pt>
                <c:pt idx="82">
                  <c:v>149.6875</c:v>
                </c:pt>
                <c:pt idx="83">
                  <c:v>148.4</c:v>
                </c:pt>
                <c:pt idx="84">
                  <c:v>148.93333333333334</c:v>
                </c:pt>
                <c:pt idx="85">
                  <c:v>149.8125</c:v>
                </c:pt>
                <c:pt idx="86">
                  <c:v>145.23529411764707</c:v>
                </c:pt>
                <c:pt idx="87">
                  <c:v>148</c:v>
                </c:pt>
                <c:pt idx="88">
                  <c:v>149.375</c:v>
                </c:pt>
                <c:pt idx="89">
                  <c:v>149.80000000000001</c:v>
                </c:pt>
                <c:pt idx="90">
                  <c:v>149.875</c:v>
                </c:pt>
                <c:pt idx="91">
                  <c:v>147.6875</c:v>
                </c:pt>
                <c:pt idx="92">
                  <c:v>147.4375</c:v>
                </c:pt>
                <c:pt idx="93">
                  <c:v>148.625</c:v>
                </c:pt>
                <c:pt idx="94">
                  <c:v>146</c:v>
                </c:pt>
                <c:pt idx="95">
                  <c:v>149</c:v>
                </c:pt>
                <c:pt idx="96">
                  <c:v>147.9375</c:v>
                </c:pt>
                <c:pt idx="97">
                  <c:v>147.46666666666667</c:v>
                </c:pt>
                <c:pt idx="98">
                  <c:v>147.28571428571428</c:v>
                </c:pt>
                <c:pt idx="99">
                  <c:v>147.4</c:v>
                </c:pt>
                <c:pt idx="100">
                  <c:v>147.66666666666666</c:v>
                </c:pt>
                <c:pt idx="101">
                  <c:v>148.33333333333334</c:v>
                </c:pt>
                <c:pt idx="102">
                  <c:v>147.26666666666668</c:v>
                </c:pt>
                <c:pt idx="103">
                  <c:v>148.25</c:v>
                </c:pt>
                <c:pt idx="104">
                  <c:v>147.75</c:v>
                </c:pt>
                <c:pt idx="105">
                  <c:v>147.375</c:v>
                </c:pt>
                <c:pt idx="106">
                  <c:v>148.375</c:v>
                </c:pt>
                <c:pt idx="107">
                  <c:v>148.46666666666667</c:v>
                </c:pt>
                <c:pt idx="108">
                  <c:v>148.53333333333333</c:v>
                </c:pt>
                <c:pt idx="109">
                  <c:v>148.19999999999999</c:v>
                </c:pt>
                <c:pt idx="110">
                  <c:v>149.66666666666666</c:v>
                </c:pt>
                <c:pt idx="111">
                  <c:v>149.13333333333333</c:v>
                </c:pt>
                <c:pt idx="112">
                  <c:v>148.21428571428572</c:v>
                </c:pt>
                <c:pt idx="113">
                  <c:v>148.93333333333334</c:v>
                </c:pt>
                <c:pt idx="114">
                  <c:v>148.4</c:v>
                </c:pt>
                <c:pt idx="115">
                  <c:v>149.76923076923077</c:v>
                </c:pt>
                <c:pt idx="116">
                  <c:v>151.4</c:v>
                </c:pt>
                <c:pt idx="117">
                  <c:v>150.69230769230768</c:v>
                </c:pt>
                <c:pt idx="118">
                  <c:v>147.53846153846155</c:v>
                </c:pt>
                <c:pt idx="119">
                  <c:v>144.92857142857142</c:v>
                </c:pt>
                <c:pt idx="120">
                  <c:v>145.53333333333333</c:v>
                </c:pt>
                <c:pt idx="121">
                  <c:v>148</c:v>
                </c:pt>
                <c:pt idx="122">
                  <c:v>140.92307692307693</c:v>
                </c:pt>
                <c:pt idx="123">
                  <c:v>138.76923076923077</c:v>
                </c:pt>
                <c:pt idx="124">
                  <c:v>137.71428571428572</c:v>
                </c:pt>
                <c:pt idx="125">
                  <c:v>137.35714285714286</c:v>
                </c:pt>
                <c:pt idx="126">
                  <c:v>139.28571428571428</c:v>
                </c:pt>
                <c:pt idx="127">
                  <c:v>136.35714285714286</c:v>
                </c:pt>
                <c:pt idx="128">
                  <c:v>136.78571428571428</c:v>
                </c:pt>
                <c:pt idx="129">
                  <c:v>134.42857142857142</c:v>
                </c:pt>
                <c:pt idx="130">
                  <c:v>144.85714285714286</c:v>
                </c:pt>
                <c:pt idx="131">
                  <c:v>144.14285714285714</c:v>
                </c:pt>
                <c:pt idx="132">
                  <c:v>142.75</c:v>
                </c:pt>
                <c:pt idx="133">
                  <c:v>147.28571428571428</c:v>
                </c:pt>
                <c:pt idx="134">
                  <c:v>145</c:v>
                </c:pt>
                <c:pt idx="135">
                  <c:v>146.14285714285714</c:v>
                </c:pt>
                <c:pt idx="136">
                  <c:v>145.71428571428572</c:v>
                </c:pt>
                <c:pt idx="137">
                  <c:v>146.21428571428572</c:v>
                </c:pt>
                <c:pt idx="138">
                  <c:v>146.64285714285714</c:v>
                </c:pt>
                <c:pt idx="139">
                  <c:v>146</c:v>
                </c:pt>
                <c:pt idx="140">
                  <c:v>145.14285714285714</c:v>
                </c:pt>
                <c:pt idx="141">
                  <c:v>140.85714285714286</c:v>
                </c:pt>
              </c:numCache>
            </c:numRef>
          </c:val>
          <c:smooth val="0"/>
        </c:ser>
        <c:ser>
          <c:idx val="4"/>
          <c:order val="2"/>
          <c:tx>
            <c:strRef>
              <c:f>乳品類!$D$2</c:f>
              <c:strCache>
                <c:ptCount val="1"/>
                <c:pt idx="0">
                  <c:v>量販店－林鳳營鮮乳</c:v>
                </c:pt>
              </c:strCache>
            </c:strRef>
          </c:tx>
          <c:spPr>
            <a:ln>
              <a:prstDash val="sysDash"/>
            </a:ln>
          </c:spPr>
          <c:marker>
            <c:symbol val="none"/>
          </c:marker>
          <c:cat>
            <c:strRef>
              <c:f>乳品類!$A$32:$A$173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乳品類!$D$32:$D$173</c:f>
              <c:numCache>
                <c:formatCode>0.00</c:formatCode>
                <c:ptCount val="142"/>
                <c:pt idx="0">
                  <c:v>143.5</c:v>
                </c:pt>
                <c:pt idx="1">
                  <c:v>144.5</c:v>
                </c:pt>
                <c:pt idx="2">
                  <c:v>143.5</c:v>
                </c:pt>
                <c:pt idx="3">
                  <c:v>144.56</c:v>
                </c:pt>
                <c:pt idx="4">
                  <c:v>143</c:v>
                </c:pt>
                <c:pt idx="5">
                  <c:v>142.77777777777777</c:v>
                </c:pt>
                <c:pt idx="6">
                  <c:v>146</c:v>
                </c:pt>
                <c:pt idx="7">
                  <c:v>145.55555555555554</c:v>
                </c:pt>
                <c:pt idx="8">
                  <c:v>147.44444444444446</c:v>
                </c:pt>
                <c:pt idx="9">
                  <c:v>145.88888888888889</c:v>
                </c:pt>
                <c:pt idx="10">
                  <c:v>145.80000000000001</c:v>
                </c:pt>
                <c:pt idx="11">
                  <c:v>146.18181818181819</c:v>
                </c:pt>
                <c:pt idx="12">
                  <c:v>147.27272727272728</c:v>
                </c:pt>
                <c:pt idx="13">
                  <c:v>147.4</c:v>
                </c:pt>
                <c:pt idx="14">
                  <c:v>145.1</c:v>
                </c:pt>
                <c:pt idx="15">
                  <c:v>145.5</c:v>
                </c:pt>
                <c:pt idx="16">
                  <c:v>145.28571428571428</c:v>
                </c:pt>
                <c:pt idx="17">
                  <c:v>145.75</c:v>
                </c:pt>
                <c:pt idx="18">
                  <c:v>146.57142857142858</c:v>
                </c:pt>
                <c:pt idx="19">
                  <c:v>146.57142857142858</c:v>
                </c:pt>
                <c:pt idx="20">
                  <c:v>148.22222222222223</c:v>
                </c:pt>
                <c:pt idx="21">
                  <c:v>148.16666666666666</c:v>
                </c:pt>
                <c:pt idx="22">
                  <c:v>148.28571428571428</c:v>
                </c:pt>
                <c:pt idx="23">
                  <c:v>146.42857142857142</c:v>
                </c:pt>
                <c:pt idx="24">
                  <c:v>147.85714285714286</c:v>
                </c:pt>
                <c:pt idx="25">
                  <c:v>146.85714285714286</c:v>
                </c:pt>
                <c:pt idx="26">
                  <c:v>147.42857142857142</c:v>
                </c:pt>
                <c:pt idx="27">
                  <c:v>148.125</c:v>
                </c:pt>
                <c:pt idx="28">
                  <c:v>148.22222222222223</c:v>
                </c:pt>
                <c:pt idx="29">
                  <c:v>148.4</c:v>
                </c:pt>
                <c:pt idx="30">
                  <c:v>147.6</c:v>
                </c:pt>
                <c:pt idx="31">
                  <c:v>146.80000000000001</c:v>
                </c:pt>
                <c:pt idx="32">
                  <c:v>147.66666666666666</c:v>
                </c:pt>
                <c:pt idx="33">
                  <c:v>147.85714285714286</c:v>
                </c:pt>
                <c:pt idx="34">
                  <c:v>148.28571428571428</c:v>
                </c:pt>
                <c:pt idx="35">
                  <c:v>153.66666666666666</c:v>
                </c:pt>
                <c:pt idx="36">
                  <c:v>148.5</c:v>
                </c:pt>
                <c:pt idx="37">
                  <c:v>147.66666666666666</c:v>
                </c:pt>
                <c:pt idx="38">
                  <c:v>152.75</c:v>
                </c:pt>
                <c:pt idx="39">
                  <c:v>146</c:v>
                </c:pt>
                <c:pt idx="40">
                  <c:v>146.66666666666666</c:v>
                </c:pt>
                <c:pt idx="41">
                  <c:v>147.30000000000001</c:v>
                </c:pt>
                <c:pt idx="42">
                  <c:v>146.9</c:v>
                </c:pt>
                <c:pt idx="43">
                  <c:v>147.1</c:v>
                </c:pt>
                <c:pt idx="44">
                  <c:v>146.44444444444446</c:v>
                </c:pt>
                <c:pt idx="45">
                  <c:v>147.33333333333334</c:v>
                </c:pt>
                <c:pt idx="46">
                  <c:v>148.66666666666666</c:v>
                </c:pt>
                <c:pt idx="47">
                  <c:v>146.44444444444446</c:v>
                </c:pt>
                <c:pt idx="48">
                  <c:v>146.44444444444446</c:v>
                </c:pt>
                <c:pt idx="49">
                  <c:v>146.44444444444446</c:v>
                </c:pt>
                <c:pt idx="50">
                  <c:v>146.22222222222223</c:v>
                </c:pt>
                <c:pt idx="51">
                  <c:v>146.66666666666666</c:v>
                </c:pt>
                <c:pt idx="52">
                  <c:v>147.33333333333334</c:v>
                </c:pt>
                <c:pt idx="53">
                  <c:v>147</c:v>
                </c:pt>
                <c:pt idx="54">
                  <c:v>147.5</c:v>
                </c:pt>
                <c:pt idx="55">
                  <c:v>146.11111111111111</c:v>
                </c:pt>
                <c:pt idx="56">
                  <c:v>146.77777777777777</c:v>
                </c:pt>
                <c:pt idx="57">
                  <c:v>146.77777777777777</c:v>
                </c:pt>
                <c:pt idx="58">
                  <c:v>147</c:v>
                </c:pt>
                <c:pt idx="59">
                  <c:v>147.6</c:v>
                </c:pt>
                <c:pt idx="60">
                  <c:v>146.5</c:v>
                </c:pt>
                <c:pt idx="61">
                  <c:v>146.55555555555554</c:v>
                </c:pt>
                <c:pt idx="62">
                  <c:v>147</c:v>
                </c:pt>
                <c:pt idx="63">
                  <c:v>147</c:v>
                </c:pt>
                <c:pt idx="64">
                  <c:v>147.19999999999999</c:v>
                </c:pt>
                <c:pt idx="65">
                  <c:v>147</c:v>
                </c:pt>
                <c:pt idx="66">
                  <c:v>147.66666666666666</c:v>
                </c:pt>
                <c:pt idx="67">
                  <c:v>147.66666666666666</c:v>
                </c:pt>
                <c:pt idx="68">
                  <c:v>148.5</c:v>
                </c:pt>
                <c:pt idx="69">
                  <c:v>148.25</c:v>
                </c:pt>
                <c:pt idx="70">
                  <c:v>150.11111111111111</c:v>
                </c:pt>
                <c:pt idx="71">
                  <c:v>154.66666666666666</c:v>
                </c:pt>
                <c:pt idx="72">
                  <c:v>148</c:v>
                </c:pt>
                <c:pt idx="73">
                  <c:v>147.71428571428572</c:v>
                </c:pt>
                <c:pt idx="74">
                  <c:v>148.25</c:v>
                </c:pt>
                <c:pt idx="75">
                  <c:v>149.625</c:v>
                </c:pt>
                <c:pt idx="76">
                  <c:v>151</c:v>
                </c:pt>
                <c:pt idx="77">
                  <c:v>148.14285714285714</c:v>
                </c:pt>
                <c:pt idx="78">
                  <c:v>148.33333333333334</c:v>
                </c:pt>
                <c:pt idx="79">
                  <c:v>148.42857142857142</c:v>
                </c:pt>
                <c:pt idx="80">
                  <c:v>148.28571428571428</c:v>
                </c:pt>
                <c:pt idx="81">
                  <c:v>148.33333333333334</c:v>
                </c:pt>
                <c:pt idx="82">
                  <c:v>148.42857142857142</c:v>
                </c:pt>
                <c:pt idx="83">
                  <c:v>148.42857142857142</c:v>
                </c:pt>
                <c:pt idx="84">
                  <c:v>148</c:v>
                </c:pt>
                <c:pt idx="85">
                  <c:v>148.28571428571428</c:v>
                </c:pt>
                <c:pt idx="86">
                  <c:v>148.375</c:v>
                </c:pt>
                <c:pt idx="87">
                  <c:v>148.125</c:v>
                </c:pt>
                <c:pt idx="88">
                  <c:v>148.5</c:v>
                </c:pt>
                <c:pt idx="89">
                  <c:v>148.22222222222223</c:v>
                </c:pt>
                <c:pt idx="90">
                  <c:v>148.22222222222223</c:v>
                </c:pt>
                <c:pt idx="91">
                  <c:v>148.6</c:v>
                </c:pt>
                <c:pt idx="92">
                  <c:v>147.80000000000001</c:v>
                </c:pt>
                <c:pt idx="93">
                  <c:v>148.80000000000001</c:v>
                </c:pt>
                <c:pt idx="94">
                  <c:v>148</c:v>
                </c:pt>
                <c:pt idx="95">
                  <c:v>147.80000000000001</c:v>
                </c:pt>
                <c:pt idx="96">
                  <c:v>147.19999999999999</c:v>
                </c:pt>
                <c:pt idx="97">
                  <c:v>146.80000000000001</c:v>
                </c:pt>
                <c:pt idx="98">
                  <c:v>146.63636363636363</c:v>
                </c:pt>
                <c:pt idx="99">
                  <c:v>147</c:v>
                </c:pt>
                <c:pt idx="100">
                  <c:v>146.81818181818181</c:v>
                </c:pt>
                <c:pt idx="101">
                  <c:v>146.80000000000001</c:v>
                </c:pt>
                <c:pt idx="102">
                  <c:v>146.72727272727272</c:v>
                </c:pt>
                <c:pt idx="103">
                  <c:v>147.09090909090909</c:v>
                </c:pt>
                <c:pt idx="104">
                  <c:v>147</c:v>
                </c:pt>
                <c:pt idx="105">
                  <c:v>147</c:v>
                </c:pt>
                <c:pt idx="106">
                  <c:v>147.54545454545453</c:v>
                </c:pt>
                <c:pt idx="107">
                  <c:v>148.63636363636363</c:v>
                </c:pt>
                <c:pt idx="108">
                  <c:v>147.75</c:v>
                </c:pt>
                <c:pt idx="109">
                  <c:v>149.375</c:v>
                </c:pt>
                <c:pt idx="110">
                  <c:v>150.75</c:v>
                </c:pt>
                <c:pt idx="111">
                  <c:v>151.28571428571428</c:v>
                </c:pt>
                <c:pt idx="112">
                  <c:v>157.66666666666666</c:v>
                </c:pt>
                <c:pt idx="113">
                  <c:v>156.33333333333334</c:v>
                </c:pt>
                <c:pt idx="114">
                  <c:v>151.4</c:v>
                </c:pt>
                <c:pt idx="115">
                  <c:v>148.80000000000001</c:v>
                </c:pt>
                <c:pt idx="116">
                  <c:v>149.69999999999999</c:v>
                </c:pt>
                <c:pt idx="117">
                  <c:v>150.09090909090909</c:v>
                </c:pt>
                <c:pt idx="118">
                  <c:v>147.72727272727272</c:v>
                </c:pt>
                <c:pt idx="119">
                  <c:v>148.18181818181819</c:v>
                </c:pt>
                <c:pt idx="120">
                  <c:v>147.54545454545453</c:v>
                </c:pt>
                <c:pt idx="121">
                  <c:v>146.27272727272728</c:v>
                </c:pt>
                <c:pt idx="122">
                  <c:v>138.09090909090909</c:v>
                </c:pt>
                <c:pt idx="123">
                  <c:v>136.45454545454547</c:v>
                </c:pt>
                <c:pt idx="124">
                  <c:v>136.09090909090909</c:v>
                </c:pt>
                <c:pt idx="125">
                  <c:v>135.54545454545453</c:v>
                </c:pt>
                <c:pt idx="126">
                  <c:v>135.90909090909091</c:v>
                </c:pt>
                <c:pt idx="127">
                  <c:v>132.09090909090909</c:v>
                </c:pt>
                <c:pt idx="128">
                  <c:v>129.72727272727272</c:v>
                </c:pt>
                <c:pt idx="129">
                  <c:v>136.27272727272728</c:v>
                </c:pt>
                <c:pt idx="130">
                  <c:v>137.36363636363637</c:v>
                </c:pt>
                <c:pt idx="131">
                  <c:v>141.45454545454547</c:v>
                </c:pt>
                <c:pt idx="132">
                  <c:v>146.45454545454547</c:v>
                </c:pt>
                <c:pt idx="133">
                  <c:v>144.90909090909091</c:v>
                </c:pt>
                <c:pt idx="134">
                  <c:v>141.54545454545453</c:v>
                </c:pt>
                <c:pt idx="135">
                  <c:v>144.125</c:v>
                </c:pt>
                <c:pt idx="136">
                  <c:v>145.19999999999999</c:v>
                </c:pt>
                <c:pt idx="137">
                  <c:v>146.63636363636363</c:v>
                </c:pt>
                <c:pt idx="138">
                  <c:v>145.18181818181819</c:v>
                </c:pt>
                <c:pt idx="139">
                  <c:v>145</c:v>
                </c:pt>
                <c:pt idx="140">
                  <c:v>141.36363636363637</c:v>
                </c:pt>
                <c:pt idx="141">
                  <c:v>138.63636363636363</c:v>
                </c:pt>
              </c:numCache>
            </c:numRef>
          </c:val>
          <c:smooth val="0"/>
        </c:ser>
        <c:dLbls>
          <c:showLegendKey val="0"/>
          <c:showVal val="0"/>
          <c:showCatName val="0"/>
          <c:showSerName val="0"/>
          <c:showPercent val="0"/>
          <c:showBubbleSize val="0"/>
        </c:dLbls>
        <c:marker val="1"/>
        <c:smooth val="0"/>
        <c:axId val="263629440"/>
        <c:axId val="263631232"/>
      </c:lineChart>
      <c:lineChart>
        <c:grouping val="standard"/>
        <c:varyColors val="0"/>
        <c:ser>
          <c:idx val="0"/>
          <c:order val="0"/>
          <c:tx>
            <c:strRef>
              <c:f>乳品類!$B$2</c:f>
              <c:strCache>
                <c:ptCount val="1"/>
                <c:pt idx="0">
                  <c:v>便利店－林鳳營鮮乳</c:v>
                </c:pt>
              </c:strCache>
            </c:strRef>
          </c:tx>
          <c:spPr>
            <a:ln>
              <a:solidFill>
                <a:schemeClr val="bg2">
                  <a:lumMod val="25000"/>
                </a:schemeClr>
              </a:solidFill>
              <a:prstDash val="sysDot"/>
            </a:ln>
          </c:spPr>
          <c:marker>
            <c:symbol val="none"/>
          </c:marker>
          <c:cat>
            <c:strRef>
              <c:f>乳品類!$A$32:$A$173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乳品類!$B$32:$B$173</c:f>
              <c:numCache>
                <c:formatCode>0.00</c:formatCode>
                <c:ptCount val="142"/>
                <c:pt idx="0">
                  <c:v>156</c:v>
                </c:pt>
                <c:pt idx="1">
                  <c:v>163</c:v>
                </c:pt>
                <c:pt idx="2">
                  <c:v>163</c:v>
                </c:pt>
                <c:pt idx="3">
                  <c:v>159.66999999999999</c:v>
                </c:pt>
                <c:pt idx="4">
                  <c:v>163</c:v>
                </c:pt>
                <c:pt idx="5">
                  <c:v>163</c:v>
                </c:pt>
                <c:pt idx="6">
                  <c:v>153.66666666666666</c:v>
                </c:pt>
                <c:pt idx="7">
                  <c:v>153</c:v>
                </c:pt>
                <c:pt idx="8">
                  <c:v>163</c:v>
                </c:pt>
                <c:pt idx="9">
                  <c:v>163</c:v>
                </c:pt>
                <c:pt idx="10">
                  <c:v>163</c:v>
                </c:pt>
                <c:pt idx="11">
                  <c:v>163</c:v>
                </c:pt>
                <c:pt idx="12">
                  <c:v>163</c:v>
                </c:pt>
                <c:pt idx="13">
                  <c:v>163</c:v>
                </c:pt>
                <c:pt idx="14">
                  <c:v>163</c:v>
                </c:pt>
                <c:pt idx="15">
                  <c:v>163</c:v>
                </c:pt>
                <c:pt idx="16">
                  <c:v>163</c:v>
                </c:pt>
                <c:pt idx="17">
                  <c:v>163</c:v>
                </c:pt>
                <c:pt idx="18">
                  <c:v>163</c:v>
                </c:pt>
                <c:pt idx="19">
                  <c:v>163</c:v>
                </c:pt>
                <c:pt idx="20">
                  <c:v>163</c:v>
                </c:pt>
                <c:pt idx="21">
                  <c:v>163</c:v>
                </c:pt>
                <c:pt idx="22">
                  <c:v>163</c:v>
                </c:pt>
                <c:pt idx="23">
                  <c:v>163</c:v>
                </c:pt>
                <c:pt idx="24">
                  <c:v>163</c:v>
                </c:pt>
                <c:pt idx="25">
                  <c:v>163</c:v>
                </c:pt>
                <c:pt idx="26">
                  <c:v>163</c:v>
                </c:pt>
                <c:pt idx="27">
                  <c:v>163</c:v>
                </c:pt>
                <c:pt idx="28">
                  <c:v>163</c:v>
                </c:pt>
                <c:pt idx="29">
                  <c:v>163</c:v>
                </c:pt>
                <c:pt idx="30">
                  <c:v>163</c:v>
                </c:pt>
                <c:pt idx="31">
                  <c:v>163</c:v>
                </c:pt>
                <c:pt idx="32">
                  <c:v>163</c:v>
                </c:pt>
                <c:pt idx="33">
                  <c:v>163</c:v>
                </c:pt>
                <c:pt idx="34">
                  <c:v>163</c:v>
                </c:pt>
                <c:pt idx="35">
                  <c:v>163</c:v>
                </c:pt>
                <c:pt idx="36">
                  <c:v>163</c:v>
                </c:pt>
                <c:pt idx="37">
                  <c:v>163</c:v>
                </c:pt>
                <c:pt idx="38">
                  <c:v>163</c:v>
                </c:pt>
                <c:pt idx="39">
                  <c:v>158.33333333333334</c:v>
                </c:pt>
                <c:pt idx="40">
                  <c:v>158.33333333333334</c:v>
                </c:pt>
                <c:pt idx="41">
                  <c:v>158.33333333333334</c:v>
                </c:pt>
                <c:pt idx="42">
                  <c:v>156</c:v>
                </c:pt>
                <c:pt idx="43">
                  <c:v>163</c:v>
                </c:pt>
                <c:pt idx="44">
                  <c:v>163</c:v>
                </c:pt>
                <c:pt idx="45">
                  <c:v>163</c:v>
                </c:pt>
                <c:pt idx="46">
                  <c:v>163</c:v>
                </c:pt>
                <c:pt idx="47">
                  <c:v>163</c:v>
                </c:pt>
                <c:pt idx="48">
                  <c:v>158.33333333333334</c:v>
                </c:pt>
                <c:pt idx="49">
                  <c:v>153.66666666666666</c:v>
                </c:pt>
                <c:pt idx="50">
                  <c:v>153.66666666666666</c:v>
                </c:pt>
                <c:pt idx="51">
                  <c:v>158.33333333333334</c:v>
                </c:pt>
                <c:pt idx="52">
                  <c:v>153.66666666666666</c:v>
                </c:pt>
                <c:pt idx="53">
                  <c:v>153.66666666666666</c:v>
                </c:pt>
                <c:pt idx="54">
                  <c:v>156</c:v>
                </c:pt>
                <c:pt idx="55">
                  <c:v>149</c:v>
                </c:pt>
                <c:pt idx="56">
                  <c:v>149</c:v>
                </c:pt>
                <c:pt idx="57">
                  <c:v>156</c:v>
                </c:pt>
                <c:pt idx="58">
                  <c:v>156</c:v>
                </c:pt>
                <c:pt idx="59">
                  <c:v>156</c:v>
                </c:pt>
                <c:pt idx="60">
                  <c:v>156</c:v>
                </c:pt>
                <c:pt idx="61">
                  <c:v>156</c:v>
                </c:pt>
                <c:pt idx="62">
                  <c:v>156</c:v>
                </c:pt>
                <c:pt idx="63">
                  <c:v>156</c:v>
                </c:pt>
                <c:pt idx="64">
                  <c:v>154.33333333333334</c:v>
                </c:pt>
                <c:pt idx="65">
                  <c:v>136.33333333333334</c:v>
                </c:pt>
                <c:pt idx="66">
                  <c:v>123</c:v>
                </c:pt>
                <c:pt idx="67">
                  <c:v>163</c:v>
                </c:pt>
                <c:pt idx="68">
                  <c:v>163</c:v>
                </c:pt>
                <c:pt idx="69">
                  <c:v>163</c:v>
                </c:pt>
                <c:pt idx="70">
                  <c:v>163</c:v>
                </c:pt>
                <c:pt idx="71">
                  <c:v>163</c:v>
                </c:pt>
                <c:pt idx="72">
                  <c:v>163</c:v>
                </c:pt>
                <c:pt idx="73">
                  <c:v>163</c:v>
                </c:pt>
                <c:pt idx="74">
                  <c:v>163</c:v>
                </c:pt>
                <c:pt idx="75">
                  <c:v>163</c:v>
                </c:pt>
                <c:pt idx="76">
                  <c:v>163</c:v>
                </c:pt>
                <c:pt idx="77">
                  <c:v>163</c:v>
                </c:pt>
                <c:pt idx="78">
                  <c:v>163</c:v>
                </c:pt>
                <c:pt idx="79">
                  <c:v>163</c:v>
                </c:pt>
                <c:pt idx="80">
                  <c:v>163</c:v>
                </c:pt>
                <c:pt idx="81">
                  <c:v>163</c:v>
                </c:pt>
                <c:pt idx="82">
                  <c:v>163</c:v>
                </c:pt>
                <c:pt idx="83">
                  <c:v>163</c:v>
                </c:pt>
                <c:pt idx="84">
                  <c:v>163</c:v>
                </c:pt>
                <c:pt idx="85">
                  <c:v>163</c:v>
                </c:pt>
                <c:pt idx="86">
                  <c:v>163</c:v>
                </c:pt>
                <c:pt idx="87">
                  <c:v>163</c:v>
                </c:pt>
                <c:pt idx="88">
                  <c:v>163</c:v>
                </c:pt>
                <c:pt idx="89">
                  <c:v>163</c:v>
                </c:pt>
                <c:pt idx="90">
                  <c:v>163</c:v>
                </c:pt>
                <c:pt idx="91">
                  <c:v>158.33333333333334</c:v>
                </c:pt>
                <c:pt idx="92">
                  <c:v>149</c:v>
                </c:pt>
                <c:pt idx="93">
                  <c:v>149</c:v>
                </c:pt>
                <c:pt idx="94">
                  <c:v>149</c:v>
                </c:pt>
                <c:pt idx="95">
                  <c:v>149</c:v>
                </c:pt>
                <c:pt idx="96">
                  <c:v>148.33333333333334</c:v>
                </c:pt>
                <c:pt idx="97">
                  <c:v>153.66666666666666</c:v>
                </c:pt>
                <c:pt idx="98">
                  <c:v>153.66666666666666</c:v>
                </c:pt>
                <c:pt idx="99">
                  <c:v>153.66666666666666</c:v>
                </c:pt>
                <c:pt idx="100">
                  <c:v>153.66666666666666</c:v>
                </c:pt>
                <c:pt idx="101">
                  <c:v>153.66666666666666</c:v>
                </c:pt>
                <c:pt idx="102">
                  <c:v>153.66666666666666</c:v>
                </c:pt>
                <c:pt idx="103">
                  <c:v>153.66666666666666</c:v>
                </c:pt>
                <c:pt idx="104">
                  <c:v>153.66666666666666</c:v>
                </c:pt>
                <c:pt idx="105">
                  <c:v>149</c:v>
                </c:pt>
                <c:pt idx="106">
                  <c:v>153.66666666666666</c:v>
                </c:pt>
                <c:pt idx="107">
                  <c:v>153.66666666666666</c:v>
                </c:pt>
                <c:pt idx="108">
                  <c:v>158.33333333333334</c:v>
                </c:pt>
                <c:pt idx="109">
                  <c:v>158.33333333333334</c:v>
                </c:pt>
                <c:pt idx="110">
                  <c:v>158.33333333333334</c:v>
                </c:pt>
                <c:pt idx="111">
                  <c:v>158.33333333333334</c:v>
                </c:pt>
                <c:pt idx="112">
                  <c:v>163</c:v>
                </c:pt>
                <c:pt idx="113">
                  <c:v>163</c:v>
                </c:pt>
                <c:pt idx="114">
                  <c:v>163</c:v>
                </c:pt>
                <c:pt idx="115">
                  <c:v>163</c:v>
                </c:pt>
                <c:pt idx="116">
                  <c:v>163</c:v>
                </c:pt>
                <c:pt idx="117">
                  <c:v>150</c:v>
                </c:pt>
                <c:pt idx="118">
                  <c:v>156</c:v>
                </c:pt>
                <c:pt idx="119">
                  <c:v>156</c:v>
                </c:pt>
                <c:pt idx="120">
                  <c:v>156</c:v>
                </c:pt>
                <c:pt idx="121">
                  <c:v>149</c:v>
                </c:pt>
                <c:pt idx="122">
                  <c:v>149</c:v>
                </c:pt>
                <c:pt idx="123">
                  <c:v>156</c:v>
                </c:pt>
                <c:pt idx="124">
                  <c:v>156</c:v>
                </c:pt>
                <c:pt idx="125">
                  <c:v>156</c:v>
                </c:pt>
                <c:pt idx="126">
                  <c:v>156</c:v>
                </c:pt>
                <c:pt idx="127">
                  <c:v>149</c:v>
                </c:pt>
                <c:pt idx="128">
                  <c:v>149</c:v>
                </c:pt>
                <c:pt idx="129">
                  <c:v>149</c:v>
                </c:pt>
                <c:pt idx="130">
                  <c:v>144</c:v>
                </c:pt>
                <c:pt idx="131">
                  <c:v>148</c:v>
                </c:pt>
                <c:pt idx="132">
                  <c:v>149</c:v>
                </c:pt>
                <c:pt idx="133">
                  <c:v>156</c:v>
                </c:pt>
                <c:pt idx="134">
                  <c:v>149</c:v>
                </c:pt>
                <c:pt idx="135">
                  <c:v>156</c:v>
                </c:pt>
                <c:pt idx="136">
                  <c:v>156</c:v>
                </c:pt>
                <c:pt idx="137">
                  <c:v>156</c:v>
                </c:pt>
                <c:pt idx="138">
                  <c:v>156</c:v>
                </c:pt>
                <c:pt idx="139">
                  <c:v>149</c:v>
                </c:pt>
                <c:pt idx="140">
                  <c:v>149</c:v>
                </c:pt>
                <c:pt idx="141">
                  <c:v>145.66666666666666</c:v>
                </c:pt>
              </c:numCache>
            </c:numRef>
          </c:val>
          <c:smooth val="0"/>
        </c:ser>
        <c:dLbls>
          <c:showLegendKey val="0"/>
          <c:showVal val="0"/>
          <c:showCatName val="0"/>
          <c:showSerName val="0"/>
          <c:showPercent val="0"/>
          <c:showBubbleSize val="0"/>
        </c:dLbls>
        <c:marker val="1"/>
        <c:smooth val="0"/>
        <c:axId val="263632768"/>
        <c:axId val="263634304"/>
      </c:lineChart>
      <c:dateAx>
        <c:axId val="263629440"/>
        <c:scaling>
          <c:orientation val="minMax"/>
        </c:scaling>
        <c:delete val="0"/>
        <c:axPos val="b"/>
        <c:numFmt formatCode="m/d/yy" sourceLinked="0"/>
        <c:majorTickMark val="out"/>
        <c:minorTickMark val="none"/>
        <c:tickLblPos val="nextTo"/>
        <c:txPr>
          <a:bodyPr rot="-2700000"/>
          <a:lstStyle/>
          <a:p>
            <a:pPr>
              <a:defRPr/>
            </a:pPr>
            <a:endParaRPr lang="zh-TW"/>
          </a:p>
        </c:txPr>
        <c:crossAx val="263631232"/>
        <c:crosses val="autoZero"/>
        <c:auto val="0"/>
        <c:lblOffset val="100"/>
        <c:baseTimeUnit val="days"/>
        <c:majorUnit val="5"/>
        <c:majorTimeUnit val="days"/>
        <c:minorUnit val="3"/>
        <c:minorTimeUnit val="days"/>
      </c:dateAx>
      <c:valAx>
        <c:axId val="263631232"/>
        <c:scaling>
          <c:orientation val="minMax"/>
          <c:max val="160"/>
          <c:min val="125"/>
        </c:scaling>
        <c:delete val="0"/>
        <c:axPos val="l"/>
        <c:numFmt formatCode="#,##0.0_);[Red]\(#,##0.0\)" sourceLinked="0"/>
        <c:majorTickMark val="out"/>
        <c:minorTickMark val="none"/>
        <c:tickLblPos val="nextTo"/>
        <c:crossAx val="263629440"/>
        <c:crosses val="autoZero"/>
        <c:crossBetween val="between"/>
      </c:valAx>
      <c:catAx>
        <c:axId val="263632768"/>
        <c:scaling>
          <c:orientation val="minMax"/>
        </c:scaling>
        <c:delete val="1"/>
        <c:axPos val="b"/>
        <c:numFmt formatCode="General" sourceLinked="1"/>
        <c:majorTickMark val="out"/>
        <c:minorTickMark val="none"/>
        <c:tickLblPos val="nextTo"/>
        <c:crossAx val="263634304"/>
        <c:crosses val="autoZero"/>
        <c:auto val="1"/>
        <c:lblAlgn val="ctr"/>
        <c:lblOffset val="100"/>
        <c:noMultiLvlLbl val="0"/>
      </c:catAx>
      <c:valAx>
        <c:axId val="263634304"/>
        <c:scaling>
          <c:orientation val="minMax"/>
          <c:max val="170"/>
          <c:min val="120"/>
        </c:scaling>
        <c:delete val="0"/>
        <c:axPos val="r"/>
        <c:numFmt formatCode="#,##0.0_);[Red]\(#,##0.0\)" sourceLinked="0"/>
        <c:majorTickMark val="out"/>
        <c:minorTickMark val="none"/>
        <c:tickLblPos val="nextTo"/>
        <c:crossAx val="263632768"/>
        <c:crosses val="max"/>
        <c:crossBetween val="between"/>
      </c:valAx>
      <c:spPr>
        <a:noFill/>
        <a:ln w="25400">
          <a:noFill/>
        </a:ln>
      </c:spPr>
    </c:plotArea>
    <c:legend>
      <c:legendPos val="r"/>
      <c:layout>
        <c:manualLayout>
          <c:xMode val="edge"/>
          <c:yMode val="edge"/>
          <c:x val="8.8655444258510449E-2"/>
          <c:y val="0.52234058167249964"/>
          <c:w val="0.3296993083570755"/>
          <c:h val="0.21833742297046155"/>
        </c:manualLayout>
      </c:layout>
      <c:overlay val="0"/>
    </c:legend>
    <c:plotVisOnly val="1"/>
    <c:dispBlanksAs val="gap"/>
    <c:showDLblsOverMax val="0"/>
  </c:chart>
  <c:spPr>
    <a:noFill/>
    <a:ln w="9525">
      <a:noFill/>
    </a:ln>
  </c:spPr>
  <c:txPr>
    <a:bodyPr/>
    <a:lstStyle/>
    <a:p>
      <a:pPr>
        <a:defRPr>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7584480600750937E-2"/>
          <c:y val="2.1176470588235293E-2"/>
          <c:w val="0.884234238932054"/>
          <c:h val="0.82352941176470584"/>
        </c:manualLayout>
      </c:layout>
      <c:lineChart>
        <c:grouping val="standard"/>
        <c:varyColors val="0"/>
        <c:ser>
          <c:idx val="0"/>
          <c:order val="0"/>
          <c:tx>
            <c:strRef>
              <c:f>奶粉!$B$2</c:f>
              <c:strCache>
                <c:ptCount val="1"/>
                <c:pt idx="0">
                  <c:v>超市－克寧</c:v>
                </c:pt>
              </c:strCache>
            </c:strRef>
          </c:tx>
          <c:spPr>
            <a:ln w="50800" cap="rnd" cmpd="sng">
              <a:prstDash val="sysDot"/>
            </a:ln>
          </c:spPr>
          <c:marker>
            <c:symbol val="none"/>
          </c:marker>
          <c:cat>
            <c:strRef>
              <c:f>奶粉!$A$32:$A$173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奶粉!$B$32:$B$173</c:f>
              <c:numCache>
                <c:formatCode>0.00_ </c:formatCode>
                <c:ptCount val="142"/>
                <c:pt idx="0">
                  <c:v>360.53846153846155</c:v>
                </c:pt>
                <c:pt idx="1">
                  <c:v>338.13333333333333</c:v>
                </c:pt>
                <c:pt idx="2">
                  <c:v>349.86</c:v>
                </c:pt>
                <c:pt idx="3">
                  <c:v>338.33</c:v>
                </c:pt>
                <c:pt idx="4">
                  <c:v>342.87</c:v>
                </c:pt>
                <c:pt idx="5">
                  <c:v>334.67</c:v>
                </c:pt>
                <c:pt idx="6">
                  <c:v>354.07692307692309</c:v>
                </c:pt>
                <c:pt idx="7">
                  <c:v>353.76923076923077</c:v>
                </c:pt>
                <c:pt idx="8">
                  <c:v>347</c:v>
                </c:pt>
                <c:pt idx="9">
                  <c:v>344</c:v>
                </c:pt>
                <c:pt idx="10">
                  <c:v>340.5</c:v>
                </c:pt>
                <c:pt idx="11">
                  <c:v>341.125</c:v>
                </c:pt>
                <c:pt idx="12">
                  <c:v>338.625</c:v>
                </c:pt>
                <c:pt idx="13">
                  <c:v>347.53333333333336</c:v>
                </c:pt>
                <c:pt idx="14">
                  <c:v>345.47058823529414</c:v>
                </c:pt>
                <c:pt idx="15">
                  <c:v>338.375</c:v>
                </c:pt>
                <c:pt idx="16">
                  <c:v>334.4375</c:v>
                </c:pt>
                <c:pt idx="17">
                  <c:v>351.35294117647061</c:v>
                </c:pt>
                <c:pt idx="18">
                  <c:v>351.35294117647061</c:v>
                </c:pt>
                <c:pt idx="19">
                  <c:v>362.58823529411762</c:v>
                </c:pt>
                <c:pt idx="20">
                  <c:v>339.125</c:v>
                </c:pt>
                <c:pt idx="21">
                  <c:v>343.9375</c:v>
                </c:pt>
                <c:pt idx="22">
                  <c:v>352.73333333333335</c:v>
                </c:pt>
                <c:pt idx="23">
                  <c:v>350.6</c:v>
                </c:pt>
                <c:pt idx="24">
                  <c:v>346.47058823529414</c:v>
                </c:pt>
                <c:pt idx="25">
                  <c:v>332.25</c:v>
                </c:pt>
                <c:pt idx="26">
                  <c:v>334.13333333333333</c:v>
                </c:pt>
                <c:pt idx="27">
                  <c:v>338.9375</c:v>
                </c:pt>
                <c:pt idx="28">
                  <c:v>339.25</c:v>
                </c:pt>
                <c:pt idx="29">
                  <c:v>341.75</c:v>
                </c:pt>
                <c:pt idx="30">
                  <c:v>339.875</c:v>
                </c:pt>
                <c:pt idx="31">
                  <c:v>346.625</c:v>
                </c:pt>
                <c:pt idx="32">
                  <c:v>346.125</c:v>
                </c:pt>
                <c:pt idx="33">
                  <c:v>338.6875</c:v>
                </c:pt>
                <c:pt idx="34">
                  <c:v>331.4</c:v>
                </c:pt>
                <c:pt idx="35">
                  <c:v>331.5</c:v>
                </c:pt>
                <c:pt idx="36">
                  <c:v>331.5</c:v>
                </c:pt>
                <c:pt idx="37">
                  <c:v>322.375</c:v>
                </c:pt>
                <c:pt idx="38">
                  <c:v>322.1875</c:v>
                </c:pt>
                <c:pt idx="39">
                  <c:v>340.5625</c:v>
                </c:pt>
                <c:pt idx="40">
                  <c:v>340.2</c:v>
                </c:pt>
                <c:pt idx="41">
                  <c:v>331.75</c:v>
                </c:pt>
                <c:pt idx="42">
                  <c:v>325.5</c:v>
                </c:pt>
                <c:pt idx="43">
                  <c:v>339.25</c:v>
                </c:pt>
                <c:pt idx="44">
                  <c:v>336.75</c:v>
                </c:pt>
                <c:pt idx="45">
                  <c:v>324.60000000000002</c:v>
                </c:pt>
                <c:pt idx="46">
                  <c:v>324.60000000000002</c:v>
                </c:pt>
                <c:pt idx="47">
                  <c:v>332.125</c:v>
                </c:pt>
                <c:pt idx="48">
                  <c:v>334</c:v>
                </c:pt>
                <c:pt idx="49">
                  <c:v>334</c:v>
                </c:pt>
                <c:pt idx="50">
                  <c:v>335.5</c:v>
                </c:pt>
                <c:pt idx="51">
                  <c:v>335.93333333333334</c:v>
                </c:pt>
                <c:pt idx="52">
                  <c:v>340.625</c:v>
                </c:pt>
                <c:pt idx="53">
                  <c:v>343.05882352941177</c:v>
                </c:pt>
                <c:pt idx="54">
                  <c:v>339.625</c:v>
                </c:pt>
                <c:pt idx="55">
                  <c:v>328.47058823529414</c:v>
                </c:pt>
                <c:pt idx="56">
                  <c:v>332.8235294117647</c:v>
                </c:pt>
                <c:pt idx="57">
                  <c:v>330.5625</c:v>
                </c:pt>
                <c:pt idx="58">
                  <c:v>336.75</c:v>
                </c:pt>
                <c:pt idx="59">
                  <c:v>333.6875</c:v>
                </c:pt>
                <c:pt idx="60">
                  <c:v>338.0625</c:v>
                </c:pt>
                <c:pt idx="61">
                  <c:v>335.5</c:v>
                </c:pt>
                <c:pt idx="62">
                  <c:v>327.6875</c:v>
                </c:pt>
                <c:pt idx="63">
                  <c:v>338</c:v>
                </c:pt>
                <c:pt idx="64">
                  <c:v>337.05882352941177</c:v>
                </c:pt>
                <c:pt idx="65">
                  <c:v>327</c:v>
                </c:pt>
                <c:pt idx="66">
                  <c:v>326.29411764705884</c:v>
                </c:pt>
                <c:pt idx="67">
                  <c:v>326.52941176470586</c:v>
                </c:pt>
                <c:pt idx="68">
                  <c:v>326.52940000000001</c:v>
                </c:pt>
                <c:pt idx="69">
                  <c:v>361.94117647058823</c:v>
                </c:pt>
                <c:pt idx="70">
                  <c:v>413.8125</c:v>
                </c:pt>
                <c:pt idx="71">
                  <c:v>414.94117647058823</c:v>
                </c:pt>
                <c:pt idx="72">
                  <c:v>402.52941176470586</c:v>
                </c:pt>
                <c:pt idx="73">
                  <c:v>396.76470588235293</c:v>
                </c:pt>
                <c:pt idx="74">
                  <c:v>387.58823529411762</c:v>
                </c:pt>
                <c:pt idx="75">
                  <c:v>394.1764705882353</c:v>
                </c:pt>
                <c:pt idx="76">
                  <c:v>395.0625</c:v>
                </c:pt>
                <c:pt idx="77">
                  <c:v>384.1764705882353</c:v>
                </c:pt>
                <c:pt idx="78">
                  <c:v>376.05882352941177</c:v>
                </c:pt>
                <c:pt idx="79">
                  <c:v>369.5</c:v>
                </c:pt>
                <c:pt idx="80">
                  <c:v>380.5</c:v>
                </c:pt>
                <c:pt idx="81">
                  <c:v>385.61111111111109</c:v>
                </c:pt>
                <c:pt idx="82">
                  <c:v>400.11111111111109</c:v>
                </c:pt>
                <c:pt idx="83">
                  <c:v>398.33333333333331</c:v>
                </c:pt>
                <c:pt idx="84">
                  <c:v>388.27777777777777</c:v>
                </c:pt>
                <c:pt idx="85">
                  <c:v>375.22222222222223</c:v>
                </c:pt>
                <c:pt idx="86">
                  <c:v>371.33333333333331</c:v>
                </c:pt>
                <c:pt idx="87">
                  <c:v>374.22222222222223</c:v>
                </c:pt>
                <c:pt idx="88">
                  <c:v>375.33333333333331</c:v>
                </c:pt>
                <c:pt idx="89">
                  <c:v>375.33333333333331</c:v>
                </c:pt>
                <c:pt idx="90">
                  <c:v>372.55555555555554</c:v>
                </c:pt>
                <c:pt idx="91">
                  <c:v>389.88888888888891</c:v>
                </c:pt>
                <c:pt idx="92">
                  <c:v>392.66666666666669</c:v>
                </c:pt>
                <c:pt idx="93">
                  <c:v>380.44444444444446</c:v>
                </c:pt>
                <c:pt idx="94">
                  <c:v>395.44444444444446</c:v>
                </c:pt>
                <c:pt idx="95">
                  <c:v>387.47058823529414</c:v>
                </c:pt>
                <c:pt idx="96">
                  <c:v>381.44444444444446</c:v>
                </c:pt>
                <c:pt idx="97">
                  <c:v>368.52941176470586</c:v>
                </c:pt>
                <c:pt idx="98">
                  <c:v>366.625</c:v>
                </c:pt>
                <c:pt idx="99">
                  <c:v>372.25</c:v>
                </c:pt>
                <c:pt idx="100">
                  <c:v>375</c:v>
                </c:pt>
                <c:pt idx="101">
                  <c:v>378.625</c:v>
                </c:pt>
                <c:pt idx="102">
                  <c:v>368.52941176470586</c:v>
                </c:pt>
                <c:pt idx="103">
                  <c:v>384.47058823529414</c:v>
                </c:pt>
                <c:pt idx="104">
                  <c:v>387.58823529411762</c:v>
                </c:pt>
                <c:pt idx="105">
                  <c:v>387.23529411764707</c:v>
                </c:pt>
                <c:pt idx="106">
                  <c:v>390</c:v>
                </c:pt>
                <c:pt idx="107">
                  <c:v>388.86666666666667</c:v>
                </c:pt>
                <c:pt idx="108">
                  <c:v>402.125</c:v>
                </c:pt>
                <c:pt idx="109">
                  <c:v>402.125</c:v>
                </c:pt>
                <c:pt idx="110">
                  <c:v>400.73333333333335</c:v>
                </c:pt>
                <c:pt idx="111">
                  <c:v>392.25</c:v>
                </c:pt>
                <c:pt idx="112">
                  <c:v>383.25</c:v>
                </c:pt>
                <c:pt idx="113">
                  <c:v>381.55882352941177</c:v>
                </c:pt>
                <c:pt idx="114">
                  <c:v>357.875</c:v>
                </c:pt>
                <c:pt idx="115">
                  <c:v>356.9375</c:v>
                </c:pt>
                <c:pt idx="116">
                  <c:v>382.5</c:v>
                </c:pt>
                <c:pt idx="117">
                  <c:v>372.73333333333335</c:v>
                </c:pt>
                <c:pt idx="118">
                  <c:v>362.73333333333335</c:v>
                </c:pt>
                <c:pt idx="119">
                  <c:v>352.1764705882353</c:v>
                </c:pt>
                <c:pt idx="120">
                  <c:v>360.0625</c:v>
                </c:pt>
                <c:pt idx="121">
                  <c:v>338.625</c:v>
                </c:pt>
                <c:pt idx="122">
                  <c:v>341.26666666666665</c:v>
                </c:pt>
                <c:pt idx="123">
                  <c:v>335.75</c:v>
                </c:pt>
                <c:pt idx="124">
                  <c:v>343.75</c:v>
                </c:pt>
                <c:pt idx="125">
                  <c:v>344.375</c:v>
                </c:pt>
                <c:pt idx="126">
                  <c:v>334.25</c:v>
                </c:pt>
                <c:pt idx="127">
                  <c:v>339.5</c:v>
                </c:pt>
                <c:pt idx="128">
                  <c:v>348.125</c:v>
                </c:pt>
                <c:pt idx="129">
                  <c:v>349.75</c:v>
                </c:pt>
                <c:pt idx="130">
                  <c:v>346.875</c:v>
                </c:pt>
                <c:pt idx="131">
                  <c:v>348.75</c:v>
                </c:pt>
                <c:pt idx="132">
                  <c:v>345.3125</c:v>
                </c:pt>
                <c:pt idx="133">
                  <c:v>347.3125</c:v>
                </c:pt>
                <c:pt idx="134">
                  <c:v>338.53333333333336</c:v>
                </c:pt>
                <c:pt idx="135">
                  <c:v>345.53333333333336</c:v>
                </c:pt>
                <c:pt idx="136">
                  <c:v>333.46666666666664</c:v>
                </c:pt>
                <c:pt idx="137">
                  <c:v>339.4375</c:v>
                </c:pt>
                <c:pt idx="138">
                  <c:v>335.6875</c:v>
                </c:pt>
                <c:pt idx="139">
                  <c:v>330.0625</c:v>
                </c:pt>
                <c:pt idx="140">
                  <c:v>335.46666666666664</c:v>
                </c:pt>
                <c:pt idx="141">
                  <c:v>345.6875</c:v>
                </c:pt>
              </c:numCache>
            </c:numRef>
          </c:val>
          <c:smooth val="1"/>
        </c:ser>
        <c:ser>
          <c:idx val="1"/>
          <c:order val="1"/>
          <c:tx>
            <c:strRef>
              <c:f>奶粉!$C$2</c:f>
              <c:strCache>
                <c:ptCount val="1"/>
                <c:pt idx="0">
                  <c:v>超市－雀巢</c:v>
                </c:pt>
              </c:strCache>
            </c:strRef>
          </c:tx>
          <c:marker>
            <c:symbol val="none"/>
          </c:marker>
          <c:cat>
            <c:strRef>
              <c:f>奶粉!$A$32:$A$173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奶粉!$C$32:$C$173</c:f>
              <c:numCache>
                <c:formatCode>0.00_ </c:formatCode>
                <c:ptCount val="142"/>
                <c:pt idx="0">
                  <c:v>359.33333333333331</c:v>
                </c:pt>
                <c:pt idx="1">
                  <c:v>353.125</c:v>
                </c:pt>
                <c:pt idx="2">
                  <c:v>355.25</c:v>
                </c:pt>
                <c:pt idx="3">
                  <c:v>355.25</c:v>
                </c:pt>
                <c:pt idx="4">
                  <c:v>345.57</c:v>
                </c:pt>
                <c:pt idx="5">
                  <c:v>353.5</c:v>
                </c:pt>
                <c:pt idx="6">
                  <c:v>360.88888888888891</c:v>
                </c:pt>
                <c:pt idx="7">
                  <c:v>363.11111111111109</c:v>
                </c:pt>
                <c:pt idx="8">
                  <c:v>363.11111111111109</c:v>
                </c:pt>
                <c:pt idx="9">
                  <c:v>364.7</c:v>
                </c:pt>
                <c:pt idx="10">
                  <c:v>354.36363636363637</c:v>
                </c:pt>
                <c:pt idx="11">
                  <c:v>356.18181818181819</c:v>
                </c:pt>
                <c:pt idx="12">
                  <c:v>353.09090909090907</c:v>
                </c:pt>
                <c:pt idx="13">
                  <c:v>349.2</c:v>
                </c:pt>
                <c:pt idx="14">
                  <c:v>353.09090909090907</c:v>
                </c:pt>
                <c:pt idx="15">
                  <c:v>353.09090909090907</c:v>
                </c:pt>
                <c:pt idx="16">
                  <c:v>353.09090909090907</c:v>
                </c:pt>
                <c:pt idx="17">
                  <c:v>353.09090909090907</c:v>
                </c:pt>
                <c:pt idx="18">
                  <c:v>353.09090909090907</c:v>
                </c:pt>
                <c:pt idx="19">
                  <c:v>350.72727272727275</c:v>
                </c:pt>
                <c:pt idx="20">
                  <c:v>350.72727272727275</c:v>
                </c:pt>
                <c:pt idx="21">
                  <c:v>352</c:v>
                </c:pt>
                <c:pt idx="22">
                  <c:v>358.7</c:v>
                </c:pt>
                <c:pt idx="23">
                  <c:v>362.8</c:v>
                </c:pt>
                <c:pt idx="24">
                  <c:v>363.09090909090907</c:v>
                </c:pt>
                <c:pt idx="25">
                  <c:v>365.45454545454544</c:v>
                </c:pt>
                <c:pt idx="26">
                  <c:v>360.54545454545456</c:v>
                </c:pt>
                <c:pt idx="27">
                  <c:v>356</c:v>
                </c:pt>
                <c:pt idx="28">
                  <c:v>353.61538461538464</c:v>
                </c:pt>
                <c:pt idx="29">
                  <c:v>358.66666666666669</c:v>
                </c:pt>
                <c:pt idx="30">
                  <c:v>359.5</c:v>
                </c:pt>
                <c:pt idx="31">
                  <c:v>353.08333333333331</c:v>
                </c:pt>
                <c:pt idx="32">
                  <c:v>354.16666666666669</c:v>
                </c:pt>
                <c:pt idx="33">
                  <c:v>354.16666666666669</c:v>
                </c:pt>
                <c:pt idx="34">
                  <c:v>351.90909090909093</c:v>
                </c:pt>
                <c:pt idx="35">
                  <c:v>350.5</c:v>
                </c:pt>
                <c:pt idx="36">
                  <c:v>350.5</c:v>
                </c:pt>
                <c:pt idx="37">
                  <c:v>346.08333333333331</c:v>
                </c:pt>
                <c:pt idx="38">
                  <c:v>346.08333333333331</c:v>
                </c:pt>
                <c:pt idx="39">
                  <c:v>350.90909090909093</c:v>
                </c:pt>
                <c:pt idx="40">
                  <c:v>350.90909090909093</c:v>
                </c:pt>
                <c:pt idx="41">
                  <c:v>353.72727272727275</c:v>
                </c:pt>
                <c:pt idx="42">
                  <c:v>350.27272727272725</c:v>
                </c:pt>
                <c:pt idx="43">
                  <c:v>347.27272727272725</c:v>
                </c:pt>
                <c:pt idx="44">
                  <c:v>347.27272727272725</c:v>
                </c:pt>
                <c:pt idx="45">
                  <c:v>347.54545454545456</c:v>
                </c:pt>
                <c:pt idx="46">
                  <c:v>343.1</c:v>
                </c:pt>
                <c:pt idx="47">
                  <c:v>348.6</c:v>
                </c:pt>
                <c:pt idx="48">
                  <c:v>344.09090909090907</c:v>
                </c:pt>
                <c:pt idx="49">
                  <c:v>343.45454545454544</c:v>
                </c:pt>
                <c:pt idx="50">
                  <c:v>338.63636363636363</c:v>
                </c:pt>
                <c:pt idx="51">
                  <c:v>345.45454545454544</c:v>
                </c:pt>
                <c:pt idx="52">
                  <c:v>345.45454545454544</c:v>
                </c:pt>
                <c:pt idx="53">
                  <c:v>340.8</c:v>
                </c:pt>
                <c:pt idx="54">
                  <c:v>341.81818181818181</c:v>
                </c:pt>
                <c:pt idx="55">
                  <c:v>339.72727272727275</c:v>
                </c:pt>
                <c:pt idx="56">
                  <c:v>339.72727272727275</c:v>
                </c:pt>
                <c:pt idx="57">
                  <c:v>341.54545454545456</c:v>
                </c:pt>
                <c:pt idx="58">
                  <c:v>343.63636363636363</c:v>
                </c:pt>
                <c:pt idx="59">
                  <c:v>343.63636363636363</c:v>
                </c:pt>
                <c:pt idx="60">
                  <c:v>343.63636363636363</c:v>
                </c:pt>
                <c:pt idx="61">
                  <c:v>345.45454545454544</c:v>
                </c:pt>
                <c:pt idx="62">
                  <c:v>347.5</c:v>
                </c:pt>
                <c:pt idx="63">
                  <c:v>342.22222222222223</c:v>
                </c:pt>
                <c:pt idx="64">
                  <c:v>346.9</c:v>
                </c:pt>
                <c:pt idx="65">
                  <c:v>343.6</c:v>
                </c:pt>
                <c:pt idx="66">
                  <c:v>343.6</c:v>
                </c:pt>
                <c:pt idx="67">
                  <c:v>342</c:v>
                </c:pt>
                <c:pt idx="68">
                  <c:v>345.63639999999998</c:v>
                </c:pt>
                <c:pt idx="69">
                  <c:v>370.18181818181819</c:v>
                </c:pt>
                <c:pt idx="70">
                  <c:v>417.08333333333331</c:v>
                </c:pt>
                <c:pt idx="71">
                  <c:v>422.16666666666669</c:v>
                </c:pt>
                <c:pt idx="72">
                  <c:v>422.16666666666669</c:v>
                </c:pt>
                <c:pt idx="73">
                  <c:v>421.33333333333331</c:v>
                </c:pt>
                <c:pt idx="74">
                  <c:v>409.83333333333331</c:v>
                </c:pt>
                <c:pt idx="75">
                  <c:v>409.83333333333331</c:v>
                </c:pt>
                <c:pt idx="76">
                  <c:v>409.83333333333331</c:v>
                </c:pt>
                <c:pt idx="77">
                  <c:v>407.75</c:v>
                </c:pt>
                <c:pt idx="78">
                  <c:v>406.91666666666669</c:v>
                </c:pt>
                <c:pt idx="79">
                  <c:v>409</c:v>
                </c:pt>
                <c:pt idx="80">
                  <c:v>397.45454545454544</c:v>
                </c:pt>
                <c:pt idx="81">
                  <c:v>391</c:v>
                </c:pt>
                <c:pt idx="82">
                  <c:v>400.27272727272725</c:v>
                </c:pt>
                <c:pt idx="83">
                  <c:v>407.18181818181819</c:v>
                </c:pt>
                <c:pt idx="84">
                  <c:v>404</c:v>
                </c:pt>
                <c:pt idx="85">
                  <c:v>394</c:v>
                </c:pt>
                <c:pt idx="86">
                  <c:v>392.66666666666669</c:v>
                </c:pt>
                <c:pt idx="87">
                  <c:v>397.66666666666669</c:v>
                </c:pt>
                <c:pt idx="88">
                  <c:v>397.66666666666669</c:v>
                </c:pt>
                <c:pt idx="89">
                  <c:v>396</c:v>
                </c:pt>
                <c:pt idx="90">
                  <c:v>396</c:v>
                </c:pt>
                <c:pt idx="91">
                  <c:v>396</c:v>
                </c:pt>
                <c:pt idx="92">
                  <c:v>396</c:v>
                </c:pt>
                <c:pt idx="93">
                  <c:v>399.33333333333331</c:v>
                </c:pt>
                <c:pt idx="94">
                  <c:v>399</c:v>
                </c:pt>
                <c:pt idx="95">
                  <c:v>399.91666666666669</c:v>
                </c:pt>
                <c:pt idx="96">
                  <c:v>399.91666666666669</c:v>
                </c:pt>
                <c:pt idx="97">
                  <c:v>390</c:v>
                </c:pt>
                <c:pt idx="98">
                  <c:v>389</c:v>
                </c:pt>
                <c:pt idx="99">
                  <c:v>396.81818181818181</c:v>
                </c:pt>
                <c:pt idx="100">
                  <c:v>397.63636363636363</c:v>
                </c:pt>
                <c:pt idx="101">
                  <c:v>405.36363636363637</c:v>
                </c:pt>
                <c:pt idx="102">
                  <c:v>396.27272727272725</c:v>
                </c:pt>
                <c:pt idx="103">
                  <c:v>398.54545454545456</c:v>
                </c:pt>
                <c:pt idx="104">
                  <c:v>406.27272727272725</c:v>
                </c:pt>
                <c:pt idx="105">
                  <c:v>408.09090909090907</c:v>
                </c:pt>
                <c:pt idx="106">
                  <c:v>405</c:v>
                </c:pt>
                <c:pt idx="107">
                  <c:v>398</c:v>
                </c:pt>
                <c:pt idx="108">
                  <c:v>411</c:v>
                </c:pt>
                <c:pt idx="109">
                  <c:v>410.09090909090907</c:v>
                </c:pt>
                <c:pt idx="110">
                  <c:v>396</c:v>
                </c:pt>
                <c:pt idx="111">
                  <c:v>398</c:v>
                </c:pt>
                <c:pt idx="112">
                  <c:v>398</c:v>
                </c:pt>
                <c:pt idx="113">
                  <c:v>403.54545454545456</c:v>
                </c:pt>
                <c:pt idx="114">
                  <c:v>395</c:v>
                </c:pt>
                <c:pt idx="115">
                  <c:v>398.09090909090907</c:v>
                </c:pt>
                <c:pt idx="116">
                  <c:v>402.63636363636363</c:v>
                </c:pt>
                <c:pt idx="117">
                  <c:v>395</c:v>
                </c:pt>
                <c:pt idx="118">
                  <c:v>396.11111111111109</c:v>
                </c:pt>
                <c:pt idx="119">
                  <c:v>402.4</c:v>
                </c:pt>
                <c:pt idx="120">
                  <c:v>396.08333333333331</c:v>
                </c:pt>
                <c:pt idx="121">
                  <c:v>385.1</c:v>
                </c:pt>
                <c:pt idx="122">
                  <c:v>386.36363636363637</c:v>
                </c:pt>
                <c:pt idx="123">
                  <c:v>379.1</c:v>
                </c:pt>
                <c:pt idx="124">
                  <c:v>377.7</c:v>
                </c:pt>
                <c:pt idx="125">
                  <c:v>389.1</c:v>
                </c:pt>
                <c:pt idx="126">
                  <c:v>385.1</c:v>
                </c:pt>
                <c:pt idx="127">
                  <c:v>385.1</c:v>
                </c:pt>
                <c:pt idx="128">
                  <c:v>377.1</c:v>
                </c:pt>
                <c:pt idx="129">
                  <c:v>369.1</c:v>
                </c:pt>
                <c:pt idx="130">
                  <c:v>379.1</c:v>
                </c:pt>
                <c:pt idx="131">
                  <c:v>379.1</c:v>
                </c:pt>
                <c:pt idx="132">
                  <c:v>369</c:v>
                </c:pt>
                <c:pt idx="133">
                  <c:v>360.11111111111109</c:v>
                </c:pt>
                <c:pt idx="134">
                  <c:v>360.11111111111109</c:v>
                </c:pt>
                <c:pt idx="135">
                  <c:v>360.11111111111109</c:v>
                </c:pt>
                <c:pt idx="136">
                  <c:v>365.66666666666669</c:v>
                </c:pt>
                <c:pt idx="137">
                  <c:v>366.77777777777777</c:v>
                </c:pt>
                <c:pt idx="138">
                  <c:v>360</c:v>
                </c:pt>
                <c:pt idx="139">
                  <c:v>357.75</c:v>
                </c:pt>
                <c:pt idx="140">
                  <c:v>368.5</c:v>
                </c:pt>
                <c:pt idx="141">
                  <c:v>367.25</c:v>
                </c:pt>
              </c:numCache>
            </c:numRef>
          </c:val>
          <c:smooth val="0"/>
        </c:ser>
        <c:ser>
          <c:idx val="2"/>
          <c:order val="2"/>
          <c:tx>
            <c:strRef>
              <c:f>奶粉!$D$2</c:f>
              <c:strCache>
                <c:ptCount val="1"/>
                <c:pt idx="0">
                  <c:v>量販店－克寧</c:v>
                </c:pt>
              </c:strCache>
            </c:strRef>
          </c:tx>
          <c:spPr>
            <a:ln cmpd="thickThin">
              <a:prstDash val="sysDash"/>
            </a:ln>
          </c:spPr>
          <c:marker>
            <c:symbol val="none"/>
          </c:marker>
          <c:cat>
            <c:strRef>
              <c:f>奶粉!$A$32:$A$173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奶粉!$D$32:$D$173</c:f>
              <c:numCache>
                <c:formatCode>0.00_ </c:formatCode>
                <c:ptCount val="142"/>
                <c:pt idx="0">
                  <c:v>353.625</c:v>
                </c:pt>
                <c:pt idx="1">
                  <c:v>359.625</c:v>
                </c:pt>
                <c:pt idx="2">
                  <c:v>348.63</c:v>
                </c:pt>
                <c:pt idx="3">
                  <c:v>363.63</c:v>
                </c:pt>
                <c:pt idx="4">
                  <c:v>355.5</c:v>
                </c:pt>
                <c:pt idx="5">
                  <c:v>342</c:v>
                </c:pt>
                <c:pt idx="6">
                  <c:v>342.375</c:v>
                </c:pt>
                <c:pt idx="7">
                  <c:v>342.375</c:v>
                </c:pt>
                <c:pt idx="8">
                  <c:v>352.75</c:v>
                </c:pt>
                <c:pt idx="9">
                  <c:v>353.125</c:v>
                </c:pt>
                <c:pt idx="10">
                  <c:v>351.44444444444446</c:v>
                </c:pt>
                <c:pt idx="11">
                  <c:v>347.4</c:v>
                </c:pt>
                <c:pt idx="12">
                  <c:v>344.4</c:v>
                </c:pt>
                <c:pt idx="13">
                  <c:v>346.55555555555554</c:v>
                </c:pt>
                <c:pt idx="14">
                  <c:v>363.77777777777777</c:v>
                </c:pt>
                <c:pt idx="15">
                  <c:v>372.88888888888891</c:v>
                </c:pt>
                <c:pt idx="16">
                  <c:v>373.71428571428572</c:v>
                </c:pt>
                <c:pt idx="17">
                  <c:v>373.88888888888891</c:v>
                </c:pt>
                <c:pt idx="18">
                  <c:v>355.88888888888891</c:v>
                </c:pt>
                <c:pt idx="19">
                  <c:v>353.66666666666669</c:v>
                </c:pt>
                <c:pt idx="20">
                  <c:v>345.22222222222223</c:v>
                </c:pt>
                <c:pt idx="21">
                  <c:v>356.33333333333331</c:v>
                </c:pt>
                <c:pt idx="22">
                  <c:v>362</c:v>
                </c:pt>
                <c:pt idx="23">
                  <c:v>368.55555555555554</c:v>
                </c:pt>
                <c:pt idx="24">
                  <c:v>347.33333333333331</c:v>
                </c:pt>
                <c:pt idx="25">
                  <c:v>357.625</c:v>
                </c:pt>
                <c:pt idx="26">
                  <c:v>370.11111111111109</c:v>
                </c:pt>
                <c:pt idx="27">
                  <c:v>366.11111111111109</c:v>
                </c:pt>
                <c:pt idx="28">
                  <c:v>366.90909090909093</c:v>
                </c:pt>
                <c:pt idx="29">
                  <c:v>369.22222222222223</c:v>
                </c:pt>
                <c:pt idx="30">
                  <c:v>370.33333333333331</c:v>
                </c:pt>
                <c:pt idx="31">
                  <c:v>356.11111111111109</c:v>
                </c:pt>
                <c:pt idx="32">
                  <c:v>355.5</c:v>
                </c:pt>
                <c:pt idx="33">
                  <c:v>358.375</c:v>
                </c:pt>
                <c:pt idx="34">
                  <c:v>355.375</c:v>
                </c:pt>
                <c:pt idx="35">
                  <c:v>346.22222222222223</c:v>
                </c:pt>
                <c:pt idx="36">
                  <c:v>349.88888888888891</c:v>
                </c:pt>
                <c:pt idx="37">
                  <c:v>351.77777777777777</c:v>
                </c:pt>
                <c:pt idx="38">
                  <c:v>345.22222222222223</c:v>
                </c:pt>
                <c:pt idx="39">
                  <c:v>332.5</c:v>
                </c:pt>
                <c:pt idx="40">
                  <c:v>347.375</c:v>
                </c:pt>
                <c:pt idx="41">
                  <c:v>347</c:v>
                </c:pt>
                <c:pt idx="42">
                  <c:v>347.55555555555554</c:v>
                </c:pt>
                <c:pt idx="43">
                  <c:v>357.88888888888891</c:v>
                </c:pt>
                <c:pt idx="44">
                  <c:v>355.22222222222223</c:v>
                </c:pt>
                <c:pt idx="45">
                  <c:v>350.22222222222223</c:v>
                </c:pt>
                <c:pt idx="46">
                  <c:v>347.55555555555554</c:v>
                </c:pt>
                <c:pt idx="47">
                  <c:v>355.77777777777777</c:v>
                </c:pt>
                <c:pt idx="48">
                  <c:v>347.55555555555554</c:v>
                </c:pt>
                <c:pt idx="49">
                  <c:v>347.55555555555554</c:v>
                </c:pt>
                <c:pt idx="50">
                  <c:v>344.33333333333331</c:v>
                </c:pt>
                <c:pt idx="51">
                  <c:v>352.33333333333331</c:v>
                </c:pt>
                <c:pt idx="52">
                  <c:v>346.88888888888891</c:v>
                </c:pt>
                <c:pt idx="53">
                  <c:v>359</c:v>
                </c:pt>
                <c:pt idx="54">
                  <c:v>359.88888888888891</c:v>
                </c:pt>
                <c:pt idx="55">
                  <c:v>323</c:v>
                </c:pt>
                <c:pt idx="56">
                  <c:v>339.22222222222223</c:v>
                </c:pt>
                <c:pt idx="57">
                  <c:v>350.11111111111109</c:v>
                </c:pt>
                <c:pt idx="58">
                  <c:v>349.44444444444446</c:v>
                </c:pt>
                <c:pt idx="59">
                  <c:v>346.11111111111109</c:v>
                </c:pt>
                <c:pt idx="60">
                  <c:v>348.22222222222223</c:v>
                </c:pt>
                <c:pt idx="61">
                  <c:v>342.66666666666669</c:v>
                </c:pt>
                <c:pt idx="62">
                  <c:v>338.11111111111109</c:v>
                </c:pt>
                <c:pt idx="63">
                  <c:v>338.75</c:v>
                </c:pt>
                <c:pt idx="64">
                  <c:v>334.8</c:v>
                </c:pt>
                <c:pt idx="65">
                  <c:v>315</c:v>
                </c:pt>
                <c:pt idx="66">
                  <c:v>312</c:v>
                </c:pt>
                <c:pt idx="67">
                  <c:v>330</c:v>
                </c:pt>
                <c:pt idx="68">
                  <c:v>374.55560000000003</c:v>
                </c:pt>
                <c:pt idx="69">
                  <c:v>376.33333333333331</c:v>
                </c:pt>
                <c:pt idx="70">
                  <c:v>410.4</c:v>
                </c:pt>
                <c:pt idx="71">
                  <c:v>400.9</c:v>
                </c:pt>
                <c:pt idx="72">
                  <c:v>365.9</c:v>
                </c:pt>
                <c:pt idx="73">
                  <c:v>378.3</c:v>
                </c:pt>
                <c:pt idx="74">
                  <c:v>391.1</c:v>
                </c:pt>
                <c:pt idx="75">
                  <c:v>391.1</c:v>
                </c:pt>
                <c:pt idx="76">
                  <c:v>386.33333333333331</c:v>
                </c:pt>
                <c:pt idx="77">
                  <c:v>373.1</c:v>
                </c:pt>
                <c:pt idx="78">
                  <c:v>358.8</c:v>
                </c:pt>
                <c:pt idx="79">
                  <c:v>406.88888888888891</c:v>
                </c:pt>
                <c:pt idx="80">
                  <c:v>388.44444444444446</c:v>
                </c:pt>
                <c:pt idx="81">
                  <c:v>385.9</c:v>
                </c:pt>
                <c:pt idx="82">
                  <c:v>398</c:v>
                </c:pt>
                <c:pt idx="83">
                  <c:v>375.1</c:v>
                </c:pt>
                <c:pt idx="84">
                  <c:v>373.5</c:v>
                </c:pt>
                <c:pt idx="85">
                  <c:v>378.5</c:v>
                </c:pt>
                <c:pt idx="86">
                  <c:v>370.7</c:v>
                </c:pt>
                <c:pt idx="87">
                  <c:v>381.5</c:v>
                </c:pt>
                <c:pt idx="88">
                  <c:v>409.9</c:v>
                </c:pt>
                <c:pt idx="89">
                  <c:v>390.4</c:v>
                </c:pt>
                <c:pt idx="90">
                  <c:v>391</c:v>
                </c:pt>
                <c:pt idx="91">
                  <c:v>392.6</c:v>
                </c:pt>
                <c:pt idx="92">
                  <c:v>383.5</c:v>
                </c:pt>
                <c:pt idx="93">
                  <c:v>379.6</c:v>
                </c:pt>
                <c:pt idx="94">
                  <c:v>387.2</c:v>
                </c:pt>
                <c:pt idx="95">
                  <c:v>387.2</c:v>
                </c:pt>
                <c:pt idx="96">
                  <c:v>384.6</c:v>
                </c:pt>
                <c:pt idx="97">
                  <c:v>394.1</c:v>
                </c:pt>
                <c:pt idx="98">
                  <c:v>419.45454545454544</c:v>
                </c:pt>
                <c:pt idx="99">
                  <c:v>407.09090909090907</c:v>
                </c:pt>
                <c:pt idx="100">
                  <c:v>390.2</c:v>
                </c:pt>
                <c:pt idx="101">
                  <c:v>393.77777777777777</c:v>
                </c:pt>
                <c:pt idx="102">
                  <c:v>391.27272727272725</c:v>
                </c:pt>
                <c:pt idx="103">
                  <c:v>387.18181818181819</c:v>
                </c:pt>
                <c:pt idx="104">
                  <c:v>393.6</c:v>
                </c:pt>
                <c:pt idx="105">
                  <c:v>399.55555555555554</c:v>
                </c:pt>
                <c:pt idx="106">
                  <c:v>403.54545454545456</c:v>
                </c:pt>
                <c:pt idx="107">
                  <c:v>398.9</c:v>
                </c:pt>
                <c:pt idx="108">
                  <c:v>391.45454545454544</c:v>
                </c:pt>
                <c:pt idx="109">
                  <c:v>383.36363636363637</c:v>
                </c:pt>
                <c:pt idx="110">
                  <c:v>367.63636363636363</c:v>
                </c:pt>
                <c:pt idx="111">
                  <c:v>381.90909090909093</c:v>
                </c:pt>
                <c:pt idx="112">
                  <c:v>380.09090909090907</c:v>
                </c:pt>
                <c:pt idx="113">
                  <c:v>378.5</c:v>
                </c:pt>
                <c:pt idx="114">
                  <c:v>396.1</c:v>
                </c:pt>
                <c:pt idx="115">
                  <c:v>396.27272727272725</c:v>
                </c:pt>
                <c:pt idx="116">
                  <c:v>396.45454545454544</c:v>
                </c:pt>
                <c:pt idx="117">
                  <c:v>397.36363636363637</c:v>
                </c:pt>
                <c:pt idx="118">
                  <c:v>405.09090909090907</c:v>
                </c:pt>
                <c:pt idx="119">
                  <c:v>408.81818181818181</c:v>
                </c:pt>
                <c:pt idx="120">
                  <c:v>378.63636363636363</c:v>
                </c:pt>
                <c:pt idx="121">
                  <c:v>349.6</c:v>
                </c:pt>
                <c:pt idx="122">
                  <c:v>346.7</c:v>
                </c:pt>
                <c:pt idx="123">
                  <c:v>359</c:v>
                </c:pt>
                <c:pt idx="124">
                  <c:v>348.09090909090907</c:v>
                </c:pt>
                <c:pt idx="125">
                  <c:v>342.6</c:v>
                </c:pt>
                <c:pt idx="126">
                  <c:v>347.2</c:v>
                </c:pt>
                <c:pt idx="127">
                  <c:v>352.6</c:v>
                </c:pt>
                <c:pt idx="128">
                  <c:v>341.90909090909093</c:v>
                </c:pt>
                <c:pt idx="129">
                  <c:v>345</c:v>
                </c:pt>
                <c:pt idx="130">
                  <c:v>345.1</c:v>
                </c:pt>
                <c:pt idx="131">
                  <c:v>344.27272727272725</c:v>
                </c:pt>
                <c:pt idx="132">
                  <c:v>344.09090909090907</c:v>
                </c:pt>
                <c:pt idx="133">
                  <c:v>363.18181818181819</c:v>
                </c:pt>
                <c:pt idx="134">
                  <c:v>351.90909090909093</c:v>
                </c:pt>
                <c:pt idx="135">
                  <c:v>354.45454545454544</c:v>
                </c:pt>
                <c:pt idx="136">
                  <c:v>341.3</c:v>
                </c:pt>
                <c:pt idx="137">
                  <c:v>345.45454545454544</c:v>
                </c:pt>
                <c:pt idx="138">
                  <c:v>345.90909090909093</c:v>
                </c:pt>
                <c:pt idx="139">
                  <c:v>345.36363636363637</c:v>
                </c:pt>
                <c:pt idx="140">
                  <c:v>348.90909090909093</c:v>
                </c:pt>
                <c:pt idx="141">
                  <c:v>348.63636363636363</c:v>
                </c:pt>
              </c:numCache>
            </c:numRef>
          </c:val>
          <c:smooth val="0"/>
        </c:ser>
        <c:ser>
          <c:idx val="3"/>
          <c:order val="3"/>
          <c:tx>
            <c:strRef>
              <c:f>奶粉!$E$2</c:f>
              <c:strCache>
                <c:ptCount val="1"/>
                <c:pt idx="0">
                  <c:v>量販店－雀巢</c:v>
                </c:pt>
              </c:strCache>
            </c:strRef>
          </c:tx>
          <c:spPr>
            <a:ln w="38100"/>
          </c:spPr>
          <c:marker>
            <c:symbol val="none"/>
          </c:marker>
          <c:cat>
            <c:strRef>
              <c:f>奶粉!$A$32:$A$173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奶粉!$E$32:$E$173</c:f>
              <c:numCache>
                <c:formatCode>0.00_ </c:formatCode>
                <c:ptCount val="142"/>
                <c:pt idx="0">
                  <c:v>340.42857142857144</c:v>
                </c:pt>
                <c:pt idx="1">
                  <c:v>357.57142857142856</c:v>
                </c:pt>
                <c:pt idx="2">
                  <c:v>350</c:v>
                </c:pt>
                <c:pt idx="3">
                  <c:v>352.29</c:v>
                </c:pt>
                <c:pt idx="4">
                  <c:v>347.14</c:v>
                </c:pt>
                <c:pt idx="5">
                  <c:v>348.57</c:v>
                </c:pt>
                <c:pt idx="6">
                  <c:v>351.42857142857144</c:v>
                </c:pt>
                <c:pt idx="7">
                  <c:v>349.14285714285717</c:v>
                </c:pt>
                <c:pt idx="8">
                  <c:v>349.14285714285717</c:v>
                </c:pt>
                <c:pt idx="9">
                  <c:v>346.28571428571428</c:v>
                </c:pt>
                <c:pt idx="10">
                  <c:v>351</c:v>
                </c:pt>
                <c:pt idx="11">
                  <c:v>342.33333333333331</c:v>
                </c:pt>
                <c:pt idx="12">
                  <c:v>346.44444444444446</c:v>
                </c:pt>
                <c:pt idx="13">
                  <c:v>346.44444444444446</c:v>
                </c:pt>
                <c:pt idx="14">
                  <c:v>350.55555555555554</c:v>
                </c:pt>
                <c:pt idx="15">
                  <c:v>361</c:v>
                </c:pt>
                <c:pt idx="16">
                  <c:v>372.14285714285717</c:v>
                </c:pt>
                <c:pt idx="17">
                  <c:v>369.77777777777777</c:v>
                </c:pt>
                <c:pt idx="18">
                  <c:v>359.55555555555554</c:v>
                </c:pt>
                <c:pt idx="19">
                  <c:v>359.55555555555554</c:v>
                </c:pt>
                <c:pt idx="20">
                  <c:v>352.11111111111109</c:v>
                </c:pt>
                <c:pt idx="21">
                  <c:v>349.33333333333331</c:v>
                </c:pt>
                <c:pt idx="22">
                  <c:v>344.66666666666669</c:v>
                </c:pt>
                <c:pt idx="23">
                  <c:v>336.55555555555554</c:v>
                </c:pt>
                <c:pt idx="24">
                  <c:v>339.66666666666669</c:v>
                </c:pt>
                <c:pt idx="25">
                  <c:v>339.66666666666669</c:v>
                </c:pt>
                <c:pt idx="26">
                  <c:v>339.66666666666669</c:v>
                </c:pt>
                <c:pt idx="27">
                  <c:v>335.77777777777777</c:v>
                </c:pt>
                <c:pt idx="28">
                  <c:v>330.54545454545456</c:v>
                </c:pt>
                <c:pt idx="29">
                  <c:v>331.77777777777777</c:v>
                </c:pt>
                <c:pt idx="30">
                  <c:v>331.11111111111109</c:v>
                </c:pt>
                <c:pt idx="31">
                  <c:v>346</c:v>
                </c:pt>
                <c:pt idx="32">
                  <c:v>349.375</c:v>
                </c:pt>
                <c:pt idx="33">
                  <c:v>346.66666666666669</c:v>
                </c:pt>
                <c:pt idx="34">
                  <c:v>344.5</c:v>
                </c:pt>
                <c:pt idx="35">
                  <c:v>329.44444444444446</c:v>
                </c:pt>
                <c:pt idx="36">
                  <c:v>341.55555555555554</c:v>
                </c:pt>
                <c:pt idx="37">
                  <c:v>337.33333333333331</c:v>
                </c:pt>
                <c:pt idx="38">
                  <c:v>337.33333333333331</c:v>
                </c:pt>
                <c:pt idx="39">
                  <c:v>340.55555555555554</c:v>
                </c:pt>
                <c:pt idx="40">
                  <c:v>343.44444444444446</c:v>
                </c:pt>
                <c:pt idx="41">
                  <c:v>343.44444444444446</c:v>
                </c:pt>
                <c:pt idx="42">
                  <c:v>340.11111111111109</c:v>
                </c:pt>
                <c:pt idx="43">
                  <c:v>339.22222222222223</c:v>
                </c:pt>
                <c:pt idx="44">
                  <c:v>333.44444444444446</c:v>
                </c:pt>
                <c:pt idx="45">
                  <c:v>333.22222222222223</c:v>
                </c:pt>
                <c:pt idx="46">
                  <c:v>331.55555555555554</c:v>
                </c:pt>
                <c:pt idx="47">
                  <c:v>346.55555555555554</c:v>
                </c:pt>
                <c:pt idx="48">
                  <c:v>333.88888888888891</c:v>
                </c:pt>
                <c:pt idx="49">
                  <c:v>333.88888888888891</c:v>
                </c:pt>
                <c:pt idx="50">
                  <c:v>333.88888888888891</c:v>
                </c:pt>
                <c:pt idx="51">
                  <c:v>335</c:v>
                </c:pt>
                <c:pt idx="52">
                  <c:v>335.88888888888891</c:v>
                </c:pt>
                <c:pt idx="53">
                  <c:v>336.11111111111109</c:v>
                </c:pt>
                <c:pt idx="54">
                  <c:v>335.77777777777777</c:v>
                </c:pt>
                <c:pt idx="55">
                  <c:v>333.88888888888891</c:v>
                </c:pt>
                <c:pt idx="56">
                  <c:v>334.66666666666669</c:v>
                </c:pt>
                <c:pt idx="57">
                  <c:v>334.66666666666669</c:v>
                </c:pt>
                <c:pt idx="58">
                  <c:v>335.77777777777777</c:v>
                </c:pt>
                <c:pt idx="59">
                  <c:v>333.88888888888891</c:v>
                </c:pt>
                <c:pt idx="60">
                  <c:v>338.33333333333331</c:v>
                </c:pt>
                <c:pt idx="61">
                  <c:v>340.88888888888891</c:v>
                </c:pt>
                <c:pt idx="62">
                  <c:v>339.66666666666669</c:v>
                </c:pt>
                <c:pt idx="63">
                  <c:v>335.75</c:v>
                </c:pt>
                <c:pt idx="64">
                  <c:v>334.55555555555554</c:v>
                </c:pt>
                <c:pt idx="65">
                  <c:v>338.66666666666669</c:v>
                </c:pt>
                <c:pt idx="66">
                  <c:v>357.55555555555554</c:v>
                </c:pt>
                <c:pt idx="67">
                  <c:v>357</c:v>
                </c:pt>
                <c:pt idx="68">
                  <c:v>353</c:v>
                </c:pt>
                <c:pt idx="69">
                  <c:v>349.22222222222223</c:v>
                </c:pt>
                <c:pt idx="70">
                  <c:v>382.77777777777777</c:v>
                </c:pt>
                <c:pt idx="71">
                  <c:v>393.88888888888891</c:v>
                </c:pt>
                <c:pt idx="72">
                  <c:v>380.44444444444446</c:v>
                </c:pt>
                <c:pt idx="73">
                  <c:v>399.44444444444446</c:v>
                </c:pt>
                <c:pt idx="74">
                  <c:v>399.44444444444446</c:v>
                </c:pt>
                <c:pt idx="75">
                  <c:v>399.66666666666669</c:v>
                </c:pt>
                <c:pt idx="76">
                  <c:v>403.66666666666669</c:v>
                </c:pt>
                <c:pt idx="77">
                  <c:v>430.44444444444446</c:v>
                </c:pt>
                <c:pt idx="78">
                  <c:v>428.55555555555554</c:v>
                </c:pt>
                <c:pt idx="79">
                  <c:v>403.55555555555554</c:v>
                </c:pt>
                <c:pt idx="80">
                  <c:v>398.66666666666669</c:v>
                </c:pt>
                <c:pt idx="81">
                  <c:v>398.66666666666669</c:v>
                </c:pt>
                <c:pt idx="82">
                  <c:v>415.11111111111109</c:v>
                </c:pt>
                <c:pt idx="83">
                  <c:v>415.11111111111109</c:v>
                </c:pt>
                <c:pt idx="84">
                  <c:v>377.88888888888891</c:v>
                </c:pt>
                <c:pt idx="85">
                  <c:v>377.88888888888891</c:v>
                </c:pt>
                <c:pt idx="86">
                  <c:v>377.22222222222223</c:v>
                </c:pt>
                <c:pt idx="87">
                  <c:v>382.33333333333331</c:v>
                </c:pt>
                <c:pt idx="88">
                  <c:v>374.44444444444446</c:v>
                </c:pt>
                <c:pt idx="89">
                  <c:v>369.44444444444446</c:v>
                </c:pt>
                <c:pt idx="90">
                  <c:v>366.11111111111109</c:v>
                </c:pt>
                <c:pt idx="91">
                  <c:v>366.11111111111109</c:v>
                </c:pt>
                <c:pt idx="92">
                  <c:v>385.11111111111109</c:v>
                </c:pt>
                <c:pt idx="93">
                  <c:v>371.22222222222223</c:v>
                </c:pt>
                <c:pt idx="94">
                  <c:v>375</c:v>
                </c:pt>
                <c:pt idx="95">
                  <c:v>374.33333333333331</c:v>
                </c:pt>
                <c:pt idx="96">
                  <c:v>373.66666666666669</c:v>
                </c:pt>
                <c:pt idx="97">
                  <c:v>385.66666666666669</c:v>
                </c:pt>
                <c:pt idx="98">
                  <c:v>392.3</c:v>
                </c:pt>
                <c:pt idx="99">
                  <c:v>403.3</c:v>
                </c:pt>
                <c:pt idx="100">
                  <c:v>387.2</c:v>
                </c:pt>
                <c:pt idx="101">
                  <c:v>389.44444444444446</c:v>
                </c:pt>
                <c:pt idx="102">
                  <c:v>390</c:v>
                </c:pt>
                <c:pt idx="103">
                  <c:v>389.6</c:v>
                </c:pt>
                <c:pt idx="104">
                  <c:v>389.6</c:v>
                </c:pt>
                <c:pt idx="105">
                  <c:v>393.88888888888891</c:v>
                </c:pt>
                <c:pt idx="106">
                  <c:v>378.4</c:v>
                </c:pt>
                <c:pt idx="107">
                  <c:v>385.63636363636363</c:v>
                </c:pt>
                <c:pt idx="108">
                  <c:v>386</c:v>
                </c:pt>
                <c:pt idx="109">
                  <c:v>380.09090909090907</c:v>
                </c:pt>
                <c:pt idx="110">
                  <c:v>379.90909090909093</c:v>
                </c:pt>
                <c:pt idx="111">
                  <c:v>394</c:v>
                </c:pt>
                <c:pt idx="112">
                  <c:v>402</c:v>
                </c:pt>
                <c:pt idx="113">
                  <c:v>394.54545454545456</c:v>
                </c:pt>
                <c:pt idx="114">
                  <c:v>394.27272727272725</c:v>
                </c:pt>
                <c:pt idx="115">
                  <c:v>398.27272727272725</c:v>
                </c:pt>
                <c:pt idx="116">
                  <c:v>394.72727272727275</c:v>
                </c:pt>
                <c:pt idx="117">
                  <c:v>392.36363636363637</c:v>
                </c:pt>
                <c:pt idx="118">
                  <c:v>389.18181818181819</c:v>
                </c:pt>
                <c:pt idx="119">
                  <c:v>391</c:v>
                </c:pt>
                <c:pt idx="120">
                  <c:v>390.45454545454544</c:v>
                </c:pt>
                <c:pt idx="121">
                  <c:v>347.27272727272725</c:v>
                </c:pt>
                <c:pt idx="122">
                  <c:v>348.09090909090907</c:v>
                </c:pt>
                <c:pt idx="123">
                  <c:v>366.09090909090907</c:v>
                </c:pt>
                <c:pt idx="124">
                  <c:v>359.09090909090907</c:v>
                </c:pt>
                <c:pt idx="125">
                  <c:v>357.09090909090907</c:v>
                </c:pt>
                <c:pt idx="126">
                  <c:v>366.09090909090907</c:v>
                </c:pt>
                <c:pt idx="127">
                  <c:v>361.18181818181819</c:v>
                </c:pt>
                <c:pt idx="128">
                  <c:v>336</c:v>
                </c:pt>
                <c:pt idx="129">
                  <c:v>348.72727272727275</c:v>
                </c:pt>
                <c:pt idx="130">
                  <c:v>366.18181818181819</c:v>
                </c:pt>
                <c:pt idx="131">
                  <c:v>357.63636363636363</c:v>
                </c:pt>
                <c:pt idx="132">
                  <c:v>358.36363636363637</c:v>
                </c:pt>
                <c:pt idx="133">
                  <c:v>368.90909090909093</c:v>
                </c:pt>
                <c:pt idx="134">
                  <c:v>365.27272727272725</c:v>
                </c:pt>
                <c:pt idx="135">
                  <c:v>356.90909090909093</c:v>
                </c:pt>
                <c:pt idx="136">
                  <c:v>342.7</c:v>
                </c:pt>
                <c:pt idx="137">
                  <c:v>346.81818181818181</c:v>
                </c:pt>
                <c:pt idx="138">
                  <c:v>347.72727272727275</c:v>
                </c:pt>
                <c:pt idx="139">
                  <c:v>353.09090909090907</c:v>
                </c:pt>
                <c:pt idx="140">
                  <c:v>347.54545454545456</c:v>
                </c:pt>
                <c:pt idx="141">
                  <c:v>356.45454545454544</c:v>
                </c:pt>
              </c:numCache>
            </c:numRef>
          </c:val>
          <c:smooth val="0"/>
        </c:ser>
        <c:dLbls>
          <c:showLegendKey val="0"/>
          <c:showVal val="0"/>
          <c:showCatName val="0"/>
          <c:showSerName val="0"/>
          <c:showPercent val="0"/>
          <c:showBubbleSize val="0"/>
        </c:dLbls>
        <c:marker val="1"/>
        <c:smooth val="0"/>
        <c:axId val="274757888"/>
        <c:axId val="274829312"/>
      </c:lineChart>
      <c:dateAx>
        <c:axId val="274757888"/>
        <c:scaling>
          <c:orientation val="minMax"/>
        </c:scaling>
        <c:delete val="0"/>
        <c:axPos val="b"/>
        <c:numFmt formatCode="e&quot;年&quot;m&quot;月&quot;d&quot;日&quot;" sourceLinked="0"/>
        <c:majorTickMark val="out"/>
        <c:minorTickMark val="none"/>
        <c:tickLblPos val="nextTo"/>
        <c:txPr>
          <a:bodyPr rot="-2760000" vert="horz" anchor="t" anchorCtr="0"/>
          <a:lstStyle/>
          <a:p>
            <a:pPr>
              <a:defRPr>
                <a:latin typeface="Times New Roman" pitchFamily="18" charset="0"/>
                <a:cs typeface="Times New Roman" pitchFamily="18" charset="0"/>
              </a:defRPr>
            </a:pPr>
            <a:endParaRPr lang="zh-TW"/>
          </a:p>
        </c:txPr>
        <c:crossAx val="274829312"/>
        <c:crosses val="autoZero"/>
        <c:auto val="0"/>
        <c:lblOffset val="100"/>
        <c:baseTimeUnit val="days"/>
        <c:majorUnit val="4"/>
        <c:majorTimeUnit val="days"/>
        <c:minorUnit val="1"/>
        <c:minorTimeUnit val="days"/>
      </c:dateAx>
      <c:valAx>
        <c:axId val="274829312"/>
        <c:scaling>
          <c:orientation val="minMax"/>
          <c:max val="440"/>
          <c:min val="300"/>
        </c:scaling>
        <c:delete val="0"/>
        <c:axPos val="l"/>
        <c:numFmt formatCode="0.0_ " sourceLinked="0"/>
        <c:majorTickMark val="out"/>
        <c:minorTickMark val="none"/>
        <c:tickLblPos val="nextTo"/>
        <c:crossAx val="274757888"/>
        <c:crosses val="autoZero"/>
        <c:crossBetween val="between"/>
      </c:valAx>
      <c:spPr>
        <a:noFill/>
        <a:ln w="25400">
          <a:noFill/>
        </a:ln>
      </c:spPr>
    </c:plotArea>
    <c:legend>
      <c:legendPos val="r"/>
      <c:layout>
        <c:manualLayout>
          <c:xMode val="edge"/>
          <c:yMode val="edge"/>
          <c:x val="8.853135593371618E-2"/>
          <c:y val="4.0753188204415626E-2"/>
          <c:w val="0.2935481625213987"/>
          <c:h val="0.27832942330505711"/>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rgbClr val="FFC000"/>
            </a:solidFill>
          </c:spPr>
          <c:invertIfNegative val="0"/>
          <c:dLbls>
            <c:spPr>
              <a:noFill/>
              <a:ln>
                <a:noFill/>
              </a:ln>
              <a:effectLst/>
            </c:spPr>
            <c:txPr>
              <a:bodyPr/>
              <a:lstStyle/>
              <a:p>
                <a:pPr>
                  <a:defRPr sz="1050"/>
                </a:pPr>
                <a:endParaRPr lang="zh-TW"/>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奶粉進口量!$A$28:$A$37</c:f>
              <c:strCache>
                <c:ptCount val="10"/>
                <c:pt idx="0">
                  <c:v>日本</c:v>
                </c:pt>
                <c:pt idx="1">
                  <c:v>德國</c:v>
                </c:pt>
                <c:pt idx="2">
                  <c:v>愛爾蘭</c:v>
                </c:pt>
                <c:pt idx="3">
                  <c:v>瑞士</c:v>
                </c:pt>
                <c:pt idx="4">
                  <c:v>澳大利亞</c:v>
                </c:pt>
                <c:pt idx="5">
                  <c:v>新加坡</c:v>
                </c:pt>
                <c:pt idx="6">
                  <c:v>法國</c:v>
                </c:pt>
                <c:pt idx="7">
                  <c:v>丹麥</c:v>
                </c:pt>
                <c:pt idx="8">
                  <c:v>荷蘭</c:v>
                </c:pt>
                <c:pt idx="9">
                  <c:v>紐西蘭</c:v>
                </c:pt>
              </c:strCache>
            </c:strRef>
          </c:cat>
          <c:val>
            <c:numRef>
              <c:f>奶粉進口量!$B$28:$B$37</c:f>
              <c:numCache>
                <c:formatCode>0.0</c:formatCode>
                <c:ptCount val="10"/>
                <c:pt idx="0">
                  <c:v>306.45699999999999</c:v>
                </c:pt>
                <c:pt idx="1">
                  <c:v>320.85000000000002</c:v>
                </c:pt>
                <c:pt idx="2">
                  <c:v>506.49799999999999</c:v>
                </c:pt>
                <c:pt idx="3">
                  <c:v>675.27099999999996</c:v>
                </c:pt>
                <c:pt idx="4">
                  <c:v>857.44399999999996</c:v>
                </c:pt>
                <c:pt idx="5">
                  <c:v>1203.604</c:v>
                </c:pt>
                <c:pt idx="6">
                  <c:v>1564.855</c:v>
                </c:pt>
                <c:pt idx="7">
                  <c:v>1756.366</c:v>
                </c:pt>
                <c:pt idx="8">
                  <c:v>1887.0350000000001</c:v>
                </c:pt>
                <c:pt idx="9">
                  <c:v>2029.2539999999999</c:v>
                </c:pt>
              </c:numCache>
            </c:numRef>
          </c:val>
        </c:ser>
        <c:dLbls>
          <c:showLegendKey val="0"/>
          <c:showVal val="0"/>
          <c:showCatName val="0"/>
          <c:showSerName val="0"/>
          <c:showPercent val="0"/>
          <c:showBubbleSize val="0"/>
        </c:dLbls>
        <c:gapWidth val="150"/>
        <c:overlap val="18"/>
        <c:axId val="274849792"/>
        <c:axId val="274851328"/>
      </c:barChart>
      <c:catAx>
        <c:axId val="274849792"/>
        <c:scaling>
          <c:orientation val="minMax"/>
        </c:scaling>
        <c:delete val="0"/>
        <c:axPos val="l"/>
        <c:numFmt formatCode="General" sourceLinked="1"/>
        <c:majorTickMark val="out"/>
        <c:minorTickMark val="none"/>
        <c:tickLblPos val="nextTo"/>
        <c:crossAx val="274851328"/>
        <c:crosses val="autoZero"/>
        <c:auto val="1"/>
        <c:lblAlgn val="ctr"/>
        <c:lblOffset val="100"/>
        <c:noMultiLvlLbl val="0"/>
      </c:catAx>
      <c:valAx>
        <c:axId val="274851328"/>
        <c:scaling>
          <c:orientation val="minMax"/>
        </c:scaling>
        <c:delete val="0"/>
        <c:axPos val="b"/>
        <c:majorGridlines/>
        <c:numFmt formatCode="0.0" sourceLinked="1"/>
        <c:majorTickMark val="out"/>
        <c:minorTickMark val="none"/>
        <c:tickLblPos val="nextTo"/>
        <c:crossAx val="274849792"/>
        <c:crosses val="autoZero"/>
        <c:crossBetween val="between"/>
      </c:valAx>
    </c:plotArea>
    <c:plotVisOnly val="1"/>
    <c:dispBlanksAs val="gap"/>
    <c:showDLblsOverMax val="0"/>
  </c:chart>
  <c:spPr>
    <a:ln>
      <a:noFill/>
    </a:ln>
  </c:spPr>
  <c:externalData r:id="rId1">
    <c:autoUpdate val="0"/>
  </c:externalData>
  <c:userShapes r:id="rId2"/>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003018372703413"/>
          <c:y val="5.1400554097404488E-2"/>
          <c:w val="0.8127475940507437"/>
          <c:h val="0.75025845727617391"/>
        </c:manualLayout>
      </c:layout>
      <c:lineChart>
        <c:grouping val="standard"/>
        <c:varyColors val="0"/>
        <c:ser>
          <c:idx val="0"/>
          <c:order val="0"/>
          <c:spPr>
            <a:ln>
              <a:solidFill>
                <a:srgbClr val="FF0000"/>
              </a:solidFill>
            </a:ln>
          </c:spPr>
          <c:marker>
            <c:symbol val="none"/>
          </c:marker>
          <c:cat>
            <c:numRef>
              <c:f>[奶粉進口量.xls]奶粉進口量!$H$2:$H$49</c:f>
              <c:numCache>
                <c:formatCode>m/d/yyyy</c:formatCode>
                <c:ptCount val="48"/>
                <c:pt idx="0">
                  <c:v>41646</c:v>
                </c:pt>
                <c:pt idx="1">
                  <c:v>41660</c:v>
                </c:pt>
                <c:pt idx="2">
                  <c:v>41674</c:v>
                </c:pt>
                <c:pt idx="3">
                  <c:v>41688</c:v>
                </c:pt>
                <c:pt idx="4">
                  <c:v>41702</c:v>
                </c:pt>
                <c:pt idx="5">
                  <c:v>41716</c:v>
                </c:pt>
                <c:pt idx="6">
                  <c:v>41730</c:v>
                </c:pt>
                <c:pt idx="7">
                  <c:v>41744</c:v>
                </c:pt>
                <c:pt idx="8">
                  <c:v>41765</c:v>
                </c:pt>
                <c:pt idx="9">
                  <c:v>41779</c:v>
                </c:pt>
                <c:pt idx="10">
                  <c:v>41793</c:v>
                </c:pt>
                <c:pt idx="11">
                  <c:v>41807</c:v>
                </c:pt>
                <c:pt idx="12">
                  <c:v>41821</c:v>
                </c:pt>
                <c:pt idx="13">
                  <c:v>41835</c:v>
                </c:pt>
                <c:pt idx="14">
                  <c:v>41856</c:v>
                </c:pt>
                <c:pt idx="15">
                  <c:v>41870</c:v>
                </c:pt>
                <c:pt idx="16">
                  <c:v>41884</c:v>
                </c:pt>
                <c:pt idx="17">
                  <c:v>41898</c:v>
                </c:pt>
                <c:pt idx="18">
                  <c:v>41913</c:v>
                </c:pt>
                <c:pt idx="19">
                  <c:v>41927</c:v>
                </c:pt>
                <c:pt idx="20">
                  <c:v>41947</c:v>
                </c:pt>
                <c:pt idx="21">
                  <c:v>41961</c:v>
                </c:pt>
                <c:pt idx="22">
                  <c:v>41975</c:v>
                </c:pt>
                <c:pt idx="23">
                  <c:v>41989</c:v>
                </c:pt>
                <c:pt idx="24">
                  <c:v>42010</c:v>
                </c:pt>
                <c:pt idx="25">
                  <c:v>42024</c:v>
                </c:pt>
                <c:pt idx="26">
                  <c:v>42038</c:v>
                </c:pt>
                <c:pt idx="27">
                  <c:v>42052</c:v>
                </c:pt>
                <c:pt idx="28">
                  <c:v>42066</c:v>
                </c:pt>
                <c:pt idx="29">
                  <c:v>42080</c:v>
                </c:pt>
                <c:pt idx="30">
                  <c:v>42095</c:v>
                </c:pt>
                <c:pt idx="31">
                  <c:v>42109</c:v>
                </c:pt>
                <c:pt idx="32">
                  <c:v>42129</c:v>
                </c:pt>
                <c:pt idx="33">
                  <c:v>42143</c:v>
                </c:pt>
                <c:pt idx="34">
                  <c:v>42157</c:v>
                </c:pt>
                <c:pt idx="35">
                  <c:v>42171</c:v>
                </c:pt>
                <c:pt idx="36">
                  <c:v>42186</c:v>
                </c:pt>
                <c:pt idx="37">
                  <c:v>42200</c:v>
                </c:pt>
                <c:pt idx="38">
                  <c:v>42220</c:v>
                </c:pt>
                <c:pt idx="39">
                  <c:v>42234</c:v>
                </c:pt>
                <c:pt idx="40">
                  <c:v>42248</c:v>
                </c:pt>
                <c:pt idx="41">
                  <c:v>42262</c:v>
                </c:pt>
                <c:pt idx="42">
                  <c:v>42283</c:v>
                </c:pt>
                <c:pt idx="43">
                  <c:v>42297</c:v>
                </c:pt>
                <c:pt idx="44">
                  <c:v>42311</c:v>
                </c:pt>
                <c:pt idx="45">
                  <c:v>42325</c:v>
                </c:pt>
                <c:pt idx="46">
                  <c:v>42339</c:v>
                </c:pt>
                <c:pt idx="47">
                  <c:v>42353</c:v>
                </c:pt>
              </c:numCache>
            </c:numRef>
          </c:cat>
          <c:val>
            <c:numRef>
              <c:f>[奶粉進口量.xls]奶粉進口量!$I$2:$I$39</c:f>
              <c:numCache>
                <c:formatCode>0.0_ </c:formatCode>
                <c:ptCount val="38"/>
                <c:pt idx="0">
                  <c:v>4934.4311255587163</c:v>
                </c:pt>
                <c:pt idx="1">
                  <c:v>4942.6127133608006</c:v>
                </c:pt>
                <c:pt idx="2">
                  <c:v>5004.5206512692466</c:v>
                </c:pt>
                <c:pt idx="3">
                  <c:v>4998.9925414364643</c:v>
                </c:pt>
                <c:pt idx="4">
                  <c:v>4702.7552270142596</c:v>
                </c:pt>
                <c:pt idx="5">
                  <c:v>4439.2531702671549</c:v>
                </c:pt>
                <c:pt idx="6">
                  <c:v>4032.550629063187</c:v>
                </c:pt>
                <c:pt idx="7">
                  <c:v>3990.2876056338027</c:v>
                </c:pt>
                <c:pt idx="8">
                  <c:v>3928.3917957712169</c:v>
                </c:pt>
                <c:pt idx="9">
                  <c:v>3876.9790975447909</c:v>
                </c:pt>
                <c:pt idx="10">
                  <c:v>3594.2866837581059</c:v>
                </c:pt>
                <c:pt idx="11">
                  <c:v>3658.2751700680274</c:v>
                </c:pt>
                <c:pt idx="12">
                  <c:v>3459.0299553297714</c:v>
                </c:pt>
                <c:pt idx="13">
                  <c:v>3088.4207180634662</c:v>
                </c:pt>
                <c:pt idx="14">
                  <c:v>2724.8983322307718</c:v>
                </c:pt>
                <c:pt idx="15">
                  <c:v>2804.2616247512215</c:v>
                </c:pt>
                <c:pt idx="16">
                  <c:v>2672.5382085509768</c:v>
                </c:pt>
                <c:pt idx="17">
                  <c:v>2691.9545015488125</c:v>
                </c:pt>
                <c:pt idx="18">
                  <c:v>2443.3002401452586</c:v>
                </c:pt>
                <c:pt idx="19">
                  <c:v>2503.1502454991819</c:v>
                </c:pt>
                <c:pt idx="20">
                  <c:v>2521.8796580447174</c:v>
                </c:pt>
                <c:pt idx="21">
                  <c:v>2399.7247891620314</c:v>
                </c:pt>
                <c:pt idx="22">
                  <c:v>2229.0452054794519</c:v>
                </c:pt>
                <c:pt idx="23">
                  <c:v>2270.2911309856531</c:v>
                </c:pt>
                <c:pt idx="24">
                  <c:v>2306.8414940512871</c:v>
                </c:pt>
                <c:pt idx="25">
                  <c:v>2402.0547338097613</c:v>
                </c:pt>
                <c:pt idx="26">
                  <c:v>2873.8222208296779</c:v>
                </c:pt>
                <c:pt idx="27">
                  <c:v>3272.4584813682559</c:v>
                </c:pt>
                <c:pt idx="28">
                  <c:v>3241.2337499999999</c:v>
                </c:pt>
                <c:pt idx="29">
                  <c:v>2927.7196029776674</c:v>
                </c:pt>
                <c:pt idx="30">
                  <c:v>2538.1145623235175</c:v>
                </c:pt>
                <c:pt idx="31">
                  <c:v>2445.6462041409372</c:v>
                </c:pt>
                <c:pt idx="32">
                  <c:v>2385.8125458547324</c:v>
                </c:pt>
                <c:pt idx="33">
                  <c:v>2390.0301155787074</c:v>
                </c:pt>
                <c:pt idx="34">
                  <c:v>2308.9639160640863</c:v>
                </c:pt>
                <c:pt idx="35">
                  <c:v>2327.1926476496583</c:v>
                </c:pt>
                <c:pt idx="36">
                  <c:v>2054.3312914752423</c:v>
                </c:pt>
                <c:pt idx="37">
                  <c:v>1847.8309692671394</c:v>
                </c:pt>
              </c:numCache>
            </c:numRef>
          </c:val>
          <c:smooth val="0"/>
        </c:ser>
        <c:ser>
          <c:idx val="1"/>
          <c:order val="1"/>
          <c:marker>
            <c:symbol val="none"/>
          </c:marker>
          <c:cat>
            <c:numRef>
              <c:f>[奶粉進口量.xls]奶粉進口量!$H$2:$H$49</c:f>
              <c:numCache>
                <c:formatCode>m/d/yyyy</c:formatCode>
                <c:ptCount val="48"/>
                <c:pt idx="0">
                  <c:v>41646</c:v>
                </c:pt>
                <c:pt idx="1">
                  <c:v>41660</c:v>
                </c:pt>
                <c:pt idx="2">
                  <c:v>41674</c:v>
                </c:pt>
                <c:pt idx="3">
                  <c:v>41688</c:v>
                </c:pt>
                <c:pt idx="4">
                  <c:v>41702</c:v>
                </c:pt>
                <c:pt idx="5">
                  <c:v>41716</c:v>
                </c:pt>
                <c:pt idx="6">
                  <c:v>41730</c:v>
                </c:pt>
                <c:pt idx="7">
                  <c:v>41744</c:v>
                </c:pt>
                <c:pt idx="8">
                  <c:v>41765</c:v>
                </c:pt>
                <c:pt idx="9">
                  <c:v>41779</c:v>
                </c:pt>
                <c:pt idx="10">
                  <c:v>41793</c:v>
                </c:pt>
                <c:pt idx="11">
                  <c:v>41807</c:v>
                </c:pt>
                <c:pt idx="12">
                  <c:v>41821</c:v>
                </c:pt>
                <c:pt idx="13">
                  <c:v>41835</c:v>
                </c:pt>
                <c:pt idx="14">
                  <c:v>41856</c:v>
                </c:pt>
                <c:pt idx="15">
                  <c:v>41870</c:v>
                </c:pt>
                <c:pt idx="16">
                  <c:v>41884</c:v>
                </c:pt>
                <c:pt idx="17">
                  <c:v>41898</c:v>
                </c:pt>
                <c:pt idx="18">
                  <c:v>41913</c:v>
                </c:pt>
                <c:pt idx="19">
                  <c:v>41927</c:v>
                </c:pt>
                <c:pt idx="20">
                  <c:v>41947</c:v>
                </c:pt>
                <c:pt idx="21">
                  <c:v>41961</c:v>
                </c:pt>
                <c:pt idx="22">
                  <c:v>41975</c:v>
                </c:pt>
                <c:pt idx="23">
                  <c:v>41989</c:v>
                </c:pt>
                <c:pt idx="24">
                  <c:v>42010</c:v>
                </c:pt>
                <c:pt idx="25">
                  <c:v>42024</c:v>
                </c:pt>
                <c:pt idx="26">
                  <c:v>42038</c:v>
                </c:pt>
                <c:pt idx="27">
                  <c:v>42052</c:v>
                </c:pt>
                <c:pt idx="28">
                  <c:v>42066</c:v>
                </c:pt>
                <c:pt idx="29">
                  <c:v>42080</c:v>
                </c:pt>
                <c:pt idx="30">
                  <c:v>42095</c:v>
                </c:pt>
                <c:pt idx="31">
                  <c:v>42109</c:v>
                </c:pt>
                <c:pt idx="32">
                  <c:v>42129</c:v>
                </c:pt>
                <c:pt idx="33">
                  <c:v>42143</c:v>
                </c:pt>
                <c:pt idx="34">
                  <c:v>42157</c:v>
                </c:pt>
                <c:pt idx="35">
                  <c:v>42171</c:v>
                </c:pt>
                <c:pt idx="36">
                  <c:v>42186</c:v>
                </c:pt>
                <c:pt idx="37">
                  <c:v>42200</c:v>
                </c:pt>
                <c:pt idx="38">
                  <c:v>42220</c:v>
                </c:pt>
                <c:pt idx="39">
                  <c:v>42234</c:v>
                </c:pt>
                <c:pt idx="40">
                  <c:v>42248</c:v>
                </c:pt>
                <c:pt idx="41">
                  <c:v>42262</c:v>
                </c:pt>
                <c:pt idx="42">
                  <c:v>42283</c:v>
                </c:pt>
                <c:pt idx="43">
                  <c:v>42297</c:v>
                </c:pt>
                <c:pt idx="44">
                  <c:v>42311</c:v>
                </c:pt>
                <c:pt idx="45">
                  <c:v>42325</c:v>
                </c:pt>
                <c:pt idx="46">
                  <c:v>42339</c:v>
                </c:pt>
                <c:pt idx="47">
                  <c:v>42353</c:v>
                </c:pt>
              </c:numCache>
            </c:numRef>
          </c:cat>
          <c:val>
            <c:numRef>
              <c:f>[奶粉進口量.xls]奶粉進口量!$I$2:$I$39</c:f>
              <c:numCache>
                <c:formatCode>0.0_ </c:formatCode>
                <c:ptCount val="38"/>
                <c:pt idx="0">
                  <c:v>4934.4311255587163</c:v>
                </c:pt>
                <c:pt idx="1">
                  <c:v>4942.6127133608006</c:v>
                </c:pt>
                <c:pt idx="2">
                  <c:v>5004.5206512692466</c:v>
                </c:pt>
                <c:pt idx="3">
                  <c:v>4998.9925414364643</c:v>
                </c:pt>
                <c:pt idx="4">
                  <c:v>4702.7552270142596</c:v>
                </c:pt>
                <c:pt idx="5">
                  <c:v>4439.2531702671549</c:v>
                </c:pt>
                <c:pt idx="6">
                  <c:v>4032.550629063187</c:v>
                </c:pt>
                <c:pt idx="7">
                  <c:v>3990.2876056338027</c:v>
                </c:pt>
                <c:pt idx="8">
                  <c:v>3928.3917957712169</c:v>
                </c:pt>
                <c:pt idx="9">
                  <c:v>3876.9790975447909</c:v>
                </c:pt>
                <c:pt idx="10">
                  <c:v>3594.2866837581059</c:v>
                </c:pt>
                <c:pt idx="11">
                  <c:v>3658.2751700680274</c:v>
                </c:pt>
                <c:pt idx="12">
                  <c:v>3459.0299553297714</c:v>
                </c:pt>
                <c:pt idx="13">
                  <c:v>3088.4207180634662</c:v>
                </c:pt>
                <c:pt idx="14">
                  <c:v>2724.8983322307718</c:v>
                </c:pt>
                <c:pt idx="15">
                  <c:v>2804.2616247512215</c:v>
                </c:pt>
                <c:pt idx="16">
                  <c:v>2672.5382085509768</c:v>
                </c:pt>
                <c:pt idx="17">
                  <c:v>2691.9545015488125</c:v>
                </c:pt>
                <c:pt idx="18">
                  <c:v>2443.3002401452586</c:v>
                </c:pt>
                <c:pt idx="19">
                  <c:v>2503.1502454991819</c:v>
                </c:pt>
                <c:pt idx="20">
                  <c:v>2521.8796580447174</c:v>
                </c:pt>
                <c:pt idx="21">
                  <c:v>2399.7247891620314</c:v>
                </c:pt>
                <c:pt idx="22">
                  <c:v>2229.0452054794519</c:v>
                </c:pt>
                <c:pt idx="23">
                  <c:v>2270.2911309856531</c:v>
                </c:pt>
                <c:pt idx="24">
                  <c:v>2306.8414940512871</c:v>
                </c:pt>
                <c:pt idx="25">
                  <c:v>2402.0547338097613</c:v>
                </c:pt>
                <c:pt idx="26">
                  <c:v>2873.8222208296779</c:v>
                </c:pt>
                <c:pt idx="27">
                  <c:v>3272.4584813682559</c:v>
                </c:pt>
                <c:pt idx="28">
                  <c:v>3241.2337499999999</c:v>
                </c:pt>
                <c:pt idx="29">
                  <c:v>2927.7196029776674</c:v>
                </c:pt>
                <c:pt idx="30">
                  <c:v>2538.1145623235175</c:v>
                </c:pt>
                <c:pt idx="31">
                  <c:v>2445.6462041409372</c:v>
                </c:pt>
                <c:pt idx="32">
                  <c:v>2385.8125458547324</c:v>
                </c:pt>
                <c:pt idx="33">
                  <c:v>2390.0301155787074</c:v>
                </c:pt>
                <c:pt idx="34">
                  <c:v>2308.9639160640863</c:v>
                </c:pt>
                <c:pt idx="35">
                  <c:v>2327.1926476496583</c:v>
                </c:pt>
                <c:pt idx="36">
                  <c:v>2054.3312914752423</c:v>
                </c:pt>
                <c:pt idx="37">
                  <c:v>1847.8309692671394</c:v>
                </c:pt>
              </c:numCache>
            </c:numRef>
          </c:val>
          <c:smooth val="0"/>
        </c:ser>
        <c:ser>
          <c:idx val="2"/>
          <c:order val="2"/>
          <c:spPr>
            <a:ln>
              <a:solidFill>
                <a:srgbClr val="FF0000"/>
              </a:solidFill>
            </a:ln>
          </c:spPr>
          <c:marker>
            <c:symbol val="none"/>
          </c:marker>
          <c:cat>
            <c:numRef>
              <c:f>[奶粉進口量.xls]奶粉進口量!$H$2:$H$49</c:f>
              <c:numCache>
                <c:formatCode>m/d/yyyy</c:formatCode>
                <c:ptCount val="48"/>
                <c:pt idx="0">
                  <c:v>41646</c:v>
                </c:pt>
                <c:pt idx="1">
                  <c:v>41660</c:v>
                </c:pt>
                <c:pt idx="2">
                  <c:v>41674</c:v>
                </c:pt>
                <c:pt idx="3">
                  <c:v>41688</c:v>
                </c:pt>
                <c:pt idx="4">
                  <c:v>41702</c:v>
                </c:pt>
                <c:pt idx="5">
                  <c:v>41716</c:v>
                </c:pt>
                <c:pt idx="6">
                  <c:v>41730</c:v>
                </c:pt>
                <c:pt idx="7">
                  <c:v>41744</c:v>
                </c:pt>
                <c:pt idx="8">
                  <c:v>41765</c:v>
                </c:pt>
                <c:pt idx="9">
                  <c:v>41779</c:v>
                </c:pt>
                <c:pt idx="10">
                  <c:v>41793</c:v>
                </c:pt>
                <c:pt idx="11">
                  <c:v>41807</c:v>
                </c:pt>
                <c:pt idx="12">
                  <c:v>41821</c:v>
                </c:pt>
                <c:pt idx="13">
                  <c:v>41835</c:v>
                </c:pt>
                <c:pt idx="14">
                  <c:v>41856</c:v>
                </c:pt>
                <c:pt idx="15">
                  <c:v>41870</c:v>
                </c:pt>
                <c:pt idx="16">
                  <c:v>41884</c:v>
                </c:pt>
                <c:pt idx="17">
                  <c:v>41898</c:v>
                </c:pt>
                <c:pt idx="18">
                  <c:v>41913</c:v>
                </c:pt>
                <c:pt idx="19">
                  <c:v>41927</c:v>
                </c:pt>
                <c:pt idx="20">
                  <c:v>41947</c:v>
                </c:pt>
                <c:pt idx="21">
                  <c:v>41961</c:v>
                </c:pt>
                <c:pt idx="22">
                  <c:v>41975</c:v>
                </c:pt>
                <c:pt idx="23">
                  <c:v>41989</c:v>
                </c:pt>
                <c:pt idx="24">
                  <c:v>42010</c:v>
                </c:pt>
                <c:pt idx="25">
                  <c:v>42024</c:v>
                </c:pt>
                <c:pt idx="26">
                  <c:v>42038</c:v>
                </c:pt>
                <c:pt idx="27">
                  <c:v>42052</c:v>
                </c:pt>
                <c:pt idx="28">
                  <c:v>42066</c:v>
                </c:pt>
                <c:pt idx="29">
                  <c:v>42080</c:v>
                </c:pt>
                <c:pt idx="30">
                  <c:v>42095</c:v>
                </c:pt>
                <c:pt idx="31">
                  <c:v>42109</c:v>
                </c:pt>
                <c:pt idx="32">
                  <c:v>42129</c:v>
                </c:pt>
                <c:pt idx="33">
                  <c:v>42143</c:v>
                </c:pt>
                <c:pt idx="34">
                  <c:v>42157</c:v>
                </c:pt>
                <c:pt idx="35">
                  <c:v>42171</c:v>
                </c:pt>
                <c:pt idx="36">
                  <c:v>42186</c:v>
                </c:pt>
                <c:pt idx="37">
                  <c:v>42200</c:v>
                </c:pt>
                <c:pt idx="38">
                  <c:v>42220</c:v>
                </c:pt>
                <c:pt idx="39">
                  <c:v>42234</c:v>
                </c:pt>
                <c:pt idx="40">
                  <c:v>42248</c:v>
                </c:pt>
                <c:pt idx="41">
                  <c:v>42262</c:v>
                </c:pt>
                <c:pt idx="42">
                  <c:v>42283</c:v>
                </c:pt>
                <c:pt idx="43">
                  <c:v>42297</c:v>
                </c:pt>
                <c:pt idx="44">
                  <c:v>42311</c:v>
                </c:pt>
                <c:pt idx="45">
                  <c:v>42325</c:v>
                </c:pt>
                <c:pt idx="46">
                  <c:v>42339</c:v>
                </c:pt>
                <c:pt idx="47">
                  <c:v>42353</c:v>
                </c:pt>
              </c:numCache>
            </c:numRef>
          </c:cat>
          <c:val>
            <c:numRef>
              <c:f>[奶粉進口量.xls]奶粉進口量!$I$2:$I$49</c:f>
              <c:numCache>
                <c:formatCode>0.0_ </c:formatCode>
                <c:ptCount val="48"/>
                <c:pt idx="0">
                  <c:v>4934.4311255587163</c:v>
                </c:pt>
                <c:pt idx="1">
                  <c:v>4942.6127133608006</c:v>
                </c:pt>
                <c:pt idx="2">
                  <c:v>5004.5206512692466</c:v>
                </c:pt>
                <c:pt idx="3">
                  <c:v>4998.9925414364643</c:v>
                </c:pt>
                <c:pt idx="4">
                  <c:v>4702.7552270142596</c:v>
                </c:pt>
                <c:pt idx="5">
                  <c:v>4439.2531702671549</c:v>
                </c:pt>
                <c:pt idx="6">
                  <c:v>4032.550629063187</c:v>
                </c:pt>
                <c:pt idx="7">
                  <c:v>3990.2876056338027</c:v>
                </c:pt>
                <c:pt idx="8">
                  <c:v>3928.3917957712169</c:v>
                </c:pt>
                <c:pt idx="9">
                  <c:v>3876.9790975447909</c:v>
                </c:pt>
                <c:pt idx="10">
                  <c:v>3594.2866837581059</c:v>
                </c:pt>
                <c:pt idx="11">
                  <c:v>3658.2751700680274</c:v>
                </c:pt>
                <c:pt idx="12">
                  <c:v>3459.0299553297714</c:v>
                </c:pt>
                <c:pt idx="13">
                  <c:v>3088.4207180634662</c:v>
                </c:pt>
                <c:pt idx="14">
                  <c:v>2724.8983322307718</c:v>
                </c:pt>
                <c:pt idx="15">
                  <c:v>2804.2616247512215</c:v>
                </c:pt>
                <c:pt idx="16">
                  <c:v>2672.5382085509768</c:v>
                </c:pt>
                <c:pt idx="17">
                  <c:v>2691.9545015488125</c:v>
                </c:pt>
                <c:pt idx="18">
                  <c:v>2443.3002401452586</c:v>
                </c:pt>
                <c:pt idx="19">
                  <c:v>2503.1502454991819</c:v>
                </c:pt>
                <c:pt idx="20">
                  <c:v>2521.8796580447174</c:v>
                </c:pt>
                <c:pt idx="21">
                  <c:v>2399.7247891620314</c:v>
                </c:pt>
                <c:pt idx="22">
                  <c:v>2229.0452054794519</c:v>
                </c:pt>
                <c:pt idx="23">
                  <c:v>2270.2911309856531</c:v>
                </c:pt>
                <c:pt idx="24">
                  <c:v>2306.8414940512871</c:v>
                </c:pt>
                <c:pt idx="25">
                  <c:v>2402.0547338097613</c:v>
                </c:pt>
                <c:pt idx="26">
                  <c:v>2873.8222208296779</c:v>
                </c:pt>
                <c:pt idx="27">
                  <c:v>3272.4584813682559</c:v>
                </c:pt>
                <c:pt idx="28">
                  <c:v>3241.2337499999999</c:v>
                </c:pt>
                <c:pt idx="29">
                  <c:v>2927.7196029776674</c:v>
                </c:pt>
                <c:pt idx="30">
                  <c:v>2538.1145623235175</c:v>
                </c:pt>
                <c:pt idx="31">
                  <c:v>2445.6462041409372</c:v>
                </c:pt>
                <c:pt idx="32">
                  <c:v>2385.8125458547324</c:v>
                </c:pt>
                <c:pt idx="33">
                  <c:v>2390.0301155787074</c:v>
                </c:pt>
                <c:pt idx="34">
                  <c:v>2308.9639160640863</c:v>
                </c:pt>
                <c:pt idx="35">
                  <c:v>2327.1926476496583</c:v>
                </c:pt>
                <c:pt idx="36">
                  <c:v>2054.3312914752423</c:v>
                </c:pt>
                <c:pt idx="37">
                  <c:v>1847.8309692671394</c:v>
                </c:pt>
                <c:pt idx="38">
                  <c:v>1590.0964757709251</c:v>
                </c:pt>
                <c:pt idx="39">
                  <c:v>1855.9300628648407</c:v>
                </c:pt>
                <c:pt idx="40">
                  <c:v>2077.7050290681268</c:v>
                </c:pt>
                <c:pt idx="41">
                  <c:v>2494.8547023599858</c:v>
                </c:pt>
                <c:pt idx="42">
                  <c:v>2823.7771138332837</c:v>
                </c:pt>
                <c:pt idx="43">
                  <c:v>2693.7466851494696</c:v>
                </c:pt>
                <c:pt idx="44">
                  <c:v>2453.3128722499087</c:v>
                </c:pt>
                <c:pt idx="45">
                  <c:v>2147.5607028753993</c:v>
                </c:pt>
                <c:pt idx="46">
                  <c:v>2259.6</c:v>
                </c:pt>
                <c:pt idx="47">
                  <c:v>2304.4</c:v>
                </c:pt>
              </c:numCache>
            </c:numRef>
          </c:val>
          <c:smooth val="0"/>
        </c:ser>
        <c:dLbls>
          <c:showLegendKey val="0"/>
          <c:showVal val="0"/>
          <c:showCatName val="0"/>
          <c:showSerName val="0"/>
          <c:showPercent val="0"/>
          <c:showBubbleSize val="0"/>
        </c:dLbls>
        <c:marker val="1"/>
        <c:smooth val="0"/>
        <c:axId val="274813696"/>
        <c:axId val="274815232"/>
      </c:lineChart>
      <c:dateAx>
        <c:axId val="274813696"/>
        <c:scaling>
          <c:orientation val="minMax"/>
        </c:scaling>
        <c:delete val="0"/>
        <c:axPos val="b"/>
        <c:numFmt formatCode="yyyy/m/d" sourceLinked="0"/>
        <c:majorTickMark val="out"/>
        <c:minorTickMark val="none"/>
        <c:tickLblPos val="nextTo"/>
        <c:txPr>
          <a:bodyPr rot="-2700000"/>
          <a:lstStyle/>
          <a:p>
            <a:pPr>
              <a:defRPr sz="900"/>
            </a:pPr>
            <a:endParaRPr lang="zh-TW"/>
          </a:p>
        </c:txPr>
        <c:crossAx val="274815232"/>
        <c:crosses val="autoZero"/>
        <c:auto val="1"/>
        <c:lblOffset val="100"/>
        <c:baseTimeUnit val="days"/>
        <c:majorUnit val="2"/>
        <c:majorTimeUnit val="months"/>
      </c:dateAx>
      <c:valAx>
        <c:axId val="274815232"/>
        <c:scaling>
          <c:orientation val="minMax"/>
          <c:min val="1000"/>
        </c:scaling>
        <c:delete val="0"/>
        <c:axPos val="l"/>
        <c:majorGridlines/>
        <c:numFmt formatCode="0.0_ " sourceLinked="1"/>
        <c:majorTickMark val="out"/>
        <c:minorTickMark val="none"/>
        <c:tickLblPos val="nextTo"/>
        <c:crossAx val="274813696"/>
        <c:crosses val="autoZero"/>
        <c:crossBetween val="between"/>
        <c:majorUnit val="1000"/>
      </c:valAx>
    </c:plotArea>
    <c:plotVisOnly val="1"/>
    <c:dispBlanksAs val="gap"/>
    <c:showDLblsOverMax val="0"/>
  </c:chart>
  <c:spPr>
    <a:ln>
      <a:noFill/>
    </a:ln>
  </c:spPr>
  <c:externalData r:id="rId1">
    <c:autoUpdate val="0"/>
  </c:externalData>
  <c:userShapes r:id="rId2"/>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415114956124047E-2"/>
          <c:y val="4.214129483814523E-2"/>
          <c:w val="0.89437531681930316"/>
          <c:h val="0.66548731408573925"/>
        </c:manualLayout>
      </c:layout>
      <c:lineChart>
        <c:grouping val="standard"/>
        <c:varyColors val="0"/>
        <c:ser>
          <c:idx val="0"/>
          <c:order val="0"/>
          <c:marker>
            <c:symbol val="none"/>
          </c:marker>
          <c:cat>
            <c:strRef>
              <c:f>'ExchangeRate (1)'!$A$2:$A$224</c:f>
              <c:strCache>
                <c:ptCount val="223"/>
                <c:pt idx="0">
                  <c:v>2015/1/5</c:v>
                </c:pt>
                <c:pt idx="1">
                  <c:v>2015/1/6</c:v>
                </c:pt>
                <c:pt idx="2">
                  <c:v>2015/1/7</c:v>
                </c:pt>
                <c:pt idx="3">
                  <c:v>2015/1/8</c:v>
                </c:pt>
                <c:pt idx="4">
                  <c:v>2015/1/9</c:v>
                </c:pt>
                <c:pt idx="5">
                  <c:v>2015/1/12</c:v>
                </c:pt>
                <c:pt idx="6">
                  <c:v>2015/1/13</c:v>
                </c:pt>
                <c:pt idx="7">
                  <c:v>2015/1/14</c:v>
                </c:pt>
                <c:pt idx="8">
                  <c:v>2015/1/15</c:v>
                </c:pt>
                <c:pt idx="9">
                  <c:v>2015/1/16</c:v>
                </c:pt>
                <c:pt idx="10">
                  <c:v>2015/1/19</c:v>
                </c:pt>
                <c:pt idx="11">
                  <c:v>2015/1/20</c:v>
                </c:pt>
                <c:pt idx="12">
                  <c:v>2015/1/21</c:v>
                </c:pt>
                <c:pt idx="13">
                  <c:v>2015/1/22</c:v>
                </c:pt>
                <c:pt idx="14">
                  <c:v>2015/1/23</c:v>
                </c:pt>
                <c:pt idx="15">
                  <c:v>2015/1/26</c:v>
                </c:pt>
                <c:pt idx="16">
                  <c:v>2015/1/27</c:v>
                </c:pt>
                <c:pt idx="17">
                  <c:v>2015/1/28</c:v>
                </c:pt>
                <c:pt idx="18">
                  <c:v>2015/1/29</c:v>
                </c:pt>
                <c:pt idx="19">
                  <c:v>2015/1/30</c:v>
                </c:pt>
                <c:pt idx="20">
                  <c:v>2015/2/2</c:v>
                </c:pt>
                <c:pt idx="21">
                  <c:v>2015/2/3</c:v>
                </c:pt>
                <c:pt idx="22">
                  <c:v>2015/2/4</c:v>
                </c:pt>
                <c:pt idx="23">
                  <c:v>2015/2/5</c:v>
                </c:pt>
                <c:pt idx="24">
                  <c:v>2015/2/6</c:v>
                </c:pt>
                <c:pt idx="25">
                  <c:v>2015/2/9</c:v>
                </c:pt>
                <c:pt idx="26">
                  <c:v>2015/2/10</c:v>
                </c:pt>
                <c:pt idx="27">
                  <c:v>2015/2/11</c:v>
                </c:pt>
                <c:pt idx="28">
                  <c:v>2015/2/12</c:v>
                </c:pt>
                <c:pt idx="29">
                  <c:v>2015/2/13</c:v>
                </c:pt>
                <c:pt idx="30">
                  <c:v>2015/2/16</c:v>
                </c:pt>
                <c:pt idx="31">
                  <c:v>2015/2/17</c:v>
                </c:pt>
                <c:pt idx="32">
                  <c:v>2015/2/24</c:v>
                </c:pt>
                <c:pt idx="33">
                  <c:v>2015/2/25</c:v>
                </c:pt>
                <c:pt idx="34">
                  <c:v>2015/2/26</c:v>
                </c:pt>
                <c:pt idx="35">
                  <c:v>2015/3/2</c:v>
                </c:pt>
                <c:pt idx="36">
                  <c:v>2015/3/3</c:v>
                </c:pt>
                <c:pt idx="37">
                  <c:v>2015/3/4</c:v>
                </c:pt>
                <c:pt idx="38">
                  <c:v>2015/3/5</c:v>
                </c:pt>
                <c:pt idx="39">
                  <c:v>2015/3/6</c:v>
                </c:pt>
                <c:pt idx="40">
                  <c:v>2015/3/9</c:v>
                </c:pt>
                <c:pt idx="41">
                  <c:v>2015/3/10</c:v>
                </c:pt>
                <c:pt idx="42">
                  <c:v>2015/3/11</c:v>
                </c:pt>
                <c:pt idx="43">
                  <c:v>2015/3/12</c:v>
                </c:pt>
                <c:pt idx="44">
                  <c:v>2015/3/13</c:v>
                </c:pt>
                <c:pt idx="45">
                  <c:v>2015/3/16</c:v>
                </c:pt>
                <c:pt idx="46">
                  <c:v>2015/3/17</c:v>
                </c:pt>
                <c:pt idx="47">
                  <c:v>2015/3/18</c:v>
                </c:pt>
                <c:pt idx="48">
                  <c:v>2015/3/19</c:v>
                </c:pt>
                <c:pt idx="49">
                  <c:v>2015/3/20</c:v>
                </c:pt>
                <c:pt idx="50">
                  <c:v>2015/3/23</c:v>
                </c:pt>
                <c:pt idx="51">
                  <c:v>2015/3/24</c:v>
                </c:pt>
                <c:pt idx="52">
                  <c:v>2015/3/25</c:v>
                </c:pt>
                <c:pt idx="53">
                  <c:v>2015/3/26</c:v>
                </c:pt>
                <c:pt idx="54">
                  <c:v>2015/3/27</c:v>
                </c:pt>
                <c:pt idx="55">
                  <c:v>2015/3/30</c:v>
                </c:pt>
                <c:pt idx="56">
                  <c:v>2015/3/31</c:v>
                </c:pt>
                <c:pt idx="57">
                  <c:v>2015/4/1</c:v>
                </c:pt>
                <c:pt idx="58">
                  <c:v>2015/4/2</c:v>
                </c:pt>
                <c:pt idx="59">
                  <c:v>2015/4/7</c:v>
                </c:pt>
                <c:pt idx="60">
                  <c:v>2015/4/8</c:v>
                </c:pt>
                <c:pt idx="61">
                  <c:v>2015/4/9</c:v>
                </c:pt>
                <c:pt idx="62">
                  <c:v>2015/4/10</c:v>
                </c:pt>
                <c:pt idx="63">
                  <c:v>2015/4/13</c:v>
                </c:pt>
                <c:pt idx="64">
                  <c:v>2015/4/14</c:v>
                </c:pt>
                <c:pt idx="65">
                  <c:v>2015/4/15</c:v>
                </c:pt>
                <c:pt idx="66">
                  <c:v>2015/4/16</c:v>
                </c:pt>
                <c:pt idx="67">
                  <c:v>2015/4/17</c:v>
                </c:pt>
                <c:pt idx="68">
                  <c:v>2015/4/20</c:v>
                </c:pt>
                <c:pt idx="69">
                  <c:v>2015/4/21</c:v>
                </c:pt>
                <c:pt idx="70">
                  <c:v>2015/4/22</c:v>
                </c:pt>
                <c:pt idx="71">
                  <c:v>2015/4/23</c:v>
                </c:pt>
                <c:pt idx="72">
                  <c:v>2015/4/24</c:v>
                </c:pt>
                <c:pt idx="73">
                  <c:v>2015/4/27</c:v>
                </c:pt>
                <c:pt idx="74">
                  <c:v>2015/4/28</c:v>
                </c:pt>
                <c:pt idx="75">
                  <c:v>2015/4/29</c:v>
                </c:pt>
                <c:pt idx="76">
                  <c:v>2015/4/30</c:v>
                </c:pt>
                <c:pt idx="77">
                  <c:v>2015/5/4</c:v>
                </c:pt>
                <c:pt idx="78">
                  <c:v>2015/5/5</c:v>
                </c:pt>
                <c:pt idx="79">
                  <c:v>2015/5/6</c:v>
                </c:pt>
                <c:pt idx="80">
                  <c:v>2015/5/7</c:v>
                </c:pt>
                <c:pt idx="81">
                  <c:v>2015/5/8</c:v>
                </c:pt>
                <c:pt idx="82">
                  <c:v>2015/5/11</c:v>
                </c:pt>
                <c:pt idx="83">
                  <c:v>2015/5/12</c:v>
                </c:pt>
                <c:pt idx="84">
                  <c:v>2015/5/13</c:v>
                </c:pt>
                <c:pt idx="85">
                  <c:v>2015/5/14</c:v>
                </c:pt>
                <c:pt idx="86">
                  <c:v>2015/5/15</c:v>
                </c:pt>
                <c:pt idx="87">
                  <c:v>2015/5/18</c:v>
                </c:pt>
                <c:pt idx="88">
                  <c:v>2015/5/19</c:v>
                </c:pt>
                <c:pt idx="89">
                  <c:v>2015/5/20</c:v>
                </c:pt>
                <c:pt idx="90">
                  <c:v>2015/5/21</c:v>
                </c:pt>
                <c:pt idx="91">
                  <c:v>2015/5/22</c:v>
                </c:pt>
                <c:pt idx="92">
                  <c:v>2015/5/25</c:v>
                </c:pt>
                <c:pt idx="93">
                  <c:v>2015/5/26</c:v>
                </c:pt>
                <c:pt idx="94">
                  <c:v>2015/5/27</c:v>
                </c:pt>
                <c:pt idx="95">
                  <c:v>2015/5/28</c:v>
                </c:pt>
                <c:pt idx="96">
                  <c:v>2015/5/29</c:v>
                </c:pt>
                <c:pt idx="97">
                  <c:v>2015/6/1</c:v>
                </c:pt>
                <c:pt idx="98">
                  <c:v>2015/6/2</c:v>
                </c:pt>
                <c:pt idx="99">
                  <c:v>2015/6/3</c:v>
                </c:pt>
                <c:pt idx="100">
                  <c:v>2015/6/4</c:v>
                </c:pt>
                <c:pt idx="101">
                  <c:v>2015/6/5</c:v>
                </c:pt>
                <c:pt idx="102">
                  <c:v>2015/6/8</c:v>
                </c:pt>
                <c:pt idx="103">
                  <c:v>2015/6/9</c:v>
                </c:pt>
                <c:pt idx="104">
                  <c:v>2015/6/10</c:v>
                </c:pt>
                <c:pt idx="105">
                  <c:v>2015/6/11</c:v>
                </c:pt>
                <c:pt idx="106">
                  <c:v>2015/6/12</c:v>
                </c:pt>
                <c:pt idx="107">
                  <c:v>2015/6/15</c:v>
                </c:pt>
                <c:pt idx="108">
                  <c:v>2015/6/16</c:v>
                </c:pt>
                <c:pt idx="109">
                  <c:v>2015/6/17</c:v>
                </c:pt>
                <c:pt idx="110">
                  <c:v>2015/6/18</c:v>
                </c:pt>
                <c:pt idx="111">
                  <c:v>2015/6/22</c:v>
                </c:pt>
                <c:pt idx="112">
                  <c:v>2015/6/23</c:v>
                </c:pt>
                <c:pt idx="113">
                  <c:v>2015/6/24</c:v>
                </c:pt>
                <c:pt idx="114">
                  <c:v>2015/6/25</c:v>
                </c:pt>
                <c:pt idx="115">
                  <c:v>2015/6/26</c:v>
                </c:pt>
                <c:pt idx="116">
                  <c:v>2015/6/29</c:v>
                </c:pt>
                <c:pt idx="117">
                  <c:v>2015/6/30</c:v>
                </c:pt>
                <c:pt idx="118">
                  <c:v>2015/7/1</c:v>
                </c:pt>
                <c:pt idx="119">
                  <c:v>2015/7/2</c:v>
                </c:pt>
                <c:pt idx="120">
                  <c:v>2015/7/3</c:v>
                </c:pt>
                <c:pt idx="121">
                  <c:v>2015/7/6</c:v>
                </c:pt>
                <c:pt idx="122">
                  <c:v>2015/7/7</c:v>
                </c:pt>
                <c:pt idx="123">
                  <c:v>2015/7/8</c:v>
                </c:pt>
                <c:pt idx="124">
                  <c:v>2015/7/9</c:v>
                </c:pt>
                <c:pt idx="125">
                  <c:v>2015/7/13</c:v>
                </c:pt>
                <c:pt idx="126">
                  <c:v>2015/7/14</c:v>
                </c:pt>
                <c:pt idx="127">
                  <c:v>2015/7/15</c:v>
                </c:pt>
                <c:pt idx="128">
                  <c:v>2015/7/16</c:v>
                </c:pt>
                <c:pt idx="129">
                  <c:v>2015/7/17</c:v>
                </c:pt>
                <c:pt idx="130">
                  <c:v>2015/7/20</c:v>
                </c:pt>
                <c:pt idx="131">
                  <c:v>2015/7/21</c:v>
                </c:pt>
                <c:pt idx="132">
                  <c:v>2015/7/22</c:v>
                </c:pt>
                <c:pt idx="133">
                  <c:v>2015/7/23</c:v>
                </c:pt>
                <c:pt idx="134">
                  <c:v>2015/7/24</c:v>
                </c:pt>
                <c:pt idx="135">
                  <c:v>2015/07/27</c:v>
                </c:pt>
                <c:pt idx="136">
                  <c:v>2015/07/28</c:v>
                </c:pt>
                <c:pt idx="137">
                  <c:v>2015/07/29</c:v>
                </c:pt>
                <c:pt idx="138">
                  <c:v>2015/07/30</c:v>
                </c:pt>
                <c:pt idx="139">
                  <c:v>2015/07/31</c:v>
                </c:pt>
                <c:pt idx="140">
                  <c:v>2015/08/03</c:v>
                </c:pt>
                <c:pt idx="141">
                  <c:v>2015/08/04</c:v>
                </c:pt>
                <c:pt idx="142">
                  <c:v>2015/08/05</c:v>
                </c:pt>
                <c:pt idx="143">
                  <c:v>2015/08/06</c:v>
                </c:pt>
                <c:pt idx="144">
                  <c:v>2015/08/07</c:v>
                </c:pt>
                <c:pt idx="145">
                  <c:v>2015/08/10</c:v>
                </c:pt>
                <c:pt idx="146">
                  <c:v>2015/08/11</c:v>
                </c:pt>
                <c:pt idx="147">
                  <c:v>2015/08/12</c:v>
                </c:pt>
                <c:pt idx="148">
                  <c:v>2015/08/13</c:v>
                </c:pt>
                <c:pt idx="149">
                  <c:v>2015/08/14</c:v>
                </c:pt>
                <c:pt idx="150">
                  <c:v>2015/08/17</c:v>
                </c:pt>
                <c:pt idx="151">
                  <c:v>2015/08/18</c:v>
                </c:pt>
                <c:pt idx="152">
                  <c:v>2015/08/19</c:v>
                </c:pt>
                <c:pt idx="153">
                  <c:v>2015/08/20</c:v>
                </c:pt>
                <c:pt idx="154">
                  <c:v>2015/08/21</c:v>
                </c:pt>
                <c:pt idx="155">
                  <c:v>2015/08/24</c:v>
                </c:pt>
                <c:pt idx="156">
                  <c:v>2015/08/25</c:v>
                </c:pt>
                <c:pt idx="157">
                  <c:v>2015/08/26</c:v>
                </c:pt>
                <c:pt idx="158">
                  <c:v>2015/08/27</c:v>
                </c:pt>
                <c:pt idx="159">
                  <c:v>2015/08/28</c:v>
                </c:pt>
                <c:pt idx="160">
                  <c:v>2015/08/31</c:v>
                </c:pt>
                <c:pt idx="161">
                  <c:v>2015/09/01</c:v>
                </c:pt>
                <c:pt idx="162">
                  <c:v>2015/09/02</c:v>
                </c:pt>
                <c:pt idx="163">
                  <c:v>2015/09/03</c:v>
                </c:pt>
                <c:pt idx="164">
                  <c:v>2015/09/04</c:v>
                </c:pt>
                <c:pt idx="165">
                  <c:v>2015/09/07</c:v>
                </c:pt>
                <c:pt idx="166">
                  <c:v>2015/09/08</c:v>
                </c:pt>
                <c:pt idx="167">
                  <c:v>2015/09/09</c:v>
                </c:pt>
                <c:pt idx="168">
                  <c:v>2015/09/10</c:v>
                </c:pt>
                <c:pt idx="169">
                  <c:v>2015/09/11</c:v>
                </c:pt>
                <c:pt idx="170">
                  <c:v>2015/09/14</c:v>
                </c:pt>
                <c:pt idx="171">
                  <c:v>2015/09/15</c:v>
                </c:pt>
                <c:pt idx="172">
                  <c:v>2015/09/16</c:v>
                </c:pt>
                <c:pt idx="173">
                  <c:v>2015/09/17</c:v>
                </c:pt>
                <c:pt idx="174">
                  <c:v>2015/09/18</c:v>
                </c:pt>
                <c:pt idx="175">
                  <c:v>2015/09/21</c:v>
                </c:pt>
                <c:pt idx="176">
                  <c:v>2015/09/22</c:v>
                </c:pt>
                <c:pt idx="177">
                  <c:v>2015/09/23</c:v>
                </c:pt>
                <c:pt idx="178">
                  <c:v>2015/09/24</c:v>
                </c:pt>
                <c:pt idx="179">
                  <c:v>2015/09/25</c:v>
                </c:pt>
                <c:pt idx="180">
                  <c:v>2015/09/29</c:v>
                </c:pt>
                <c:pt idx="181">
                  <c:v>2015/09/30</c:v>
                </c:pt>
                <c:pt idx="182">
                  <c:v>2015/10/01</c:v>
                </c:pt>
                <c:pt idx="183">
                  <c:v>2015/10/02</c:v>
                </c:pt>
                <c:pt idx="184">
                  <c:v>2015/10/05</c:v>
                </c:pt>
                <c:pt idx="185">
                  <c:v>2015/10/06</c:v>
                </c:pt>
                <c:pt idx="186">
                  <c:v>2015/10/07</c:v>
                </c:pt>
                <c:pt idx="187">
                  <c:v>2015/10/08</c:v>
                </c:pt>
                <c:pt idx="188">
                  <c:v>2015/10/12</c:v>
                </c:pt>
                <c:pt idx="189">
                  <c:v>2015/10/13</c:v>
                </c:pt>
                <c:pt idx="190">
                  <c:v>2015/10/14</c:v>
                </c:pt>
                <c:pt idx="191">
                  <c:v>2015/10/15</c:v>
                </c:pt>
                <c:pt idx="192">
                  <c:v>2015/10/16</c:v>
                </c:pt>
                <c:pt idx="193">
                  <c:v>2015/10/19</c:v>
                </c:pt>
                <c:pt idx="194">
                  <c:v>2015/10/20</c:v>
                </c:pt>
                <c:pt idx="195">
                  <c:v>2015/10/21</c:v>
                </c:pt>
                <c:pt idx="196">
                  <c:v>2015/10/22</c:v>
                </c:pt>
                <c:pt idx="197">
                  <c:v>2015/10/23</c:v>
                </c:pt>
                <c:pt idx="198">
                  <c:v>2015/10/26</c:v>
                </c:pt>
                <c:pt idx="199">
                  <c:v>2015/10/27</c:v>
                </c:pt>
                <c:pt idx="200">
                  <c:v>2015/10/28</c:v>
                </c:pt>
                <c:pt idx="201">
                  <c:v>2015/10/29</c:v>
                </c:pt>
                <c:pt idx="202">
                  <c:v>2015/10/30</c:v>
                </c:pt>
                <c:pt idx="203">
                  <c:v>2015/11/02</c:v>
                </c:pt>
                <c:pt idx="204">
                  <c:v>2015/11/03</c:v>
                </c:pt>
                <c:pt idx="205">
                  <c:v>2015/11/04</c:v>
                </c:pt>
                <c:pt idx="206">
                  <c:v>2015/11/05</c:v>
                </c:pt>
                <c:pt idx="207">
                  <c:v>2015/11/06</c:v>
                </c:pt>
                <c:pt idx="208">
                  <c:v>2015/11/09</c:v>
                </c:pt>
                <c:pt idx="209">
                  <c:v>2015/11/10</c:v>
                </c:pt>
                <c:pt idx="210">
                  <c:v>2015/11/11</c:v>
                </c:pt>
                <c:pt idx="211">
                  <c:v>2015/11/12</c:v>
                </c:pt>
                <c:pt idx="212">
                  <c:v>2015/11/13</c:v>
                </c:pt>
                <c:pt idx="213">
                  <c:v>2015/11/16</c:v>
                </c:pt>
                <c:pt idx="214">
                  <c:v>2015/11/17</c:v>
                </c:pt>
                <c:pt idx="215">
                  <c:v>2015/11/18</c:v>
                </c:pt>
                <c:pt idx="216">
                  <c:v>2015/11/19</c:v>
                </c:pt>
                <c:pt idx="217">
                  <c:v>2015/11/20</c:v>
                </c:pt>
                <c:pt idx="218">
                  <c:v>2015/11/23</c:v>
                </c:pt>
                <c:pt idx="219">
                  <c:v>2015/11/24</c:v>
                </c:pt>
                <c:pt idx="220">
                  <c:v>2015/11/25</c:v>
                </c:pt>
                <c:pt idx="221">
                  <c:v>2015/11/26</c:v>
                </c:pt>
                <c:pt idx="222">
                  <c:v>2015/11/27</c:v>
                </c:pt>
              </c:strCache>
            </c:strRef>
          </c:cat>
          <c:val>
            <c:numRef>
              <c:f>'ExchangeRate (1)'!$B$2:$B$224</c:f>
              <c:numCache>
                <c:formatCode>General</c:formatCode>
                <c:ptCount val="223"/>
                <c:pt idx="0">
                  <c:v>24.05</c:v>
                </c:pt>
                <c:pt idx="1">
                  <c:v>24.35</c:v>
                </c:pt>
                <c:pt idx="2">
                  <c:v>24.47</c:v>
                </c:pt>
                <c:pt idx="3">
                  <c:v>24.6</c:v>
                </c:pt>
                <c:pt idx="4">
                  <c:v>24.61</c:v>
                </c:pt>
                <c:pt idx="5">
                  <c:v>24.57</c:v>
                </c:pt>
                <c:pt idx="6">
                  <c:v>24.41</c:v>
                </c:pt>
                <c:pt idx="7">
                  <c:v>24.21</c:v>
                </c:pt>
                <c:pt idx="8">
                  <c:v>24.19</c:v>
                </c:pt>
                <c:pt idx="9">
                  <c:v>24.37</c:v>
                </c:pt>
                <c:pt idx="10">
                  <c:v>24.18</c:v>
                </c:pt>
                <c:pt idx="11">
                  <c:v>24.1</c:v>
                </c:pt>
                <c:pt idx="12">
                  <c:v>23.79</c:v>
                </c:pt>
                <c:pt idx="13">
                  <c:v>23.38</c:v>
                </c:pt>
                <c:pt idx="14">
                  <c:v>23.08</c:v>
                </c:pt>
                <c:pt idx="15">
                  <c:v>22.97</c:v>
                </c:pt>
                <c:pt idx="16">
                  <c:v>22.9</c:v>
                </c:pt>
                <c:pt idx="17">
                  <c:v>22.91</c:v>
                </c:pt>
                <c:pt idx="18">
                  <c:v>22.66</c:v>
                </c:pt>
                <c:pt idx="19">
                  <c:v>22.59</c:v>
                </c:pt>
                <c:pt idx="20">
                  <c:v>22.62</c:v>
                </c:pt>
                <c:pt idx="21">
                  <c:v>22.38</c:v>
                </c:pt>
                <c:pt idx="22">
                  <c:v>22.96</c:v>
                </c:pt>
                <c:pt idx="23">
                  <c:v>22.91</c:v>
                </c:pt>
                <c:pt idx="24">
                  <c:v>22.96</c:v>
                </c:pt>
                <c:pt idx="25">
                  <c:v>22.91</c:v>
                </c:pt>
                <c:pt idx="26">
                  <c:v>23.06</c:v>
                </c:pt>
                <c:pt idx="27">
                  <c:v>23.03</c:v>
                </c:pt>
                <c:pt idx="28">
                  <c:v>22.77</c:v>
                </c:pt>
                <c:pt idx="29">
                  <c:v>23.03</c:v>
                </c:pt>
                <c:pt idx="30">
                  <c:v>23.25</c:v>
                </c:pt>
                <c:pt idx="31">
                  <c:v>23.35</c:v>
                </c:pt>
                <c:pt idx="32">
                  <c:v>23.22</c:v>
                </c:pt>
                <c:pt idx="33">
                  <c:v>23.38</c:v>
                </c:pt>
                <c:pt idx="34">
                  <c:v>23.44</c:v>
                </c:pt>
                <c:pt idx="35">
                  <c:v>23.28</c:v>
                </c:pt>
                <c:pt idx="36">
                  <c:v>23.32</c:v>
                </c:pt>
                <c:pt idx="37">
                  <c:v>23.4</c:v>
                </c:pt>
                <c:pt idx="38">
                  <c:v>23.35</c:v>
                </c:pt>
                <c:pt idx="39">
                  <c:v>23.14</c:v>
                </c:pt>
                <c:pt idx="40">
                  <c:v>22.85</c:v>
                </c:pt>
                <c:pt idx="41">
                  <c:v>22.67</c:v>
                </c:pt>
                <c:pt idx="42">
                  <c:v>22.63</c:v>
                </c:pt>
                <c:pt idx="43">
                  <c:v>23.04</c:v>
                </c:pt>
                <c:pt idx="44">
                  <c:v>22.98</c:v>
                </c:pt>
                <c:pt idx="45">
                  <c:v>22.98</c:v>
                </c:pt>
                <c:pt idx="46">
                  <c:v>23.02</c:v>
                </c:pt>
                <c:pt idx="47">
                  <c:v>22.66</c:v>
                </c:pt>
                <c:pt idx="48">
                  <c:v>23</c:v>
                </c:pt>
                <c:pt idx="49">
                  <c:v>23.09</c:v>
                </c:pt>
                <c:pt idx="50">
                  <c:v>23.53</c:v>
                </c:pt>
                <c:pt idx="51">
                  <c:v>23.68</c:v>
                </c:pt>
                <c:pt idx="52">
                  <c:v>23.53</c:v>
                </c:pt>
                <c:pt idx="53">
                  <c:v>23.47</c:v>
                </c:pt>
                <c:pt idx="54">
                  <c:v>23.26</c:v>
                </c:pt>
                <c:pt idx="55">
                  <c:v>23.18</c:v>
                </c:pt>
                <c:pt idx="56">
                  <c:v>23.03</c:v>
                </c:pt>
                <c:pt idx="57">
                  <c:v>22.97</c:v>
                </c:pt>
                <c:pt idx="58">
                  <c:v>23</c:v>
                </c:pt>
                <c:pt idx="59">
                  <c:v>23.03</c:v>
                </c:pt>
                <c:pt idx="60">
                  <c:v>23.22</c:v>
                </c:pt>
                <c:pt idx="61">
                  <c:v>23.21</c:v>
                </c:pt>
                <c:pt idx="62">
                  <c:v>23.19</c:v>
                </c:pt>
                <c:pt idx="63">
                  <c:v>22.94</c:v>
                </c:pt>
                <c:pt idx="64">
                  <c:v>22.94</c:v>
                </c:pt>
                <c:pt idx="65">
                  <c:v>23.14</c:v>
                </c:pt>
                <c:pt idx="66">
                  <c:v>23.36</c:v>
                </c:pt>
                <c:pt idx="67">
                  <c:v>23.58</c:v>
                </c:pt>
                <c:pt idx="68">
                  <c:v>23.57</c:v>
                </c:pt>
                <c:pt idx="69">
                  <c:v>23.52</c:v>
                </c:pt>
                <c:pt idx="70">
                  <c:v>23.6</c:v>
                </c:pt>
                <c:pt idx="71">
                  <c:v>23.14</c:v>
                </c:pt>
                <c:pt idx="72">
                  <c:v>23.03</c:v>
                </c:pt>
                <c:pt idx="73">
                  <c:v>22.93</c:v>
                </c:pt>
                <c:pt idx="74">
                  <c:v>23</c:v>
                </c:pt>
                <c:pt idx="75">
                  <c:v>23.13</c:v>
                </c:pt>
                <c:pt idx="76">
                  <c:v>22.97</c:v>
                </c:pt>
                <c:pt idx="77">
                  <c:v>22.76</c:v>
                </c:pt>
                <c:pt idx="78">
                  <c:v>22.74</c:v>
                </c:pt>
                <c:pt idx="79">
                  <c:v>22.65</c:v>
                </c:pt>
                <c:pt idx="80">
                  <c:v>22.65</c:v>
                </c:pt>
                <c:pt idx="81">
                  <c:v>22.51</c:v>
                </c:pt>
                <c:pt idx="82">
                  <c:v>22.32</c:v>
                </c:pt>
                <c:pt idx="83">
                  <c:v>22.29</c:v>
                </c:pt>
                <c:pt idx="84">
                  <c:v>22.44</c:v>
                </c:pt>
                <c:pt idx="85">
                  <c:v>22.57</c:v>
                </c:pt>
                <c:pt idx="86">
                  <c:v>22.37</c:v>
                </c:pt>
                <c:pt idx="87">
                  <c:v>22.25</c:v>
                </c:pt>
                <c:pt idx="88">
                  <c:v>22.22</c:v>
                </c:pt>
                <c:pt idx="89">
                  <c:v>22.09</c:v>
                </c:pt>
                <c:pt idx="90">
                  <c:v>22</c:v>
                </c:pt>
                <c:pt idx="91">
                  <c:v>22.13</c:v>
                </c:pt>
                <c:pt idx="92">
                  <c:v>21.95</c:v>
                </c:pt>
                <c:pt idx="93">
                  <c:v>21.97</c:v>
                </c:pt>
                <c:pt idx="94">
                  <c:v>21.86</c:v>
                </c:pt>
                <c:pt idx="95">
                  <c:v>21.87</c:v>
                </c:pt>
                <c:pt idx="96">
                  <c:v>21.56</c:v>
                </c:pt>
                <c:pt idx="97">
                  <c:v>21.5</c:v>
                </c:pt>
                <c:pt idx="98">
                  <c:v>21.65</c:v>
                </c:pt>
                <c:pt idx="99">
                  <c:v>21.76</c:v>
                </c:pt>
                <c:pt idx="100">
                  <c:v>21.66</c:v>
                </c:pt>
                <c:pt idx="101">
                  <c:v>21.65</c:v>
                </c:pt>
                <c:pt idx="102">
                  <c:v>21.65</c:v>
                </c:pt>
                <c:pt idx="103">
                  <c:v>21.76</c:v>
                </c:pt>
                <c:pt idx="104">
                  <c:v>21.99</c:v>
                </c:pt>
                <c:pt idx="105">
                  <c:v>21.38</c:v>
                </c:pt>
                <c:pt idx="106">
                  <c:v>21.26</c:v>
                </c:pt>
                <c:pt idx="107">
                  <c:v>21.28</c:v>
                </c:pt>
                <c:pt idx="108">
                  <c:v>21.28</c:v>
                </c:pt>
                <c:pt idx="109">
                  <c:v>21.19</c:v>
                </c:pt>
                <c:pt idx="110">
                  <c:v>21.01</c:v>
                </c:pt>
                <c:pt idx="111">
                  <c:v>20.92</c:v>
                </c:pt>
                <c:pt idx="112">
                  <c:v>20.82</c:v>
                </c:pt>
                <c:pt idx="113">
                  <c:v>20.9</c:v>
                </c:pt>
                <c:pt idx="114">
                  <c:v>20.99</c:v>
                </c:pt>
                <c:pt idx="115">
                  <c:v>20.94</c:v>
                </c:pt>
                <c:pt idx="116">
                  <c:v>20.84</c:v>
                </c:pt>
                <c:pt idx="117">
                  <c:v>20.7</c:v>
                </c:pt>
                <c:pt idx="118">
                  <c:v>20.68</c:v>
                </c:pt>
                <c:pt idx="119">
                  <c:v>20.329999999999998</c:v>
                </c:pt>
                <c:pt idx="120">
                  <c:v>20.399999999999999</c:v>
                </c:pt>
                <c:pt idx="121">
                  <c:v>20.399999999999999</c:v>
                </c:pt>
                <c:pt idx="122">
                  <c:v>20.23</c:v>
                </c:pt>
                <c:pt idx="123">
                  <c:v>20.37</c:v>
                </c:pt>
                <c:pt idx="124">
                  <c:v>20.53</c:v>
                </c:pt>
                <c:pt idx="125">
                  <c:v>20.41</c:v>
                </c:pt>
                <c:pt idx="126">
                  <c:v>20.43</c:v>
                </c:pt>
                <c:pt idx="127">
                  <c:v>20.46</c:v>
                </c:pt>
                <c:pt idx="128">
                  <c:v>19.989999999999998</c:v>
                </c:pt>
                <c:pt idx="129">
                  <c:v>20.010000000000002</c:v>
                </c:pt>
                <c:pt idx="130">
                  <c:v>20.2</c:v>
                </c:pt>
                <c:pt idx="131">
                  <c:v>20.29</c:v>
                </c:pt>
                <c:pt idx="132">
                  <c:v>20.329999999999998</c:v>
                </c:pt>
                <c:pt idx="133">
                  <c:v>20.53</c:v>
                </c:pt>
                <c:pt idx="134">
                  <c:v>20.350000000000001</c:v>
                </c:pt>
                <c:pt idx="135">
                  <c:v>20.49</c:v>
                </c:pt>
                <c:pt idx="136">
                  <c:v>20.67</c:v>
                </c:pt>
                <c:pt idx="137">
                  <c:v>20.73</c:v>
                </c:pt>
                <c:pt idx="138">
                  <c:v>20.55</c:v>
                </c:pt>
                <c:pt idx="139">
                  <c:v>20.420000000000002</c:v>
                </c:pt>
                <c:pt idx="140">
                  <c:v>20.51</c:v>
                </c:pt>
                <c:pt idx="141">
                  <c:v>20.55</c:v>
                </c:pt>
                <c:pt idx="142">
                  <c:v>20.36</c:v>
                </c:pt>
                <c:pt idx="143">
                  <c:v>20.36</c:v>
                </c:pt>
                <c:pt idx="144">
                  <c:v>20.45</c:v>
                </c:pt>
                <c:pt idx="145">
                  <c:v>20.56</c:v>
                </c:pt>
                <c:pt idx="146">
                  <c:v>20.63</c:v>
                </c:pt>
                <c:pt idx="147">
                  <c:v>20.82</c:v>
                </c:pt>
                <c:pt idx="148">
                  <c:v>20.82</c:v>
                </c:pt>
                <c:pt idx="149">
                  <c:v>20.66</c:v>
                </c:pt>
                <c:pt idx="150">
                  <c:v>20.84</c:v>
                </c:pt>
                <c:pt idx="151">
                  <c:v>21.04</c:v>
                </c:pt>
                <c:pt idx="152">
                  <c:v>21.07</c:v>
                </c:pt>
                <c:pt idx="153">
                  <c:v>21.12</c:v>
                </c:pt>
                <c:pt idx="154">
                  <c:v>21.3</c:v>
                </c:pt>
                <c:pt idx="155">
                  <c:v>21.42</c:v>
                </c:pt>
                <c:pt idx="156">
                  <c:v>20.98</c:v>
                </c:pt>
                <c:pt idx="157">
                  <c:v>20.79</c:v>
                </c:pt>
                <c:pt idx="158">
                  <c:v>20.63</c:v>
                </c:pt>
                <c:pt idx="159">
                  <c:v>20.58</c:v>
                </c:pt>
                <c:pt idx="160">
                  <c:v>20.55</c:v>
                </c:pt>
                <c:pt idx="161">
                  <c:v>20.329999999999998</c:v>
                </c:pt>
                <c:pt idx="162">
                  <c:v>20.3</c:v>
                </c:pt>
                <c:pt idx="163">
                  <c:v>20.34</c:v>
                </c:pt>
                <c:pt idx="164">
                  <c:v>20.43</c:v>
                </c:pt>
                <c:pt idx="165">
                  <c:v>20.23</c:v>
                </c:pt>
                <c:pt idx="166">
                  <c:v>20.260000000000002</c:v>
                </c:pt>
                <c:pt idx="167">
                  <c:v>20.399999999999999</c:v>
                </c:pt>
                <c:pt idx="168">
                  <c:v>20.29</c:v>
                </c:pt>
                <c:pt idx="169">
                  <c:v>20.190000000000001</c:v>
                </c:pt>
                <c:pt idx="170">
                  <c:v>20.25</c:v>
                </c:pt>
                <c:pt idx="171">
                  <c:v>20.239999999999998</c:v>
                </c:pt>
                <c:pt idx="172">
                  <c:v>20.41</c:v>
                </c:pt>
                <c:pt idx="173">
                  <c:v>20.29</c:v>
                </c:pt>
                <c:pt idx="174">
                  <c:v>20.39</c:v>
                </c:pt>
                <c:pt idx="175">
                  <c:v>20.38</c:v>
                </c:pt>
                <c:pt idx="176">
                  <c:v>20.309999999999999</c:v>
                </c:pt>
                <c:pt idx="177">
                  <c:v>20.25</c:v>
                </c:pt>
                <c:pt idx="178">
                  <c:v>20.399999999999999</c:v>
                </c:pt>
                <c:pt idx="179">
                  <c:v>20.56</c:v>
                </c:pt>
                <c:pt idx="180">
                  <c:v>20.61</c:v>
                </c:pt>
                <c:pt idx="181">
                  <c:v>20.67</c:v>
                </c:pt>
                <c:pt idx="182">
                  <c:v>20.73</c:v>
                </c:pt>
                <c:pt idx="183">
                  <c:v>20.77</c:v>
                </c:pt>
                <c:pt idx="184">
                  <c:v>21.01</c:v>
                </c:pt>
                <c:pt idx="185">
                  <c:v>20.96</c:v>
                </c:pt>
                <c:pt idx="186">
                  <c:v>21.25</c:v>
                </c:pt>
                <c:pt idx="187">
                  <c:v>21.2</c:v>
                </c:pt>
                <c:pt idx="188">
                  <c:v>21.45</c:v>
                </c:pt>
                <c:pt idx="189">
                  <c:v>21.4</c:v>
                </c:pt>
                <c:pt idx="190">
                  <c:v>21.55</c:v>
                </c:pt>
                <c:pt idx="191">
                  <c:v>21.83</c:v>
                </c:pt>
                <c:pt idx="192">
                  <c:v>21.72</c:v>
                </c:pt>
                <c:pt idx="193">
                  <c:v>21.66</c:v>
                </c:pt>
                <c:pt idx="194">
                  <c:v>21.79</c:v>
                </c:pt>
                <c:pt idx="195">
                  <c:v>21.45</c:v>
                </c:pt>
                <c:pt idx="196">
                  <c:v>21.6</c:v>
                </c:pt>
                <c:pt idx="197">
                  <c:v>21.79</c:v>
                </c:pt>
                <c:pt idx="198">
                  <c:v>21.62</c:v>
                </c:pt>
                <c:pt idx="199">
                  <c:v>21.65</c:v>
                </c:pt>
                <c:pt idx="200">
                  <c:v>21.51</c:v>
                </c:pt>
                <c:pt idx="201">
                  <c:v>21.34</c:v>
                </c:pt>
                <c:pt idx="202">
                  <c:v>21.62</c:v>
                </c:pt>
                <c:pt idx="203">
                  <c:v>21.61</c:v>
                </c:pt>
                <c:pt idx="204">
                  <c:v>21.51</c:v>
                </c:pt>
                <c:pt idx="205">
                  <c:v>21.23</c:v>
                </c:pt>
                <c:pt idx="206">
                  <c:v>21.05</c:v>
                </c:pt>
                <c:pt idx="207">
                  <c:v>21.11</c:v>
                </c:pt>
                <c:pt idx="208">
                  <c:v>21.09</c:v>
                </c:pt>
                <c:pt idx="209">
                  <c:v>21.03</c:v>
                </c:pt>
                <c:pt idx="210">
                  <c:v>21.14</c:v>
                </c:pt>
                <c:pt idx="211">
                  <c:v>21.08</c:v>
                </c:pt>
                <c:pt idx="212">
                  <c:v>21.04</c:v>
                </c:pt>
                <c:pt idx="213">
                  <c:v>21.13</c:v>
                </c:pt>
                <c:pt idx="214">
                  <c:v>20.86</c:v>
                </c:pt>
                <c:pt idx="215">
                  <c:v>20.94</c:v>
                </c:pt>
                <c:pt idx="216">
                  <c:v>20.98</c:v>
                </c:pt>
                <c:pt idx="217">
                  <c:v>21.08</c:v>
                </c:pt>
                <c:pt idx="218">
                  <c:v>20.93</c:v>
                </c:pt>
                <c:pt idx="219">
                  <c:v>20.95</c:v>
                </c:pt>
                <c:pt idx="220">
                  <c:v>21.03</c:v>
                </c:pt>
                <c:pt idx="221">
                  <c:v>21.1</c:v>
                </c:pt>
                <c:pt idx="222">
                  <c:v>21.08</c:v>
                </c:pt>
              </c:numCache>
            </c:numRef>
          </c:val>
          <c:smooth val="0"/>
        </c:ser>
        <c:dLbls>
          <c:showLegendKey val="0"/>
          <c:showVal val="0"/>
          <c:showCatName val="0"/>
          <c:showSerName val="0"/>
          <c:showPercent val="0"/>
          <c:showBubbleSize val="0"/>
        </c:dLbls>
        <c:marker val="1"/>
        <c:smooth val="0"/>
        <c:axId val="274933632"/>
        <c:axId val="274935168"/>
      </c:lineChart>
      <c:catAx>
        <c:axId val="274933632"/>
        <c:scaling>
          <c:orientation val="minMax"/>
        </c:scaling>
        <c:delete val="0"/>
        <c:axPos val="b"/>
        <c:numFmt formatCode="yyyy/m/d" sourceLinked="0"/>
        <c:majorTickMark val="out"/>
        <c:minorTickMark val="none"/>
        <c:tickLblPos val="nextTo"/>
        <c:txPr>
          <a:bodyPr rot="-2700000"/>
          <a:lstStyle/>
          <a:p>
            <a:pPr>
              <a:defRPr sz="900"/>
            </a:pPr>
            <a:endParaRPr lang="zh-TW"/>
          </a:p>
        </c:txPr>
        <c:crossAx val="274935168"/>
        <c:crosses val="autoZero"/>
        <c:auto val="1"/>
        <c:lblAlgn val="ctr"/>
        <c:lblOffset val="100"/>
        <c:tickLblSkip val="10"/>
        <c:noMultiLvlLbl val="0"/>
      </c:catAx>
      <c:valAx>
        <c:axId val="274935168"/>
        <c:scaling>
          <c:orientation val="minMax"/>
          <c:max val="25"/>
          <c:min val="19"/>
        </c:scaling>
        <c:delete val="0"/>
        <c:axPos val="l"/>
        <c:majorGridlines/>
        <c:numFmt formatCode="General" sourceLinked="1"/>
        <c:majorTickMark val="out"/>
        <c:minorTickMark val="none"/>
        <c:tickLblPos val="nextTo"/>
        <c:crossAx val="274933632"/>
        <c:crosses val="autoZero"/>
        <c:crossBetween val="between"/>
        <c:majorUnit val="1"/>
      </c:valAx>
    </c:plotArea>
    <c:plotVisOnly val="1"/>
    <c:dispBlanksAs val="gap"/>
    <c:showDLblsOverMax val="0"/>
  </c:chart>
  <c:spPr>
    <a:ln>
      <a:noFill/>
    </a:ln>
  </c:spPr>
  <c:externalData r:id="rId1">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681512417811109"/>
          <c:y val="0.15259631663920717"/>
          <c:w val="0.7856352543529892"/>
          <c:h val="0.60169552841074703"/>
        </c:manualLayout>
      </c:layout>
      <c:lineChart>
        <c:grouping val="standard"/>
        <c:varyColors val="0"/>
        <c:ser>
          <c:idx val="3"/>
          <c:order val="2"/>
          <c:tx>
            <c:strRef>
              <c:f>食用油!$D$2</c:f>
              <c:strCache>
                <c:ptCount val="1"/>
                <c:pt idx="0">
                  <c:v>超市－得意的一天</c:v>
                </c:pt>
              </c:strCache>
            </c:strRef>
          </c:tx>
          <c:spPr>
            <a:ln>
              <a:prstDash val="sysDash"/>
            </a:ln>
          </c:spPr>
          <c:marker>
            <c:symbol val="none"/>
          </c:marker>
          <c:cat>
            <c:strRef>
              <c:f>食用油!$A$31:$A$173</c:f>
              <c:strCache>
                <c:ptCount val="143"/>
                <c:pt idx="0">
                  <c:v>101/1/8</c:v>
                </c:pt>
                <c:pt idx="1">
                  <c:v>101/1/22</c:v>
                </c:pt>
                <c:pt idx="2">
                  <c:v>101/2/5</c:v>
                </c:pt>
                <c:pt idx="3">
                  <c:v>101/2/19</c:v>
                </c:pt>
                <c:pt idx="4">
                  <c:v>101/3/4</c:v>
                </c:pt>
                <c:pt idx="5">
                  <c:v>101/3/18</c:v>
                </c:pt>
                <c:pt idx="6">
                  <c:v>101/4/1</c:v>
                </c:pt>
                <c:pt idx="7">
                  <c:v>101/4/15</c:v>
                </c:pt>
                <c:pt idx="8">
                  <c:v>101/4/22</c:v>
                </c:pt>
                <c:pt idx="9">
                  <c:v>101/4/29</c:v>
                </c:pt>
                <c:pt idx="10">
                  <c:v>101/5/6</c:v>
                </c:pt>
                <c:pt idx="11">
                  <c:v>101/5/13</c:v>
                </c:pt>
                <c:pt idx="12">
                  <c:v>101/5/20</c:v>
                </c:pt>
                <c:pt idx="13">
                  <c:v>101/5/27</c:v>
                </c:pt>
                <c:pt idx="14">
                  <c:v>101/6/3</c:v>
                </c:pt>
                <c:pt idx="15">
                  <c:v>101/6/10</c:v>
                </c:pt>
                <c:pt idx="16">
                  <c:v>101/6/17</c:v>
                </c:pt>
                <c:pt idx="17">
                  <c:v>101/6/24</c:v>
                </c:pt>
                <c:pt idx="18">
                  <c:v>101/7/1</c:v>
                </c:pt>
                <c:pt idx="19">
                  <c:v>101/7/8</c:v>
                </c:pt>
                <c:pt idx="20">
                  <c:v>101/7/15</c:v>
                </c:pt>
                <c:pt idx="21">
                  <c:v>101/7/22</c:v>
                </c:pt>
                <c:pt idx="22">
                  <c:v>101/7/29</c:v>
                </c:pt>
                <c:pt idx="23">
                  <c:v>101/8/5</c:v>
                </c:pt>
                <c:pt idx="24">
                  <c:v>101/8/12</c:v>
                </c:pt>
                <c:pt idx="25">
                  <c:v>101/8/19</c:v>
                </c:pt>
                <c:pt idx="26">
                  <c:v>101/8/26</c:v>
                </c:pt>
                <c:pt idx="27">
                  <c:v>101/9/2</c:v>
                </c:pt>
                <c:pt idx="28">
                  <c:v>101/9/9</c:v>
                </c:pt>
                <c:pt idx="29">
                  <c:v>101/9/16</c:v>
                </c:pt>
                <c:pt idx="30">
                  <c:v>101/9/23</c:v>
                </c:pt>
                <c:pt idx="31">
                  <c:v>101/9/30</c:v>
                </c:pt>
                <c:pt idx="32">
                  <c:v>101/10/7</c:v>
                </c:pt>
                <c:pt idx="33">
                  <c:v>101/10/14</c:v>
                </c:pt>
                <c:pt idx="34">
                  <c:v>101/10/21</c:v>
                </c:pt>
                <c:pt idx="35">
                  <c:v>101/10/28</c:v>
                </c:pt>
                <c:pt idx="36">
                  <c:v>101/11/4</c:v>
                </c:pt>
                <c:pt idx="37">
                  <c:v>101/11/11</c:v>
                </c:pt>
                <c:pt idx="38">
                  <c:v>101/11/18</c:v>
                </c:pt>
                <c:pt idx="39">
                  <c:v>101/11/25</c:v>
                </c:pt>
                <c:pt idx="40">
                  <c:v>101/12/2</c:v>
                </c:pt>
                <c:pt idx="41">
                  <c:v>101/12/9</c:v>
                </c:pt>
                <c:pt idx="42">
                  <c:v>101/12/16</c:v>
                </c:pt>
                <c:pt idx="43">
                  <c:v>101/12/23</c:v>
                </c:pt>
                <c:pt idx="44">
                  <c:v>101/12/30</c:v>
                </c:pt>
                <c:pt idx="45">
                  <c:v>102/1/7</c:v>
                </c:pt>
                <c:pt idx="46">
                  <c:v>102/1/14</c:v>
                </c:pt>
                <c:pt idx="47">
                  <c:v>102/1/21</c:v>
                </c:pt>
                <c:pt idx="48">
                  <c:v>102/1/28</c:v>
                </c:pt>
                <c:pt idx="49">
                  <c:v>102/2/5</c:v>
                </c:pt>
                <c:pt idx="50">
                  <c:v>102/2/12</c:v>
                </c:pt>
                <c:pt idx="51">
                  <c:v>102/2/19</c:v>
                </c:pt>
                <c:pt idx="52">
                  <c:v>102/2/26</c:v>
                </c:pt>
                <c:pt idx="53">
                  <c:v>102/3/05</c:v>
                </c:pt>
                <c:pt idx="54">
                  <c:v>102/3/11</c:v>
                </c:pt>
                <c:pt idx="55">
                  <c:v>102/3/18</c:v>
                </c:pt>
                <c:pt idx="56">
                  <c:v>102/3/25</c:v>
                </c:pt>
                <c:pt idx="57">
                  <c:v>102/4/1</c:v>
                </c:pt>
                <c:pt idx="58">
                  <c:v>102/4/8</c:v>
                </c:pt>
                <c:pt idx="59">
                  <c:v>102/4/15</c:v>
                </c:pt>
                <c:pt idx="60">
                  <c:v>102/4/22</c:v>
                </c:pt>
                <c:pt idx="61">
                  <c:v>102/4/29</c:v>
                </c:pt>
                <c:pt idx="62">
                  <c:v>102/5/6</c:v>
                </c:pt>
                <c:pt idx="63">
                  <c:v>102/5/13</c:v>
                </c:pt>
                <c:pt idx="64">
                  <c:v>102/5/20</c:v>
                </c:pt>
                <c:pt idx="65">
                  <c:v>102/5/27</c:v>
                </c:pt>
                <c:pt idx="66">
                  <c:v>102/6/3</c:v>
                </c:pt>
                <c:pt idx="67">
                  <c:v>102/6/10</c:v>
                </c:pt>
                <c:pt idx="68">
                  <c:v>102/6/17</c:v>
                </c:pt>
                <c:pt idx="69">
                  <c:v>102/6/24</c:v>
                </c:pt>
                <c:pt idx="70">
                  <c:v>102/7/1</c:v>
                </c:pt>
                <c:pt idx="71">
                  <c:v>102/7/8</c:v>
                </c:pt>
                <c:pt idx="72">
                  <c:v>102/7/15</c:v>
                </c:pt>
                <c:pt idx="73">
                  <c:v>102/7/22</c:v>
                </c:pt>
                <c:pt idx="74">
                  <c:v>102/7/29</c:v>
                </c:pt>
                <c:pt idx="75">
                  <c:v>102/8/5</c:v>
                </c:pt>
                <c:pt idx="76">
                  <c:v>102/8/12</c:v>
                </c:pt>
                <c:pt idx="77">
                  <c:v>102/8/19</c:v>
                </c:pt>
                <c:pt idx="78">
                  <c:v>102/8/26</c:v>
                </c:pt>
                <c:pt idx="79">
                  <c:v>102/9/2</c:v>
                </c:pt>
                <c:pt idx="80">
                  <c:v>102/9/9</c:v>
                </c:pt>
                <c:pt idx="81">
                  <c:v>102/9/16</c:v>
                </c:pt>
                <c:pt idx="82">
                  <c:v>102/9/23</c:v>
                </c:pt>
                <c:pt idx="83">
                  <c:v>102/9/30</c:v>
                </c:pt>
                <c:pt idx="84">
                  <c:v>102/10/7</c:v>
                </c:pt>
                <c:pt idx="85">
                  <c:v>102/10/14</c:v>
                </c:pt>
                <c:pt idx="86">
                  <c:v>102/10/21</c:v>
                </c:pt>
                <c:pt idx="87">
                  <c:v>102/10/28</c:v>
                </c:pt>
                <c:pt idx="88">
                  <c:v>102/11/04</c:v>
                </c:pt>
                <c:pt idx="89">
                  <c:v>102/11/11</c:v>
                </c:pt>
                <c:pt idx="90">
                  <c:v>102/11/18</c:v>
                </c:pt>
                <c:pt idx="91">
                  <c:v>102/11/25</c:v>
                </c:pt>
                <c:pt idx="92">
                  <c:v>102/12/2</c:v>
                </c:pt>
                <c:pt idx="93">
                  <c:v>102/12/9</c:v>
                </c:pt>
                <c:pt idx="94">
                  <c:v>102/12/16</c:v>
                </c:pt>
                <c:pt idx="95">
                  <c:v>102/12/23</c:v>
                </c:pt>
                <c:pt idx="96">
                  <c:v>102/12/30</c:v>
                </c:pt>
                <c:pt idx="97">
                  <c:v>103/1/6</c:v>
                </c:pt>
                <c:pt idx="98">
                  <c:v>103/1/20</c:v>
                </c:pt>
                <c:pt idx="99">
                  <c:v>103/2/10</c:v>
                </c:pt>
                <c:pt idx="100">
                  <c:v>103/2/24</c:v>
                </c:pt>
                <c:pt idx="101">
                  <c:v>103/3/3</c:v>
                </c:pt>
                <c:pt idx="102">
                  <c:v>103/3/17</c:v>
                </c:pt>
                <c:pt idx="103">
                  <c:v>103/4/7</c:v>
                </c:pt>
                <c:pt idx="104">
                  <c:v>103/4/21</c:v>
                </c:pt>
                <c:pt idx="105">
                  <c:v>103/5/5</c:v>
                </c:pt>
                <c:pt idx="106">
                  <c:v>103/5/19</c:v>
                </c:pt>
                <c:pt idx="107">
                  <c:v>103/6/9</c:v>
                </c:pt>
                <c:pt idx="108">
                  <c:v>103/6/23</c:v>
                </c:pt>
                <c:pt idx="109">
                  <c:v>103/7/7</c:v>
                </c:pt>
                <c:pt idx="110">
                  <c:v>103/7/21</c:v>
                </c:pt>
                <c:pt idx="111">
                  <c:v>103/8/4</c:v>
                </c:pt>
                <c:pt idx="112">
                  <c:v>103/8/18</c:v>
                </c:pt>
                <c:pt idx="113">
                  <c:v>103/9/9</c:v>
                </c:pt>
                <c:pt idx="114">
                  <c:v>103/9/22</c:v>
                </c:pt>
                <c:pt idx="115">
                  <c:v>103/10/6</c:v>
                </c:pt>
                <c:pt idx="116">
                  <c:v>103/10/20</c:v>
                </c:pt>
                <c:pt idx="117">
                  <c:v>103/11/3</c:v>
                </c:pt>
                <c:pt idx="118">
                  <c:v>103/11/17</c:v>
                </c:pt>
                <c:pt idx="119">
                  <c:v>103/12/8</c:v>
                </c:pt>
                <c:pt idx="120">
                  <c:v>103/12/22</c:v>
                </c:pt>
                <c:pt idx="121">
                  <c:v>104/1/5</c:v>
                </c:pt>
                <c:pt idx="122">
                  <c:v>104/1/19</c:v>
                </c:pt>
                <c:pt idx="123">
                  <c:v>104/2/2</c:v>
                </c:pt>
                <c:pt idx="124">
                  <c:v>104/2/16</c:v>
                </c:pt>
                <c:pt idx="125">
                  <c:v>104/3/9</c:v>
                </c:pt>
                <c:pt idx="126">
                  <c:v>104/3/23</c:v>
                </c:pt>
                <c:pt idx="127">
                  <c:v>104/4/7</c:v>
                </c:pt>
                <c:pt idx="128">
                  <c:v>104/4/20</c:v>
                </c:pt>
                <c:pt idx="129">
                  <c:v>104/5/11</c:v>
                </c:pt>
                <c:pt idx="130">
                  <c:v>104/5/25</c:v>
                </c:pt>
                <c:pt idx="131">
                  <c:v>104/6/8</c:v>
                </c:pt>
                <c:pt idx="132">
                  <c:v>104/6/15</c:v>
                </c:pt>
                <c:pt idx="133">
                  <c:v>104/7/6</c:v>
                </c:pt>
                <c:pt idx="134">
                  <c:v>104/7/20</c:v>
                </c:pt>
                <c:pt idx="135">
                  <c:v>104/8/3</c:v>
                </c:pt>
                <c:pt idx="136">
                  <c:v>104/8/17</c:v>
                </c:pt>
                <c:pt idx="137">
                  <c:v>104/9/7</c:v>
                </c:pt>
                <c:pt idx="138">
                  <c:v>104/9/21</c:v>
                </c:pt>
                <c:pt idx="139">
                  <c:v>104/10/5</c:v>
                </c:pt>
                <c:pt idx="140">
                  <c:v>104/10/19</c:v>
                </c:pt>
                <c:pt idx="141">
                  <c:v>104/11/9</c:v>
                </c:pt>
                <c:pt idx="142">
                  <c:v>104/11/23</c:v>
                </c:pt>
              </c:strCache>
            </c:strRef>
          </c:cat>
          <c:val>
            <c:numRef>
              <c:f>食用油!$D$31:$D$173</c:f>
              <c:numCache>
                <c:formatCode>0.00</c:formatCode>
                <c:ptCount val="143"/>
                <c:pt idx="0">
                  <c:v>177.16666666666666</c:v>
                </c:pt>
                <c:pt idx="1">
                  <c:v>191.61538461538461</c:v>
                </c:pt>
                <c:pt idx="2">
                  <c:v>188.71428571428572</c:v>
                </c:pt>
                <c:pt idx="3">
                  <c:v>175.67</c:v>
                </c:pt>
                <c:pt idx="4">
                  <c:v>181</c:v>
                </c:pt>
                <c:pt idx="5">
                  <c:v>184.27</c:v>
                </c:pt>
                <c:pt idx="6">
                  <c:v>182.73333333333332</c:v>
                </c:pt>
                <c:pt idx="7">
                  <c:v>180.71428571428572</c:v>
                </c:pt>
                <c:pt idx="8">
                  <c:v>180.14285714285714</c:v>
                </c:pt>
                <c:pt idx="9">
                  <c:v>178.78571428571428</c:v>
                </c:pt>
                <c:pt idx="10">
                  <c:v>175.26666666666668</c:v>
                </c:pt>
                <c:pt idx="11">
                  <c:v>177.125</c:v>
                </c:pt>
                <c:pt idx="12">
                  <c:v>186.06666666666666</c:v>
                </c:pt>
                <c:pt idx="13">
                  <c:v>184.375</c:v>
                </c:pt>
                <c:pt idx="14">
                  <c:v>172.4375</c:v>
                </c:pt>
                <c:pt idx="15">
                  <c:v>171.41176470588235</c:v>
                </c:pt>
                <c:pt idx="16">
                  <c:v>186.4375</c:v>
                </c:pt>
                <c:pt idx="17">
                  <c:v>185.66666666666666</c:v>
                </c:pt>
                <c:pt idx="18">
                  <c:v>188.8</c:v>
                </c:pt>
                <c:pt idx="19">
                  <c:v>187.2</c:v>
                </c:pt>
                <c:pt idx="20">
                  <c:v>189.5</c:v>
                </c:pt>
                <c:pt idx="21">
                  <c:v>189.5</c:v>
                </c:pt>
                <c:pt idx="22">
                  <c:v>189.125</c:v>
                </c:pt>
                <c:pt idx="23">
                  <c:v>185.13333333333333</c:v>
                </c:pt>
                <c:pt idx="24">
                  <c:v>183.4375</c:v>
                </c:pt>
                <c:pt idx="25">
                  <c:v>183.4375</c:v>
                </c:pt>
                <c:pt idx="26">
                  <c:v>179.75</c:v>
                </c:pt>
                <c:pt idx="27">
                  <c:v>180.625</c:v>
                </c:pt>
                <c:pt idx="28">
                  <c:v>186.75</c:v>
                </c:pt>
                <c:pt idx="29">
                  <c:v>187.375</c:v>
                </c:pt>
                <c:pt idx="30">
                  <c:v>188.6875</c:v>
                </c:pt>
                <c:pt idx="31">
                  <c:v>188.6875</c:v>
                </c:pt>
                <c:pt idx="32">
                  <c:v>188.0625</c:v>
                </c:pt>
                <c:pt idx="33">
                  <c:v>188.0625</c:v>
                </c:pt>
                <c:pt idx="34">
                  <c:v>187.4375</c:v>
                </c:pt>
                <c:pt idx="35">
                  <c:v>185.13333333333333</c:v>
                </c:pt>
                <c:pt idx="36">
                  <c:v>181</c:v>
                </c:pt>
                <c:pt idx="37">
                  <c:v>181</c:v>
                </c:pt>
                <c:pt idx="38">
                  <c:v>182.1875</c:v>
                </c:pt>
                <c:pt idx="39">
                  <c:v>184.6875</c:v>
                </c:pt>
                <c:pt idx="40">
                  <c:v>178.125</c:v>
                </c:pt>
                <c:pt idx="41">
                  <c:v>181.25</c:v>
                </c:pt>
                <c:pt idx="42">
                  <c:v>184.73333333333332</c:v>
                </c:pt>
                <c:pt idx="43">
                  <c:v>183.4</c:v>
                </c:pt>
                <c:pt idx="44">
                  <c:v>192</c:v>
                </c:pt>
                <c:pt idx="45">
                  <c:v>187.4375</c:v>
                </c:pt>
                <c:pt idx="46">
                  <c:v>183</c:v>
                </c:pt>
                <c:pt idx="47">
                  <c:v>183</c:v>
                </c:pt>
                <c:pt idx="48">
                  <c:v>192</c:v>
                </c:pt>
                <c:pt idx="49">
                  <c:v>184.375</c:v>
                </c:pt>
                <c:pt idx="50">
                  <c:v>181.25</c:v>
                </c:pt>
                <c:pt idx="51">
                  <c:v>181.25</c:v>
                </c:pt>
                <c:pt idx="52">
                  <c:v>186.8125</c:v>
                </c:pt>
                <c:pt idx="53">
                  <c:v>185.4375</c:v>
                </c:pt>
                <c:pt idx="54">
                  <c:v>175.2</c:v>
                </c:pt>
                <c:pt idx="55">
                  <c:v>173.6</c:v>
                </c:pt>
                <c:pt idx="56">
                  <c:v>183.4</c:v>
                </c:pt>
                <c:pt idx="57">
                  <c:v>186.26666666666668</c:v>
                </c:pt>
                <c:pt idx="58">
                  <c:v>186.33333333333334</c:v>
                </c:pt>
                <c:pt idx="59">
                  <c:v>181.9375</c:v>
                </c:pt>
                <c:pt idx="60">
                  <c:v>184.4</c:v>
                </c:pt>
                <c:pt idx="61">
                  <c:v>184</c:v>
                </c:pt>
                <c:pt idx="62">
                  <c:v>182.53333333333333</c:v>
                </c:pt>
                <c:pt idx="63">
                  <c:v>181.2</c:v>
                </c:pt>
                <c:pt idx="64">
                  <c:v>175.6</c:v>
                </c:pt>
                <c:pt idx="65">
                  <c:v>172.8125</c:v>
                </c:pt>
                <c:pt idx="66">
                  <c:v>178.6875</c:v>
                </c:pt>
                <c:pt idx="67">
                  <c:v>180.125</c:v>
                </c:pt>
                <c:pt idx="68">
                  <c:v>179.5</c:v>
                </c:pt>
                <c:pt idx="69">
                  <c:v>180.86670000000001</c:v>
                </c:pt>
                <c:pt idx="70">
                  <c:v>177.13333333333333</c:v>
                </c:pt>
                <c:pt idx="71">
                  <c:v>179.8</c:v>
                </c:pt>
                <c:pt idx="72">
                  <c:v>183.25</c:v>
                </c:pt>
                <c:pt idx="73">
                  <c:v>183.25</c:v>
                </c:pt>
                <c:pt idx="74">
                  <c:v>181.5</c:v>
                </c:pt>
                <c:pt idx="75">
                  <c:v>187.1875</c:v>
                </c:pt>
                <c:pt idx="76">
                  <c:v>187.4375</c:v>
                </c:pt>
                <c:pt idx="77">
                  <c:v>183.25</c:v>
                </c:pt>
                <c:pt idx="78">
                  <c:v>177.8125</c:v>
                </c:pt>
                <c:pt idx="79">
                  <c:v>189.9375</c:v>
                </c:pt>
                <c:pt idx="80">
                  <c:v>190.625</c:v>
                </c:pt>
                <c:pt idx="81">
                  <c:v>181.75</c:v>
                </c:pt>
                <c:pt idx="82">
                  <c:v>183</c:v>
                </c:pt>
                <c:pt idx="83">
                  <c:v>185.125</c:v>
                </c:pt>
                <c:pt idx="84">
                  <c:v>177</c:v>
                </c:pt>
                <c:pt idx="85">
                  <c:v>169.875</c:v>
                </c:pt>
                <c:pt idx="86">
                  <c:v>179.3125</c:v>
                </c:pt>
                <c:pt idx="87">
                  <c:v>180.125</c:v>
                </c:pt>
                <c:pt idx="88">
                  <c:v>178</c:v>
                </c:pt>
                <c:pt idx="89">
                  <c:v>185.125</c:v>
                </c:pt>
                <c:pt idx="90">
                  <c:v>182.8125</c:v>
                </c:pt>
                <c:pt idx="91">
                  <c:v>180.9375</c:v>
                </c:pt>
                <c:pt idx="92">
                  <c:v>185.9375</c:v>
                </c:pt>
                <c:pt idx="93">
                  <c:v>185.06666666666666</c:v>
                </c:pt>
                <c:pt idx="94">
                  <c:v>184.625</c:v>
                </c:pt>
                <c:pt idx="95">
                  <c:v>185.06666666666666</c:v>
                </c:pt>
                <c:pt idx="96">
                  <c:v>185.66666666666666</c:v>
                </c:pt>
                <c:pt idx="97">
                  <c:v>187.6875</c:v>
                </c:pt>
                <c:pt idx="98">
                  <c:v>182.6</c:v>
                </c:pt>
                <c:pt idx="99">
                  <c:v>176.28571428571428</c:v>
                </c:pt>
                <c:pt idx="100">
                  <c:v>183.85714285714286</c:v>
                </c:pt>
                <c:pt idx="101">
                  <c:v>179.42857142857142</c:v>
                </c:pt>
                <c:pt idx="102">
                  <c:v>183.57142857142858</c:v>
                </c:pt>
                <c:pt idx="103">
                  <c:v>185.53333333333333</c:v>
                </c:pt>
                <c:pt idx="104">
                  <c:v>171.2</c:v>
                </c:pt>
                <c:pt idx="105">
                  <c:v>184.73333333333332</c:v>
                </c:pt>
                <c:pt idx="106">
                  <c:v>184.8</c:v>
                </c:pt>
                <c:pt idx="107">
                  <c:v>184.13333333333333</c:v>
                </c:pt>
                <c:pt idx="108">
                  <c:v>188.85714285714286</c:v>
                </c:pt>
                <c:pt idx="109">
                  <c:v>184.46666666666667</c:v>
                </c:pt>
                <c:pt idx="110">
                  <c:v>189</c:v>
                </c:pt>
                <c:pt idx="111">
                  <c:v>187.57142857142858</c:v>
                </c:pt>
                <c:pt idx="112">
                  <c:v>184.14285714285714</c:v>
                </c:pt>
                <c:pt idx="113">
                  <c:v>185.64285714285714</c:v>
                </c:pt>
                <c:pt idx="114">
                  <c:v>194.66666666666666</c:v>
                </c:pt>
                <c:pt idx="115">
                  <c:v>180.78571428571428</c:v>
                </c:pt>
                <c:pt idx="116">
                  <c:v>176.33333333333334</c:v>
                </c:pt>
                <c:pt idx="117">
                  <c:v>174.6</c:v>
                </c:pt>
                <c:pt idx="118">
                  <c:v>183.64285714285714</c:v>
                </c:pt>
                <c:pt idx="119">
                  <c:v>178.35714285714286</c:v>
                </c:pt>
                <c:pt idx="120">
                  <c:v>170.8</c:v>
                </c:pt>
                <c:pt idx="121">
                  <c:v>177.1875</c:v>
                </c:pt>
                <c:pt idx="122">
                  <c:v>173.71428571428572</c:v>
                </c:pt>
                <c:pt idx="123">
                  <c:v>169.73333333333332</c:v>
                </c:pt>
                <c:pt idx="124">
                  <c:v>176.8</c:v>
                </c:pt>
                <c:pt idx="125">
                  <c:v>171.33333333333334</c:v>
                </c:pt>
                <c:pt idx="126">
                  <c:v>182.73333333333332</c:v>
                </c:pt>
                <c:pt idx="127">
                  <c:v>166.33333333333334</c:v>
                </c:pt>
                <c:pt idx="128">
                  <c:v>175.73333333333332</c:v>
                </c:pt>
                <c:pt idx="129">
                  <c:v>181.5625</c:v>
                </c:pt>
                <c:pt idx="130">
                  <c:v>178.4375</c:v>
                </c:pt>
                <c:pt idx="131">
                  <c:v>180.3125</c:v>
                </c:pt>
                <c:pt idx="132">
                  <c:v>184.0625</c:v>
                </c:pt>
                <c:pt idx="133">
                  <c:v>182</c:v>
                </c:pt>
                <c:pt idx="134">
                  <c:v>185.125</c:v>
                </c:pt>
                <c:pt idx="135">
                  <c:v>174.6</c:v>
                </c:pt>
                <c:pt idx="136">
                  <c:v>168.4375</c:v>
                </c:pt>
                <c:pt idx="137">
                  <c:v>185.3125</c:v>
                </c:pt>
                <c:pt idx="138">
                  <c:v>177.875</c:v>
                </c:pt>
                <c:pt idx="139">
                  <c:v>173.9375</c:v>
                </c:pt>
                <c:pt idx="140">
                  <c:v>170.3125</c:v>
                </c:pt>
                <c:pt idx="141">
                  <c:v>170.3125</c:v>
                </c:pt>
                <c:pt idx="142">
                  <c:v>175.9375</c:v>
                </c:pt>
              </c:numCache>
            </c:numRef>
          </c:val>
          <c:smooth val="0"/>
        </c:ser>
        <c:ser>
          <c:idx val="4"/>
          <c:order val="3"/>
          <c:tx>
            <c:strRef>
              <c:f>食用油!$F$2</c:f>
              <c:strCache>
                <c:ptCount val="1"/>
                <c:pt idx="0">
                  <c:v>量販店－得意的一天</c:v>
                </c:pt>
              </c:strCache>
            </c:strRef>
          </c:tx>
          <c:spPr>
            <a:ln w="44450"/>
          </c:spPr>
          <c:marker>
            <c:symbol val="none"/>
          </c:marker>
          <c:cat>
            <c:strRef>
              <c:f>食用油!$A$31:$A$173</c:f>
              <c:strCache>
                <c:ptCount val="143"/>
                <c:pt idx="0">
                  <c:v>101/1/8</c:v>
                </c:pt>
                <c:pt idx="1">
                  <c:v>101/1/22</c:v>
                </c:pt>
                <c:pt idx="2">
                  <c:v>101/2/5</c:v>
                </c:pt>
                <c:pt idx="3">
                  <c:v>101/2/19</c:v>
                </c:pt>
                <c:pt idx="4">
                  <c:v>101/3/4</c:v>
                </c:pt>
                <c:pt idx="5">
                  <c:v>101/3/18</c:v>
                </c:pt>
                <c:pt idx="6">
                  <c:v>101/4/1</c:v>
                </c:pt>
                <c:pt idx="7">
                  <c:v>101/4/15</c:v>
                </c:pt>
                <c:pt idx="8">
                  <c:v>101/4/22</c:v>
                </c:pt>
                <c:pt idx="9">
                  <c:v>101/4/29</c:v>
                </c:pt>
                <c:pt idx="10">
                  <c:v>101/5/6</c:v>
                </c:pt>
                <c:pt idx="11">
                  <c:v>101/5/13</c:v>
                </c:pt>
                <c:pt idx="12">
                  <c:v>101/5/20</c:v>
                </c:pt>
                <c:pt idx="13">
                  <c:v>101/5/27</c:v>
                </c:pt>
                <c:pt idx="14">
                  <c:v>101/6/3</c:v>
                </c:pt>
                <c:pt idx="15">
                  <c:v>101/6/10</c:v>
                </c:pt>
                <c:pt idx="16">
                  <c:v>101/6/17</c:v>
                </c:pt>
                <c:pt idx="17">
                  <c:v>101/6/24</c:v>
                </c:pt>
                <c:pt idx="18">
                  <c:v>101/7/1</c:v>
                </c:pt>
                <c:pt idx="19">
                  <c:v>101/7/8</c:v>
                </c:pt>
                <c:pt idx="20">
                  <c:v>101/7/15</c:v>
                </c:pt>
                <c:pt idx="21">
                  <c:v>101/7/22</c:v>
                </c:pt>
                <c:pt idx="22">
                  <c:v>101/7/29</c:v>
                </c:pt>
                <c:pt idx="23">
                  <c:v>101/8/5</c:v>
                </c:pt>
                <c:pt idx="24">
                  <c:v>101/8/12</c:v>
                </c:pt>
                <c:pt idx="25">
                  <c:v>101/8/19</c:v>
                </c:pt>
                <c:pt idx="26">
                  <c:v>101/8/26</c:v>
                </c:pt>
                <c:pt idx="27">
                  <c:v>101/9/2</c:v>
                </c:pt>
                <c:pt idx="28">
                  <c:v>101/9/9</c:v>
                </c:pt>
                <c:pt idx="29">
                  <c:v>101/9/16</c:v>
                </c:pt>
                <c:pt idx="30">
                  <c:v>101/9/23</c:v>
                </c:pt>
                <c:pt idx="31">
                  <c:v>101/9/30</c:v>
                </c:pt>
                <c:pt idx="32">
                  <c:v>101/10/7</c:v>
                </c:pt>
                <c:pt idx="33">
                  <c:v>101/10/14</c:v>
                </c:pt>
                <c:pt idx="34">
                  <c:v>101/10/21</c:v>
                </c:pt>
                <c:pt idx="35">
                  <c:v>101/10/28</c:v>
                </c:pt>
                <c:pt idx="36">
                  <c:v>101/11/4</c:v>
                </c:pt>
                <c:pt idx="37">
                  <c:v>101/11/11</c:v>
                </c:pt>
                <c:pt idx="38">
                  <c:v>101/11/18</c:v>
                </c:pt>
                <c:pt idx="39">
                  <c:v>101/11/25</c:v>
                </c:pt>
                <c:pt idx="40">
                  <c:v>101/12/2</c:v>
                </c:pt>
                <c:pt idx="41">
                  <c:v>101/12/9</c:v>
                </c:pt>
                <c:pt idx="42">
                  <c:v>101/12/16</c:v>
                </c:pt>
                <c:pt idx="43">
                  <c:v>101/12/23</c:v>
                </c:pt>
                <c:pt idx="44">
                  <c:v>101/12/30</c:v>
                </c:pt>
                <c:pt idx="45">
                  <c:v>102/1/7</c:v>
                </c:pt>
                <c:pt idx="46">
                  <c:v>102/1/14</c:v>
                </c:pt>
                <c:pt idx="47">
                  <c:v>102/1/21</c:v>
                </c:pt>
                <c:pt idx="48">
                  <c:v>102/1/28</c:v>
                </c:pt>
                <c:pt idx="49">
                  <c:v>102/2/5</c:v>
                </c:pt>
                <c:pt idx="50">
                  <c:v>102/2/12</c:v>
                </c:pt>
                <c:pt idx="51">
                  <c:v>102/2/19</c:v>
                </c:pt>
                <c:pt idx="52">
                  <c:v>102/2/26</c:v>
                </c:pt>
                <c:pt idx="53">
                  <c:v>102/3/05</c:v>
                </c:pt>
                <c:pt idx="54">
                  <c:v>102/3/11</c:v>
                </c:pt>
                <c:pt idx="55">
                  <c:v>102/3/18</c:v>
                </c:pt>
                <c:pt idx="56">
                  <c:v>102/3/25</c:v>
                </c:pt>
                <c:pt idx="57">
                  <c:v>102/4/1</c:v>
                </c:pt>
                <c:pt idx="58">
                  <c:v>102/4/8</c:v>
                </c:pt>
                <c:pt idx="59">
                  <c:v>102/4/15</c:v>
                </c:pt>
                <c:pt idx="60">
                  <c:v>102/4/22</c:v>
                </c:pt>
                <c:pt idx="61">
                  <c:v>102/4/29</c:v>
                </c:pt>
                <c:pt idx="62">
                  <c:v>102/5/6</c:v>
                </c:pt>
                <c:pt idx="63">
                  <c:v>102/5/13</c:v>
                </c:pt>
                <c:pt idx="64">
                  <c:v>102/5/20</c:v>
                </c:pt>
                <c:pt idx="65">
                  <c:v>102/5/27</c:v>
                </c:pt>
                <c:pt idx="66">
                  <c:v>102/6/3</c:v>
                </c:pt>
                <c:pt idx="67">
                  <c:v>102/6/10</c:v>
                </c:pt>
                <c:pt idx="68">
                  <c:v>102/6/17</c:v>
                </c:pt>
                <c:pt idx="69">
                  <c:v>102/6/24</c:v>
                </c:pt>
                <c:pt idx="70">
                  <c:v>102/7/1</c:v>
                </c:pt>
                <c:pt idx="71">
                  <c:v>102/7/8</c:v>
                </c:pt>
                <c:pt idx="72">
                  <c:v>102/7/15</c:v>
                </c:pt>
                <c:pt idx="73">
                  <c:v>102/7/22</c:v>
                </c:pt>
                <c:pt idx="74">
                  <c:v>102/7/29</c:v>
                </c:pt>
                <c:pt idx="75">
                  <c:v>102/8/5</c:v>
                </c:pt>
                <c:pt idx="76">
                  <c:v>102/8/12</c:v>
                </c:pt>
                <c:pt idx="77">
                  <c:v>102/8/19</c:v>
                </c:pt>
                <c:pt idx="78">
                  <c:v>102/8/26</c:v>
                </c:pt>
                <c:pt idx="79">
                  <c:v>102/9/2</c:v>
                </c:pt>
                <c:pt idx="80">
                  <c:v>102/9/9</c:v>
                </c:pt>
                <c:pt idx="81">
                  <c:v>102/9/16</c:v>
                </c:pt>
                <c:pt idx="82">
                  <c:v>102/9/23</c:v>
                </c:pt>
                <c:pt idx="83">
                  <c:v>102/9/30</c:v>
                </c:pt>
                <c:pt idx="84">
                  <c:v>102/10/7</c:v>
                </c:pt>
                <c:pt idx="85">
                  <c:v>102/10/14</c:v>
                </c:pt>
                <c:pt idx="86">
                  <c:v>102/10/21</c:v>
                </c:pt>
                <c:pt idx="87">
                  <c:v>102/10/28</c:v>
                </c:pt>
                <c:pt idx="88">
                  <c:v>102/11/04</c:v>
                </c:pt>
                <c:pt idx="89">
                  <c:v>102/11/11</c:v>
                </c:pt>
                <c:pt idx="90">
                  <c:v>102/11/18</c:v>
                </c:pt>
                <c:pt idx="91">
                  <c:v>102/11/25</c:v>
                </c:pt>
                <c:pt idx="92">
                  <c:v>102/12/2</c:v>
                </c:pt>
                <c:pt idx="93">
                  <c:v>102/12/9</c:v>
                </c:pt>
                <c:pt idx="94">
                  <c:v>102/12/16</c:v>
                </c:pt>
                <c:pt idx="95">
                  <c:v>102/12/23</c:v>
                </c:pt>
                <c:pt idx="96">
                  <c:v>102/12/30</c:v>
                </c:pt>
                <c:pt idx="97">
                  <c:v>103/1/6</c:v>
                </c:pt>
                <c:pt idx="98">
                  <c:v>103/1/20</c:v>
                </c:pt>
                <c:pt idx="99">
                  <c:v>103/2/10</c:v>
                </c:pt>
                <c:pt idx="100">
                  <c:v>103/2/24</c:v>
                </c:pt>
                <c:pt idx="101">
                  <c:v>103/3/3</c:v>
                </c:pt>
                <c:pt idx="102">
                  <c:v>103/3/17</c:v>
                </c:pt>
                <c:pt idx="103">
                  <c:v>103/4/7</c:v>
                </c:pt>
                <c:pt idx="104">
                  <c:v>103/4/21</c:v>
                </c:pt>
                <c:pt idx="105">
                  <c:v>103/5/5</c:v>
                </c:pt>
                <c:pt idx="106">
                  <c:v>103/5/19</c:v>
                </c:pt>
                <c:pt idx="107">
                  <c:v>103/6/9</c:v>
                </c:pt>
                <c:pt idx="108">
                  <c:v>103/6/23</c:v>
                </c:pt>
                <c:pt idx="109">
                  <c:v>103/7/7</c:v>
                </c:pt>
                <c:pt idx="110">
                  <c:v>103/7/21</c:v>
                </c:pt>
                <c:pt idx="111">
                  <c:v>103/8/4</c:v>
                </c:pt>
                <c:pt idx="112">
                  <c:v>103/8/18</c:v>
                </c:pt>
                <c:pt idx="113">
                  <c:v>103/9/9</c:v>
                </c:pt>
                <c:pt idx="114">
                  <c:v>103/9/22</c:v>
                </c:pt>
                <c:pt idx="115">
                  <c:v>103/10/6</c:v>
                </c:pt>
                <c:pt idx="116">
                  <c:v>103/10/20</c:v>
                </c:pt>
                <c:pt idx="117">
                  <c:v>103/11/3</c:v>
                </c:pt>
                <c:pt idx="118">
                  <c:v>103/11/17</c:v>
                </c:pt>
                <c:pt idx="119">
                  <c:v>103/12/8</c:v>
                </c:pt>
                <c:pt idx="120">
                  <c:v>103/12/22</c:v>
                </c:pt>
                <c:pt idx="121">
                  <c:v>104/1/5</c:v>
                </c:pt>
                <c:pt idx="122">
                  <c:v>104/1/19</c:v>
                </c:pt>
                <c:pt idx="123">
                  <c:v>104/2/2</c:v>
                </c:pt>
                <c:pt idx="124">
                  <c:v>104/2/16</c:v>
                </c:pt>
                <c:pt idx="125">
                  <c:v>104/3/9</c:v>
                </c:pt>
                <c:pt idx="126">
                  <c:v>104/3/23</c:v>
                </c:pt>
                <c:pt idx="127">
                  <c:v>104/4/7</c:v>
                </c:pt>
                <c:pt idx="128">
                  <c:v>104/4/20</c:v>
                </c:pt>
                <c:pt idx="129">
                  <c:v>104/5/11</c:v>
                </c:pt>
                <c:pt idx="130">
                  <c:v>104/5/25</c:v>
                </c:pt>
                <c:pt idx="131">
                  <c:v>104/6/8</c:v>
                </c:pt>
                <c:pt idx="132">
                  <c:v>104/6/15</c:v>
                </c:pt>
                <c:pt idx="133">
                  <c:v>104/7/6</c:v>
                </c:pt>
                <c:pt idx="134">
                  <c:v>104/7/20</c:v>
                </c:pt>
                <c:pt idx="135">
                  <c:v>104/8/3</c:v>
                </c:pt>
                <c:pt idx="136">
                  <c:v>104/8/17</c:v>
                </c:pt>
                <c:pt idx="137">
                  <c:v>104/9/7</c:v>
                </c:pt>
                <c:pt idx="138">
                  <c:v>104/9/21</c:v>
                </c:pt>
                <c:pt idx="139">
                  <c:v>104/10/5</c:v>
                </c:pt>
                <c:pt idx="140">
                  <c:v>104/10/19</c:v>
                </c:pt>
                <c:pt idx="141">
                  <c:v>104/11/9</c:v>
                </c:pt>
                <c:pt idx="142">
                  <c:v>104/11/23</c:v>
                </c:pt>
              </c:strCache>
            </c:strRef>
          </c:cat>
          <c:val>
            <c:numRef>
              <c:f>食用油!$F$32:$F$173</c:f>
              <c:numCache>
                <c:formatCode>0.00</c:formatCode>
                <c:ptCount val="142"/>
                <c:pt idx="0">
                  <c:v>212</c:v>
                </c:pt>
                <c:pt idx="1">
                  <c:v>220.5</c:v>
                </c:pt>
                <c:pt idx="2">
                  <c:v>193.25</c:v>
                </c:pt>
                <c:pt idx="3">
                  <c:v>246.5</c:v>
                </c:pt>
                <c:pt idx="4">
                  <c:v>217.66666666666666</c:v>
                </c:pt>
                <c:pt idx="5">
                  <c:v>215.5</c:v>
                </c:pt>
                <c:pt idx="6">
                  <c:v>240</c:v>
                </c:pt>
                <c:pt idx="7">
                  <c:v>239.5</c:v>
                </c:pt>
                <c:pt idx="8">
                  <c:v>213</c:v>
                </c:pt>
                <c:pt idx="9">
                  <c:v>221.75</c:v>
                </c:pt>
                <c:pt idx="10">
                  <c:v>218.8</c:v>
                </c:pt>
                <c:pt idx="11">
                  <c:v>208.66666666666666</c:v>
                </c:pt>
                <c:pt idx="12">
                  <c:v>197.16666666666666</c:v>
                </c:pt>
                <c:pt idx="13">
                  <c:v>195.83333333333334</c:v>
                </c:pt>
                <c:pt idx="14">
                  <c:v>208</c:v>
                </c:pt>
                <c:pt idx="15">
                  <c:v>205.83333333333334</c:v>
                </c:pt>
                <c:pt idx="16">
                  <c:v>207.4</c:v>
                </c:pt>
                <c:pt idx="17">
                  <c:v>220.6</c:v>
                </c:pt>
                <c:pt idx="18">
                  <c:v>224</c:v>
                </c:pt>
                <c:pt idx="19">
                  <c:v>222.5</c:v>
                </c:pt>
                <c:pt idx="20">
                  <c:v>222.5</c:v>
                </c:pt>
                <c:pt idx="21">
                  <c:v>221</c:v>
                </c:pt>
                <c:pt idx="22">
                  <c:v>233.5</c:v>
                </c:pt>
                <c:pt idx="23">
                  <c:v>230.83333333333334</c:v>
                </c:pt>
                <c:pt idx="24">
                  <c:v>230.83333333333334</c:v>
                </c:pt>
                <c:pt idx="25">
                  <c:v>230.83333333333334</c:v>
                </c:pt>
                <c:pt idx="26">
                  <c:v>230.83333333333334</c:v>
                </c:pt>
                <c:pt idx="27">
                  <c:v>230.83333333333334</c:v>
                </c:pt>
                <c:pt idx="28">
                  <c:v>230.125</c:v>
                </c:pt>
                <c:pt idx="29">
                  <c:v>226.85714285714286</c:v>
                </c:pt>
                <c:pt idx="30">
                  <c:v>217.42857142857142</c:v>
                </c:pt>
                <c:pt idx="31">
                  <c:v>251</c:v>
                </c:pt>
                <c:pt idx="32">
                  <c:v>251</c:v>
                </c:pt>
                <c:pt idx="33">
                  <c:v>243.71428571428572</c:v>
                </c:pt>
                <c:pt idx="34">
                  <c:v>221.83333333333334</c:v>
                </c:pt>
                <c:pt idx="35">
                  <c:v>210</c:v>
                </c:pt>
                <c:pt idx="36">
                  <c:v>200.66666666666666</c:v>
                </c:pt>
                <c:pt idx="37">
                  <c:v>231</c:v>
                </c:pt>
                <c:pt idx="38">
                  <c:v>230.33333333333334</c:v>
                </c:pt>
                <c:pt idx="39">
                  <c:v>227</c:v>
                </c:pt>
                <c:pt idx="40">
                  <c:v>207</c:v>
                </c:pt>
                <c:pt idx="41">
                  <c:v>206.42857142857142</c:v>
                </c:pt>
                <c:pt idx="42">
                  <c:v>199.71428571428572</c:v>
                </c:pt>
                <c:pt idx="43">
                  <c:v>221</c:v>
                </c:pt>
                <c:pt idx="44">
                  <c:v>221.28571428571428</c:v>
                </c:pt>
                <c:pt idx="45">
                  <c:v>194.5</c:v>
                </c:pt>
                <c:pt idx="46">
                  <c:v>189</c:v>
                </c:pt>
                <c:pt idx="47">
                  <c:v>189</c:v>
                </c:pt>
                <c:pt idx="48">
                  <c:v>187.57142857142858</c:v>
                </c:pt>
                <c:pt idx="49">
                  <c:v>199</c:v>
                </c:pt>
                <c:pt idx="50">
                  <c:v>247</c:v>
                </c:pt>
                <c:pt idx="51">
                  <c:v>236.71428571428572</c:v>
                </c:pt>
                <c:pt idx="52">
                  <c:v>224.16666666666666</c:v>
                </c:pt>
                <c:pt idx="53">
                  <c:v>215.71428571428572</c:v>
                </c:pt>
                <c:pt idx="54">
                  <c:v>210</c:v>
                </c:pt>
                <c:pt idx="55">
                  <c:v>194.71428571428572</c:v>
                </c:pt>
                <c:pt idx="56">
                  <c:v>201.42857142857142</c:v>
                </c:pt>
                <c:pt idx="57">
                  <c:v>200.42857142857142</c:v>
                </c:pt>
                <c:pt idx="58">
                  <c:v>197.28571428571428</c:v>
                </c:pt>
                <c:pt idx="59">
                  <c:v>221.57142857142858</c:v>
                </c:pt>
                <c:pt idx="60">
                  <c:v>227.42857142857142</c:v>
                </c:pt>
                <c:pt idx="61">
                  <c:v>220.42857142857142</c:v>
                </c:pt>
                <c:pt idx="62">
                  <c:v>212.33333333333334</c:v>
                </c:pt>
                <c:pt idx="63">
                  <c:v>210.66659999999999</c:v>
                </c:pt>
                <c:pt idx="64">
                  <c:v>209</c:v>
                </c:pt>
                <c:pt idx="65">
                  <c:v>217.33333333333334</c:v>
                </c:pt>
                <c:pt idx="66">
                  <c:v>220.42857142857142</c:v>
                </c:pt>
                <c:pt idx="67">
                  <c:v>233.28571428571428</c:v>
                </c:pt>
                <c:pt idx="68">
                  <c:v>220.42859999999999</c:v>
                </c:pt>
                <c:pt idx="69">
                  <c:v>209</c:v>
                </c:pt>
                <c:pt idx="70">
                  <c:v>208.42857142857142</c:v>
                </c:pt>
                <c:pt idx="71">
                  <c:v>225.42857142857142</c:v>
                </c:pt>
                <c:pt idx="72">
                  <c:v>226.42857142857142</c:v>
                </c:pt>
                <c:pt idx="73">
                  <c:v>231.28571428571428</c:v>
                </c:pt>
                <c:pt idx="74">
                  <c:v>231.85714285714286</c:v>
                </c:pt>
                <c:pt idx="75">
                  <c:v>234.42857142857142</c:v>
                </c:pt>
                <c:pt idx="76">
                  <c:v>228.71428571428572</c:v>
                </c:pt>
                <c:pt idx="77">
                  <c:v>227.28571428571428</c:v>
                </c:pt>
                <c:pt idx="78">
                  <c:v>210.42857142857142</c:v>
                </c:pt>
                <c:pt idx="79">
                  <c:v>200.85714285714286</c:v>
                </c:pt>
                <c:pt idx="80">
                  <c:v>222.42857142857142</c:v>
                </c:pt>
                <c:pt idx="81">
                  <c:v>222.42857142857142</c:v>
                </c:pt>
                <c:pt idx="82">
                  <c:v>226.71428571428572</c:v>
                </c:pt>
                <c:pt idx="83">
                  <c:v>239</c:v>
                </c:pt>
                <c:pt idx="84">
                  <c:v>246.14285714285714</c:v>
                </c:pt>
                <c:pt idx="85">
                  <c:v>240.71428571428572</c:v>
                </c:pt>
                <c:pt idx="86">
                  <c:v>230.85714285714286</c:v>
                </c:pt>
                <c:pt idx="87">
                  <c:v>200.14285714285714</c:v>
                </c:pt>
                <c:pt idx="88">
                  <c:v>195.71428571428572</c:v>
                </c:pt>
                <c:pt idx="89">
                  <c:v>216.85714285714286</c:v>
                </c:pt>
                <c:pt idx="90">
                  <c:v>229.57142857142858</c:v>
                </c:pt>
                <c:pt idx="91">
                  <c:v>235.42857142857142</c:v>
                </c:pt>
                <c:pt idx="92">
                  <c:v>221.57142857142858</c:v>
                </c:pt>
                <c:pt idx="93">
                  <c:v>200.57142857142858</c:v>
                </c:pt>
                <c:pt idx="94">
                  <c:v>196.42857142857142</c:v>
                </c:pt>
                <c:pt idx="95">
                  <c:v>216.28571428571428</c:v>
                </c:pt>
                <c:pt idx="96">
                  <c:v>231.28571428571428</c:v>
                </c:pt>
                <c:pt idx="97">
                  <c:v>195.42857142857142</c:v>
                </c:pt>
                <c:pt idx="98">
                  <c:v>222.5</c:v>
                </c:pt>
                <c:pt idx="99">
                  <c:v>245.75</c:v>
                </c:pt>
                <c:pt idx="100">
                  <c:v>235.14285714285714</c:v>
                </c:pt>
                <c:pt idx="101">
                  <c:v>246.28571428571399</c:v>
                </c:pt>
                <c:pt idx="102">
                  <c:v>208.5</c:v>
                </c:pt>
                <c:pt idx="103">
                  <c:v>228.875</c:v>
                </c:pt>
                <c:pt idx="104">
                  <c:v>243.875</c:v>
                </c:pt>
                <c:pt idx="105">
                  <c:v>220.88888888888889</c:v>
                </c:pt>
                <c:pt idx="106">
                  <c:v>215.88888888888889</c:v>
                </c:pt>
                <c:pt idx="107">
                  <c:v>233.22222222222223</c:v>
                </c:pt>
                <c:pt idx="108">
                  <c:v>248.75</c:v>
                </c:pt>
                <c:pt idx="109">
                  <c:v>229.22222222222223</c:v>
                </c:pt>
                <c:pt idx="110">
                  <c:v>219.66666666666666</c:v>
                </c:pt>
                <c:pt idx="111">
                  <c:v>247.44444444444446</c:v>
                </c:pt>
                <c:pt idx="112">
                  <c:v>244.66666666666666</c:v>
                </c:pt>
                <c:pt idx="113">
                  <c:v>235.44444444444446</c:v>
                </c:pt>
                <c:pt idx="114">
                  <c:v>208.22222222222223</c:v>
                </c:pt>
                <c:pt idx="115">
                  <c:v>247.55555555555554</c:v>
                </c:pt>
                <c:pt idx="116">
                  <c:v>239</c:v>
                </c:pt>
                <c:pt idx="117">
                  <c:v>256.33333333333331</c:v>
                </c:pt>
                <c:pt idx="118">
                  <c:v>240.88888888888889</c:v>
                </c:pt>
                <c:pt idx="119">
                  <c:v>229.875</c:v>
                </c:pt>
                <c:pt idx="120">
                  <c:v>220.66666666666666</c:v>
                </c:pt>
                <c:pt idx="121">
                  <c:v>221.66666666666666</c:v>
                </c:pt>
                <c:pt idx="122">
                  <c:v>209.75</c:v>
                </c:pt>
                <c:pt idx="123">
                  <c:v>187.88888888888889</c:v>
                </c:pt>
                <c:pt idx="124">
                  <c:v>216.88888888888889</c:v>
                </c:pt>
                <c:pt idx="125">
                  <c:v>232</c:v>
                </c:pt>
                <c:pt idx="126">
                  <c:v>203.33333333333334</c:v>
                </c:pt>
                <c:pt idx="127">
                  <c:v>221.22222222222223</c:v>
                </c:pt>
                <c:pt idx="128">
                  <c:v>224.55555555555554</c:v>
                </c:pt>
                <c:pt idx="129">
                  <c:v>219.66666666666666</c:v>
                </c:pt>
                <c:pt idx="130">
                  <c:v>218.11111111111111</c:v>
                </c:pt>
                <c:pt idx="131">
                  <c:v>225.11111111111111</c:v>
                </c:pt>
                <c:pt idx="132">
                  <c:v>230</c:v>
                </c:pt>
                <c:pt idx="133">
                  <c:v>229.44444444444446</c:v>
                </c:pt>
                <c:pt idx="134">
                  <c:v>218.88888888888889</c:v>
                </c:pt>
                <c:pt idx="135">
                  <c:v>206.33333333333334</c:v>
                </c:pt>
                <c:pt idx="136">
                  <c:v>231.11111111111111</c:v>
                </c:pt>
                <c:pt idx="137">
                  <c:v>221.44444444444446</c:v>
                </c:pt>
                <c:pt idx="138">
                  <c:v>213</c:v>
                </c:pt>
                <c:pt idx="139">
                  <c:v>234.375</c:v>
                </c:pt>
                <c:pt idx="140">
                  <c:v>226.77777777777777</c:v>
                </c:pt>
                <c:pt idx="141">
                  <c:v>234.44444444444446</c:v>
                </c:pt>
              </c:numCache>
            </c:numRef>
          </c:val>
          <c:smooth val="0"/>
        </c:ser>
        <c:dLbls>
          <c:showLegendKey val="0"/>
          <c:showVal val="0"/>
          <c:showCatName val="0"/>
          <c:showSerName val="0"/>
          <c:showPercent val="0"/>
          <c:showBubbleSize val="0"/>
        </c:dLbls>
        <c:marker val="1"/>
        <c:smooth val="0"/>
        <c:axId val="274680832"/>
        <c:axId val="274694912"/>
      </c:lineChart>
      <c:lineChart>
        <c:grouping val="standard"/>
        <c:varyColors val="0"/>
        <c:ser>
          <c:idx val="0"/>
          <c:order val="0"/>
          <c:tx>
            <c:strRef>
              <c:f>食用油!$B$2</c:f>
              <c:strCache>
                <c:ptCount val="1"/>
                <c:pt idx="0">
                  <c:v>便利店－統一大豆</c:v>
                </c:pt>
              </c:strCache>
            </c:strRef>
          </c:tx>
          <c:spPr>
            <a:ln>
              <a:prstDash val="solid"/>
              <a:headEnd type="oval" w="med" len="med"/>
              <a:tailEnd type="oval" w="med" len="med"/>
            </a:ln>
          </c:spPr>
          <c:marker>
            <c:symbol val="none"/>
          </c:marker>
          <c:cat>
            <c:strRef>
              <c:f>食用油!$A$31:$A$173</c:f>
              <c:strCache>
                <c:ptCount val="143"/>
                <c:pt idx="0">
                  <c:v>101/1/8</c:v>
                </c:pt>
                <c:pt idx="1">
                  <c:v>101/1/22</c:v>
                </c:pt>
                <c:pt idx="2">
                  <c:v>101/2/5</c:v>
                </c:pt>
                <c:pt idx="3">
                  <c:v>101/2/19</c:v>
                </c:pt>
                <c:pt idx="4">
                  <c:v>101/3/4</c:v>
                </c:pt>
                <c:pt idx="5">
                  <c:v>101/3/18</c:v>
                </c:pt>
                <c:pt idx="6">
                  <c:v>101/4/1</c:v>
                </c:pt>
                <c:pt idx="7">
                  <c:v>101/4/15</c:v>
                </c:pt>
                <c:pt idx="8">
                  <c:v>101/4/22</c:v>
                </c:pt>
                <c:pt idx="9">
                  <c:v>101/4/29</c:v>
                </c:pt>
                <c:pt idx="10">
                  <c:v>101/5/6</c:v>
                </c:pt>
                <c:pt idx="11">
                  <c:v>101/5/13</c:v>
                </c:pt>
                <c:pt idx="12">
                  <c:v>101/5/20</c:v>
                </c:pt>
                <c:pt idx="13">
                  <c:v>101/5/27</c:v>
                </c:pt>
                <c:pt idx="14">
                  <c:v>101/6/3</c:v>
                </c:pt>
                <c:pt idx="15">
                  <c:v>101/6/10</c:v>
                </c:pt>
                <c:pt idx="16">
                  <c:v>101/6/17</c:v>
                </c:pt>
                <c:pt idx="17">
                  <c:v>101/6/24</c:v>
                </c:pt>
                <c:pt idx="18">
                  <c:v>101/7/1</c:v>
                </c:pt>
                <c:pt idx="19">
                  <c:v>101/7/8</c:v>
                </c:pt>
                <c:pt idx="20">
                  <c:v>101/7/15</c:v>
                </c:pt>
                <c:pt idx="21">
                  <c:v>101/7/22</c:v>
                </c:pt>
                <c:pt idx="22">
                  <c:v>101/7/29</c:v>
                </c:pt>
                <c:pt idx="23">
                  <c:v>101/8/5</c:v>
                </c:pt>
                <c:pt idx="24">
                  <c:v>101/8/12</c:v>
                </c:pt>
                <c:pt idx="25">
                  <c:v>101/8/19</c:v>
                </c:pt>
                <c:pt idx="26">
                  <c:v>101/8/26</c:v>
                </c:pt>
                <c:pt idx="27">
                  <c:v>101/9/2</c:v>
                </c:pt>
                <c:pt idx="28">
                  <c:v>101/9/9</c:v>
                </c:pt>
                <c:pt idx="29">
                  <c:v>101/9/16</c:v>
                </c:pt>
                <c:pt idx="30">
                  <c:v>101/9/23</c:v>
                </c:pt>
                <c:pt idx="31">
                  <c:v>101/9/30</c:v>
                </c:pt>
                <c:pt idx="32">
                  <c:v>101/10/7</c:v>
                </c:pt>
                <c:pt idx="33">
                  <c:v>101/10/14</c:v>
                </c:pt>
                <c:pt idx="34">
                  <c:v>101/10/21</c:v>
                </c:pt>
                <c:pt idx="35">
                  <c:v>101/10/28</c:v>
                </c:pt>
                <c:pt idx="36">
                  <c:v>101/11/4</c:v>
                </c:pt>
                <c:pt idx="37">
                  <c:v>101/11/11</c:v>
                </c:pt>
                <c:pt idx="38">
                  <c:v>101/11/18</c:v>
                </c:pt>
                <c:pt idx="39">
                  <c:v>101/11/25</c:v>
                </c:pt>
                <c:pt idx="40">
                  <c:v>101/12/2</c:v>
                </c:pt>
                <c:pt idx="41">
                  <c:v>101/12/9</c:v>
                </c:pt>
                <c:pt idx="42">
                  <c:v>101/12/16</c:v>
                </c:pt>
                <c:pt idx="43">
                  <c:v>101/12/23</c:v>
                </c:pt>
                <c:pt idx="44">
                  <c:v>101/12/30</c:v>
                </c:pt>
                <c:pt idx="45">
                  <c:v>102/1/7</c:v>
                </c:pt>
                <c:pt idx="46">
                  <c:v>102/1/14</c:v>
                </c:pt>
                <c:pt idx="47">
                  <c:v>102/1/21</c:v>
                </c:pt>
                <c:pt idx="48">
                  <c:v>102/1/28</c:v>
                </c:pt>
                <c:pt idx="49">
                  <c:v>102/2/5</c:v>
                </c:pt>
                <c:pt idx="50">
                  <c:v>102/2/12</c:v>
                </c:pt>
                <c:pt idx="51">
                  <c:v>102/2/19</c:v>
                </c:pt>
                <c:pt idx="52">
                  <c:v>102/2/26</c:v>
                </c:pt>
                <c:pt idx="53">
                  <c:v>102/3/05</c:v>
                </c:pt>
                <c:pt idx="54">
                  <c:v>102/3/11</c:v>
                </c:pt>
                <c:pt idx="55">
                  <c:v>102/3/18</c:v>
                </c:pt>
                <c:pt idx="56">
                  <c:v>102/3/25</c:v>
                </c:pt>
                <c:pt idx="57">
                  <c:v>102/4/1</c:v>
                </c:pt>
                <c:pt idx="58">
                  <c:v>102/4/8</c:v>
                </c:pt>
                <c:pt idx="59">
                  <c:v>102/4/15</c:v>
                </c:pt>
                <c:pt idx="60">
                  <c:v>102/4/22</c:v>
                </c:pt>
                <c:pt idx="61">
                  <c:v>102/4/29</c:v>
                </c:pt>
                <c:pt idx="62">
                  <c:v>102/5/6</c:v>
                </c:pt>
                <c:pt idx="63">
                  <c:v>102/5/13</c:v>
                </c:pt>
                <c:pt idx="64">
                  <c:v>102/5/20</c:v>
                </c:pt>
                <c:pt idx="65">
                  <c:v>102/5/27</c:v>
                </c:pt>
                <c:pt idx="66">
                  <c:v>102/6/3</c:v>
                </c:pt>
                <c:pt idx="67">
                  <c:v>102/6/10</c:v>
                </c:pt>
                <c:pt idx="68">
                  <c:v>102/6/17</c:v>
                </c:pt>
                <c:pt idx="69">
                  <c:v>102/6/24</c:v>
                </c:pt>
                <c:pt idx="70">
                  <c:v>102/7/1</c:v>
                </c:pt>
                <c:pt idx="71">
                  <c:v>102/7/8</c:v>
                </c:pt>
                <c:pt idx="72">
                  <c:v>102/7/15</c:v>
                </c:pt>
                <c:pt idx="73">
                  <c:v>102/7/22</c:v>
                </c:pt>
                <c:pt idx="74">
                  <c:v>102/7/29</c:v>
                </c:pt>
                <c:pt idx="75">
                  <c:v>102/8/5</c:v>
                </c:pt>
                <c:pt idx="76">
                  <c:v>102/8/12</c:v>
                </c:pt>
                <c:pt idx="77">
                  <c:v>102/8/19</c:v>
                </c:pt>
                <c:pt idx="78">
                  <c:v>102/8/26</c:v>
                </c:pt>
                <c:pt idx="79">
                  <c:v>102/9/2</c:v>
                </c:pt>
                <c:pt idx="80">
                  <c:v>102/9/9</c:v>
                </c:pt>
                <c:pt idx="81">
                  <c:v>102/9/16</c:v>
                </c:pt>
                <c:pt idx="82">
                  <c:v>102/9/23</c:v>
                </c:pt>
                <c:pt idx="83">
                  <c:v>102/9/30</c:v>
                </c:pt>
                <c:pt idx="84">
                  <c:v>102/10/7</c:v>
                </c:pt>
                <c:pt idx="85">
                  <c:v>102/10/14</c:v>
                </c:pt>
                <c:pt idx="86">
                  <c:v>102/10/21</c:v>
                </c:pt>
                <c:pt idx="87">
                  <c:v>102/10/28</c:v>
                </c:pt>
                <c:pt idx="88">
                  <c:v>102/11/04</c:v>
                </c:pt>
                <c:pt idx="89">
                  <c:v>102/11/11</c:v>
                </c:pt>
                <c:pt idx="90">
                  <c:v>102/11/18</c:v>
                </c:pt>
                <c:pt idx="91">
                  <c:v>102/11/25</c:v>
                </c:pt>
                <c:pt idx="92">
                  <c:v>102/12/2</c:v>
                </c:pt>
                <c:pt idx="93">
                  <c:v>102/12/9</c:v>
                </c:pt>
                <c:pt idx="94">
                  <c:v>102/12/16</c:v>
                </c:pt>
                <c:pt idx="95">
                  <c:v>102/12/23</c:v>
                </c:pt>
                <c:pt idx="96">
                  <c:v>102/12/30</c:v>
                </c:pt>
                <c:pt idx="97">
                  <c:v>103/1/6</c:v>
                </c:pt>
                <c:pt idx="98">
                  <c:v>103/1/20</c:v>
                </c:pt>
                <c:pt idx="99">
                  <c:v>103/2/10</c:v>
                </c:pt>
                <c:pt idx="100">
                  <c:v>103/2/24</c:v>
                </c:pt>
                <c:pt idx="101">
                  <c:v>103/3/3</c:v>
                </c:pt>
                <c:pt idx="102">
                  <c:v>103/3/17</c:v>
                </c:pt>
                <c:pt idx="103">
                  <c:v>103/4/7</c:v>
                </c:pt>
                <c:pt idx="104">
                  <c:v>103/4/21</c:v>
                </c:pt>
                <c:pt idx="105">
                  <c:v>103/5/5</c:v>
                </c:pt>
                <c:pt idx="106">
                  <c:v>103/5/19</c:v>
                </c:pt>
                <c:pt idx="107">
                  <c:v>103/6/9</c:v>
                </c:pt>
                <c:pt idx="108">
                  <c:v>103/6/23</c:v>
                </c:pt>
                <c:pt idx="109">
                  <c:v>103/7/7</c:v>
                </c:pt>
                <c:pt idx="110">
                  <c:v>103/7/21</c:v>
                </c:pt>
                <c:pt idx="111">
                  <c:v>103/8/4</c:v>
                </c:pt>
                <c:pt idx="112">
                  <c:v>103/8/18</c:v>
                </c:pt>
                <c:pt idx="113">
                  <c:v>103/9/9</c:v>
                </c:pt>
                <c:pt idx="114">
                  <c:v>103/9/22</c:v>
                </c:pt>
                <c:pt idx="115">
                  <c:v>103/10/6</c:v>
                </c:pt>
                <c:pt idx="116">
                  <c:v>103/10/20</c:v>
                </c:pt>
                <c:pt idx="117">
                  <c:v>103/11/3</c:v>
                </c:pt>
                <c:pt idx="118">
                  <c:v>103/11/17</c:v>
                </c:pt>
                <c:pt idx="119">
                  <c:v>103/12/8</c:v>
                </c:pt>
                <c:pt idx="120">
                  <c:v>103/12/22</c:v>
                </c:pt>
                <c:pt idx="121">
                  <c:v>104/1/5</c:v>
                </c:pt>
                <c:pt idx="122">
                  <c:v>104/1/19</c:v>
                </c:pt>
                <c:pt idx="123">
                  <c:v>104/2/2</c:v>
                </c:pt>
                <c:pt idx="124">
                  <c:v>104/2/16</c:v>
                </c:pt>
                <c:pt idx="125">
                  <c:v>104/3/9</c:v>
                </c:pt>
                <c:pt idx="126">
                  <c:v>104/3/23</c:v>
                </c:pt>
                <c:pt idx="127">
                  <c:v>104/4/7</c:v>
                </c:pt>
                <c:pt idx="128">
                  <c:v>104/4/20</c:v>
                </c:pt>
                <c:pt idx="129">
                  <c:v>104/5/11</c:v>
                </c:pt>
                <c:pt idx="130">
                  <c:v>104/5/25</c:v>
                </c:pt>
                <c:pt idx="131">
                  <c:v>104/6/8</c:v>
                </c:pt>
                <c:pt idx="132">
                  <c:v>104/6/15</c:v>
                </c:pt>
                <c:pt idx="133">
                  <c:v>104/7/6</c:v>
                </c:pt>
                <c:pt idx="134">
                  <c:v>104/7/20</c:v>
                </c:pt>
                <c:pt idx="135">
                  <c:v>104/8/3</c:v>
                </c:pt>
                <c:pt idx="136">
                  <c:v>104/8/17</c:v>
                </c:pt>
                <c:pt idx="137">
                  <c:v>104/9/7</c:v>
                </c:pt>
                <c:pt idx="138">
                  <c:v>104/9/21</c:v>
                </c:pt>
                <c:pt idx="139">
                  <c:v>104/10/5</c:v>
                </c:pt>
                <c:pt idx="140">
                  <c:v>104/10/19</c:v>
                </c:pt>
                <c:pt idx="141">
                  <c:v>104/11/9</c:v>
                </c:pt>
                <c:pt idx="142">
                  <c:v>104/11/23</c:v>
                </c:pt>
              </c:strCache>
            </c:strRef>
          </c:cat>
          <c:val>
            <c:numRef>
              <c:f>食用油!$B$31:$B$173</c:f>
              <c:numCache>
                <c:formatCode>0.00</c:formatCode>
                <c:ptCount val="143"/>
                <c:pt idx="0">
                  <c:v>85</c:v>
                </c:pt>
                <c:pt idx="1">
                  <c:v>85</c:v>
                </c:pt>
                <c:pt idx="2">
                  <c:v>85</c:v>
                </c:pt>
                <c:pt idx="3">
                  <c:v>85</c:v>
                </c:pt>
                <c:pt idx="4">
                  <c:v>85</c:v>
                </c:pt>
                <c:pt idx="5">
                  <c:v>85</c:v>
                </c:pt>
                <c:pt idx="6">
                  <c:v>85</c:v>
                </c:pt>
                <c:pt idx="7">
                  <c:v>85</c:v>
                </c:pt>
                <c:pt idx="8">
                  <c:v>85</c:v>
                </c:pt>
                <c:pt idx="9">
                  <c:v>85</c:v>
                </c:pt>
                <c:pt idx="10">
                  <c:v>85</c:v>
                </c:pt>
                <c:pt idx="11">
                  <c:v>85</c:v>
                </c:pt>
                <c:pt idx="12">
                  <c:v>85</c:v>
                </c:pt>
                <c:pt idx="13">
                  <c:v>85</c:v>
                </c:pt>
                <c:pt idx="14">
                  <c:v>85</c:v>
                </c:pt>
                <c:pt idx="15">
                  <c:v>85</c:v>
                </c:pt>
                <c:pt idx="16">
                  <c:v>85</c:v>
                </c:pt>
                <c:pt idx="17">
                  <c:v>85</c:v>
                </c:pt>
                <c:pt idx="18">
                  <c:v>85</c:v>
                </c:pt>
                <c:pt idx="19">
                  <c:v>85</c:v>
                </c:pt>
                <c:pt idx="20">
                  <c:v>85</c:v>
                </c:pt>
                <c:pt idx="21">
                  <c:v>85</c:v>
                </c:pt>
                <c:pt idx="22">
                  <c:v>85</c:v>
                </c:pt>
                <c:pt idx="23">
                  <c:v>85</c:v>
                </c:pt>
                <c:pt idx="24">
                  <c:v>85</c:v>
                </c:pt>
                <c:pt idx="25">
                  <c:v>85</c:v>
                </c:pt>
                <c:pt idx="26">
                  <c:v>85</c:v>
                </c:pt>
                <c:pt idx="27">
                  <c:v>85</c:v>
                </c:pt>
                <c:pt idx="28">
                  <c:v>85</c:v>
                </c:pt>
                <c:pt idx="29">
                  <c:v>85</c:v>
                </c:pt>
                <c:pt idx="30">
                  <c:v>85</c:v>
                </c:pt>
                <c:pt idx="31">
                  <c:v>85</c:v>
                </c:pt>
                <c:pt idx="32">
                  <c:v>85</c:v>
                </c:pt>
                <c:pt idx="33">
                  <c:v>85</c:v>
                </c:pt>
                <c:pt idx="34">
                  <c:v>85</c:v>
                </c:pt>
                <c:pt idx="35">
                  <c:v>85</c:v>
                </c:pt>
                <c:pt idx="36">
                  <c:v>85</c:v>
                </c:pt>
                <c:pt idx="37">
                  <c:v>85</c:v>
                </c:pt>
                <c:pt idx="38">
                  <c:v>85</c:v>
                </c:pt>
                <c:pt idx="39">
                  <c:v>85</c:v>
                </c:pt>
                <c:pt idx="40">
                  <c:v>85</c:v>
                </c:pt>
                <c:pt idx="41">
                  <c:v>85</c:v>
                </c:pt>
                <c:pt idx="42">
                  <c:v>85</c:v>
                </c:pt>
                <c:pt idx="43">
                  <c:v>85</c:v>
                </c:pt>
                <c:pt idx="44">
                  <c:v>85</c:v>
                </c:pt>
                <c:pt idx="45">
                  <c:v>85</c:v>
                </c:pt>
                <c:pt idx="46">
                  <c:v>85</c:v>
                </c:pt>
                <c:pt idx="47">
                  <c:v>85</c:v>
                </c:pt>
                <c:pt idx="48">
                  <c:v>85</c:v>
                </c:pt>
                <c:pt idx="49">
                  <c:v>85</c:v>
                </c:pt>
                <c:pt idx="50">
                  <c:v>85</c:v>
                </c:pt>
                <c:pt idx="51">
                  <c:v>85</c:v>
                </c:pt>
                <c:pt idx="52">
                  <c:v>85</c:v>
                </c:pt>
                <c:pt idx="53">
                  <c:v>85</c:v>
                </c:pt>
                <c:pt idx="54">
                  <c:v>85</c:v>
                </c:pt>
                <c:pt idx="55">
                  <c:v>85</c:v>
                </c:pt>
                <c:pt idx="56">
                  <c:v>85</c:v>
                </c:pt>
                <c:pt idx="57">
                  <c:v>85</c:v>
                </c:pt>
                <c:pt idx="58">
                  <c:v>85</c:v>
                </c:pt>
                <c:pt idx="59">
                  <c:v>85</c:v>
                </c:pt>
                <c:pt idx="60">
                  <c:v>85</c:v>
                </c:pt>
                <c:pt idx="61">
                  <c:v>85</c:v>
                </c:pt>
                <c:pt idx="62">
                  <c:v>85</c:v>
                </c:pt>
                <c:pt idx="63">
                  <c:v>85</c:v>
                </c:pt>
                <c:pt idx="64">
                  <c:v>85</c:v>
                </c:pt>
                <c:pt idx="65">
                  <c:v>85</c:v>
                </c:pt>
                <c:pt idx="66">
                  <c:v>85</c:v>
                </c:pt>
                <c:pt idx="67">
                  <c:v>85</c:v>
                </c:pt>
                <c:pt idx="68">
                  <c:v>85</c:v>
                </c:pt>
                <c:pt idx="69">
                  <c:v>85</c:v>
                </c:pt>
                <c:pt idx="70">
                  <c:v>85</c:v>
                </c:pt>
                <c:pt idx="71">
                  <c:v>85</c:v>
                </c:pt>
                <c:pt idx="72">
                  <c:v>85</c:v>
                </c:pt>
                <c:pt idx="73">
                  <c:v>85</c:v>
                </c:pt>
                <c:pt idx="74">
                  <c:v>85</c:v>
                </c:pt>
                <c:pt idx="75">
                  <c:v>85</c:v>
                </c:pt>
                <c:pt idx="76">
                  <c:v>85</c:v>
                </c:pt>
                <c:pt idx="77">
                  <c:v>85</c:v>
                </c:pt>
                <c:pt idx="78">
                  <c:v>85</c:v>
                </c:pt>
                <c:pt idx="79">
                  <c:v>85</c:v>
                </c:pt>
                <c:pt idx="80">
                  <c:v>85</c:v>
                </c:pt>
                <c:pt idx="81">
                  <c:v>85</c:v>
                </c:pt>
                <c:pt idx="82">
                  <c:v>85</c:v>
                </c:pt>
                <c:pt idx="83">
                  <c:v>85</c:v>
                </c:pt>
                <c:pt idx="84">
                  <c:v>85</c:v>
                </c:pt>
                <c:pt idx="85">
                  <c:v>85</c:v>
                </c:pt>
                <c:pt idx="86">
                  <c:v>85</c:v>
                </c:pt>
                <c:pt idx="87">
                  <c:v>85</c:v>
                </c:pt>
                <c:pt idx="88">
                  <c:v>85</c:v>
                </c:pt>
                <c:pt idx="89">
                  <c:v>85</c:v>
                </c:pt>
                <c:pt idx="90">
                  <c:v>85</c:v>
                </c:pt>
                <c:pt idx="91">
                  <c:v>85</c:v>
                </c:pt>
                <c:pt idx="92">
                  <c:v>85</c:v>
                </c:pt>
                <c:pt idx="93">
                  <c:v>85</c:v>
                </c:pt>
                <c:pt idx="94">
                  <c:v>85</c:v>
                </c:pt>
                <c:pt idx="95">
                  <c:v>85</c:v>
                </c:pt>
                <c:pt idx="96">
                  <c:v>85</c:v>
                </c:pt>
                <c:pt idx="97">
                  <c:v>85</c:v>
                </c:pt>
                <c:pt idx="98">
                  <c:v>85</c:v>
                </c:pt>
                <c:pt idx="99">
                  <c:v>85</c:v>
                </c:pt>
                <c:pt idx="100">
                  <c:v>85</c:v>
                </c:pt>
                <c:pt idx="101">
                  <c:v>85</c:v>
                </c:pt>
                <c:pt idx="102">
                  <c:v>85</c:v>
                </c:pt>
                <c:pt idx="103">
                  <c:v>85</c:v>
                </c:pt>
                <c:pt idx="104">
                  <c:v>85</c:v>
                </c:pt>
                <c:pt idx="105">
                  <c:v>85</c:v>
                </c:pt>
                <c:pt idx="106">
                  <c:v>85</c:v>
                </c:pt>
                <c:pt idx="107">
                  <c:v>85</c:v>
                </c:pt>
                <c:pt idx="108">
                  <c:v>85</c:v>
                </c:pt>
                <c:pt idx="109">
                  <c:v>85</c:v>
                </c:pt>
                <c:pt idx="110">
                  <c:v>82.5</c:v>
                </c:pt>
                <c:pt idx="111">
                  <c:v>82.5</c:v>
                </c:pt>
                <c:pt idx="112">
                  <c:v>82.5</c:v>
                </c:pt>
                <c:pt idx="113">
                  <c:v>85</c:v>
                </c:pt>
                <c:pt idx="114">
                  <c:v>85</c:v>
                </c:pt>
                <c:pt idx="115">
                  <c:v>85</c:v>
                </c:pt>
                <c:pt idx="116">
                  <c:v>85</c:v>
                </c:pt>
                <c:pt idx="117">
                  <c:v>85</c:v>
                </c:pt>
                <c:pt idx="118">
                  <c:v>85</c:v>
                </c:pt>
                <c:pt idx="119">
                  <c:v>85</c:v>
                </c:pt>
                <c:pt idx="120">
                  <c:v>85</c:v>
                </c:pt>
                <c:pt idx="121">
                  <c:v>85</c:v>
                </c:pt>
                <c:pt idx="122">
                  <c:v>85</c:v>
                </c:pt>
                <c:pt idx="123">
                  <c:v>85</c:v>
                </c:pt>
                <c:pt idx="124">
                  <c:v>85</c:v>
                </c:pt>
                <c:pt idx="125">
                  <c:v>85</c:v>
                </c:pt>
                <c:pt idx="126">
                  <c:v>85</c:v>
                </c:pt>
                <c:pt idx="127">
                  <c:v>85</c:v>
                </c:pt>
                <c:pt idx="128">
                  <c:v>85</c:v>
                </c:pt>
                <c:pt idx="129">
                  <c:v>85</c:v>
                </c:pt>
                <c:pt idx="130">
                  <c:v>85</c:v>
                </c:pt>
                <c:pt idx="131">
                  <c:v>85</c:v>
                </c:pt>
                <c:pt idx="132">
                  <c:v>85</c:v>
                </c:pt>
                <c:pt idx="133">
                  <c:v>85</c:v>
                </c:pt>
                <c:pt idx="134">
                  <c:v>85</c:v>
                </c:pt>
                <c:pt idx="135">
                  <c:v>85</c:v>
                </c:pt>
                <c:pt idx="136">
                  <c:v>85</c:v>
                </c:pt>
                <c:pt idx="137">
                  <c:v>85</c:v>
                </c:pt>
                <c:pt idx="138">
                  <c:v>85</c:v>
                </c:pt>
                <c:pt idx="139">
                  <c:v>85</c:v>
                </c:pt>
                <c:pt idx="140">
                  <c:v>85</c:v>
                </c:pt>
                <c:pt idx="141">
                  <c:v>85</c:v>
                </c:pt>
                <c:pt idx="142">
                  <c:v>85</c:v>
                </c:pt>
              </c:numCache>
            </c:numRef>
          </c:val>
          <c:smooth val="1"/>
        </c:ser>
        <c:ser>
          <c:idx val="1"/>
          <c:order val="1"/>
          <c:tx>
            <c:strRef>
              <c:f>食用油!$C$2</c:f>
              <c:strCache>
                <c:ptCount val="1"/>
                <c:pt idx="0">
                  <c:v>超市－統一大豆</c:v>
                </c:pt>
              </c:strCache>
            </c:strRef>
          </c:tx>
          <c:spPr>
            <a:ln>
              <a:prstDash val="sysDot"/>
            </a:ln>
          </c:spPr>
          <c:marker>
            <c:symbol val="none"/>
          </c:marker>
          <c:cat>
            <c:strRef>
              <c:f>食用油!$A$31:$A$173</c:f>
              <c:strCache>
                <c:ptCount val="143"/>
                <c:pt idx="0">
                  <c:v>101/1/8</c:v>
                </c:pt>
                <c:pt idx="1">
                  <c:v>101/1/22</c:v>
                </c:pt>
                <c:pt idx="2">
                  <c:v>101/2/5</c:v>
                </c:pt>
                <c:pt idx="3">
                  <c:v>101/2/19</c:v>
                </c:pt>
                <c:pt idx="4">
                  <c:v>101/3/4</c:v>
                </c:pt>
                <c:pt idx="5">
                  <c:v>101/3/18</c:v>
                </c:pt>
                <c:pt idx="6">
                  <c:v>101/4/1</c:v>
                </c:pt>
                <c:pt idx="7">
                  <c:v>101/4/15</c:v>
                </c:pt>
                <c:pt idx="8">
                  <c:v>101/4/22</c:v>
                </c:pt>
                <c:pt idx="9">
                  <c:v>101/4/29</c:v>
                </c:pt>
                <c:pt idx="10">
                  <c:v>101/5/6</c:v>
                </c:pt>
                <c:pt idx="11">
                  <c:v>101/5/13</c:v>
                </c:pt>
                <c:pt idx="12">
                  <c:v>101/5/20</c:v>
                </c:pt>
                <c:pt idx="13">
                  <c:v>101/5/27</c:v>
                </c:pt>
                <c:pt idx="14">
                  <c:v>101/6/3</c:v>
                </c:pt>
                <c:pt idx="15">
                  <c:v>101/6/10</c:v>
                </c:pt>
                <c:pt idx="16">
                  <c:v>101/6/17</c:v>
                </c:pt>
                <c:pt idx="17">
                  <c:v>101/6/24</c:v>
                </c:pt>
                <c:pt idx="18">
                  <c:v>101/7/1</c:v>
                </c:pt>
                <c:pt idx="19">
                  <c:v>101/7/8</c:v>
                </c:pt>
                <c:pt idx="20">
                  <c:v>101/7/15</c:v>
                </c:pt>
                <c:pt idx="21">
                  <c:v>101/7/22</c:v>
                </c:pt>
                <c:pt idx="22">
                  <c:v>101/7/29</c:v>
                </c:pt>
                <c:pt idx="23">
                  <c:v>101/8/5</c:v>
                </c:pt>
                <c:pt idx="24">
                  <c:v>101/8/12</c:v>
                </c:pt>
                <c:pt idx="25">
                  <c:v>101/8/19</c:v>
                </c:pt>
                <c:pt idx="26">
                  <c:v>101/8/26</c:v>
                </c:pt>
                <c:pt idx="27">
                  <c:v>101/9/2</c:v>
                </c:pt>
                <c:pt idx="28">
                  <c:v>101/9/9</c:v>
                </c:pt>
                <c:pt idx="29">
                  <c:v>101/9/16</c:v>
                </c:pt>
                <c:pt idx="30">
                  <c:v>101/9/23</c:v>
                </c:pt>
                <c:pt idx="31">
                  <c:v>101/9/30</c:v>
                </c:pt>
                <c:pt idx="32">
                  <c:v>101/10/7</c:v>
                </c:pt>
                <c:pt idx="33">
                  <c:v>101/10/14</c:v>
                </c:pt>
                <c:pt idx="34">
                  <c:v>101/10/21</c:v>
                </c:pt>
                <c:pt idx="35">
                  <c:v>101/10/28</c:v>
                </c:pt>
                <c:pt idx="36">
                  <c:v>101/11/4</c:v>
                </c:pt>
                <c:pt idx="37">
                  <c:v>101/11/11</c:v>
                </c:pt>
                <c:pt idx="38">
                  <c:v>101/11/18</c:v>
                </c:pt>
                <c:pt idx="39">
                  <c:v>101/11/25</c:v>
                </c:pt>
                <c:pt idx="40">
                  <c:v>101/12/2</c:v>
                </c:pt>
                <c:pt idx="41">
                  <c:v>101/12/9</c:v>
                </c:pt>
                <c:pt idx="42">
                  <c:v>101/12/16</c:v>
                </c:pt>
                <c:pt idx="43">
                  <c:v>101/12/23</c:v>
                </c:pt>
                <c:pt idx="44">
                  <c:v>101/12/30</c:v>
                </c:pt>
                <c:pt idx="45">
                  <c:v>102/1/7</c:v>
                </c:pt>
                <c:pt idx="46">
                  <c:v>102/1/14</c:v>
                </c:pt>
                <c:pt idx="47">
                  <c:v>102/1/21</c:v>
                </c:pt>
                <c:pt idx="48">
                  <c:v>102/1/28</c:v>
                </c:pt>
                <c:pt idx="49">
                  <c:v>102/2/5</c:v>
                </c:pt>
                <c:pt idx="50">
                  <c:v>102/2/12</c:v>
                </c:pt>
                <c:pt idx="51">
                  <c:v>102/2/19</c:v>
                </c:pt>
                <c:pt idx="52">
                  <c:v>102/2/26</c:v>
                </c:pt>
                <c:pt idx="53">
                  <c:v>102/3/05</c:v>
                </c:pt>
                <c:pt idx="54">
                  <c:v>102/3/11</c:v>
                </c:pt>
                <c:pt idx="55">
                  <c:v>102/3/18</c:v>
                </c:pt>
                <c:pt idx="56">
                  <c:v>102/3/25</c:v>
                </c:pt>
                <c:pt idx="57">
                  <c:v>102/4/1</c:v>
                </c:pt>
                <c:pt idx="58">
                  <c:v>102/4/8</c:v>
                </c:pt>
                <c:pt idx="59">
                  <c:v>102/4/15</c:v>
                </c:pt>
                <c:pt idx="60">
                  <c:v>102/4/22</c:v>
                </c:pt>
                <c:pt idx="61">
                  <c:v>102/4/29</c:v>
                </c:pt>
                <c:pt idx="62">
                  <c:v>102/5/6</c:v>
                </c:pt>
                <c:pt idx="63">
                  <c:v>102/5/13</c:v>
                </c:pt>
                <c:pt idx="64">
                  <c:v>102/5/20</c:v>
                </c:pt>
                <c:pt idx="65">
                  <c:v>102/5/27</c:v>
                </c:pt>
                <c:pt idx="66">
                  <c:v>102/6/3</c:v>
                </c:pt>
                <c:pt idx="67">
                  <c:v>102/6/10</c:v>
                </c:pt>
                <c:pt idx="68">
                  <c:v>102/6/17</c:v>
                </c:pt>
                <c:pt idx="69">
                  <c:v>102/6/24</c:v>
                </c:pt>
                <c:pt idx="70">
                  <c:v>102/7/1</c:v>
                </c:pt>
                <c:pt idx="71">
                  <c:v>102/7/8</c:v>
                </c:pt>
                <c:pt idx="72">
                  <c:v>102/7/15</c:v>
                </c:pt>
                <c:pt idx="73">
                  <c:v>102/7/22</c:v>
                </c:pt>
                <c:pt idx="74">
                  <c:v>102/7/29</c:v>
                </c:pt>
                <c:pt idx="75">
                  <c:v>102/8/5</c:v>
                </c:pt>
                <c:pt idx="76">
                  <c:v>102/8/12</c:v>
                </c:pt>
                <c:pt idx="77">
                  <c:v>102/8/19</c:v>
                </c:pt>
                <c:pt idx="78">
                  <c:v>102/8/26</c:v>
                </c:pt>
                <c:pt idx="79">
                  <c:v>102/9/2</c:v>
                </c:pt>
                <c:pt idx="80">
                  <c:v>102/9/9</c:v>
                </c:pt>
                <c:pt idx="81">
                  <c:v>102/9/16</c:v>
                </c:pt>
                <c:pt idx="82">
                  <c:v>102/9/23</c:v>
                </c:pt>
                <c:pt idx="83">
                  <c:v>102/9/30</c:v>
                </c:pt>
                <c:pt idx="84">
                  <c:v>102/10/7</c:v>
                </c:pt>
                <c:pt idx="85">
                  <c:v>102/10/14</c:v>
                </c:pt>
                <c:pt idx="86">
                  <c:v>102/10/21</c:v>
                </c:pt>
                <c:pt idx="87">
                  <c:v>102/10/28</c:v>
                </c:pt>
                <c:pt idx="88">
                  <c:v>102/11/04</c:v>
                </c:pt>
                <c:pt idx="89">
                  <c:v>102/11/11</c:v>
                </c:pt>
                <c:pt idx="90">
                  <c:v>102/11/18</c:v>
                </c:pt>
                <c:pt idx="91">
                  <c:v>102/11/25</c:v>
                </c:pt>
                <c:pt idx="92">
                  <c:v>102/12/2</c:v>
                </c:pt>
                <c:pt idx="93">
                  <c:v>102/12/9</c:v>
                </c:pt>
                <c:pt idx="94">
                  <c:v>102/12/16</c:v>
                </c:pt>
                <c:pt idx="95">
                  <c:v>102/12/23</c:v>
                </c:pt>
                <c:pt idx="96">
                  <c:v>102/12/30</c:v>
                </c:pt>
                <c:pt idx="97">
                  <c:v>103/1/6</c:v>
                </c:pt>
                <c:pt idx="98">
                  <c:v>103/1/20</c:v>
                </c:pt>
                <c:pt idx="99">
                  <c:v>103/2/10</c:v>
                </c:pt>
                <c:pt idx="100">
                  <c:v>103/2/24</c:v>
                </c:pt>
                <c:pt idx="101">
                  <c:v>103/3/3</c:v>
                </c:pt>
                <c:pt idx="102">
                  <c:v>103/3/17</c:v>
                </c:pt>
                <c:pt idx="103">
                  <c:v>103/4/7</c:v>
                </c:pt>
                <c:pt idx="104">
                  <c:v>103/4/21</c:v>
                </c:pt>
                <c:pt idx="105">
                  <c:v>103/5/5</c:v>
                </c:pt>
                <c:pt idx="106">
                  <c:v>103/5/19</c:v>
                </c:pt>
                <c:pt idx="107">
                  <c:v>103/6/9</c:v>
                </c:pt>
                <c:pt idx="108">
                  <c:v>103/6/23</c:v>
                </c:pt>
                <c:pt idx="109">
                  <c:v>103/7/7</c:v>
                </c:pt>
                <c:pt idx="110">
                  <c:v>103/7/21</c:v>
                </c:pt>
                <c:pt idx="111">
                  <c:v>103/8/4</c:v>
                </c:pt>
                <c:pt idx="112">
                  <c:v>103/8/18</c:v>
                </c:pt>
                <c:pt idx="113">
                  <c:v>103/9/9</c:v>
                </c:pt>
                <c:pt idx="114">
                  <c:v>103/9/22</c:v>
                </c:pt>
                <c:pt idx="115">
                  <c:v>103/10/6</c:v>
                </c:pt>
                <c:pt idx="116">
                  <c:v>103/10/20</c:v>
                </c:pt>
                <c:pt idx="117">
                  <c:v>103/11/3</c:v>
                </c:pt>
                <c:pt idx="118">
                  <c:v>103/11/17</c:v>
                </c:pt>
                <c:pt idx="119">
                  <c:v>103/12/8</c:v>
                </c:pt>
                <c:pt idx="120">
                  <c:v>103/12/22</c:v>
                </c:pt>
                <c:pt idx="121">
                  <c:v>104/1/5</c:v>
                </c:pt>
                <c:pt idx="122">
                  <c:v>104/1/19</c:v>
                </c:pt>
                <c:pt idx="123">
                  <c:v>104/2/2</c:v>
                </c:pt>
                <c:pt idx="124">
                  <c:v>104/2/16</c:v>
                </c:pt>
                <c:pt idx="125">
                  <c:v>104/3/9</c:v>
                </c:pt>
                <c:pt idx="126">
                  <c:v>104/3/23</c:v>
                </c:pt>
                <c:pt idx="127">
                  <c:v>104/4/7</c:v>
                </c:pt>
                <c:pt idx="128">
                  <c:v>104/4/20</c:v>
                </c:pt>
                <c:pt idx="129">
                  <c:v>104/5/11</c:v>
                </c:pt>
                <c:pt idx="130">
                  <c:v>104/5/25</c:v>
                </c:pt>
                <c:pt idx="131">
                  <c:v>104/6/8</c:v>
                </c:pt>
                <c:pt idx="132">
                  <c:v>104/6/15</c:v>
                </c:pt>
                <c:pt idx="133">
                  <c:v>104/7/6</c:v>
                </c:pt>
                <c:pt idx="134">
                  <c:v>104/7/20</c:v>
                </c:pt>
                <c:pt idx="135">
                  <c:v>104/8/3</c:v>
                </c:pt>
                <c:pt idx="136">
                  <c:v>104/8/17</c:v>
                </c:pt>
                <c:pt idx="137">
                  <c:v>104/9/7</c:v>
                </c:pt>
                <c:pt idx="138">
                  <c:v>104/9/21</c:v>
                </c:pt>
                <c:pt idx="139">
                  <c:v>104/10/5</c:v>
                </c:pt>
                <c:pt idx="140">
                  <c:v>104/10/19</c:v>
                </c:pt>
                <c:pt idx="141">
                  <c:v>104/11/9</c:v>
                </c:pt>
                <c:pt idx="142">
                  <c:v>104/11/23</c:v>
                </c:pt>
              </c:strCache>
            </c:strRef>
          </c:cat>
          <c:val>
            <c:numRef>
              <c:f>食用油!$C$31:$C$173</c:f>
              <c:numCache>
                <c:formatCode>0.00</c:formatCode>
                <c:ptCount val="143"/>
                <c:pt idx="0">
                  <c:v>67.666666666666671</c:v>
                </c:pt>
                <c:pt idx="1">
                  <c:v>66.222222222222229</c:v>
                </c:pt>
                <c:pt idx="2">
                  <c:v>69.888888888888886</c:v>
                </c:pt>
                <c:pt idx="3">
                  <c:v>69.5</c:v>
                </c:pt>
                <c:pt idx="4">
                  <c:v>71.89</c:v>
                </c:pt>
                <c:pt idx="5">
                  <c:v>71.11</c:v>
                </c:pt>
                <c:pt idx="6">
                  <c:v>71.888888888888886</c:v>
                </c:pt>
                <c:pt idx="7">
                  <c:v>69.222222222222229</c:v>
                </c:pt>
                <c:pt idx="8">
                  <c:v>71.444444444444443</c:v>
                </c:pt>
                <c:pt idx="9">
                  <c:v>71.8</c:v>
                </c:pt>
                <c:pt idx="10">
                  <c:v>72.5</c:v>
                </c:pt>
                <c:pt idx="11">
                  <c:v>72.099999999999994</c:v>
                </c:pt>
                <c:pt idx="12">
                  <c:v>72.555555555555557</c:v>
                </c:pt>
                <c:pt idx="13">
                  <c:v>74.36363636363636</c:v>
                </c:pt>
                <c:pt idx="14">
                  <c:v>74.3</c:v>
                </c:pt>
                <c:pt idx="15">
                  <c:v>74.727272727272734</c:v>
                </c:pt>
                <c:pt idx="16">
                  <c:v>76.2</c:v>
                </c:pt>
                <c:pt idx="17">
                  <c:v>74.333333333333329</c:v>
                </c:pt>
                <c:pt idx="18">
                  <c:v>73.900000000000006</c:v>
                </c:pt>
                <c:pt idx="19">
                  <c:v>73.599999999999994</c:v>
                </c:pt>
                <c:pt idx="20">
                  <c:v>74.099999999999994</c:v>
                </c:pt>
                <c:pt idx="21">
                  <c:v>76.2</c:v>
                </c:pt>
                <c:pt idx="22">
                  <c:v>74.3</c:v>
                </c:pt>
                <c:pt idx="23">
                  <c:v>74.3</c:v>
                </c:pt>
                <c:pt idx="24">
                  <c:v>73.5</c:v>
                </c:pt>
                <c:pt idx="25">
                  <c:v>72.55</c:v>
                </c:pt>
                <c:pt idx="26">
                  <c:v>73.900000000000006</c:v>
                </c:pt>
                <c:pt idx="27">
                  <c:v>76.400000000000006</c:v>
                </c:pt>
                <c:pt idx="28">
                  <c:v>75.7</c:v>
                </c:pt>
                <c:pt idx="29">
                  <c:v>74.111111111111114</c:v>
                </c:pt>
                <c:pt idx="30">
                  <c:v>74.75</c:v>
                </c:pt>
                <c:pt idx="31">
                  <c:v>74.75</c:v>
                </c:pt>
                <c:pt idx="32">
                  <c:v>74.714285714285708</c:v>
                </c:pt>
                <c:pt idx="33">
                  <c:v>75</c:v>
                </c:pt>
                <c:pt idx="34">
                  <c:v>75.714285714285708</c:v>
                </c:pt>
                <c:pt idx="35">
                  <c:v>75.666666666666671</c:v>
                </c:pt>
                <c:pt idx="36">
                  <c:v>74.428571428571431</c:v>
                </c:pt>
                <c:pt idx="37">
                  <c:v>76.25</c:v>
                </c:pt>
                <c:pt idx="38">
                  <c:v>76.111111111111114</c:v>
                </c:pt>
                <c:pt idx="39">
                  <c:v>76.111111111111114</c:v>
                </c:pt>
                <c:pt idx="40">
                  <c:v>76.428571428571431</c:v>
                </c:pt>
                <c:pt idx="41">
                  <c:v>76.428571428571431</c:v>
                </c:pt>
                <c:pt idx="42">
                  <c:v>76.25</c:v>
                </c:pt>
                <c:pt idx="43">
                  <c:v>76.25</c:v>
                </c:pt>
                <c:pt idx="44">
                  <c:v>76.428571428571431</c:v>
                </c:pt>
                <c:pt idx="45">
                  <c:v>77.709999999999994</c:v>
                </c:pt>
                <c:pt idx="46">
                  <c:v>76</c:v>
                </c:pt>
                <c:pt idx="47">
                  <c:v>77.142857142857139</c:v>
                </c:pt>
                <c:pt idx="48">
                  <c:v>75.142857142857139</c:v>
                </c:pt>
                <c:pt idx="49">
                  <c:v>75.428571428571431</c:v>
                </c:pt>
                <c:pt idx="50">
                  <c:v>74.428571428571431</c:v>
                </c:pt>
                <c:pt idx="51">
                  <c:v>74.428571428571431</c:v>
                </c:pt>
                <c:pt idx="52">
                  <c:v>76.285714285714292</c:v>
                </c:pt>
                <c:pt idx="53">
                  <c:v>76.714285714285708</c:v>
                </c:pt>
                <c:pt idx="54">
                  <c:v>73.5</c:v>
                </c:pt>
                <c:pt idx="55">
                  <c:v>73.5</c:v>
                </c:pt>
                <c:pt idx="56">
                  <c:v>77.571428571428569</c:v>
                </c:pt>
                <c:pt idx="57">
                  <c:v>77.571428571428569</c:v>
                </c:pt>
                <c:pt idx="58">
                  <c:v>76</c:v>
                </c:pt>
                <c:pt idx="59">
                  <c:v>77.142857142857139</c:v>
                </c:pt>
                <c:pt idx="60">
                  <c:v>78.833333333333329</c:v>
                </c:pt>
                <c:pt idx="61">
                  <c:v>78.833333333333329</c:v>
                </c:pt>
                <c:pt idx="62">
                  <c:v>76.333333333333329</c:v>
                </c:pt>
                <c:pt idx="63">
                  <c:v>75.666666666666671</c:v>
                </c:pt>
                <c:pt idx="64">
                  <c:v>78.857142857142861</c:v>
                </c:pt>
                <c:pt idx="65">
                  <c:v>80.888888888888886</c:v>
                </c:pt>
                <c:pt idx="66">
                  <c:v>79.444444444444443</c:v>
                </c:pt>
                <c:pt idx="67">
                  <c:v>78.75</c:v>
                </c:pt>
                <c:pt idx="68">
                  <c:v>80.444444444444443</c:v>
                </c:pt>
                <c:pt idx="69">
                  <c:v>80.44444</c:v>
                </c:pt>
                <c:pt idx="70">
                  <c:v>77</c:v>
                </c:pt>
                <c:pt idx="71">
                  <c:v>77</c:v>
                </c:pt>
                <c:pt idx="72">
                  <c:v>79.2</c:v>
                </c:pt>
                <c:pt idx="73">
                  <c:v>79.900000000000006</c:v>
                </c:pt>
                <c:pt idx="74">
                  <c:v>80.7</c:v>
                </c:pt>
                <c:pt idx="75">
                  <c:v>80.7</c:v>
                </c:pt>
                <c:pt idx="76">
                  <c:v>80.7</c:v>
                </c:pt>
                <c:pt idx="77">
                  <c:v>78.444444444444443</c:v>
                </c:pt>
                <c:pt idx="78">
                  <c:v>79.099999999999994</c:v>
                </c:pt>
                <c:pt idx="79">
                  <c:v>78.888888888888886</c:v>
                </c:pt>
                <c:pt idx="80">
                  <c:v>79.333333333333329</c:v>
                </c:pt>
                <c:pt idx="81">
                  <c:v>78.7</c:v>
                </c:pt>
                <c:pt idx="82">
                  <c:v>77.900000000000006</c:v>
                </c:pt>
                <c:pt idx="83">
                  <c:v>79.5</c:v>
                </c:pt>
                <c:pt idx="84">
                  <c:v>78.7</c:v>
                </c:pt>
                <c:pt idx="85">
                  <c:v>78.3</c:v>
                </c:pt>
                <c:pt idx="86">
                  <c:v>78.7</c:v>
                </c:pt>
                <c:pt idx="87">
                  <c:v>78.222222222222229</c:v>
                </c:pt>
                <c:pt idx="88">
                  <c:v>78.222222222222229</c:v>
                </c:pt>
                <c:pt idx="89">
                  <c:v>78.222222222222229</c:v>
                </c:pt>
                <c:pt idx="90">
                  <c:v>80.444444444444443</c:v>
                </c:pt>
                <c:pt idx="91">
                  <c:v>80.888888888888886</c:v>
                </c:pt>
                <c:pt idx="92">
                  <c:v>80.111111111111114</c:v>
                </c:pt>
                <c:pt idx="93">
                  <c:v>80.888888888888886</c:v>
                </c:pt>
                <c:pt idx="94">
                  <c:v>80.888888888888886</c:v>
                </c:pt>
                <c:pt idx="95">
                  <c:v>81.125</c:v>
                </c:pt>
                <c:pt idx="96">
                  <c:v>80.625</c:v>
                </c:pt>
                <c:pt idx="97">
                  <c:v>79.555555555555557</c:v>
                </c:pt>
                <c:pt idx="98">
                  <c:v>79.111111111111114</c:v>
                </c:pt>
                <c:pt idx="99">
                  <c:v>78.375</c:v>
                </c:pt>
                <c:pt idx="100">
                  <c:v>78.333333333333329</c:v>
                </c:pt>
                <c:pt idx="101">
                  <c:v>77.888888888888886</c:v>
                </c:pt>
                <c:pt idx="102">
                  <c:v>78.777777777777771</c:v>
                </c:pt>
                <c:pt idx="103">
                  <c:v>77.888888888888886</c:v>
                </c:pt>
                <c:pt idx="104">
                  <c:v>80.444444444444443</c:v>
                </c:pt>
                <c:pt idx="105">
                  <c:v>79.666666666666671</c:v>
                </c:pt>
                <c:pt idx="106">
                  <c:v>80.125</c:v>
                </c:pt>
                <c:pt idx="107">
                  <c:v>80</c:v>
                </c:pt>
                <c:pt idx="108">
                  <c:v>81.125</c:v>
                </c:pt>
                <c:pt idx="109">
                  <c:v>78.777777777777771</c:v>
                </c:pt>
                <c:pt idx="110">
                  <c:v>79.111111111111114</c:v>
                </c:pt>
                <c:pt idx="111">
                  <c:v>79.25</c:v>
                </c:pt>
                <c:pt idx="112">
                  <c:v>78.714285714285708</c:v>
                </c:pt>
                <c:pt idx="113">
                  <c:v>78.125</c:v>
                </c:pt>
                <c:pt idx="114">
                  <c:v>78.555555555555557</c:v>
                </c:pt>
                <c:pt idx="115">
                  <c:v>77.875</c:v>
                </c:pt>
                <c:pt idx="116">
                  <c:v>78.222222222222229</c:v>
                </c:pt>
                <c:pt idx="117">
                  <c:v>78.555555555555557</c:v>
                </c:pt>
                <c:pt idx="118">
                  <c:v>79</c:v>
                </c:pt>
                <c:pt idx="119">
                  <c:v>79</c:v>
                </c:pt>
                <c:pt idx="120">
                  <c:v>78.555555555555557</c:v>
                </c:pt>
                <c:pt idx="121">
                  <c:v>76.75</c:v>
                </c:pt>
                <c:pt idx="122">
                  <c:v>79.5</c:v>
                </c:pt>
                <c:pt idx="123">
                  <c:v>80.333333333333329</c:v>
                </c:pt>
                <c:pt idx="124">
                  <c:v>79.555555555555557</c:v>
                </c:pt>
                <c:pt idx="125">
                  <c:v>80.333333333333329</c:v>
                </c:pt>
                <c:pt idx="126">
                  <c:v>74</c:v>
                </c:pt>
                <c:pt idx="127">
                  <c:v>77.333333333333329</c:v>
                </c:pt>
                <c:pt idx="128">
                  <c:v>77.666666666666671</c:v>
                </c:pt>
                <c:pt idx="129">
                  <c:v>79.888888888888886</c:v>
                </c:pt>
                <c:pt idx="130">
                  <c:v>80.285714285714292</c:v>
                </c:pt>
                <c:pt idx="131">
                  <c:v>80.125</c:v>
                </c:pt>
                <c:pt idx="132">
                  <c:v>79.75</c:v>
                </c:pt>
                <c:pt idx="133">
                  <c:v>77</c:v>
                </c:pt>
                <c:pt idx="134">
                  <c:v>77.777777777777771</c:v>
                </c:pt>
                <c:pt idx="135">
                  <c:v>79.111111111111114</c:v>
                </c:pt>
                <c:pt idx="136">
                  <c:v>77.777777777777771</c:v>
                </c:pt>
                <c:pt idx="137">
                  <c:v>78.125</c:v>
                </c:pt>
                <c:pt idx="138">
                  <c:v>78</c:v>
                </c:pt>
                <c:pt idx="139">
                  <c:v>79.125</c:v>
                </c:pt>
                <c:pt idx="140">
                  <c:v>79.666666666666671</c:v>
                </c:pt>
                <c:pt idx="141">
                  <c:v>79.666666666666671</c:v>
                </c:pt>
                <c:pt idx="142">
                  <c:v>77.75</c:v>
                </c:pt>
              </c:numCache>
            </c:numRef>
          </c:val>
          <c:smooth val="0"/>
        </c:ser>
        <c:ser>
          <c:idx val="2"/>
          <c:order val="4"/>
          <c:tx>
            <c:strRef>
              <c:f>食用油!$E$2</c:f>
              <c:strCache>
                <c:ptCount val="1"/>
                <c:pt idx="0">
                  <c:v>量販店－統一大豆</c:v>
                </c:pt>
              </c:strCache>
            </c:strRef>
          </c:tx>
          <c:marker>
            <c:symbol val="none"/>
          </c:marker>
          <c:cat>
            <c:strRef>
              <c:f>食用油!$A$31:$A$173</c:f>
              <c:strCache>
                <c:ptCount val="143"/>
                <c:pt idx="0">
                  <c:v>101/1/8</c:v>
                </c:pt>
                <c:pt idx="1">
                  <c:v>101/1/22</c:v>
                </c:pt>
                <c:pt idx="2">
                  <c:v>101/2/5</c:v>
                </c:pt>
                <c:pt idx="3">
                  <c:v>101/2/19</c:v>
                </c:pt>
                <c:pt idx="4">
                  <c:v>101/3/4</c:v>
                </c:pt>
                <c:pt idx="5">
                  <c:v>101/3/18</c:v>
                </c:pt>
                <c:pt idx="6">
                  <c:v>101/4/1</c:v>
                </c:pt>
                <c:pt idx="7">
                  <c:v>101/4/15</c:v>
                </c:pt>
                <c:pt idx="8">
                  <c:v>101/4/22</c:v>
                </c:pt>
                <c:pt idx="9">
                  <c:v>101/4/29</c:v>
                </c:pt>
                <c:pt idx="10">
                  <c:v>101/5/6</c:v>
                </c:pt>
                <c:pt idx="11">
                  <c:v>101/5/13</c:v>
                </c:pt>
                <c:pt idx="12">
                  <c:v>101/5/20</c:v>
                </c:pt>
                <c:pt idx="13">
                  <c:v>101/5/27</c:v>
                </c:pt>
                <c:pt idx="14">
                  <c:v>101/6/3</c:v>
                </c:pt>
                <c:pt idx="15">
                  <c:v>101/6/10</c:v>
                </c:pt>
                <c:pt idx="16">
                  <c:v>101/6/17</c:v>
                </c:pt>
                <c:pt idx="17">
                  <c:v>101/6/24</c:v>
                </c:pt>
                <c:pt idx="18">
                  <c:v>101/7/1</c:v>
                </c:pt>
                <c:pt idx="19">
                  <c:v>101/7/8</c:v>
                </c:pt>
                <c:pt idx="20">
                  <c:v>101/7/15</c:v>
                </c:pt>
                <c:pt idx="21">
                  <c:v>101/7/22</c:v>
                </c:pt>
                <c:pt idx="22">
                  <c:v>101/7/29</c:v>
                </c:pt>
                <c:pt idx="23">
                  <c:v>101/8/5</c:v>
                </c:pt>
                <c:pt idx="24">
                  <c:v>101/8/12</c:v>
                </c:pt>
                <c:pt idx="25">
                  <c:v>101/8/19</c:v>
                </c:pt>
                <c:pt idx="26">
                  <c:v>101/8/26</c:v>
                </c:pt>
                <c:pt idx="27">
                  <c:v>101/9/2</c:v>
                </c:pt>
                <c:pt idx="28">
                  <c:v>101/9/9</c:v>
                </c:pt>
                <c:pt idx="29">
                  <c:v>101/9/16</c:v>
                </c:pt>
                <c:pt idx="30">
                  <c:v>101/9/23</c:v>
                </c:pt>
                <c:pt idx="31">
                  <c:v>101/9/30</c:v>
                </c:pt>
                <c:pt idx="32">
                  <c:v>101/10/7</c:v>
                </c:pt>
                <c:pt idx="33">
                  <c:v>101/10/14</c:v>
                </c:pt>
                <c:pt idx="34">
                  <c:v>101/10/21</c:v>
                </c:pt>
                <c:pt idx="35">
                  <c:v>101/10/28</c:v>
                </c:pt>
                <c:pt idx="36">
                  <c:v>101/11/4</c:v>
                </c:pt>
                <c:pt idx="37">
                  <c:v>101/11/11</c:v>
                </c:pt>
                <c:pt idx="38">
                  <c:v>101/11/18</c:v>
                </c:pt>
                <c:pt idx="39">
                  <c:v>101/11/25</c:v>
                </c:pt>
                <c:pt idx="40">
                  <c:v>101/12/2</c:v>
                </c:pt>
                <c:pt idx="41">
                  <c:v>101/12/9</c:v>
                </c:pt>
                <c:pt idx="42">
                  <c:v>101/12/16</c:v>
                </c:pt>
                <c:pt idx="43">
                  <c:v>101/12/23</c:v>
                </c:pt>
                <c:pt idx="44">
                  <c:v>101/12/30</c:v>
                </c:pt>
                <c:pt idx="45">
                  <c:v>102/1/7</c:v>
                </c:pt>
                <c:pt idx="46">
                  <c:v>102/1/14</c:v>
                </c:pt>
                <c:pt idx="47">
                  <c:v>102/1/21</c:v>
                </c:pt>
                <c:pt idx="48">
                  <c:v>102/1/28</c:v>
                </c:pt>
                <c:pt idx="49">
                  <c:v>102/2/5</c:v>
                </c:pt>
                <c:pt idx="50">
                  <c:v>102/2/12</c:v>
                </c:pt>
                <c:pt idx="51">
                  <c:v>102/2/19</c:v>
                </c:pt>
                <c:pt idx="52">
                  <c:v>102/2/26</c:v>
                </c:pt>
                <c:pt idx="53">
                  <c:v>102/3/05</c:v>
                </c:pt>
                <c:pt idx="54">
                  <c:v>102/3/11</c:v>
                </c:pt>
                <c:pt idx="55">
                  <c:v>102/3/18</c:v>
                </c:pt>
                <c:pt idx="56">
                  <c:v>102/3/25</c:v>
                </c:pt>
                <c:pt idx="57">
                  <c:v>102/4/1</c:v>
                </c:pt>
                <c:pt idx="58">
                  <c:v>102/4/8</c:v>
                </c:pt>
                <c:pt idx="59">
                  <c:v>102/4/15</c:v>
                </c:pt>
                <c:pt idx="60">
                  <c:v>102/4/22</c:v>
                </c:pt>
                <c:pt idx="61">
                  <c:v>102/4/29</c:v>
                </c:pt>
                <c:pt idx="62">
                  <c:v>102/5/6</c:v>
                </c:pt>
                <c:pt idx="63">
                  <c:v>102/5/13</c:v>
                </c:pt>
                <c:pt idx="64">
                  <c:v>102/5/20</c:v>
                </c:pt>
                <c:pt idx="65">
                  <c:v>102/5/27</c:v>
                </c:pt>
                <c:pt idx="66">
                  <c:v>102/6/3</c:v>
                </c:pt>
                <c:pt idx="67">
                  <c:v>102/6/10</c:v>
                </c:pt>
                <c:pt idx="68">
                  <c:v>102/6/17</c:v>
                </c:pt>
                <c:pt idx="69">
                  <c:v>102/6/24</c:v>
                </c:pt>
                <c:pt idx="70">
                  <c:v>102/7/1</c:v>
                </c:pt>
                <c:pt idx="71">
                  <c:v>102/7/8</c:v>
                </c:pt>
                <c:pt idx="72">
                  <c:v>102/7/15</c:v>
                </c:pt>
                <c:pt idx="73">
                  <c:v>102/7/22</c:v>
                </c:pt>
                <c:pt idx="74">
                  <c:v>102/7/29</c:v>
                </c:pt>
                <c:pt idx="75">
                  <c:v>102/8/5</c:v>
                </c:pt>
                <c:pt idx="76">
                  <c:v>102/8/12</c:v>
                </c:pt>
                <c:pt idx="77">
                  <c:v>102/8/19</c:v>
                </c:pt>
                <c:pt idx="78">
                  <c:v>102/8/26</c:v>
                </c:pt>
                <c:pt idx="79">
                  <c:v>102/9/2</c:v>
                </c:pt>
                <c:pt idx="80">
                  <c:v>102/9/9</c:v>
                </c:pt>
                <c:pt idx="81">
                  <c:v>102/9/16</c:v>
                </c:pt>
                <c:pt idx="82">
                  <c:v>102/9/23</c:v>
                </c:pt>
                <c:pt idx="83">
                  <c:v>102/9/30</c:v>
                </c:pt>
                <c:pt idx="84">
                  <c:v>102/10/7</c:v>
                </c:pt>
                <c:pt idx="85">
                  <c:v>102/10/14</c:v>
                </c:pt>
                <c:pt idx="86">
                  <c:v>102/10/21</c:v>
                </c:pt>
                <c:pt idx="87">
                  <c:v>102/10/28</c:v>
                </c:pt>
                <c:pt idx="88">
                  <c:v>102/11/04</c:v>
                </c:pt>
                <c:pt idx="89">
                  <c:v>102/11/11</c:v>
                </c:pt>
                <c:pt idx="90">
                  <c:v>102/11/18</c:v>
                </c:pt>
                <c:pt idx="91">
                  <c:v>102/11/25</c:v>
                </c:pt>
                <c:pt idx="92">
                  <c:v>102/12/2</c:v>
                </c:pt>
                <c:pt idx="93">
                  <c:v>102/12/9</c:v>
                </c:pt>
                <c:pt idx="94">
                  <c:v>102/12/16</c:v>
                </c:pt>
                <c:pt idx="95">
                  <c:v>102/12/23</c:v>
                </c:pt>
                <c:pt idx="96">
                  <c:v>102/12/30</c:v>
                </c:pt>
                <c:pt idx="97">
                  <c:v>103/1/6</c:v>
                </c:pt>
                <c:pt idx="98">
                  <c:v>103/1/20</c:v>
                </c:pt>
                <c:pt idx="99">
                  <c:v>103/2/10</c:v>
                </c:pt>
                <c:pt idx="100">
                  <c:v>103/2/24</c:v>
                </c:pt>
                <c:pt idx="101">
                  <c:v>103/3/3</c:v>
                </c:pt>
                <c:pt idx="102">
                  <c:v>103/3/17</c:v>
                </c:pt>
                <c:pt idx="103">
                  <c:v>103/4/7</c:v>
                </c:pt>
                <c:pt idx="104">
                  <c:v>103/4/21</c:v>
                </c:pt>
                <c:pt idx="105">
                  <c:v>103/5/5</c:v>
                </c:pt>
                <c:pt idx="106">
                  <c:v>103/5/19</c:v>
                </c:pt>
                <c:pt idx="107">
                  <c:v>103/6/9</c:v>
                </c:pt>
                <c:pt idx="108">
                  <c:v>103/6/23</c:v>
                </c:pt>
                <c:pt idx="109">
                  <c:v>103/7/7</c:v>
                </c:pt>
                <c:pt idx="110">
                  <c:v>103/7/21</c:v>
                </c:pt>
                <c:pt idx="111">
                  <c:v>103/8/4</c:v>
                </c:pt>
                <c:pt idx="112">
                  <c:v>103/8/18</c:v>
                </c:pt>
                <c:pt idx="113">
                  <c:v>103/9/9</c:v>
                </c:pt>
                <c:pt idx="114">
                  <c:v>103/9/22</c:v>
                </c:pt>
                <c:pt idx="115">
                  <c:v>103/10/6</c:v>
                </c:pt>
                <c:pt idx="116">
                  <c:v>103/10/20</c:v>
                </c:pt>
                <c:pt idx="117">
                  <c:v>103/11/3</c:v>
                </c:pt>
                <c:pt idx="118">
                  <c:v>103/11/17</c:v>
                </c:pt>
                <c:pt idx="119">
                  <c:v>103/12/8</c:v>
                </c:pt>
                <c:pt idx="120">
                  <c:v>103/12/22</c:v>
                </c:pt>
                <c:pt idx="121">
                  <c:v>104/1/5</c:v>
                </c:pt>
                <c:pt idx="122">
                  <c:v>104/1/19</c:v>
                </c:pt>
                <c:pt idx="123">
                  <c:v>104/2/2</c:v>
                </c:pt>
                <c:pt idx="124">
                  <c:v>104/2/16</c:v>
                </c:pt>
                <c:pt idx="125">
                  <c:v>104/3/9</c:v>
                </c:pt>
                <c:pt idx="126">
                  <c:v>104/3/23</c:v>
                </c:pt>
                <c:pt idx="127">
                  <c:v>104/4/7</c:v>
                </c:pt>
                <c:pt idx="128">
                  <c:v>104/4/20</c:v>
                </c:pt>
                <c:pt idx="129">
                  <c:v>104/5/11</c:v>
                </c:pt>
                <c:pt idx="130">
                  <c:v>104/5/25</c:v>
                </c:pt>
                <c:pt idx="131">
                  <c:v>104/6/8</c:v>
                </c:pt>
                <c:pt idx="132">
                  <c:v>104/6/15</c:v>
                </c:pt>
                <c:pt idx="133">
                  <c:v>104/7/6</c:v>
                </c:pt>
                <c:pt idx="134">
                  <c:v>104/7/20</c:v>
                </c:pt>
                <c:pt idx="135">
                  <c:v>104/8/3</c:v>
                </c:pt>
                <c:pt idx="136">
                  <c:v>104/8/17</c:v>
                </c:pt>
                <c:pt idx="137">
                  <c:v>104/9/7</c:v>
                </c:pt>
                <c:pt idx="138">
                  <c:v>104/9/21</c:v>
                </c:pt>
                <c:pt idx="139">
                  <c:v>104/10/5</c:v>
                </c:pt>
                <c:pt idx="140">
                  <c:v>104/10/19</c:v>
                </c:pt>
                <c:pt idx="141">
                  <c:v>104/11/9</c:v>
                </c:pt>
                <c:pt idx="142">
                  <c:v>104/11/23</c:v>
                </c:pt>
              </c:strCache>
            </c:strRef>
          </c:cat>
          <c:val>
            <c:numRef>
              <c:f>食用油!$E$31:$E$173</c:f>
              <c:numCache>
                <c:formatCode>General</c:formatCode>
                <c:ptCount val="143"/>
                <c:pt idx="7" formatCode="0.00">
                  <c:v>73.400000000000006</c:v>
                </c:pt>
                <c:pt idx="8" formatCode="0.00">
                  <c:v>73.400000000000006</c:v>
                </c:pt>
                <c:pt idx="9" formatCode="0.00">
                  <c:v>72.599999999999994</c:v>
                </c:pt>
                <c:pt idx="10" formatCode="0.00">
                  <c:v>73.400000000000006</c:v>
                </c:pt>
                <c:pt idx="11" formatCode="0.00">
                  <c:v>74.2</c:v>
                </c:pt>
                <c:pt idx="12" formatCode="0.00">
                  <c:v>77</c:v>
                </c:pt>
                <c:pt idx="13" formatCode="0.00">
                  <c:v>77</c:v>
                </c:pt>
                <c:pt idx="14" formatCode="0.00">
                  <c:v>77.599999999999994</c:v>
                </c:pt>
                <c:pt idx="15" formatCode="0.00">
                  <c:v>77.599999999999994</c:v>
                </c:pt>
                <c:pt idx="16" formatCode="0.00">
                  <c:v>77.25</c:v>
                </c:pt>
                <c:pt idx="17" formatCode="0.00">
                  <c:v>80</c:v>
                </c:pt>
                <c:pt idx="18" formatCode="0.00">
                  <c:v>77.25</c:v>
                </c:pt>
                <c:pt idx="19" formatCode="0.00">
                  <c:v>77.25</c:v>
                </c:pt>
                <c:pt idx="20" formatCode="0.00">
                  <c:v>77.25</c:v>
                </c:pt>
                <c:pt idx="21" formatCode="0.00">
                  <c:v>78.75</c:v>
                </c:pt>
                <c:pt idx="22" formatCode="0.00">
                  <c:v>78.75</c:v>
                </c:pt>
                <c:pt idx="23" formatCode="0.00">
                  <c:v>78.75</c:v>
                </c:pt>
                <c:pt idx="24" formatCode="0.00">
                  <c:v>78.666666666666671</c:v>
                </c:pt>
                <c:pt idx="25" formatCode="0.00">
                  <c:v>78.75</c:v>
                </c:pt>
                <c:pt idx="26" formatCode="0.00">
                  <c:v>78.75</c:v>
                </c:pt>
                <c:pt idx="27" formatCode="0.00">
                  <c:v>78.75</c:v>
                </c:pt>
                <c:pt idx="28" formatCode="0.00">
                  <c:v>78.75</c:v>
                </c:pt>
                <c:pt idx="29" formatCode="0.00">
                  <c:v>77.2</c:v>
                </c:pt>
                <c:pt idx="30" formatCode="0.00">
                  <c:v>81.166666666666671</c:v>
                </c:pt>
                <c:pt idx="31" formatCode="0.00">
                  <c:v>78.833333333333329</c:v>
                </c:pt>
                <c:pt idx="32" formatCode="0.00">
                  <c:v>77.375</c:v>
                </c:pt>
                <c:pt idx="33" formatCode="0.00">
                  <c:v>77.5</c:v>
                </c:pt>
                <c:pt idx="34" formatCode="0.00">
                  <c:v>77.875</c:v>
                </c:pt>
                <c:pt idx="35" formatCode="0.00">
                  <c:v>78.75</c:v>
                </c:pt>
                <c:pt idx="36" formatCode="0.00">
                  <c:v>78.857142857142861</c:v>
                </c:pt>
                <c:pt idx="37" formatCode="0.00">
                  <c:v>78.857142857142861</c:v>
                </c:pt>
                <c:pt idx="38" formatCode="0.00">
                  <c:v>78.444444444444443</c:v>
                </c:pt>
                <c:pt idx="39" formatCode="0.00">
                  <c:v>78</c:v>
                </c:pt>
                <c:pt idx="40" formatCode="0.00">
                  <c:v>77.875</c:v>
                </c:pt>
                <c:pt idx="41" formatCode="0.00">
                  <c:v>77.875</c:v>
                </c:pt>
                <c:pt idx="42" formatCode="0.00">
                  <c:v>76.888888888888886</c:v>
                </c:pt>
                <c:pt idx="43" formatCode="0.00">
                  <c:v>77.111111111111114</c:v>
                </c:pt>
                <c:pt idx="44" formatCode="0.00">
                  <c:v>78.888888888888886</c:v>
                </c:pt>
                <c:pt idx="45" formatCode="0.00">
                  <c:v>79.333333333333329</c:v>
                </c:pt>
                <c:pt idx="46" formatCode="0.00">
                  <c:v>79.333333333333329</c:v>
                </c:pt>
                <c:pt idx="47" formatCode="0.00">
                  <c:v>78.444444444444443</c:v>
                </c:pt>
                <c:pt idx="48" formatCode="0.00">
                  <c:v>78</c:v>
                </c:pt>
                <c:pt idx="49" formatCode="0.00">
                  <c:v>78.375</c:v>
                </c:pt>
                <c:pt idx="50" formatCode="0.00">
                  <c:v>78</c:v>
                </c:pt>
                <c:pt idx="51" formatCode="0.00">
                  <c:v>78</c:v>
                </c:pt>
                <c:pt idx="52" formatCode="0.00">
                  <c:v>78</c:v>
                </c:pt>
                <c:pt idx="53" formatCode="0.00">
                  <c:v>78</c:v>
                </c:pt>
                <c:pt idx="54" formatCode="0.00">
                  <c:v>79.333333333333329</c:v>
                </c:pt>
                <c:pt idx="55" formatCode="0.00">
                  <c:v>79.333333333333329</c:v>
                </c:pt>
                <c:pt idx="56" formatCode="0.00">
                  <c:v>77.555555555555557</c:v>
                </c:pt>
                <c:pt idx="57" formatCode="0.00">
                  <c:v>77.555555555555557</c:v>
                </c:pt>
                <c:pt idx="58" formatCode="0.00">
                  <c:v>77.555555555555557</c:v>
                </c:pt>
                <c:pt idx="59" formatCode="0.00">
                  <c:v>74.888888888888886</c:v>
                </c:pt>
                <c:pt idx="60" formatCode="0.00">
                  <c:v>78</c:v>
                </c:pt>
                <c:pt idx="61" formatCode="0.00">
                  <c:v>78.888888888888886</c:v>
                </c:pt>
                <c:pt idx="62" formatCode="0.00">
                  <c:v>78</c:v>
                </c:pt>
                <c:pt idx="63" formatCode="0.00">
                  <c:v>77.555555555555557</c:v>
                </c:pt>
                <c:pt idx="64" formatCode="0.00">
                  <c:v>77.111111111111114</c:v>
                </c:pt>
                <c:pt idx="65" formatCode="0.00">
                  <c:v>77.3</c:v>
                </c:pt>
                <c:pt idx="66" formatCode="0.00">
                  <c:v>76.900000000000006</c:v>
                </c:pt>
                <c:pt idx="67" formatCode="0.00">
                  <c:v>77.3</c:v>
                </c:pt>
                <c:pt idx="68" formatCode="0.00">
                  <c:v>77.555555555555557</c:v>
                </c:pt>
                <c:pt idx="69" formatCode="0.00">
                  <c:v>77.3</c:v>
                </c:pt>
                <c:pt idx="70" formatCode="0.00">
                  <c:v>76.900000000000006</c:v>
                </c:pt>
                <c:pt idx="71" formatCode="0.00">
                  <c:v>78.5</c:v>
                </c:pt>
                <c:pt idx="72" formatCode="0.00">
                  <c:v>78.099999999999994</c:v>
                </c:pt>
                <c:pt idx="73" formatCode="0.00">
                  <c:v>76.900000000000006</c:v>
                </c:pt>
                <c:pt idx="74" formatCode="0.00">
                  <c:v>77.7</c:v>
                </c:pt>
                <c:pt idx="75" formatCode="0.00">
                  <c:v>78.099999999999994</c:v>
                </c:pt>
                <c:pt idx="76" formatCode="0.00">
                  <c:v>78.099999999999994</c:v>
                </c:pt>
                <c:pt idx="77" formatCode="0.00">
                  <c:v>77.222222222222229</c:v>
                </c:pt>
                <c:pt idx="78" formatCode="0.00">
                  <c:v>78.888888888888886</c:v>
                </c:pt>
                <c:pt idx="79" formatCode="0.00">
                  <c:v>78.444444444444443</c:v>
                </c:pt>
                <c:pt idx="80" formatCode="0.00">
                  <c:v>78</c:v>
                </c:pt>
                <c:pt idx="81" formatCode="0.00">
                  <c:v>76.666666666666671</c:v>
                </c:pt>
                <c:pt idx="82" formatCode="0.00">
                  <c:v>75.875</c:v>
                </c:pt>
                <c:pt idx="83" formatCode="0.00">
                  <c:v>75.875</c:v>
                </c:pt>
                <c:pt idx="84" formatCode="0.00">
                  <c:v>75.888888888888886</c:v>
                </c:pt>
                <c:pt idx="85" formatCode="0.00">
                  <c:v>75.888888888888886</c:v>
                </c:pt>
                <c:pt idx="86" formatCode="0.00">
                  <c:v>78.888888888888886</c:v>
                </c:pt>
                <c:pt idx="87" formatCode="0.00">
                  <c:v>79.375</c:v>
                </c:pt>
                <c:pt idx="88" formatCode="0.00">
                  <c:v>77.875</c:v>
                </c:pt>
                <c:pt idx="89" formatCode="0.00">
                  <c:v>78</c:v>
                </c:pt>
                <c:pt idx="90" formatCode="0.00">
                  <c:v>79.3</c:v>
                </c:pt>
                <c:pt idx="91" formatCode="0.00">
                  <c:v>79.3</c:v>
                </c:pt>
                <c:pt idx="92" formatCode="0.00">
                  <c:v>79.3</c:v>
                </c:pt>
                <c:pt idx="93" formatCode="0.00">
                  <c:v>79.099999999999994</c:v>
                </c:pt>
                <c:pt idx="94" formatCode="0.00">
                  <c:v>79</c:v>
                </c:pt>
                <c:pt idx="95" formatCode="0.00">
                  <c:v>79</c:v>
                </c:pt>
                <c:pt idx="96" formatCode="0.00">
                  <c:v>79.3</c:v>
                </c:pt>
                <c:pt idx="97" formatCode="0.00">
                  <c:v>79.333333333333329</c:v>
                </c:pt>
                <c:pt idx="98" formatCode="0.00">
                  <c:v>79.333333333333329</c:v>
                </c:pt>
                <c:pt idx="99" formatCode="0.00">
                  <c:v>79.272727272727266</c:v>
                </c:pt>
                <c:pt idx="100" formatCode="0.00">
                  <c:v>75.818181818181813</c:v>
                </c:pt>
                <c:pt idx="101" formatCode="0.00">
                  <c:v>74.909090909090907</c:v>
                </c:pt>
                <c:pt idx="102" formatCode="0.00">
                  <c:v>76.400000000000006</c:v>
                </c:pt>
                <c:pt idx="103" formatCode="0.00">
                  <c:v>78.545454545454547</c:v>
                </c:pt>
                <c:pt idx="104" formatCode="0.00">
                  <c:v>77.090909090909093</c:v>
                </c:pt>
                <c:pt idx="105" formatCode="0.00">
                  <c:v>77.8</c:v>
                </c:pt>
                <c:pt idx="106" formatCode="0.00">
                  <c:v>76.454545454545453</c:v>
                </c:pt>
                <c:pt idx="107" formatCode="0.00">
                  <c:v>76.63636363636364</c:v>
                </c:pt>
                <c:pt idx="108" formatCode="0.00">
                  <c:v>71.090909090909093</c:v>
                </c:pt>
                <c:pt idx="109" formatCode="0.00">
                  <c:v>75.63636363636364</c:v>
                </c:pt>
                <c:pt idx="110" formatCode="0.00">
                  <c:v>73.727272727272734</c:v>
                </c:pt>
                <c:pt idx="111" formatCode="0.00">
                  <c:v>74.454545454545453</c:v>
                </c:pt>
                <c:pt idx="112" formatCode="0.00">
                  <c:v>75.599999999999994</c:v>
                </c:pt>
                <c:pt idx="113" formatCode="0.00">
                  <c:v>74.181818181818187</c:v>
                </c:pt>
                <c:pt idx="114" formatCode="0.00">
                  <c:v>74.272727272727266</c:v>
                </c:pt>
                <c:pt idx="115" formatCode="0.00">
                  <c:v>73.818181818181813</c:v>
                </c:pt>
                <c:pt idx="116" formatCode="0.00">
                  <c:v>74.272727272727266</c:v>
                </c:pt>
                <c:pt idx="117" formatCode="0.00">
                  <c:v>73.454545454545453</c:v>
                </c:pt>
                <c:pt idx="118" formatCode="0.00">
                  <c:v>73.63636363636364</c:v>
                </c:pt>
                <c:pt idx="119" formatCode="0.00">
                  <c:v>73.63636363636364</c:v>
                </c:pt>
                <c:pt idx="120" formatCode="0.00">
                  <c:v>74.090909090909093</c:v>
                </c:pt>
                <c:pt idx="121" formatCode="0.00">
                  <c:v>72.63636363636364</c:v>
                </c:pt>
                <c:pt idx="122" formatCode="0.00">
                  <c:v>73.545454545454547</c:v>
                </c:pt>
                <c:pt idx="123" formatCode="0.00">
                  <c:v>73</c:v>
                </c:pt>
                <c:pt idx="124" formatCode="0.00">
                  <c:v>72.63636363636364</c:v>
                </c:pt>
                <c:pt idx="125" formatCode="0.00">
                  <c:v>72.909090909090907</c:v>
                </c:pt>
                <c:pt idx="126" formatCode="0.00">
                  <c:v>73.545454545454547</c:v>
                </c:pt>
                <c:pt idx="127" formatCode="0.00">
                  <c:v>73.181818181818187</c:v>
                </c:pt>
                <c:pt idx="128" formatCode="0.00">
                  <c:v>73.181818181818187</c:v>
                </c:pt>
                <c:pt idx="129" formatCode="0.00">
                  <c:v>72.5</c:v>
                </c:pt>
                <c:pt idx="130" formatCode="0.00">
                  <c:v>73.5</c:v>
                </c:pt>
                <c:pt idx="131" formatCode="0.00">
                  <c:v>74.400000000000006</c:v>
                </c:pt>
                <c:pt idx="132" formatCode="0.00">
                  <c:v>73.599999999999994</c:v>
                </c:pt>
                <c:pt idx="133" formatCode="0.00">
                  <c:v>74.2</c:v>
                </c:pt>
                <c:pt idx="134" formatCode="0.00">
                  <c:v>75.099999999999994</c:v>
                </c:pt>
                <c:pt idx="135" formatCode="0.00">
                  <c:v>74.400000000000006</c:v>
                </c:pt>
                <c:pt idx="136" formatCode="0.00">
                  <c:v>74.099999999999994</c:v>
                </c:pt>
                <c:pt idx="137" formatCode="0.00">
                  <c:v>74.2</c:v>
                </c:pt>
                <c:pt idx="138" formatCode="0.00">
                  <c:v>74.2</c:v>
                </c:pt>
                <c:pt idx="139" formatCode="0.00">
                  <c:v>74</c:v>
                </c:pt>
                <c:pt idx="140" formatCode="0.00">
                  <c:v>74.333333333333329</c:v>
                </c:pt>
                <c:pt idx="141" formatCode="0.00">
                  <c:v>73.400000000000006</c:v>
                </c:pt>
                <c:pt idx="142" formatCode="0.00">
                  <c:v>73.5</c:v>
                </c:pt>
              </c:numCache>
            </c:numRef>
          </c:val>
          <c:smooth val="0"/>
        </c:ser>
        <c:dLbls>
          <c:showLegendKey val="0"/>
          <c:showVal val="0"/>
          <c:showCatName val="0"/>
          <c:showSerName val="0"/>
          <c:showPercent val="0"/>
          <c:showBubbleSize val="0"/>
        </c:dLbls>
        <c:marker val="1"/>
        <c:smooth val="0"/>
        <c:axId val="274696448"/>
        <c:axId val="274698240"/>
      </c:lineChart>
      <c:catAx>
        <c:axId val="274680832"/>
        <c:scaling>
          <c:orientation val="minMax"/>
        </c:scaling>
        <c:delete val="0"/>
        <c:axPos val="b"/>
        <c:numFmt formatCode="General" sourceLinked="1"/>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4694912"/>
        <c:crosses val="autoZero"/>
        <c:auto val="1"/>
        <c:lblAlgn val="ctr"/>
        <c:lblOffset val="100"/>
        <c:tickLblSkip val="5"/>
        <c:noMultiLvlLbl val="1"/>
      </c:catAx>
      <c:valAx>
        <c:axId val="274694912"/>
        <c:scaling>
          <c:orientation val="minMax"/>
          <c:max val="260"/>
          <c:min val="160"/>
        </c:scaling>
        <c:delete val="0"/>
        <c:axPos val="l"/>
        <c:numFmt formatCode="#,##0_);\(#,##0\)" sourceLinked="0"/>
        <c:majorTickMark val="out"/>
        <c:minorTickMark val="none"/>
        <c:tickLblPos val="nextTo"/>
        <c:txPr>
          <a:bodyPr/>
          <a:lstStyle/>
          <a:p>
            <a:pPr>
              <a:defRPr>
                <a:latin typeface="Times New Roman" pitchFamily="18" charset="0"/>
                <a:cs typeface="Times New Roman" pitchFamily="18" charset="0"/>
              </a:defRPr>
            </a:pPr>
            <a:endParaRPr lang="zh-TW"/>
          </a:p>
        </c:txPr>
        <c:crossAx val="274680832"/>
        <c:crosses val="autoZero"/>
        <c:crossBetween val="between"/>
      </c:valAx>
      <c:catAx>
        <c:axId val="274696448"/>
        <c:scaling>
          <c:orientation val="minMax"/>
        </c:scaling>
        <c:delete val="1"/>
        <c:axPos val="b"/>
        <c:numFmt formatCode="General" sourceLinked="1"/>
        <c:majorTickMark val="out"/>
        <c:minorTickMark val="none"/>
        <c:tickLblPos val="nextTo"/>
        <c:crossAx val="274698240"/>
        <c:crosses val="autoZero"/>
        <c:auto val="1"/>
        <c:lblAlgn val="ctr"/>
        <c:lblOffset val="100"/>
        <c:noMultiLvlLbl val="0"/>
      </c:catAx>
      <c:valAx>
        <c:axId val="274698240"/>
        <c:scaling>
          <c:orientation val="minMax"/>
          <c:max val="90"/>
          <c:min val="60"/>
        </c:scaling>
        <c:delete val="0"/>
        <c:axPos val="r"/>
        <c:numFmt formatCode="#,##0_);\(#,##0\)" sourceLinked="0"/>
        <c:majorTickMark val="out"/>
        <c:minorTickMark val="none"/>
        <c:tickLblPos val="nextTo"/>
        <c:crossAx val="274696448"/>
        <c:crosses val="max"/>
        <c:crossBetween val="between"/>
      </c:valAx>
      <c:spPr>
        <a:noFill/>
        <a:ln w="25400">
          <a:noFill/>
        </a:ln>
      </c:spPr>
    </c:plotArea>
    <c:legend>
      <c:legendPos val="r"/>
      <c:layout>
        <c:manualLayout>
          <c:xMode val="edge"/>
          <c:yMode val="edge"/>
          <c:x val="0.12515295311144506"/>
          <c:y val="2.3575919442407132E-2"/>
          <c:w val="0.74969617960909607"/>
          <c:h val="0.16884750787091493"/>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1265507436570428"/>
          <c:y val="0.15312725601196456"/>
          <c:w val="0.85405468066491685"/>
          <c:h val="0.69662116336822999"/>
        </c:manualLayout>
      </c:layout>
      <c:barChart>
        <c:barDir val="col"/>
        <c:grouping val="clustered"/>
        <c:varyColors val="0"/>
        <c:ser>
          <c:idx val="0"/>
          <c:order val="0"/>
          <c:tx>
            <c:v>葵花原油總進口量</c:v>
          </c:tx>
          <c:spPr>
            <a:solidFill>
              <a:srgbClr val="FFC000"/>
            </a:solidFill>
          </c:spPr>
          <c:invertIfNegative val="0"/>
          <c:val>
            <c:numRef>
              <c:f>葵花子原油進口量!$B$5:$B$13</c:f>
              <c:numCache>
                <c:formatCode>General</c:formatCode>
                <c:ptCount val="9"/>
                <c:pt idx="0">
                  <c:v>1502.096</c:v>
                </c:pt>
                <c:pt idx="1">
                  <c:v>1059.5029999999999</c:v>
                </c:pt>
                <c:pt idx="2">
                  <c:v>0.42499999999999999</c:v>
                </c:pt>
                <c:pt idx="3">
                  <c:v>747.9</c:v>
                </c:pt>
                <c:pt idx="4">
                  <c:v>748.52099999999996</c:v>
                </c:pt>
                <c:pt idx="5">
                  <c:v>2024.1189999999999</c:v>
                </c:pt>
                <c:pt idx="6">
                  <c:v>4513.9809999999998</c:v>
                </c:pt>
                <c:pt idx="7">
                  <c:v>1311.6969999999999</c:v>
                </c:pt>
                <c:pt idx="8">
                  <c:v>6.6239999999999997</c:v>
                </c:pt>
              </c:numCache>
            </c:numRef>
          </c:val>
        </c:ser>
        <c:ser>
          <c:idx val="1"/>
          <c:order val="1"/>
          <c:tx>
            <c:v>由烏克蘭進口量</c:v>
          </c:tx>
          <c:spPr>
            <a:solidFill>
              <a:srgbClr val="C00000"/>
            </a:solidFill>
          </c:spPr>
          <c:invertIfNegative val="0"/>
          <c:val>
            <c:numRef>
              <c:f>葵花子原油進口量!$C$5:$C$13</c:f>
              <c:numCache>
                <c:formatCode>General</c:formatCode>
                <c:ptCount val="9"/>
                <c:pt idx="0">
                  <c:v>1501.55</c:v>
                </c:pt>
                <c:pt idx="1">
                  <c:v>1058.3800000000001</c:v>
                </c:pt>
                <c:pt idx="2">
                  <c:v>0</c:v>
                </c:pt>
                <c:pt idx="3">
                  <c:v>747.9</c:v>
                </c:pt>
                <c:pt idx="4">
                  <c:v>747.96</c:v>
                </c:pt>
                <c:pt idx="5">
                  <c:v>2023.98</c:v>
                </c:pt>
                <c:pt idx="6">
                  <c:v>4506</c:v>
                </c:pt>
                <c:pt idx="7">
                  <c:v>1002.8</c:v>
                </c:pt>
                <c:pt idx="8">
                  <c:v>0</c:v>
                </c:pt>
              </c:numCache>
            </c:numRef>
          </c:val>
        </c:ser>
        <c:dLbls>
          <c:showLegendKey val="0"/>
          <c:showVal val="0"/>
          <c:showCatName val="0"/>
          <c:showSerName val="0"/>
          <c:showPercent val="0"/>
          <c:showBubbleSize val="0"/>
        </c:dLbls>
        <c:gapWidth val="150"/>
        <c:axId val="275059840"/>
        <c:axId val="275061376"/>
      </c:barChart>
      <c:catAx>
        <c:axId val="275059840"/>
        <c:scaling>
          <c:orientation val="minMax"/>
        </c:scaling>
        <c:delete val="0"/>
        <c:axPos val="b"/>
        <c:numFmt formatCode="General" sourceLinked="1"/>
        <c:majorTickMark val="out"/>
        <c:minorTickMark val="none"/>
        <c:tickLblPos val="nextTo"/>
        <c:txPr>
          <a:bodyPr/>
          <a:lstStyle/>
          <a:p>
            <a:pPr>
              <a:defRPr sz="1050"/>
            </a:pPr>
            <a:endParaRPr lang="zh-TW"/>
          </a:p>
        </c:txPr>
        <c:crossAx val="275061376"/>
        <c:crosses val="autoZero"/>
        <c:auto val="1"/>
        <c:lblAlgn val="ctr"/>
        <c:lblOffset val="100"/>
        <c:noMultiLvlLbl val="0"/>
      </c:catAx>
      <c:valAx>
        <c:axId val="275061376"/>
        <c:scaling>
          <c:orientation val="minMax"/>
        </c:scaling>
        <c:delete val="0"/>
        <c:axPos val="l"/>
        <c:majorGridlines/>
        <c:numFmt formatCode="General" sourceLinked="1"/>
        <c:majorTickMark val="out"/>
        <c:minorTickMark val="none"/>
        <c:tickLblPos val="nextTo"/>
        <c:crossAx val="275059840"/>
        <c:crosses val="autoZero"/>
        <c:crossBetween val="between"/>
      </c:valAx>
    </c:plotArea>
    <c:legend>
      <c:legendPos val="r"/>
      <c:layout>
        <c:manualLayout>
          <c:xMode val="edge"/>
          <c:yMode val="edge"/>
          <c:x val="0.12226540289532416"/>
          <c:y val="4.62833166980888E-2"/>
          <c:w val="0.67217924162806053"/>
          <c:h val="8.8658090273927015E-2"/>
        </c:manualLayout>
      </c:layout>
      <c:overlay val="0"/>
    </c:legend>
    <c:plotVisOnly val="1"/>
    <c:dispBlanksAs val="gap"/>
    <c:showDLblsOverMax val="0"/>
  </c:chart>
  <c:spPr>
    <a:ln>
      <a:noFill/>
    </a:ln>
  </c:spPr>
  <c:externalData r:id="rId1">
    <c:autoUpdate val="0"/>
  </c:externalData>
  <c:userShapes r:id="rId2"/>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9805285118219746E-2"/>
          <c:y val="8.1570996978851965E-2"/>
          <c:w val="0.91098748261474272"/>
          <c:h val="0.70996978851963743"/>
        </c:manualLayout>
      </c:layout>
      <c:lineChart>
        <c:grouping val="standard"/>
        <c:varyColors val="0"/>
        <c:ser>
          <c:idx val="0"/>
          <c:order val="0"/>
          <c:tx>
            <c:strRef>
              <c:f>醬油!$B$2</c:f>
              <c:strCache>
                <c:ptCount val="1"/>
                <c:pt idx="0">
                  <c:v>便利店－龜甲萬</c:v>
                </c:pt>
              </c:strCache>
            </c:strRef>
          </c:tx>
          <c:spPr>
            <a:ln w="28575" cmpd="sng"/>
          </c:spPr>
          <c:marker>
            <c:symbol val="none"/>
          </c:marker>
          <c:cat>
            <c:strRef>
              <c:f>醬油!$A$32:$A$173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醬油!$B$32:$B$173</c:f>
              <c:numCache>
                <c:formatCode>0.00</c:formatCode>
                <c:ptCount val="142"/>
                <c:pt idx="0">
                  <c:v>48</c:v>
                </c:pt>
                <c:pt idx="1">
                  <c:v>48</c:v>
                </c:pt>
                <c:pt idx="2">
                  <c:v>48</c:v>
                </c:pt>
                <c:pt idx="3">
                  <c:v>48</c:v>
                </c:pt>
                <c:pt idx="4">
                  <c:v>48</c:v>
                </c:pt>
                <c:pt idx="5">
                  <c:v>48</c:v>
                </c:pt>
                <c:pt idx="6">
                  <c:v>48</c:v>
                </c:pt>
                <c:pt idx="7">
                  <c:v>48</c:v>
                </c:pt>
                <c:pt idx="8">
                  <c:v>48</c:v>
                </c:pt>
                <c:pt idx="9">
                  <c:v>48</c:v>
                </c:pt>
                <c:pt idx="10">
                  <c:v>48</c:v>
                </c:pt>
                <c:pt idx="11">
                  <c:v>48</c:v>
                </c:pt>
                <c:pt idx="12">
                  <c:v>48</c:v>
                </c:pt>
                <c:pt idx="13">
                  <c:v>48</c:v>
                </c:pt>
                <c:pt idx="14">
                  <c:v>48</c:v>
                </c:pt>
                <c:pt idx="15">
                  <c:v>45</c:v>
                </c:pt>
                <c:pt idx="16">
                  <c:v>45</c:v>
                </c:pt>
                <c:pt idx="17">
                  <c:v>45</c:v>
                </c:pt>
                <c:pt idx="18">
                  <c:v>45</c:v>
                </c:pt>
                <c:pt idx="19">
                  <c:v>48</c:v>
                </c:pt>
                <c:pt idx="20">
                  <c:v>48</c:v>
                </c:pt>
                <c:pt idx="21">
                  <c:v>48</c:v>
                </c:pt>
                <c:pt idx="22">
                  <c:v>48</c:v>
                </c:pt>
                <c:pt idx="23">
                  <c:v>48</c:v>
                </c:pt>
                <c:pt idx="24">
                  <c:v>48</c:v>
                </c:pt>
                <c:pt idx="25">
                  <c:v>48</c:v>
                </c:pt>
                <c:pt idx="26">
                  <c:v>48</c:v>
                </c:pt>
                <c:pt idx="27">
                  <c:v>48</c:v>
                </c:pt>
                <c:pt idx="28">
                  <c:v>48</c:v>
                </c:pt>
                <c:pt idx="29">
                  <c:v>48</c:v>
                </c:pt>
                <c:pt idx="30">
                  <c:v>48</c:v>
                </c:pt>
                <c:pt idx="31">
                  <c:v>48</c:v>
                </c:pt>
                <c:pt idx="32">
                  <c:v>48</c:v>
                </c:pt>
                <c:pt idx="33">
                  <c:v>48</c:v>
                </c:pt>
                <c:pt idx="34">
                  <c:v>48</c:v>
                </c:pt>
                <c:pt idx="35">
                  <c:v>48</c:v>
                </c:pt>
                <c:pt idx="36">
                  <c:v>48</c:v>
                </c:pt>
                <c:pt idx="37">
                  <c:v>48</c:v>
                </c:pt>
                <c:pt idx="38">
                  <c:v>48</c:v>
                </c:pt>
                <c:pt idx="39">
                  <c:v>48</c:v>
                </c:pt>
                <c:pt idx="40">
                  <c:v>48</c:v>
                </c:pt>
                <c:pt idx="41">
                  <c:v>48</c:v>
                </c:pt>
                <c:pt idx="42">
                  <c:v>48</c:v>
                </c:pt>
                <c:pt idx="43">
                  <c:v>48</c:v>
                </c:pt>
                <c:pt idx="44">
                  <c:v>48</c:v>
                </c:pt>
                <c:pt idx="45">
                  <c:v>48</c:v>
                </c:pt>
                <c:pt idx="46">
                  <c:v>48</c:v>
                </c:pt>
                <c:pt idx="47">
                  <c:v>48</c:v>
                </c:pt>
                <c:pt idx="48">
                  <c:v>48</c:v>
                </c:pt>
                <c:pt idx="49">
                  <c:v>48</c:v>
                </c:pt>
                <c:pt idx="50">
                  <c:v>48</c:v>
                </c:pt>
                <c:pt idx="51">
                  <c:v>48</c:v>
                </c:pt>
                <c:pt idx="52">
                  <c:v>48</c:v>
                </c:pt>
                <c:pt idx="53">
                  <c:v>48</c:v>
                </c:pt>
                <c:pt idx="54">
                  <c:v>48</c:v>
                </c:pt>
                <c:pt idx="55">
                  <c:v>48</c:v>
                </c:pt>
                <c:pt idx="56">
                  <c:v>48</c:v>
                </c:pt>
                <c:pt idx="57">
                  <c:v>48</c:v>
                </c:pt>
                <c:pt idx="58">
                  <c:v>48</c:v>
                </c:pt>
                <c:pt idx="59">
                  <c:v>48</c:v>
                </c:pt>
                <c:pt idx="60">
                  <c:v>48</c:v>
                </c:pt>
                <c:pt idx="61">
                  <c:v>48</c:v>
                </c:pt>
                <c:pt idx="62">
                  <c:v>48</c:v>
                </c:pt>
                <c:pt idx="63">
                  <c:v>48</c:v>
                </c:pt>
                <c:pt idx="64">
                  <c:v>48</c:v>
                </c:pt>
                <c:pt idx="65">
                  <c:v>48</c:v>
                </c:pt>
                <c:pt idx="66">
                  <c:v>48</c:v>
                </c:pt>
                <c:pt idx="67">
                  <c:v>48</c:v>
                </c:pt>
                <c:pt idx="68">
                  <c:v>48</c:v>
                </c:pt>
                <c:pt idx="69">
                  <c:v>48</c:v>
                </c:pt>
                <c:pt idx="70">
                  <c:v>48</c:v>
                </c:pt>
                <c:pt idx="71">
                  <c:v>48</c:v>
                </c:pt>
                <c:pt idx="72">
                  <c:v>48</c:v>
                </c:pt>
                <c:pt idx="73">
                  <c:v>48</c:v>
                </c:pt>
                <c:pt idx="74">
                  <c:v>48</c:v>
                </c:pt>
                <c:pt idx="75">
                  <c:v>48</c:v>
                </c:pt>
                <c:pt idx="76">
                  <c:v>48</c:v>
                </c:pt>
                <c:pt idx="77">
                  <c:v>48</c:v>
                </c:pt>
                <c:pt idx="78">
                  <c:v>48</c:v>
                </c:pt>
                <c:pt idx="79">
                  <c:v>48</c:v>
                </c:pt>
                <c:pt idx="80">
                  <c:v>48</c:v>
                </c:pt>
                <c:pt idx="81">
                  <c:v>48</c:v>
                </c:pt>
                <c:pt idx="82">
                  <c:v>48</c:v>
                </c:pt>
                <c:pt idx="83">
                  <c:v>48</c:v>
                </c:pt>
                <c:pt idx="84">
                  <c:v>48</c:v>
                </c:pt>
                <c:pt idx="85">
                  <c:v>48</c:v>
                </c:pt>
                <c:pt idx="86">
                  <c:v>48</c:v>
                </c:pt>
                <c:pt idx="87">
                  <c:v>48</c:v>
                </c:pt>
                <c:pt idx="88">
                  <c:v>48</c:v>
                </c:pt>
                <c:pt idx="89">
                  <c:v>48</c:v>
                </c:pt>
                <c:pt idx="90">
                  <c:v>48</c:v>
                </c:pt>
                <c:pt idx="91">
                  <c:v>48</c:v>
                </c:pt>
                <c:pt idx="92">
                  <c:v>48</c:v>
                </c:pt>
                <c:pt idx="93">
                  <c:v>48</c:v>
                </c:pt>
                <c:pt idx="94">
                  <c:v>48</c:v>
                </c:pt>
                <c:pt idx="95">
                  <c:v>48</c:v>
                </c:pt>
                <c:pt idx="96">
                  <c:v>48</c:v>
                </c:pt>
                <c:pt idx="97">
                  <c:v>48</c:v>
                </c:pt>
                <c:pt idx="98">
                  <c:v>48</c:v>
                </c:pt>
                <c:pt idx="99">
                  <c:v>48</c:v>
                </c:pt>
                <c:pt idx="100">
                  <c:v>48</c:v>
                </c:pt>
                <c:pt idx="101">
                  <c:v>48</c:v>
                </c:pt>
                <c:pt idx="102">
                  <c:v>48</c:v>
                </c:pt>
                <c:pt idx="103">
                  <c:v>48</c:v>
                </c:pt>
                <c:pt idx="104">
                  <c:v>48</c:v>
                </c:pt>
                <c:pt idx="105">
                  <c:v>48</c:v>
                </c:pt>
                <c:pt idx="106">
                  <c:v>48</c:v>
                </c:pt>
                <c:pt idx="107">
                  <c:v>48</c:v>
                </c:pt>
                <c:pt idx="108">
                  <c:v>48</c:v>
                </c:pt>
                <c:pt idx="109">
                  <c:v>45.75</c:v>
                </c:pt>
                <c:pt idx="110">
                  <c:v>45.75</c:v>
                </c:pt>
                <c:pt idx="111">
                  <c:v>45.75</c:v>
                </c:pt>
                <c:pt idx="112">
                  <c:v>45.75</c:v>
                </c:pt>
                <c:pt idx="113">
                  <c:v>45.75</c:v>
                </c:pt>
                <c:pt idx="114">
                  <c:v>45.75</c:v>
                </c:pt>
                <c:pt idx="115">
                  <c:v>45.75</c:v>
                </c:pt>
                <c:pt idx="116">
                  <c:v>48</c:v>
                </c:pt>
                <c:pt idx="117">
                  <c:v>48</c:v>
                </c:pt>
                <c:pt idx="118">
                  <c:v>48</c:v>
                </c:pt>
                <c:pt idx="119">
                  <c:v>48</c:v>
                </c:pt>
                <c:pt idx="120">
                  <c:v>48</c:v>
                </c:pt>
                <c:pt idx="121">
                  <c:v>48</c:v>
                </c:pt>
                <c:pt idx="122">
                  <c:v>48</c:v>
                </c:pt>
                <c:pt idx="123">
                  <c:v>48</c:v>
                </c:pt>
                <c:pt idx="124">
                  <c:v>48</c:v>
                </c:pt>
                <c:pt idx="125">
                  <c:v>48</c:v>
                </c:pt>
                <c:pt idx="126">
                  <c:v>48</c:v>
                </c:pt>
                <c:pt idx="127">
                  <c:v>45.75</c:v>
                </c:pt>
                <c:pt idx="128">
                  <c:v>45.75</c:v>
                </c:pt>
                <c:pt idx="129">
                  <c:v>45.75</c:v>
                </c:pt>
                <c:pt idx="130">
                  <c:v>45.75</c:v>
                </c:pt>
                <c:pt idx="131">
                  <c:v>48</c:v>
                </c:pt>
                <c:pt idx="132">
                  <c:v>48</c:v>
                </c:pt>
                <c:pt idx="133">
                  <c:v>48</c:v>
                </c:pt>
                <c:pt idx="134">
                  <c:v>48</c:v>
                </c:pt>
                <c:pt idx="135">
                  <c:v>48</c:v>
                </c:pt>
                <c:pt idx="136">
                  <c:v>48</c:v>
                </c:pt>
                <c:pt idx="137">
                  <c:v>48</c:v>
                </c:pt>
                <c:pt idx="138">
                  <c:v>48</c:v>
                </c:pt>
                <c:pt idx="139">
                  <c:v>48</c:v>
                </c:pt>
                <c:pt idx="140">
                  <c:v>48</c:v>
                </c:pt>
                <c:pt idx="141">
                  <c:v>48</c:v>
                </c:pt>
              </c:numCache>
            </c:numRef>
          </c:val>
          <c:smooth val="0"/>
        </c:ser>
        <c:ser>
          <c:idx val="1"/>
          <c:order val="1"/>
          <c:tx>
            <c:strRef>
              <c:f>醬油!$C$2</c:f>
              <c:strCache>
                <c:ptCount val="1"/>
                <c:pt idx="0">
                  <c:v>超市－龜甲萬</c:v>
                </c:pt>
              </c:strCache>
            </c:strRef>
          </c:tx>
          <c:spPr>
            <a:ln w="28575">
              <a:prstDash val="sysDash"/>
              <a:headEnd type="oval" w="med" len="med"/>
              <a:tailEnd type="oval" w="med" len="med"/>
            </a:ln>
          </c:spPr>
          <c:marker>
            <c:symbol val="none"/>
          </c:marker>
          <c:cat>
            <c:strRef>
              <c:f>醬油!$A$32:$A$173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醬油!$C$32:$C$173</c:f>
              <c:numCache>
                <c:formatCode>0.00</c:formatCode>
                <c:ptCount val="142"/>
                <c:pt idx="0">
                  <c:v>47.777777777777779</c:v>
                </c:pt>
                <c:pt idx="1">
                  <c:v>47</c:v>
                </c:pt>
                <c:pt idx="2">
                  <c:v>48.8</c:v>
                </c:pt>
                <c:pt idx="3">
                  <c:v>46.67</c:v>
                </c:pt>
                <c:pt idx="4">
                  <c:v>47</c:v>
                </c:pt>
                <c:pt idx="5">
                  <c:v>46.67</c:v>
                </c:pt>
                <c:pt idx="6">
                  <c:v>47.4</c:v>
                </c:pt>
                <c:pt idx="7">
                  <c:v>48</c:v>
                </c:pt>
                <c:pt idx="8">
                  <c:v>47.6</c:v>
                </c:pt>
                <c:pt idx="9">
                  <c:v>47.916666666666664</c:v>
                </c:pt>
                <c:pt idx="10">
                  <c:v>48.5</c:v>
                </c:pt>
                <c:pt idx="11">
                  <c:v>47.666666666666664</c:v>
                </c:pt>
                <c:pt idx="12">
                  <c:v>47</c:v>
                </c:pt>
                <c:pt idx="13">
                  <c:v>47.833333333333336</c:v>
                </c:pt>
                <c:pt idx="14">
                  <c:v>47.07692307692308</c:v>
                </c:pt>
                <c:pt idx="15">
                  <c:v>48.846153846153847</c:v>
                </c:pt>
                <c:pt idx="16">
                  <c:v>48.363636363636367</c:v>
                </c:pt>
                <c:pt idx="17">
                  <c:v>47.454545454545453</c:v>
                </c:pt>
                <c:pt idx="18">
                  <c:v>49</c:v>
                </c:pt>
                <c:pt idx="19">
                  <c:v>49.153846153846153</c:v>
                </c:pt>
                <c:pt idx="20">
                  <c:v>50</c:v>
                </c:pt>
                <c:pt idx="21">
                  <c:v>49</c:v>
                </c:pt>
                <c:pt idx="22">
                  <c:v>48.53846153846154</c:v>
                </c:pt>
                <c:pt idx="23">
                  <c:v>49.07692307692308</c:v>
                </c:pt>
                <c:pt idx="24">
                  <c:v>48.230769230769234</c:v>
                </c:pt>
                <c:pt idx="25">
                  <c:v>48.615384615384613</c:v>
                </c:pt>
                <c:pt idx="26">
                  <c:v>48.307692307692307</c:v>
                </c:pt>
                <c:pt idx="27">
                  <c:v>48.615384615384613</c:v>
                </c:pt>
                <c:pt idx="28">
                  <c:v>49.083333333333336</c:v>
                </c:pt>
                <c:pt idx="29">
                  <c:v>48.545454545454547</c:v>
                </c:pt>
                <c:pt idx="30">
                  <c:v>47.916666666666664</c:v>
                </c:pt>
                <c:pt idx="31">
                  <c:v>47.833333333333336</c:v>
                </c:pt>
                <c:pt idx="32">
                  <c:v>48.666666666666664</c:v>
                </c:pt>
                <c:pt idx="33">
                  <c:v>48</c:v>
                </c:pt>
                <c:pt idx="34">
                  <c:v>47.916666666666664</c:v>
                </c:pt>
                <c:pt idx="35">
                  <c:v>49.166666666666664</c:v>
                </c:pt>
                <c:pt idx="36">
                  <c:v>49</c:v>
                </c:pt>
                <c:pt idx="37">
                  <c:v>49</c:v>
                </c:pt>
                <c:pt idx="38">
                  <c:v>48.307692307692307</c:v>
                </c:pt>
                <c:pt idx="39">
                  <c:v>48.416666666666664</c:v>
                </c:pt>
                <c:pt idx="40">
                  <c:v>47.75</c:v>
                </c:pt>
                <c:pt idx="41">
                  <c:v>49.166666666666664</c:v>
                </c:pt>
                <c:pt idx="42">
                  <c:v>47.666666666666664</c:v>
                </c:pt>
                <c:pt idx="43">
                  <c:v>48.166666666666664</c:v>
                </c:pt>
                <c:pt idx="44">
                  <c:v>48.18181818181818</c:v>
                </c:pt>
                <c:pt idx="45">
                  <c:v>48.333333333333336</c:v>
                </c:pt>
                <c:pt idx="46">
                  <c:v>48.25</c:v>
                </c:pt>
                <c:pt idx="47">
                  <c:v>44.166666666666664</c:v>
                </c:pt>
                <c:pt idx="48">
                  <c:v>45.625</c:v>
                </c:pt>
                <c:pt idx="49">
                  <c:v>46.5</c:v>
                </c:pt>
                <c:pt idx="50">
                  <c:v>46.916666666666664</c:v>
                </c:pt>
                <c:pt idx="51">
                  <c:v>48.416666666666664</c:v>
                </c:pt>
                <c:pt idx="52">
                  <c:v>48.583333333333336</c:v>
                </c:pt>
                <c:pt idx="53">
                  <c:v>49.083333333333336</c:v>
                </c:pt>
                <c:pt idx="54">
                  <c:v>49.25</c:v>
                </c:pt>
                <c:pt idx="55">
                  <c:v>49.25</c:v>
                </c:pt>
                <c:pt idx="56">
                  <c:v>49.25</c:v>
                </c:pt>
                <c:pt idx="57">
                  <c:v>48.416666666666664</c:v>
                </c:pt>
                <c:pt idx="58">
                  <c:v>48.153846153846153</c:v>
                </c:pt>
                <c:pt idx="59">
                  <c:v>49.090909090909093</c:v>
                </c:pt>
                <c:pt idx="60">
                  <c:v>48.666666666666664</c:v>
                </c:pt>
                <c:pt idx="61">
                  <c:v>48.833333333333336</c:v>
                </c:pt>
                <c:pt idx="62">
                  <c:v>49.25</c:v>
                </c:pt>
                <c:pt idx="63">
                  <c:v>46.5</c:v>
                </c:pt>
                <c:pt idx="64">
                  <c:v>47.571428571428569</c:v>
                </c:pt>
                <c:pt idx="65">
                  <c:v>48.714285714285715</c:v>
                </c:pt>
                <c:pt idx="66">
                  <c:v>48.8</c:v>
                </c:pt>
                <c:pt idx="67">
                  <c:v>47.2</c:v>
                </c:pt>
                <c:pt idx="68">
                  <c:v>47.2</c:v>
                </c:pt>
                <c:pt idx="69">
                  <c:v>48.8</c:v>
                </c:pt>
                <c:pt idx="70">
                  <c:v>48.8</c:v>
                </c:pt>
                <c:pt idx="71">
                  <c:v>47.666666666666664</c:v>
                </c:pt>
                <c:pt idx="72">
                  <c:v>47.666666666666664</c:v>
                </c:pt>
                <c:pt idx="73">
                  <c:v>47.666666666666664</c:v>
                </c:pt>
                <c:pt idx="74">
                  <c:v>46.06666666666667</c:v>
                </c:pt>
                <c:pt idx="75">
                  <c:v>46.06666666666667</c:v>
                </c:pt>
                <c:pt idx="76">
                  <c:v>46.928571428571431</c:v>
                </c:pt>
                <c:pt idx="77">
                  <c:v>46.866666666666667</c:v>
                </c:pt>
                <c:pt idx="78">
                  <c:v>47.133333333333333</c:v>
                </c:pt>
                <c:pt idx="79">
                  <c:v>47.133333333333333</c:v>
                </c:pt>
                <c:pt idx="80">
                  <c:v>47.133333333333333</c:v>
                </c:pt>
                <c:pt idx="81">
                  <c:v>46.6</c:v>
                </c:pt>
                <c:pt idx="82">
                  <c:v>47.928571428571431</c:v>
                </c:pt>
                <c:pt idx="83">
                  <c:v>48.428571428571431</c:v>
                </c:pt>
                <c:pt idx="84">
                  <c:v>47.466666666666669</c:v>
                </c:pt>
                <c:pt idx="85">
                  <c:v>47.8</c:v>
                </c:pt>
                <c:pt idx="86">
                  <c:v>47.642857142857146</c:v>
                </c:pt>
                <c:pt idx="87">
                  <c:v>47.928571428571431</c:v>
                </c:pt>
                <c:pt idx="88">
                  <c:v>46.357142857142854</c:v>
                </c:pt>
                <c:pt idx="89">
                  <c:v>46.357142857142854</c:v>
                </c:pt>
                <c:pt idx="90">
                  <c:v>47.285714285714285</c:v>
                </c:pt>
                <c:pt idx="91">
                  <c:v>46.8</c:v>
                </c:pt>
                <c:pt idx="92">
                  <c:v>47.266666666666666</c:v>
                </c:pt>
                <c:pt idx="93">
                  <c:v>47.866666666666667</c:v>
                </c:pt>
                <c:pt idx="94">
                  <c:v>49.666666666666664</c:v>
                </c:pt>
                <c:pt idx="95">
                  <c:v>47.214285714285715</c:v>
                </c:pt>
                <c:pt idx="96">
                  <c:v>48.071428571428569</c:v>
                </c:pt>
                <c:pt idx="97">
                  <c:v>48.642857142857146</c:v>
                </c:pt>
                <c:pt idx="98">
                  <c:v>45.928571428571431</c:v>
                </c:pt>
                <c:pt idx="99">
                  <c:v>47.357142857142854</c:v>
                </c:pt>
                <c:pt idx="100">
                  <c:v>47.857142857142854</c:v>
                </c:pt>
                <c:pt idx="101">
                  <c:v>47.714285714285715</c:v>
                </c:pt>
                <c:pt idx="102">
                  <c:v>47.866666666666667</c:v>
                </c:pt>
                <c:pt idx="103">
                  <c:v>47.866666666666667</c:v>
                </c:pt>
                <c:pt idx="104">
                  <c:v>46.8</c:v>
                </c:pt>
                <c:pt idx="105">
                  <c:v>46.8</c:v>
                </c:pt>
                <c:pt idx="106">
                  <c:v>47.866666666666667</c:v>
                </c:pt>
                <c:pt idx="107">
                  <c:v>47.571428571428569</c:v>
                </c:pt>
                <c:pt idx="108">
                  <c:v>47.666666666666664</c:v>
                </c:pt>
                <c:pt idx="109">
                  <c:v>47.666666666666664</c:v>
                </c:pt>
                <c:pt idx="110">
                  <c:v>48.214285714285715</c:v>
                </c:pt>
                <c:pt idx="111">
                  <c:v>48.357142857142854</c:v>
                </c:pt>
                <c:pt idx="112">
                  <c:v>48.357142857142854</c:v>
                </c:pt>
                <c:pt idx="113">
                  <c:v>45.266666666666666</c:v>
                </c:pt>
                <c:pt idx="114">
                  <c:v>46.714285714285715</c:v>
                </c:pt>
                <c:pt idx="115">
                  <c:v>47.333333333333336</c:v>
                </c:pt>
                <c:pt idx="116">
                  <c:v>47.866666666666667</c:v>
                </c:pt>
                <c:pt idx="117">
                  <c:v>46.642857142857146</c:v>
                </c:pt>
                <c:pt idx="118">
                  <c:v>47.5</c:v>
                </c:pt>
                <c:pt idx="119">
                  <c:v>48</c:v>
                </c:pt>
                <c:pt idx="120">
                  <c:v>47.4</c:v>
                </c:pt>
                <c:pt idx="121">
                  <c:v>47.714285714285715</c:v>
                </c:pt>
                <c:pt idx="122">
                  <c:v>48.571428571428569</c:v>
                </c:pt>
                <c:pt idx="123">
                  <c:v>48.071428571428569</c:v>
                </c:pt>
                <c:pt idx="124">
                  <c:v>48.571428571428569</c:v>
                </c:pt>
                <c:pt idx="125">
                  <c:v>47.5</c:v>
                </c:pt>
                <c:pt idx="126">
                  <c:v>48</c:v>
                </c:pt>
                <c:pt idx="127">
                  <c:v>47.357142857142854</c:v>
                </c:pt>
                <c:pt idx="128">
                  <c:v>48.357142857142854</c:v>
                </c:pt>
                <c:pt idx="129">
                  <c:v>48.642857142857146</c:v>
                </c:pt>
                <c:pt idx="130">
                  <c:v>47.071428571428569</c:v>
                </c:pt>
                <c:pt idx="131">
                  <c:v>47.071428571428569</c:v>
                </c:pt>
                <c:pt idx="132">
                  <c:v>48.142857142857146</c:v>
                </c:pt>
                <c:pt idx="133">
                  <c:v>48.142857142857146</c:v>
                </c:pt>
                <c:pt idx="134">
                  <c:v>48.285714285714285</c:v>
                </c:pt>
                <c:pt idx="135">
                  <c:v>48.071428571428569</c:v>
                </c:pt>
                <c:pt idx="136">
                  <c:v>47.928571428571431</c:v>
                </c:pt>
                <c:pt idx="137">
                  <c:v>47.5</c:v>
                </c:pt>
                <c:pt idx="138">
                  <c:v>48</c:v>
                </c:pt>
                <c:pt idx="139">
                  <c:v>47.357142857142854</c:v>
                </c:pt>
                <c:pt idx="140">
                  <c:v>49.071428571428569</c:v>
                </c:pt>
                <c:pt idx="141">
                  <c:v>48.5</c:v>
                </c:pt>
              </c:numCache>
            </c:numRef>
          </c:val>
          <c:smooth val="1"/>
        </c:ser>
        <c:ser>
          <c:idx val="2"/>
          <c:order val="2"/>
          <c:tx>
            <c:strRef>
              <c:f>醬油!$E$2</c:f>
              <c:strCache>
                <c:ptCount val="1"/>
                <c:pt idx="0">
                  <c:v>量販店－龜甲萬</c:v>
                </c:pt>
              </c:strCache>
            </c:strRef>
          </c:tx>
          <c:spPr>
            <a:ln>
              <a:headEnd type="oval" w="med" len="med"/>
              <a:tailEnd type="oval" w="med" len="med"/>
            </a:ln>
          </c:spPr>
          <c:marker>
            <c:symbol val="none"/>
          </c:marker>
          <c:cat>
            <c:strRef>
              <c:f>醬油!$A$32:$A$173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醬油!$E$32:$E$173</c:f>
              <c:numCache>
                <c:formatCode>0.00</c:formatCode>
                <c:ptCount val="142"/>
                <c:pt idx="0">
                  <c:v>44.222222222222221</c:v>
                </c:pt>
                <c:pt idx="1">
                  <c:v>44.666666666666664</c:v>
                </c:pt>
                <c:pt idx="2">
                  <c:v>46</c:v>
                </c:pt>
                <c:pt idx="3">
                  <c:v>44.22</c:v>
                </c:pt>
                <c:pt idx="4">
                  <c:v>44.33</c:v>
                </c:pt>
                <c:pt idx="5">
                  <c:v>43</c:v>
                </c:pt>
                <c:pt idx="6">
                  <c:v>44.444444444444443</c:v>
                </c:pt>
                <c:pt idx="7">
                  <c:v>43.222222222222221</c:v>
                </c:pt>
                <c:pt idx="8">
                  <c:v>45.555555555555557</c:v>
                </c:pt>
                <c:pt idx="9">
                  <c:v>44.888888888888886</c:v>
                </c:pt>
                <c:pt idx="10">
                  <c:v>44</c:v>
                </c:pt>
                <c:pt idx="11">
                  <c:v>44.111111111111114</c:v>
                </c:pt>
                <c:pt idx="12">
                  <c:v>45.222222222222221</c:v>
                </c:pt>
                <c:pt idx="13">
                  <c:v>43</c:v>
                </c:pt>
                <c:pt idx="14">
                  <c:v>41.333333333333336</c:v>
                </c:pt>
                <c:pt idx="15">
                  <c:v>41</c:v>
                </c:pt>
                <c:pt idx="16">
                  <c:v>44</c:v>
                </c:pt>
                <c:pt idx="17">
                  <c:v>42.222222222222221</c:v>
                </c:pt>
                <c:pt idx="18">
                  <c:v>42</c:v>
                </c:pt>
                <c:pt idx="19">
                  <c:v>42.5</c:v>
                </c:pt>
                <c:pt idx="20">
                  <c:v>42.1</c:v>
                </c:pt>
                <c:pt idx="21">
                  <c:v>42.1</c:v>
                </c:pt>
                <c:pt idx="22">
                  <c:v>41.6</c:v>
                </c:pt>
                <c:pt idx="23">
                  <c:v>42.7</c:v>
                </c:pt>
                <c:pt idx="24">
                  <c:v>42.7</c:v>
                </c:pt>
                <c:pt idx="25">
                  <c:v>42.5</c:v>
                </c:pt>
                <c:pt idx="26">
                  <c:v>41.7</c:v>
                </c:pt>
                <c:pt idx="27">
                  <c:v>42.1</c:v>
                </c:pt>
                <c:pt idx="28">
                  <c:v>42.090909090909093</c:v>
                </c:pt>
                <c:pt idx="29">
                  <c:v>42.1</c:v>
                </c:pt>
                <c:pt idx="30">
                  <c:v>42.1</c:v>
                </c:pt>
                <c:pt idx="31">
                  <c:v>42.3</c:v>
                </c:pt>
                <c:pt idx="32">
                  <c:v>42.777777777777779</c:v>
                </c:pt>
                <c:pt idx="33">
                  <c:v>42.6</c:v>
                </c:pt>
                <c:pt idx="34">
                  <c:v>43</c:v>
                </c:pt>
                <c:pt idx="35">
                  <c:v>43</c:v>
                </c:pt>
                <c:pt idx="36">
                  <c:v>41</c:v>
                </c:pt>
                <c:pt idx="37">
                  <c:v>41.555555555555557</c:v>
                </c:pt>
                <c:pt idx="38">
                  <c:v>41.888888888888886</c:v>
                </c:pt>
                <c:pt idx="39">
                  <c:v>42.7</c:v>
                </c:pt>
                <c:pt idx="40">
                  <c:v>42.7</c:v>
                </c:pt>
                <c:pt idx="41">
                  <c:v>44.8</c:v>
                </c:pt>
                <c:pt idx="42">
                  <c:v>43.5</c:v>
                </c:pt>
                <c:pt idx="43">
                  <c:v>45</c:v>
                </c:pt>
                <c:pt idx="44">
                  <c:v>44.666666666666664</c:v>
                </c:pt>
                <c:pt idx="45">
                  <c:v>44.8</c:v>
                </c:pt>
                <c:pt idx="46">
                  <c:v>44</c:v>
                </c:pt>
                <c:pt idx="47">
                  <c:v>43.9</c:v>
                </c:pt>
                <c:pt idx="48">
                  <c:v>45.7</c:v>
                </c:pt>
                <c:pt idx="49">
                  <c:v>44.9</c:v>
                </c:pt>
                <c:pt idx="50">
                  <c:v>46.3</c:v>
                </c:pt>
                <c:pt idx="51">
                  <c:v>47.2</c:v>
                </c:pt>
                <c:pt idx="52">
                  <c:v>45.3</c:v>
                </c:pt>
                <c:pt idx="53">
                  <c:v>43.9</c:v>
                </c:pt>
                <c:pt idx="54">
                  <c:v>46.3</c:v>
                </c:pt>
                <c:pt idx="55">
                  <c:v>45.4</c:v>
                </c:pt>
                <c:pt idx="56">
                  <c:v>45.4</c:v>
                </c:pt>
                <c:pt idx="57">
                  <c:v>45.4</c:v>
                </c:pt>
                <c:pt idx="58">
                  <c:v>45.4</c:v>
                </c:pt>
                <c:pt idx="59">
                  <c:v>46.1</c:v>
                </c:pt>
                <c:pt idx="60">
                  <c:v>45.4</c:v>
                </c:pt>
                <c:pt idx="61">
                  <c:v>44</c:v>
                </c:pt>
                <c:pt idx="62">
                  <c:v>42.9</c:v>
                </c:pt>
                <c:pt idx="63">
                  <c:v>44.555555555555557</c:v>
                </c:pt>
                <c:pt idx="64">
                  <c:v>45.4</c:v>
                </c:pt>
                <c:pt idx="65">
                  <c:v>45.4</c:v>
                </c:pt>
                <c:pt idx="66">
                  <c:v>45.4</c:v>
                </c:pt>
                <c:pt idx="67">
                  <c:v>45.333333333333336</c:v>
                </c:pt>
                <c:pt idx="68">
                  <c:v>45.4</c:v>
                </c:pt>
                <c:pt idx="69">
                  <c:v>45.4</c:v>
                </c:pt>
                <c:pt idx="70">
                  <c:v>45.4</c:v>
                </c:pt>
                <c:pt idx="71">
                  <c:v>45.4</c:v>
                </c:pt>
                <c:pt idx="72">
                  <c:v>45.222222222222221</c:v>
                </c:pt>
                <c:pt idx="73">
                  <c:v>44</c:v>
                </c:pt>
                <c:pt idx="74">
                  <c:v>44.3</c:v>
                </c:pt>
                <c:pt idx="75">
                  <c:v>44.3</c:v>
                </c:pt>
                <c:pt idx="76">
                  <c:v>43.777777777777779</c:v>
                </c:pt>
                <c:pt idx="77">
                  <c:v>44.2</c:v>
                </c:pt>
                <c:pt idx="78">
                  <c:v>43.5</c:v>
                </c:pt>
                <c:pt idx="79">
                  <c:v>44.1</c:v>
                </c:pt>
                <c:pt idx="80">
                  <c:v>42.2</c:v>
                </c:pt>
                <c:pt idx="81">
                  <c:v>42.6</c:v>
                </c:pt>
                <c:pt idx="82">
                  <c:v>43</c:v>
                </c:pt>
                <c:pt idx="83">
                  <c:v>43</c:v>
                </c:pt>
                <c:pt idx="84">
                  <c:v>45.1</c:v>
                </c:pt>
                <c:pt idx="85">
                  <c:v>44.7</c:v>
                </c:pt>
                <c:pt idx="86">
                  <c:v>42</c:v>
                </c:pt>
                <c:pt idx="87">
                  <c:v>42.7</c:v>
                </c:pt>
                <c:pt idx="88">
                  <c:v>42.3</c:v>
                </c:pt>
                <c:pt idx="89">
                  <c:v>41.7</c:v>
                </c:pt>
                <c:pt idx="90">
                  <c:v>42.555555555555557</c:v>
                </c:pt>
                <c:pt idx="91">
                  <c:v>43</c:v>
                </c:pt>
                <c:pt idx="92">
                  <c:v>41.111111111111114</c:v>
                </c:pt>
                <c:pt idx="93">
                  <c:v>41.666666666666664</c:v>
                </c:pt>
                <c:pt idx="94">
                  <c:v>42</c:v>
                </c:pt>
                <c:pt idx="95">
                  <c:v>43.3</c:v>
                </c:pt>
                <c:pt idx="96">
                  <c:v>41.8</c:v>
                </c:pt>
                <c:pt idx="97">
                  <c:v>43.3</c:v>
                </c:pt>
                <c:pt idx="98">
                  <c:v>44.3</c:v>
                </c:pt>
                <c:pt idx="99">
                  <c:v>44.5</c:v>
                </c:pt>
                <c:pt idx="100">
                  <c:v>45.3</c:v>
                </c:pt>
                <c:pt idx="101">
                  <c:v>44.8</c:v>
                </c:pt>
                <c:pt idx="102">
                  <c:v>46</c:v>
                </c:pt>
                <c:pt idx="103">
                  <c:v>44</c:v>
                </c:pt>
                <c:pt idx="104">
                  <c:v>43.375</c:v>
                </c:pt>
                <c:pt idx="105">
                  <c:v>46</c:v>
                </c:pt>
                <c:pt idx="106">
                  <c:v>44</c:v>
                </c:pt>
                <c:pt idx="107">
                  <c:v>44.5</c:v>
                </c:pt>
                <c:pt idx="108">
                  <c:v>44</c:v>
                </c:pt>
                <c:pt idx="109">
                  <c:v>42</c:v>
                </c:pt>
                <c:pt idx="110">
                  <c:v>42.5</c:v>
                </c:pt>
                <c:pt idx="111">
                  <c:v>44.375</c:v>
                </c:pt>
                <c:pt idx="112">
                  <c:v>43.625</c:v>
                </c:pt>
                <c:pt idx="113">
                  <c:v>39.75</c:v>
                </c:pt>
                <c:pt idx="114">
                  <c:v>43.5</c:v>
                </c:pt>
                <c:pt idx="115">
                  <c:v>41.25</c:v>
                </c:pt>
                <c:pt idx="116">
                  <c:v>42.75</c:v>
                </c:pt>
                <c:pt idx="117">
                  <c:v>41.125</c:v>
                </c:pt>
                <c:pt idx="118">
                  <c:v>45.5</c:v>
                </c:pt>
                <c:pt idx="119">
                  <c:v>43.625</c:v>
                </c:pt>
                <c:pt idx="120">
                  <c:v>44.5</c:v>
                </c:pt>
                <c:pt idx="121">
                  <c:v>44.25</c:v>
                </c:pt>
                <c:pt idx="122">
                  <c:v>44.636363636363633</c:v>
                </c:pt>
                <c:pt idx="123">
                  <c:v>44.272727272727273</c:v>
                </c:pt>
                <c:pt idx="124">
                  <c:v>45.454545454545453</c:v>
                </c:pt>
                <c:pt idx="125">
                  <c:v>45.545454545454547</c:v>
                </c:pt>
                <c:pt idx="126">
                  <c:v>45.18181818181818</c:v>
                </c:pt>
                <c:pt idx="127">
                  <c:v>44.18181818181818</c:v>
                </c:pt>
                <c:pt idx="128">
                  <c:v>44</c:v>
                </c:pt>
                <c:pt idx="129">
                  <c:v>44.7</c:v>
                </c:pt>
                <c:pt idx="130">
                  <c:v>44.7</c:v>
                </c:pt>
                <c:pt idx="131">
                  <c:v>44.7</c:v>
                </c:pt>
                <c:pt idx="132">
                  <c:v>44.7</c:v>
                </c:pt>
                <c:pt idx="133">
                  <c:v>44.8</c:v>
                </c:pt>
                <c:pt idx="134">
                  <c:v>44.6</c:v>
                </c:pt>
                <c:pt idx="135">
                  <c:v>44.7</c:v>
                </c:pt>
                <c:pt idx="136">
                  <c:v>44.888888888888886</c:v>
                </c:pt>
                <c:pt idx="137">
                  <c:v>45</c:v>
                </c:pt>
                <c:pt idx="138">
                  <c:v>44.1</c:v>
                </c:pt>
                <c:pt idx="139">
                  <c:v>45</c:v>
                </c:pt>
                <c:pt idx="140">
                  <c:v>44.333333333333336</c:v>
                </c:pt>
                <c:pt idx="141">
                  <c:v>44.444444444444443</c:v>
                </c:pt>
              </c:numCache>
            </c:numRef>
          </c:val>
          <c:smooth val="1"/>
        </c:ser>
        <c:dLbls>
          <c:showLegendKey val="0"/>
          <c:showVal val="0"/>
          <c:showCatName val="0"/>
          <c:showSerName val="0"/>
          <c:showPercent val="0"/>
          <c:showBubbleSize val="0"/>
        </c:dLbls>
        <c:marker val="1"/>
        <c:smooth val="0"/>
        <c:axId val="275112704"/>
        <c:axId val="275114240"/>
      </c:lineChart>
      <c:catAx>
        <c:axId val="275112704"/>
        <c:scaling>
          <c:orientation val="minMax"/>
        </c:scaling>
        <c:delete val="0"/>
        <c:axPos val="b"/>
        <c:numFmt formatCode="General" sourceLinked="1"/>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5114240"/>
        <c:crosses val="autoZero"/>
        <c:auto val="1"/>
        <c:lblAlgn val="ctr"/>
        <c:lblOffset val="100"/>
        <c:tickLblSkip val="5"/>
        <c:noMultiLvlLbl val="1"/>
      </c:catAx>
      <c:valAx>
        <c:axId val="275114240"/>
        <c:scaling>
          <c:orientation val="minMax"/>
          <c:max val="51"/>
          <c:min val="39"/>
        </c:scaling>
        <c:delete val="0"/>
        <c:axPos val="l"/>
        <c:numFmt formatCode="0.00" sourceLinked="1"/>
        <c:majorTickMark val="out"/>
        <c:minorTickMark val="none"/>
        <c:tickLblPos val="nextTo"/>
        <c:txPr>
          <a:bodyPr/>
          <a:lstStyle/>
          <a:p>
            <a:pPr>
              <a:defRPr>
                <a:latin typeface="Times New Roman" pitchFamily="18" charset="0"/>
                <a:cs typeface="Times New Roman" pitchFamily="18" charset="0"/>
              </a:defRPr>
            </a:pPr>
            <a:endParaRPr lang="zh-TW"/>
          </a:p>
        </c:txPr>
        <c:crossAx val="275112704"/>
        <c:crosses val="autoZero"/>
        <c:crossBetween val="between"/>
      </c:valAx>
      <c:spPr>
        <a:noFill/>
        <a:ln w="25400">
          <a:noFill/>
        </a:ln>
      </c:spPr>
    </c:plotArea>
    <c:legend>
      <c:legendPos val="r"/>
      <c:layout>
        <c:manualLayout>
          <c:xMode val="edge"/>
          <c:yMode val="edge"/>
          <c:x val="0.12430084146377286"/>
          <c:y val="3.0728254561701734E-2"/>
          <c:w val="0.83566545151151717"/>
          <c:h val="0.10588322985306595"/>
        </c:manualLayout>
      </c:layout>
      <c:overlay val="0"/>
      <c:txPr>
        <a:bodyPr/>
        <a:lstStyle/>
        <a:p>
          <a:pPr>
            <a:defRPr sz="110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w="9525">
      <a:noFill/>
    </a:ln>
  </c:sp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5.8984940203466292E-2"/>
          <c:y val="8.3392873797195066E-2"/>
          <c:w val="0.91079304006318951"/>
          <c:h val="0.81373869807363786"/>
        </c:manualLayout>
      </c:layout>
      <c:lineChart>
        <c:grouping val="standard"/>
        <c:varyColors val="0"/>
        <c:ser>
          <c:idx val="4"/>
          <c:order val="0"/>
          <c:tx>
            <c:strRef>
              <c:f>醬油!$D$2</c:f>
              <c:strCache>
                <c:ptCount val="1"/>
                <c:pt idx="0">
                  <c:v>超市－金蘭</c:v>
                </c:pt>
              </c:strCache>
            </c:strRef>
          </c:tx>
          <c:spPr>
            <a:ln>
              <a:prstDash val="sysDot"/>
            </a:ln>
          </c:spPr>
          <c:marker>
            <c:symbol val="none"/>
          </c:marker>
          <c:cat>
            <c:strRef>
              <c:f>醬油!$A$32:$A$173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醬油!$D$32:$D$173</c:f>
              <c:numCache>
                <c:formatCode>0.00</c:formatCode>
                <c:ptCount val="142"/>
                <c:pt idx="0">
                  <c:v>54.428571428571431</c:v>
                </c:pt>
                <c:pt idx="1">
                  <c:v>54.714285714285715</c:v>
                </c:pt>
                <c:pt idx="2">
                  <c:v>55.25</c:v>
                </c:pt>
                <c:pt idx="3">
                  <c:v>53</c:v>
                </c:pt>
                <c:pt idx="4">
                  <c:v>51.5</c:v>
                </c:pt>
                <c:pt idx="5">
                  <c:v>55</c:v>
                </c:pt>
                <c:pt idx="6">
                  <c:v>56.857142857142854</c:v>
                </c:pt>
                <c:pt idx="7">
                  <c:v>57.777777777777779</c:v>
                </c:pt>
                <c:pt idx="8">
                  <c:v>56.666666666666664</c:v>
                </c:pt>
                <c:pt idx="9">
                  <c:v>57</c:v>
                </c:pt>
                <c:pt idx="10">
                  <c:v>57.777777777777779</c:v>
                </c:pt>
                <c:pt idx="11">
                  <c:v>57</c:v>
                </c:pt>
                <c:pt idx="12">
                  <c:v>57.777777777777779</c:v>
                </c:pt>
                <c:pt idx="13">
                  <c:v>56.454545454545453</c:v>
                </c:pt>
                <c:pt idx="14">
                  <c:v>55.9</c:v>
                </c:pt>
                <c:pt idx="15">
                  <c:v>55.555555555555557</c:v>
                </c:pt>
                <c:pt idx="16">
                  <c:v>55.875</c:v>
                </c:pt>
                <c:pt idx="17">
                  <c:v>56.18181818181818</c:v>
                </c:pt>
                <c:pt idx="18">
                  <c:v>56.18181818181818</c:v>
                </c:pt>
                <c:pt idx="19">
                  <c:v>56.454545454545453</c:v>
                </c:pt>
                <c:pt idx="20">
                  <c:v>55.545454545454547</c:v>
                </c:pt>
                <c:pt idx="21">
                  <c:v>56</c:v>
                </c:pt>
                <c:pt idx="22">
                  <c:v>55.909090909090907</c:v>
                </c:pt>
                <c:pt idx="23">
                  <c:v>56.81818181818182</c:v>
                </c:pt>
                <c:pt idx="24">
                  <c:v>56.81818181818182</c:v>
                </c:pt>
                <c:pt idx="25">
                  <c:v>58</c:v>
                </c:pt>
                <c:pt idx="26">
                  <c:v>56.6</c:v>
                </c:pt>
                <c:pt idx="27">
                  <c:v>56.18181818181818</c:v>
                </c:pt>
                <c:pt idx="28">
                  <c:v>56.6</c:v>
                </c:pt>
                <c:pt idx="29">
                  <c:v>56.18181818181818</c:v>
                </c:pt>
                <c:pt idx="30">
                  <c:v>56.5</c:v>
                </c:pt>
                <c:pt idx="31">
                  <c:v>55.1</c:v>
                </c:pt>
                <c:pt idx="32">
                  <c:v>56.7</c:v>
                </c:pt>
                <c:pt idx="33">
                  <c:v>56</c:v>
                </c:pt>
                <c:pt idx="34">
                  <c:v>56.777777777777779</c:v>
                </c:pt>
                <c:pt idx="35">
                  <c:v>56.8</c:v>
                </c:pt>
                <c:pt idx="36">
                  <c:v>56.8</c:v>
                </c:pt>
                <c:pt idx="37">
                  <c:v>56.2</c:v>
                </c:pt>
                <c:pt idx="38">
                  <c:v>56.2</c:v>
                </c:pt>
                <c:pt idx="39">
                  <c:v>57</c:v>
                </c:pt>
                <c:pt idx="40">
                  <c:v>57</c:v>
                </c:pt>
                <c:pt idx="41">
                  <c:v>56.090909090909093</c:v>
                </c:pt>
                <c:pt idx="42">
                  <c:v>56.090909090909093</c:v>
                </c:pt>
                <c:pt idx="43">
                  <c:v>56.636363636363633</c:v>
                </c:pt>
                <c:pt idx="44">
                  <c:v>56.083333333333336</c:v>
                </c:pt>
                <c:pt idx="45">
                  <c:v>56.25</c:v>
                </c:pt>
                <c:pt idx="46">
                  <c:v>56.166666666666664</c:v>
                </c:pt>
                <c:pt idx="47">
                  <c:v>56</c:v>
                </c:pt>
                <c:pt idx="48">
                  <c:v>56</c:v>
                </c:pt>
                <c:pt idx="49">
                  <c:v>56</c:v>
                </c:pt>
                <c:pt idx="50">
                  <c:v>56.454545454545453</c:v>
                </c:pt>
                <c:pt idx="51">
                  <c:v>56.833333333333336</c:v>
                </c:pt>
                <c:pt idx="52">
                  <c:v>55.666666666666664</c:v>
                </c:pt>
                <c:pt idx="53">
                  <c:v>54.777777777777779</c:v>
                </c:pt>
                <c:pt idx="54">
                  <c:v>54.777777777777779</c:v>
                </c:pt>
                <c:pt idx="55">
                  <c:v>54.666666666666664</c:v>
                </c:pt>
                <c:pt idx="56">
                  <c:v>55.625</c:v>
                </c:pt>
                <c:pt idx="57">
                  <c:v>55.625</c:v>
                </c:pt>
                <c:pt idx="58">
                  <c:v>55.75</c:v>
                </c:pt>
                <c:pt idx="59">
                  <c:v>55.333333333333336</c:v>
                </c:pt>
                <c:pt idx="60">
                  <c:v>55.333333333333336</c:v>
                </c:pt>
                <c:pt idx="61">
                  <c:v>55.666666666666664</c:v>
                </c:pt>
                <c:pt idx="62">
                  <c:v>55.666666666666664</c:v>
                </c:pt>
                <c:pt idx="63">
                  <c:v>55.333333333333336</c:v>
                </c:pt>
                <c:pt idx="64">
                  <c:v>56.4375</c:v>
                </c:pt>
                <c:pt idx="65">
                  <c:v>55.8</c:v>
                </c:pt>
                <c:pt idx="66">
                  <c:v>54.9375</c:v>
                </c:pt>
                <c:pt idx="67">
                  <c:v>56.375</c:v>
                </c:pt>
                <c:pt idx="68">
                  <c:v>56.25</c:v>
                </c:pt>
                <c:pt idx="69">
                  <c:v>56.625</c:v>
                </c:pt>
                <c:pt idx="70">
                  <c:v>57.5625</c:v>
                </c:pt>
                <c:pt idx="71">
                  <c:v>58</c:v>
                </c:pt>
                <c:pt idx="72">
                  <c:v>58</c:v>
                </c:pt>
                <c:pt idx="73">
                  <c:v>56.875</c:v>
                </c:pt>
                <c:pt idx="74">
                  <c:v>57.75</c:v>
                </c:pt>
                <c:pt idx="75">
                  <c:v>57.8125</c:v>
                </c:pt>
                <c:pt idx="76">
                  <c:v>58</c:v>
                </c:pt>
                <c:pt idx="77">
                  <c:v>58</c:v>
                </c:pt>
                <c:pt idx="78">
                  <c:v>57.5</c:v>
                </c:pt>
                <c:pt idx="79">
                  <c:v>57.9375</c:v>
                </c:pt>
                <c:pt idx="80">
                  <c:v>57.875</c:v>
                </c:pt>
                <c:pt idx="81">
                  <c:v>58.125</c:v>
                </c:pt>
                <c:pt idx="82">
                  <c:v>57.6875</c:v>
                </c:pt>
                <c:pt idx="83">
                  <c:v>56.375</c:v>
                </c:pt>
                <c:pt idx="84">
                  <c:v>56.375</c:v>
                </c:pt>
                <c:pt idx="85">
                  <c:v>55.8125</c:v>
                </c:pt>
                <c:pt idx="86">
                  <c:v>57.3125</c:v>
                </c:pt>
                <c:pt idx="87">
                  <c:v>56.96875</c:v>
                </c:pt>
                <c:pt idx="88">
                  <c:v>58.5</c:v>
                </c:pt>
                <c:pt idx="89">
                  <c:v>57.357142857142854</c:v>
                </c:pt>
                <c:pt idx="90">
                  <c:v>57.642857142857146</c:v>
                </c:pt>
                <c:pt idx="91">
                  <c:v>57.785714285714285</c:v>
                </c:pt>
                <c:pt idx="92">
                  <c:v>58.53846153846154</c:v>
                </c:pt>
                <c:pt idx="93">
                  <c:v>57.692307692307693</c:v>
                </c:pt>
                <c:pt idx="94">
                  <c:v>58.153846153846153</c:v>
                </c:pt>
                <c:pt idx="95">
                  <c:v>55.92307692307692</c:v>
                </c:pt>
                <c:pt idx="96">
                  <c:v>56.153846153846153</c:v>
                </c:pt>
                <c:pt idx="97">
                  <c:v>57.583333333333336</c:v>
                </c:pt>
                <c:pt idx="98">
                  <c:v>56.333333333333336</c:v>
                </c:pt>
                <c:pt idx="99">
                  <c:v>56.666666666666664</c:v>
                </c:pt>
                <c:pt idx="100">
                  <c:v>56.666666666666664</c:v>
                </c:pt>
                <c:pt idx="101">
                  <c:v>57.166666666666664</c:v>
                </c:pt>
                <c:pt idx="102">
                  <c:v>57.75</c:v>
                </c:pt>
                <c:pt idx="103">
                  <c:v>57.75</c:v>
                </c:pt>
                <c:pt idx="104">
                  <c:v>56.75</c:v>
                </c:pt>
                <c:pt idx="105">
                  <c:v>57.333333333333336</c:v>
                </c:pt>
                <c:pt idx="106">
                  <c:v>57.083333333333336</c:v>
                </c:pt>
                <c:pt idx="107">
                  <c:v>55.166666666666664</c:v>
                </c:pt>
                <c:pt idx="108">
                  <c:v>56.583333333333336</c:v>
                </c:pt>
                <c:pt idx="109">
                  <c:v>56.583333333333336</c:v>
                </c:pt>
                <c:pt idx="110">
                  <c:v>57.916666666666664</c:v>
                </c:pt>
                <c:pt idx="111">
                  <c:v>57.916666666666664</c:v>
                </c:pt>
                <c:pt idx="112">
                  <c:v>57.916666666666664</c:v>
                </c:pt>
                <c:pt idx="113">
                  <c:v>57.166666666666664</c:v>
                </c:pt>
                <c:pt idx="114">
                  <c:v>57.166666666666664</c:v>
                </c:pt>
                <c:pt idx="115">
                  <c:v>55.083333333333336</c:v>
                </c:pt>
                <c:pt idx="116">
                  <c:v>56.25</c:v>
                </c:pt>
                <c:pt idx="117">
                  <c:v>57.75</c:v>
                </c:pt>
                <c:pt idx="118">
                  <c:v>57.75</c:v>
                </c:pt>
                <c:pt idx="119">
                  <c:v>56.5</c:v>
                </c:pt>
                <c:pt idx="120">
                  <c:v>57.041666666666664</c:v>
                </c:pt>
                <c:pt idx="121">
                  <c:v>56.375</c:v>
                </c:pt>
                <c:pt idx="122">
                  <c:v>58.857142857142854</c:v>
                </c:pt>
                <c:pt idx="123">
                  <c:v>57.857142857142854</c:v>
                </c:pt>
                <c:pt idx="124">
                  <c:v>57.785714285714285</c:v>
                </c:pt>
                <c:pt idx="125">
                  <c:v>59.071428571428569</c:v>
                </c:pt>
                <c:pt idx="126">
                  <c:v>59.071428571428569</c:v>
                </c:pt>
                <c:pt idx="127">
                  <c:v>60.357142857142854</c:v>
                </c:pt>
                <c:pt idx="128">
                  <c:v>58.857142857142854</c:v>
                </c:pt>
                <c:pt idx="129">
                  <c:v>61.071428571428569</c:v>
                </c:pt>
                <c:pt idx="130">
                  <c:v>59.928571428571431</c:v>
                </c:pt>
                <c:pt idx="131">
                  <c:v>61.071428571428569</c:v>
                </c:pt>
                <c:pt idx="132">
                  <c:v>61.571428571428569</c:v>
                </c:pt>
                <c:pt idx="133">
                  <c:v>62.857142857142854</c:v>
                </c:pt>
                <c:pt idx="134">
                  <c:v>61</c:v>
                </c:pt>
                <c:pt idx="135">
                  <c:v>59.928571428571431</c:v>
                </c:pt>
                <c:pt idx="136">
                  <c:v>60.384615384615387</c:v>
                </c:pt>
                <c:pt idx="137">
                  <c:v>61.642857142857146</c:v>
                </c:pt>
                <c:pt idx="138">
                  <c:v>59.92307692307692</c:v>
                </c:pt>
                <c:pt idx="139">
                  <c:v>60.214285714285715</c:v>
                </c:pt>
                <c:pt idx="140">
                  <c:v>62.571428571428569</c:v>
                </c:pt>
                <c:pt idx="141">
                  <c:v>62.214285714285715</c:v>
                </c:pt>
              </c:numCache>
            </c:numRef>
          </c:val>
          <c:smooth val="0"/>
        </c:ser>
        <c:ser>
          <c:idx val="5"/>
          <c:order val="1"/>
          <c:tx>
            <c:strRef>
              <c:f>醬油!$F$2</c:f>
              <c:strCache>
                <c:ptCount val="1"/>
                <c:pt idx="0">
                  <c:v>量販店－金蘭</c:v>
                </c:pt>
              </c:strCache>
            </c:strRef>
          </c:tx>
          <c:marker>
            <c:symbol val="none"/>
          </c:marker>
          <c:cat>
            <c:strRef>
              <c:f>醬油!$A$32:$A$173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醬油!$F$32:$F$173</c:f>
              <c:numCache>
                <c:formatCode>0.00</c:formatCode>
                <c:ptCount val="142"/>
                <c:pt idx="0">
                  <c:v>51.714285714285715</c:v>
                </c:pt>
                <c:pt idx="1">
                  <c:v>52.571428571428569</c:v>
                </c:pt>
                <c:pt idx="2">
                  <c:v>52.14</c:v>
                </c:pt>
                <c:pt idx="3">
                  <c:v>51.14</c:v>
                </c:pt>
                <c:pt idx="4">
                  <c:v>51.29</c:v>
                </c:pt>
                <c:pt idx="5">
                  <c:v>51.14</c:v>
                </c:pt>
                <c:pt idx="6">
                  <c:v>51.571428571428569</c:v>
                </c:pt>
                <c:pt idx="7">
                  <c:v>51.571428571428569</c:v>
                </c:pt>
                <c:pt idx="8">
                  <c:v>51.571428571428569</c:v>
                </c:pt>
                <c:pt idx="9">
                  <c:v>51.142857142857146</c:v>
                </c:pt>
                <c:pt idx="10">
                  <c:v>51.142857142857146</c:v>
                </c:pt>
                <c:pt idx="11">
                  <c:v>51.25</c:v>
                </c:pt>
                <c:pt idx="12">
                  <c:v>50.75</c:v>
                </c:pt>
                <c:pt idx="13">
                  <c:v>51.428571428571431</c:v>
                </c:pt>
                <c:pt idx="14">
                  <c:v>51.428571428571431</c:v>
                </c:pt>
                <c:pt idx="15">
                  <c:v>51.428571428571431</c:v>
                </c:pt>
                <c:pt idx="16">
                  <c:v>51.2</c:v>
                </c:pt>
                <c:pt idx="17">
                  <c:v>50.714285714285715</c:v>
                </c:pt>
                <c:pt idx="18">
                  <c:v>50.285714285714285</c:v>
                </c:pt>
                <c:pt idx="19">
                  <c:v>51</c:v>
                </c:pt>
                <c:pt idx="20">
                  <c:v>50.714285714285715</c:v>
                </c:pt>
                <c:pt idx="21">
                  <c:v>51.142857142857146</c:v>
                </c:pt>
                <c:pt idx="22">
                  <c:v>51.285714285714285</c:v>
                </c:pt>
                <c:pt idx="23">
                  <c:v>52.142857142857146</c:v>
                </c:pt>
                <c:pt idx="24">
                  <c:v>52.142857142857146</c:v>
                </c:pt>
                <c:pt idx="25">
                  <c:v>51.857142857142854</c:v>
                </c:pt>
                <c:pt idx="26">
                  <c:v>51.857142857142854</c:v>
                </c:pt>
                <c:pt idx="27">
                  <c:v>51</c:v>
                </c:pt>
                <c:pt idx="28">
                  <c:v>50.25</c:v>
                </c:pt>
                <c:pt idx="29">
                  <c:v>49.875</c:v>
                </c:pt>
                <c:pt idx="30">
                  <c:v>50.125</c:v>
                </c:pt>
                <c:pt idx="31">
                  <c:v>52.5</c:v>
                </c:pt>
                <c:pt idx="32">
                  <c:v>53.714285714285715</c:v>
                </c:pt>
                <c:pt idx="33">
                  <c:v>54.375</c:v>
                </c:pt>
                <c:pt idx="34">
                  <c:v>52.857142857142854</c:v>
                </c:pt>
                <c:pt idx="35">
                  <c:v>53.5</c:v>
                </c:pt>
                <c:pt idx="36">
                  <c:v>54.25</c:v>
                </c:pt>
                <c:pt idx="37">
                  <c:v>55</c:v>
                </c:pt>
                <c:pt idx="38">
                  <c:v>53.625</c:v>
                </c:pt>
                <c:pt idx="39">
                  <c:v>53.875</c:v>
                </c:pt>
                <c:pt idx="40">
                  <c:v>51.25</c:v>
                </c:pt>
                <c:pt idx="41">
                  <c:v>54.25</c:v>
                </c:pt>
                <c:pt idx="42">
                  <c:v>54.25</c:v>
                </c:pt>
                <c:pt idx="43">
                  <c:v>56.625</c:v>
                </c:pt>
                <c:pt idx="44">
                  <c:v>56.375</c:v>
                </c:pt>
                <c:pt idx="45">
                  <c:v>55.875</c:v>
                </c:pt>
                <c:pt idx="46">
                  <c:v>56.25</c:v>
                </c:pt>
                <c:pt idx="47">
                  <c:v>57.125</c:v>
                </c:pt>
                <c:pt idx="48">
                  <c:v>56.375</c:v>
                </c:pt>
                <c:pt idx="49">
                  <c:v>56.375</c:v>
                </c:pt>
                <c:pt idx="50">
                  <c:v>56.5</c:v>
                </c:pt>
                <c:pt idx="51">
                  <c:v>54.375</c:v>
                </c:pt>
                <c:pt idx="52">
                  <c:v>57.875</c:v>
                </c:pt>
                <c:pt idx="53">
                  <c:v>56.375</c:v>
                </c:pt>
                <c:pt idx="54">
                  <c:v>56.375</c:v>
                </c:pt>
                <c:pt idx="55">
                  <c:v>53.875</c:v>
                </c:pt>
                <c:pt idx="56">
                  <c:v>53.875</c:v>
                </c:pt>
                <c:pt idx="57">
                  <c:v>58.5</c:v>
                </c:pt>
                <c:pt idx="58">
                  <c:v>52.125</c:v>
                </c:pt>
                <c:pt idx="59">
                  <c:v>53.25</c:v>
                </c:pt>
                <c:pt idx="60">
                  <c:v>57.125</c:v>
                </c:pt>
                <c:pt idx="61">
                  <c:v>57.875</c:v>
                </c:pt>
                <c:pt idx="62">
                  <c:v>57.875</c:v>
                </c:pt>
                <c:pt idx="63">
                  <c:v>57.25</c:v>
                </c:pt>
                <c:pt idx="64">
                  <c:v>56.888888888888886</c:v>
                </c:pt>
                <c:pt idx="65">
                  <c:v>58.222222222222221</c:v>
                </c:pt>
                <c:pt idx="66">
                  <c:v>54.111111111111114</c:v>
                </c:pt>
                <c:pt idx="67">
                  <c:v>54.75</c:v>
                </c:pt>
                <c:pt idx="68">
                  <c:v>58.666670000000003</c:v>
                </c:pt>
                <c:pt idx="69">
                  <c:v>58.666666666666664</c:v>
                </c:pt>
                <c:pt idx="70">
                  <c:v>58.666666666666664</c:v>
                </c:pt>
                <c:pt idx="71">
                  <c:v>57.555555555555557</c:v>
                </c:pt>
                <c:pt idx="72">
                  <c:v>58.666666666666664</c:v>
                </c:pt>
                <c:pt idx="73">
                  <c:v>58.666666666666664</c:v>
                </c:pt>
                <c:pt idx="74">
                  <c:v>58.666666666666664</c:v>
                </c:pt>
                <c:pt idx="75">
                  <c:v>57.888888888888886</c:v>
                </c:pt>
                <c:pt idx="76">
                  <c:v>58.666666666666664</c:v>
                </c:pt>
                <c:pt idx="77">
                  <c:v>58.111111111111114</c:v>
                </c:pt>
                <c:pt idx="78">
                  <c:v>55.111111111111114</c:v>
                </c:pt>
                <c:pt idx="79">
                  <c:v>53.888888888888886</c:v>
                </c:pt>
                <c:pt idx="80">
                  <c:v>52.111111111111114</c:v>
                </c:pt>
                <c:pt idx="81">
                  <c:v>52.111111111111114</c:v>
                </c:pt>
                <c:pt idx="82">
                  <c:v>49.555555555555557</c:v>
                </c:pt>
                <c:pt idx="83">
                  <c:v>50.555555555555557</c:v>
                </c:pt>
                <c:pt idx="84">
                  <c:v>53.111111111111114</c:v>
                </c:pt>
                <c:pt idx="85">
                  <c:v>53.555555555555557</c:v>
                </c:pt>
                <c:pt idx="86">
                  <c:v>53.888888888888886</c:v>
                </c:pt>
                <c:pt idx="87">
                  <c:v>53.888888888888886</c:v>
                </c:pt>
                <c:pt idx="88">
                  <c:v>55</c:v>
                </c:pt>
                <c:pt idx="89">
                  <c:v>53</c:v>
                </c:pt>
                <c:pt idx="90">
                  <c:v>51.888888888888886</c:v>
                </c:pt>
                <c:pt idx="91">
                  <c:v>52.888888888888886</c:v>
                </c:pt>
                <c:pt idx="92">
                  <c:v>54.222222222222221</c:v>
                </c:pt>
                <c:pt idx="93">
                  <c:v>54.777777777777779</c:v>
                </c:pt>
                <c:pt idx="94">
                  <c:v>53.888888888888886</c:v>
                </c:pt>
                <c:pt idx="95">
                  <c:v>55.222222222222221</c:v>
                </c:pt>
                <c:pt idx="96">
                  <c:v>52.222222222222221</c:v>
                </c:pt>
                <c:pt idx="97">
                  <c:v>54.666666666666664</c:v>
                </c:pt>
                <c:pt idx="98">
                  <c:v>57.5</c:v>
                </c:pt>
                <c:pt idx="99">
                  <c:v>55.7</c:v>
                </c:pt>
                <c:pt idx="100">
                  <c:v>54.888888888888886</c:v>
                </c:pt>
                <c:pt idx="101">
                  <c:v>57.444444444444443</c:v>
                </c:pt>
                <c:pt idx="102">
                  <c:v>56.2</c:v>
                </c:pt>
                <c:pt idx="103">
                  <c:v>57.7</c:v>
                </c:pt>
                <c:pt idx="104">
                  <c:v>57.6</c:v>
                </c:pt>
                <c:pt idx="105">
                  <c:v>58.3</c:v>
                </c:pt>
                <c:pt idx="106">
                  <c:v>56.6</c:v>
                </c:pt>
                <c:pt idx="107">
                  <c:v>55.636363636363633</c:v>
                </c:pt>
                <c:pt idx="108">
                  <c:v>56.5</c:v>
                </c:pt>
                <c:pt idx="109">
                  <c:v>54.81818181818182</c:v>
                </c:pt>
                <c:pt idx="110">
                  <c:v>53.9</c:v>
                </c:pt>
                <c:pt idx="111">
                  <c:v>53.7</c:v>
                </c:pt>
                <c:pt idx="112">
                  <c:v>54</c:v>
                </c:pt>
                <c:pt idx="113">
                  <c:v>52.81818181818182</c:v>
                </c:pt>
                <c:pt idx="114">
                  <c:v>53.6</c:v>
                </c:pt>
                <c:pt idx="115">
                  <c:v>53.888888888888886</c:v>
                </c:pt>
                <c:pt idx="116">
                  <c:v>53.272727272727273</c:v>
                </c:pt>
                <c:pt idx="117">
                  <c:v>53.9</c:v>
                </c:pt>
                <c:pt idx="118">
                  <c:v>56.3</c:v>
                </c:pt>
                <c:pt idx="119">
                  <c:v>56.6</c:v>
                </c:pt>
                <c:pt idx="120">
                  <c:v>56.9</c:v>
                </c:pt>
                <c:pt idx="121">
                  <c:v>55.5</c:v>
                </c:pt>
                <c:pt idx="122">
                  <c:v>59</c:v>
                </c:pt>
                <c:pt idx="123">
                  <c:v>62.1</c:v>
                </c:pt>
                <c:pt idx="124">
                  <c:v>61.636363636363633</c:v>
                </c:pt>
                <c:pt idx="125">
                  <c:v>62.81818181818182</c:v>
                </c:pt>
                <c:pt idx="126">
                  <c:v>58.1</c:v>
                </c:pt>
                <c:pt idx="127">
                  <c:v>60.9</c:v>
                </c:pt>
                <c:pt idx="128">
                  <c:v>58.18181818181818</c:v>
                </c:pt>
                <c:pt idx="129">
                  <c:v>61</c:v>
                </c:pt>
                <c:pt idx="130">
                  <c:v>58.5</c:v>
                </c:pt>
                <c:pt idx="131">
                  <c:v>61.454545454545453</c:v>
                </c:pt>
                <c:pt idx="132">
                  <c:v>61.7</c:v>
                </c:pt>
                <c:pt idx="133">
                  <c:v>61</c:v>
                </c:pt>
                <c:pt idx="134">
                  <c:v>62.454545454545453</c:v>
                </c:pt>
                <c:pt idx="135">
                  <c:v>60.3</c:v>
                </c:pt>
                <c:pt idx="136">
                  <c:v>65.818181818181813</c:v>
                </c:pt>
                <c:pt idx="137">
                  <c:v>64.818181818181813</c:v>
                </c:pt>
                <c:pt idx="138">
                  <c:v>68.222222222222229</c:v>
                </c:pt>
                <c:pt idx="139">
                  <c:v>62.727272727272727</c:v>
                </c:pt>
                <c:pt idx="140">
                  <c:v>61.272727272727273</c:v>
                </c:pt>
                <c:pt idx="141">
                  <c:v>63.18181818181818</c:v>
                </c:pt>
              </c:numCache>
            </c:numRef>
          </c:val>
          <c:smooth val="0"/>
        </c:ser>
        <c:dLbls>
          <c:showLegendKey val="0"/>
          <c:showVal val="0"/>
          <c:showCatName val="0"/>
          <c:showSerName val="0"/>
          <c:showPercent val="0"/>
          <c:showBubbleSize val="0"/>
        </c:dLbls>
        <c:marker val="1"/>
        <c:smooth val="0"/>
        <c:axId val="275196544"/>
        <c:axId val="275214720"/>
      </c:lineChart>
      <c:catAx>
        <c:axId val="275196544"/>
        <c:scaling>
          <c:orientation val="minMax"/>
        </c:scaling>
        <c:delete val="0"/>
        <c:axPos val="b"/>
        <c:numFmt formatCode="General" sourceLinked="1"/>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5214720"/>
        <c:crosses val="autoZero"/>
        <c:auto val="1"/>
        <c:lblAlgn val="ctr"/>
        <c:lblOffset val="100"/>
        <c:tickLblSkip val="5"/>
        <c:noMultiLvlLbl val="1"/>
      </c:catAx>
      <c:valAx>
        <c:axId val="275214720"/>
        <c:scaling>
          <c:orientation val="minMax"/>
          <c:max val="69"/>
          <c:min val="47"/>
        </c:scaling>
        <c:delete val="0"/>
        <c:axPos val="l"/>
        <c:numFmt formatCode="0.00" sourceLinked="1"/>
        <c:majorTickMark val="out"/>
        <c:minorTickMark val="none"/>
        <c:tickLblPos val="nextTo"/>
        <c:txPr>
          <a:bodyPr/>
          <a:lstStyle/>
          <a:p>
            <a:pPr>
              <a:defRPr>
                <a:latin typeface="Times New Roman" pitchFamily="18" charset="0"/>
                <a:cs typeface="Times New Roman" pitchFamily="18" charset="0"/>
              </a:defRPr>
            </a:pPr>
            <a:endParaRPr lang="zh-TW"/>
          </a:p>
        </c:txPr>
        <c:crossAx val="275196544"/>
        <c:crosses val="autoZero"/>
        <c:crossBetween val="between"/>
      </c:valAx>
      <c:spPr>
        <a:noFill/>
        <a:ln w="25400">
          <a:noFill/>
        </a:ln>
      </c:spPr>
    </c:plotArea>
    <c:legend>
      <c:legendPos val="r"/>
      <c:layout>
        <c:manualLayout>
          <c:xMode val="edge"/>
          <c:yMode val="edge"/>
          <c:x val="3.1041119860017501E-2"/>
          <c:y val="1.8498941408758952E-2"/>
          <c:w val="0.55390755322251384"/>
          <c:h val="0.10588322985306595"/>
        </c:manualLayout>
      </c:layout>
      <c:overlay val="0"/>
      <c:txPr>
        <a:bodyPr/>
        <a:lstStyle/>
        <a:p>
          <a:pPr>
            <a:defRPr sz="110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w="9525">
      <a:noFill/>
    </a:ln>
  </c:sp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0200848636831485E-2"/>
          <c:y val="0.13645799525781252"/>
          <c:w val="0.90771069626863021"/>
          <c:h val="0.63276533200480423"/>
        </c:manualLayout>
      </c:layout>
      <c:lineChart>
        <c:grouping val="standard"/>
        <c:varyColors val="0"/>
        <c:ser>
          <c:idx val="1"/>
          <c:order val="1"/>
          <c:tx>
            <c:strRef>
              <c:f>糖!$C$1</c:f>
              <c:strCache>
                <c:ptCount val="1"/>
                <c:pt idx="0">
                  <c:v>超市</c:v>
                </c:pt>
              </c:strCache>
            </c:strRef>
          </c:tx>
          <c:spPr>
            <a:ln>
              <a:prstDash val="sysDot"/>
            </a:ln>
          </c:spPr>
          <c:marker>
            <c:symbol val="none"/>
          </c:marker>
          <c:cat>
            <c:strRef>
              <c:f>糖!$A$33:$A$173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糖!$C$33:$C$173</c:f>
              <c:numCache>
                <c:formatCode>0.00</c:formatCode>
                <c:ptCount val="141"/>
                <c:pt idx="0">
                  <c:v>36</c:v>
                </c:pt>
                <c:pt idx="1">
                  <c:v>36.270000000000003</c:v>
                </c:pt>
                <c:pt idx="2">
                  <c:v>36.18</c:v>
                </c:pt>
                <c:pt idx="3">
                  <c:v>36.18</c:v>
                </c:pt>
                <c:pt idx="4">
                  <c:v>36.15</c:v>
                </c:pt>
                <c:pt idx="5">
                  <c:v>36.535714285714285</c:v>
                </c:pt>
                <c:pt idx="6">
                  <c:v>36.42307692307692</c:v>
                </c:pt>
                <c:pt idx="7">
                  <c:v>37.071428571428569</c:v>
                </c:pt>
                <c:pt idx="8">
                  <c:v>37</c:v>
                </c:pt>
                <c:pt idx="9">
                  <c:v>36.764705882352942</c:v>
                </c:pt>
                <c:pt idx="10">
                  <c:v>36.764705882352942</c:v>
                </c:pt>
                <c:pt idx="11">
                  <c:v>36.764705882352942</c:v>
                </c:pt>
                <c:pt idx="12">
                  <c:v>36.764705882352942</c:v>
                </c:pt>
                <c:pt idx="13">
                  <c:v>36.722222222222221</c:v>
                </c:pt>
                <c:pt idx="14">
                  <c:v>36.027777777777779</c:v>
                </c:pt>
                <c:pt idx="15">
                  <c:v>36.441176470588232</c:v>
                </c:pt>
                <c:pt idx="16">
                  <c:v>36.472222222222221</c:v>
                </c:pt>
                <c:pt idx="17">
                  <c:v>36.472222222222221</c:v>
                </c:pt>
                <c:pt idx="18">
                  <c:v>36.666666666666664</c:v>
                </c:pt>
                <c:pt idx="19">
                  <c:v>36.666666666666664</c:v>
                </c:pt>
                <c:pt idx="20">
                  <c:v>36.555555555555557</c:v>
                </c:pt>
                <c:pt idx="21">
                  <c:v>36.555555555555557</c:v>
                </c:pt>
                <c:pt idx="22">
                  <c:v>36.388888888888886</c:v>
                </c:pt>
                <c:pt idx="23">
                  <c:v>36.055555555555557</c:v>
                </c:pt>
                <c:pt idx="24">
                  <c:v>35.944444444444443</c:v>
                </c:pt>
                <c:pt idx="25">
                  <c:v>35.944444444444443</c:v>
                </c:pt>
                <c:pt idx="26">
                  <c:v>35.888888888888886</c:v>
                </c:pt>
                <c:pt idx="27">
                  <c:v>35.722222222222221</c:v>
                </c:pt>
                <c:pt idx="28">
                  <c:v>36.333333333333336</c:v>
                </c:pt>
                <c:pt idx="29">
                  <c:v>36.333333333333336</c:v>
                </c:pt>
                <c:pt idx="30">
                  <c:v>36.333333333333336</c:v>
                </c:pt>
                <c:pt idx="31">
                  <c:v>36.555555555555557</c:v>
                </c:pt>
                <c:pt idx="32">
                  <c:v>36.444444444444443</c:v>
                </c:pt>
                <c:pt idx="33">
                  <c:v>36.470588235294116</c:v>
                </c:pt>
                <c:pt idx="34">
                  <c:v>36.555555555555557</c:v>
                </c:pt>
                <c:pt idx="35">
                  <c:v>36.555555555555557</c:v>
                </c:pt>
                <c:pt idx="36">
                  <c:v>36.555555555555557</c:v>
                </c:pt>
                <c:pt idx="37">
                  <c:v>36.444444444444443</c:v>
                </c:pt>
                <c:pt idx="38">
                  <c:v>36.388888888888886</c:v>
                </c:pt>
                <c:pt idx="39">
                  <c:v>36.388888888888886</c:v>
                </c:pt>
                <c:pt idx="40">
                  <c:v>36.166666666666664</c:v>
                </c:pt>
                <c:pt idx="41">
                  <c:v>36.166666666666664</c:v>
                </c:pt>
                <c:pt idx="42">
                  <c:v>36.333333333333336</c:v>
                </c:pt>
                <c:pt idx="43">
                  <c:v>36.444444444444443</c:v>
                </c:pt>
                <c:pt idx="44">
                  <c:v>36.388888888888886</c:v>
                </c:pt>
                <c:pt idx="45">
                  <c:v>36.388888888888886</c:v>
                </c:pt>
                <c:pt idx="46">
                  <c:v>36.388888888888886</c:v>
                </c:pt>
                <c:pt idx="47">
                  <c:v>35.888888888888886</c:v>
                </c:pt>
                <c:pt idx="48">
                  <c:v>35.388888888888886</c:v>
                </c:pt>
                <c:pt idx="49">
                  <c:v>36.055555555555557</c:v>
                </c:pt>
                <c:pt idx="50">
                  <c:v>36.194444444444443</c:v>
                </c:pt>
                <c:pt idx="51">
                  <c:v>36.194444444444443</c:v>
                </c:pt>
                <c:pt idx="52">
                  <c:v>36.264705882352942</c:v>
                </c:pt>
                <c:pt idx="53">
                  <c:v>36.264705882352942</c:v>
                </c:pt>
                <c:pt idx="54">
                  <c:v>36.529411764705884</c:v>
                </c:pt>
                <c:pt idx="55">
                  <c:v>36.529411764705884</c:v>
                </c:pt>
                <c:pt idx="56">
                  <c:v>35.911764705882355</c:v>
                </c:pt>
                <c:pt idx="57">
                  <c:v>35.5</c:v>
                </c:pt>
                <c:pt idx="58">
                  <c:v>36.235294117647058</c:v>
                </c:pt>
                <c:pt idx="59">
                  <c:v>36.235294117647058</c:v>
                </c:pt>
                <c:pt idx="60">
                  <c:v>36.235294117647058</c:v>
                </c:pt>
                <c:pt idx="61">
                  <c:v>36.235294117647058</c:v>
                </c:pt>
                <c:pt idx="62">
                  <c:v>36.4375</c:v>
                </c:pt>
                <c:pt idx="63">
                  <c:v>36.294117647058826</c:v>
                </c:pt>
                <c:pt idx="64">
                  <c:v>35.676470588235297</c:v>
                </c:pt>
                <c:pt idx="65">
                  <c:v>35.75</c:v>
                </c:pt>
                <c:pt idx="66">
                  <c:v>36.111111111111114</c:v>
                </c:pt>
                <c:pt idx="67">
                  <c:v>36.111109999999996</c:v>
                </c:pt>
                <c:pt idx="68">
                  <c:v>36.111111111111114</c:v>
                </c:pt>
                <c:pt idx="69">
                  <c:v>36.294117647058826</c:v>
                </c:pt>
                <c:pt idx="70">
                  <c:v>36.166666666666664</c:v>
                </c:pt>
                <c:pt idx="71">
                  <c:v>35.972222222222221</c:v>
                </c:pt>
                <c:pt idx="72">
                  <c:v>35.361111111111114</c:v>
                </c:pt>
                <c:pt idx="73">
                  <c:v>34.222222222222221</c:v>
                </c:pt>
                <c:pt idx="74">
                  <c:v>33.705882352941174</c:v>
                </c:pt>
                <c:pt idx="75">
                  <c:v>33.4375</c:v>
                </c:pt>
                <c:pt idx="76">
                  <c:v>34.470588235294116</c:v>
                </c:pt>
                <c:pt idx="77">
                  <c:v>34.611111111111114</c:v>
                </c:pt>
                <c:pt idx="78">
                  <c:v>34.944444444444443</c:v>
                </c:pt>
                <c:pt idx="79">
                  <c:v>36.277777777777779</c:v>
                </c:pt>
                <c:pt idx="80">
                  <c:v>36.277777777777779</c:v>
                </c:pt>
                <c:pt idx="81">
                  <c:v>35.777777777777779</c:v>
                </c:pt>
                <c:pt idx="82">
                  <c:v>36.166666666666664</c:v>
                </c:pt>
                <c:pt idx="83">
                  <c:v>36.111111111111114</c:v>
                </c:pt>
                <c:pt idx="84">
                  <c:v>36.055555555555557</c:v>
                </c:pt>
                <c:pt idx="85">
                  <c:v>36.277777777777779</c:v>
                </c:pt>
                <c:pt idx="86">
                  <c:v>36.055555555555557</c:v>
                </c:pt>
                <c:pt idx="87">
                  <c:v>36.277777777777779</c:v>
                </c:pt>
                <c:pt idx="88">
                  <c:v>36.277777777777779</c:v>
                </c:pt>
                <c:pt idx="89">
                  <c:v>36.166666666666664</c:v>
                </c:pt>
                <c:pt idx="90">
                  <c:v>36.166666666666664</c:v>
                </c:pt>
                <c:pt idx="91">
                  <c:v>36.111111111111114</c:v>
                </c:pt>
                <c:pt idx="92">
                  <c:v>35.611111111111114</c:v>
                </c:pt>
                <c:pt idx="93">
                  <c:v>35.666666666666664</c:v>
                </c:pt>
                <c:pt idx="94">
                  <c:v>36.117647058823529</c:v>
                </c:pt>
                <c:pt idx="95">
                  <c:v>36.111111111111114</c:v>
                </c:pt>
                <c:pt idx="96">
                  <c:v>35.911764705882355</c:v>
                </c:pt>
                <c:pt idx="97">
                  <c:v>35.6875</c:v>
                </c:pt>
                <c:pt idx="98">
                  <c:v>35.46875</c:v>
                </c:pt>
                <c:pt idx="99">
                  <c:v>35.25</c:v>
                </c:pt>
                <c:pt idx="100">
                  <c:v>35.46875</c:v>
                </c:pt>
                <c:pt idx="101">
                  <c:v>35.882352941176471</c:v>
                </c:pt>
                <c:pt idx="102">
                  <c:v>35.911764705882355</c:v>
                </c:pt>
                <c:pt idx="103">
                  <c:v>34.911764705882355</c:v>
                </c:pt>
                <c:pt idx="104">
                  <c:v>35.588235294117645</c:v>
                </c:pt>
                <c:pt idx="105">
                  <c:v>35.529411764705884</c:v>
                </c:pt>
                <c:pt idx="106">
                  <c:v>35.46875</c:v>
                </c:pt>
                <c:pt idx="107">
                  <c:v>35.352941176470587</c:v>
                </c:pt>
                <c:pt idx="108">
                  <c:v>34.852941176470587</c:v>
                </c:pt>
                <c:pt idx="109">
                  <c:v>34.96875</c:v>
                </c:pt>
                <c:pt idx="110">
                  <c:v>34.96875</c:v>
                </c:pt>
                <c:pt idx="111">
                  <c:v>35.46875</c:v>
                </c:pt>
                <c:pt idx="112">
                  <c:v>35.5</c:v>
                </c:pt>
                <c:pt idx="113">
                  <c:v>35.21875</c:v>
                </c:pt>
                <c:pt idx="114">
                  <c:v>35.617647058823529</c:v>
                </c:pt>
                <c:pt idx="115">
                  <c:v>35.382352941176471</c:v>
                </c:pt>
                <c:pt idx="116">
                  <c:v>35.1875</c:v>
                </c:pt>
                <c:pt idx="117">
                  <c:v>35</c:v>
                </c:pt>
                <c:pt idx="118">
                  <c:v>35.205882352941174</c:v>
                </c:pt>
                <c:pt idx="119">
                  <c:v>34.735294117647058</c:v>
                </c:pt>
                <c:pt idx="120">
                  <c:v>34.96875</c:v>
                </c:pt>
                <c:pt idx="121">
                  <c:v>35</c:v>
                </c:pt>
                <c:pt idx="122">
                  <c:v>32.625</c:v>
                </c:pt>
                <c:pt idx="123">
                  <c:v>33.625</c:v>
                </c:pt>
                <c:pt idx="124">
                  <c:v>34.4375</c:v>
                </c:pt>
                <c:pt idx="125">
                  <c:v>34.5</c:v>
                </c:pt>
                <c:pt idx="126">
                  <c:v>34.5</c:v>
                </c:pt>
                <c:pt idx="127">
                  <c:v>33.25</c:v>
                </c:pt>
                <c:pt idx="128">
                  <c:v>34.125</c:v>
                </c:pt>
                <c:pt idx="129">
                  <c:v>32.1875</c:v>
                </c:pt>
                <c:pt idx="130">
                  <c:v>32.1875</c:v>
                </c:pt>
                <c:pt idx="131">
                  <c:v>33.470588235294116</c:v>
                </c:pt>
                <c:pt idx="132">
                  <c:v>33.705882352941174</c:v>
                </c:pt>
                <c:pt idx="133">
                  <c:v>34.058823529411768</c:v>
                </c:pt>
                <c:pt idx="134">
                  <c:v>33.352941176470587</c:v>
                </c:pt>
                <c:pt idx="135">
                  <c:v>33.588235294117645</c:v>
                </c:pt>
                <c:pt idx="136">
                  <c:v>34.176470588235297</c:v>
                </c:pt>
                <c:pt idx="137">
                  <c:v>33.529411764705884</c:v>
                </c:pt>
                <c:pt idx="138">
                  <c:v>34.117647058823529</c:v>
                </c:pt>
                <c:pt idx="139">
                  <c:v>33.235294117647058</c:v>
                </c:pt>
                <c:pt idx="140">
                  <c:v>33.882352941176471</c:v>
                </c:pt>
              </c:numCache>
            </c:numRef>
          </c:val>
          <c:smooth val="0"/>
        </c:ser>
        <c:ser>
          <c:idx val="2"/>
          <c:order val="2"/>
          <c:tx>
            <c:strRef>
              <c:f>糖!$D$1</c:f>
              <c:strCache>
                <c:ptCount val="1"/>
                <c:pt idx="0">
                  <c:v>量販店</c:v>
                </c:pt>
              </c:strCache>
            </c:strRef>
          </c:tx>
          <c:marker>
            <c:symbol val="none"/>
          </c:marker>
          <c:cat>
            <c:strRef>
              <c:f>糖!$A$33:$A$173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糖!$D$33:$D$173</c:f>
              <c:numCache>
                <c:formatCode>0.00</c:formatCode>
                <c:ptCount val="141"/>
                <c:pt idx="0">
                  <c:v>35.125</c:v>
                </c:pt>
                <c:pt idx="1">
                  <c:v>34.630000000000003</c:v>
                </c:pt>
                <c:pt idx="2">
                  <c:v>34.380000000000003</c:v>
                </c:pt>
                <c:pt idx="3">
                  <c:v>34.380000000000003</c:v>
                </c:pt>
                <c:pt idx="4">
                  <c:v>34</c:v>
                </c:pt>
                <c:pt idx="5">
                  <c:v>34.111111111111114</c:v>
                </c:pt>
                <c:pt idx="6">
                  <c:v>33.666666666666664</c:v>
                </c:pt>
                <c:pt idx="7">
                  <c:v>34.555555555555557</c:v>
                </c:pt>
                <c:pt idx="8">
                  <c:v>34.333333333333336</c:v>
                </c:pt>
                <c:pt idx="9">
                  <c:v>34.299999999999997</c:v>
                </c:pt>
                <c:pt idx="10">
                  <c:v>34</c:v>
                </c:pt>
                <c:pt idx="11">
                  <c:v>34.636363636363633</c:v>
                </c:pt>
                <c:pt idx="12">
                  <c:v>33.6</c:v>
                </c:pt>
                <c:pt idx="13">
                  <c:v>34.1</c:v>
                </c:pt>
                <c:pt idx="14">
                  <c:v>33.299999999999997</c:v>
                </c:pt>
                <c:pt idx="15">
                  <c:v>33.75</c:v>
                </c:pt>
                <c:pt idx="16">
                  <c:v>33.799999999999997</c:v>
                </c:pt>
                <c:pt idx="17">
                  <c:v>33.5</c:v>
                </c:pt>
                <c:pt idx="18">
                  <c:v>33.299999999999997</c:v>
                </c:pt>
                <c:pt idx="19">
                  <c:v>33.700000000000003</c:v>
                </c:pt>
                <c:pt idx="20">
                  <c:v>33.700000000000003</c:v>
                </c:pt>
                <c:pt idx="21">
                  <c:v>33.200000000000003</c:v>
                </c:pt>
                <c:pt idx="22">
                  <c:v>33.4</c:v>
                </c:pt>
                <c:pt idx="23">
                  <c:v>33.1</c:v>
                </c:pt>
                <c:pt idx="24">
                  <c:v>33.4</c:v>
                </c:pt>
                <c:pt idx="25">
                  <c:v>33.4</c:v>
                </c:pt>
                <c:pt idx="26">
                  <c:v>33.1</c:v>
                </c:pt>
                <c:pt idx="27">
                  <c:v>33.5</c:v>
                </c:pt>
                <c:pt idx="28">
                  <c:v>33.299999999999997</c:v>
                </c:pt>
                <c:pt idx="29">
                  <c:v>33.299999999999997</c:v>
                </c:pt>
                <c:pt idx="30">
                  <c:v>33.4</c:v>
                </c:pt>
                <c:pt idx="31">
                  <c:v>34.111111111111114</c:v>
                </c:pt>
                <c:pt idx="32">
                  <c:v>33.9</c:v>
                </c:pt>
                <c:pt idx="33">
                  <c:v>33.222222222222221</c:v>
                </c:pt>
                <c:pt idx="34">
                  <c:v>32.6</c:v>
                </c:pt>
                <c:pt idx="35">
                  <c:v>33</c:v>
                </c:pt>
                <c:pt idx="36">
                  <c:v>32.9</c:v>
                </c:pt>
                <c:pt idx="37">
                  <c:v>32.5</c:v>
                </c:pt>
                <c:pt idx="38">
                  <c:v>32.5</c:v>
                </c:pt>
                <c:pt idx="39">
                  <c:v>32.888888888888886</c:v>
                </c:pt>
                <c:pt idx="40">
                  <c:v>33.5</c:v>
                </c:pt>
                <c:pt idx="41">
                  <c:v>33.1</c:v>
                </c:pt>
                <c:pt idx="42">
                  <c:v>32.799999999999997</c:v>
                </c:pt>
                <c:pt idx="43">
                  <c:v>33.299999999999997</c:v>
                </c:pt>
                <c:pt idx="44">
                  <c:v>32.9</c:v>
                </c:pt>
                <c:pt idx="45">
                  <c:v>32.9</c:v>
                </c:pt>
                <c:pt idx="46">
                  <c:v>32.9</c:v>
                </c:pt>
                <c:pt idx="47">
                  <c:v>33.299999999999997</c:v>
                </c:pt>
                <c:pt idx="48">
                  <c:v>32.700000000000003</c:v>
                </c:pt>
                <c:pt idx="49">
                  <c:v>33.1</c:v>
                </c:pt>
                <c:pt idx="50">
                  <c:v>33.5</c:v>
                </c:pt>
                <c:pt idx="51">
                  <c:v>33.6</c:v>
                </c:pt>
                <c:pt idx="52">
                  <c:v>32.9</c:v>
                </c:pt>
                <c:pt idx="53">
                  <c:v>32.6</c:v>
                </c:pt>
                <c:pt idx="54">
                  <c:v>34.1</c:v>
                </c:pt>
                <c:pt idx="55">
                  <c:v>34.1</c:v>
                </c:pt>
                <c:pt idx="56">
                  <c:v>34.200000000000003</c:v>
                </c:pt>
                <c:pt idx="57">
                  <c:v>33.700000000000003</c:v>
                </c:pt>
                <c:pt idx="58">
                  <c:v>33.200000000000003</c:v>
                </c:pt>
                <c:pt idx="59">
                  <c:v>33.200000000000003</c:v>
                </c:pt>
                <c:pt idx="60">
                  <c:v>33.299999999999997</c:v>
                </c:pt>
                <c:pt idx="61">
                  <c:v>33.299999999999997</c:v>
                </c:pt>
                <c:pt idx="62">
                  <c:v>33.111111111111114</c:v>
                </c:pt>
                <c:pt idx="63">
                  <c:v>32.9</c:v>
                </c:pt>
                <c:pt idx="64">
                  <c:v>32.6</c:v>
                </c:pt>
                <c:pt idx="65">
                  <c:v>34.1</c:v>
                </c:pt>
                <c:pt idx="66">
                  <c:v>33.444444444444443</c:v>
                </c:pt>
                <c:pt idx="67">
                  <c:v>33.5</c:v>
                </c:pt>
                <c:pt idx="68">
                  <c:v>33.4</c:v>
                </c:pt>
                <c:pt idx="69">
                  <c:v>33.4</c:v>
                </c:pt>
                <c:pt idx="70">
                  <c:v>33.4</c:v>
                </c:pt>
                <c:pt idx="71">
                  <c:v>33.4</c:v>
                </c:pt>
                <c:pt idx="72">
                  <c:v>33.4</c:v>
                </c:pt>
                <c:pt idx="73">
                  <c:v>33.1</c:v>
                </c:pt>
                <c:pt idx="74">
                  <c:v>32.6</c:v>
                </c:pt>
                <c:pt idx="75">
                  <c:v>32.222222222222221</c:v>
                </c:pt>
                <c:pt idx="76">
                  <c:v>32.299999999999997</c:v>
                </c:pt>
                <c:pt idx="77">
                  <c:v>31.8</c:v>
                </c:pt>
                <c:pt idx="78">
                  <c:v>31.2</c:v>
                </c:pt>
                <c:pt idx="79">
                  <c:v>32.200000000000003</c:v>
                </c:pt>
                <c:pt idx="80">
                  <c:v>31.6</c:v>
                </c:pt>
                <c:pt idx="81">
                  <c:v>32.700000000000003</c:v>
                </c:pt>
                <c:pt idx="82">
                  <c:v>33</c:v>
                </c:pt>
                <c:pt idx="83">
                  <c:v>32.700000000000003</c:v>
                </c:pt>
                <c:pt idx="84">
                  <c:v>33</c:v>
                </c:pt>
                <c:pt idx="85">
                  <c:v>32.700000000000003</c:v>
                </c:pt>
                <c:pt idx="86">
                  <c:v>33.1</c:v>
                </c:pt>
                <c:pt idx="87">
                  <c:v>32.700000000000003</c:v>
                </c:pt>
                <c:pt idx="88">
                  <c:v>32.9</c:v>
                </c:pt>
                <c:pt idx="89">
                  <c:v>32.4</c:v>
                </c:pt>
                <c:pt idx="90">
                  <c:v>33</c:v>
                </c:pt>
                <c:pt idx="91">
                  <c:v>33.4</c:v>
                </c:pt>
                <c:pt idx="92">
                  <c:v>33.200000000000003</c:v>
                </c:pt>
                <c:pt idx="93">
                  <c:v>33.5</c:v>
                </c:pt>
                <c:pt idx="94">
                  <c:v>33.6</c:v>
                </c:pt>
                <c:pt idx="95">
                  <c:v>33.1</c:v>
                </c:pt>
                <c:pt idx="96">
                  <c:v>33.4</c:v>
                </c:pt>
                <c:pt idx="97">
                  <c:v>34.272727272727273</c:v>
                </c:pt>
                <c:pt idx="98">
                  <c:v>33.81818181818182</c:v>
                </c:pt>
                <c:pt idx="99">
                  <c:v>33.700000000000003</c:v>
                </c:pt>
                <c:pt idx="100">
                  <c:v>33.5</c:v>
                </c:pt>
                <c:pt idx="101">
                  <c:v>33.363636363636367</c:v>
                </c:pt>
                <c:pt idx="102">
                  <c:v>33.909090909090907</c:v>
                </c:pt>
                <c:pt idx="103">
                  <c:v>33.5</c:v>
                </c:pt>
                <c:pt idx="104">
                  <c:v>32.81818181818182</c:v>
                </c:pt>
                <c:pt idx="105">
                  <c:v>33.18181818181818</c:v>
                </c:pt>
                <c:pt idx="106">
                  <c:v>32.909090909090907</c:v>
                </c:pt>
                <c:pt idx="107">
                  <c:v>32.81818181818182</c:v>
                </c:pt>
                <c:pt idx="108">
                  <c:v>33.090909090909093</c:v>
                </c:pt>
                <c:pt idx="109">
                  <c:v>32.545454545454547</c:v>
                </c:pt>
                <c:pt idx="110">
                  <c:v>32.363636363636367</c:v>
                </c:pt>
                <c:pt idx="111">
                  <c:v>33.81818181818182</c:v>
                </c:pt>
                <c:pt idx="112">
                  <c:v>33.636363636363633</c:v>
                </c:pt>
                <c:pt idx="113">
                  <c:v>33.727272727272727</c:v>
                </c:pt>
                <c:pt idx="114">
                  <c:v>34.363636363636367</c:v>
                </c:pt>
                <c:pt idx="115">
                  <c:v>34.636363636363633</c:v>
                </c:pt>
                <c:pt idx="116">
                  <c:v>34.454545454545453</c:v>
                </c:pt>
                <c:pt idx="117">
                  <c:v>34.090909090909093</c:v>
                </c:pt>
                <c:pt idx="118">
                  <c:v>34</c:v>
                </c:pt>
                <c:pt idx="119">
                  <c:v>33.81818181818182</c:v>
                </c:pt>
                <c:pt idx="120">
                  <c:v>33.090909090909093</c:v>
                </c:pt>
                <c:pt idx="121">
                  <c:v>32.909090909090907</c:v>
                </c:pt>
                <c:pt idx="122">
                  <c:v>32</c:v>
                </c:pt>
                <c:pt idx="123">
                  <c:v>33</c:v>
                </c:pt>
                <c:pt idx="124">
                  <c:v>32.909090909090907</c:v>
                </c:pt>
                <c:pt idx="125">
                  <c:v>32.909090909090907</c:v>
                </c:pt>
                <c:pt idx="126">
                  <c:v>32.909090909090907</c:v>
                </c:pt>
                <c:pt idx="127">
                  <c:v>32.454545454545453</c:v>
                </c:pt>
                <c:pt idx="128">
                  <c:v>32.81818181818182</c:v>
                </c:pt>
                <c:pt idx="129">
                  <c:v>32.909090909090907</c:v>
                </c:pt>
                <c:pt idx="130">
                  <c:v>32.909090909090907</c:v>
                </c:pt>
                <c:pt idx="131">
                  <c:v>32.545454545454547</c:v>
                </c:pt>
                <c:pt idx="132">
                  <c:v>32.090909090909093</c:v>
                </c:pt>
                <c:pt idx="133">
                  <c:v>31.272727272727273</c:v>
                </c:pt>
                <c:pt idx="134">
                  <c:v>32.636363636363633</c:v>
                </c:pt>
                <c:pt idx="135">
                  <c:v>32.909090909090907</c:v>
                </c:pt>
                <c:pt idx="136">
                  <c:v>32.81818181818182</c:v>
                </c:pt>
                <c:pt idx="137">
                  <c:v>32.272727272727273</c:v>
                </c:pt>
                <c:pt idx="138">
                  <c:v>32.454545454545453</c:v>
                </c:pt>
                <c:pt idx="139">
                  <c:v>32.727272727272727</c:v>
                </c:pt>
                <c:pt idx="140">
                  <c:v>32.81818181818182</c:v>
                </c:pt>
              </c:numCache>
            </c:numRef>
          </c:val>
          <c:smooth val="0"/>
        </c:ser>
        <c:dLbls>
          <c:showLegendKey val="0"/>
          <c:showVal val="0"/>
          <c:showCatName val="0"/>
          <c:showSerName val="0"/>
          <c:showPercent val="0"/>
          <c:showBubbleSize val="0"/>
        </c:dLbls>
        <c:marker val="1"/>
        <c:smooth val="0"/>
        <c:axId val="275594624"/>
        <c:axId val="275596416"/>
      </c:lineChart>
      <c:lineChart>
        <c:grouping val="standard"/>
        <c:varyColors val="0"/>
        <c:ser>
          <c:idx val="0"/>
          <c:order val="0"/>
          <c:tx>
            <c:strRef>
              <c:f>糖!$B$1</c:f>
              <c:strCache>
                <c:ptCount val="1"/>
                <c:pt idx="0">
                  <c:v>便利店</c:v>
                </c:pt>
              </c:strCache>
            </c:strRef>
          </c:tx>
          <c:spPr>
            <a:ln>
              <a:prstDash val="sysDash"/>
            </a:ln>
          </c:spPr>
          <c:marker>
            <c:symbol val="none"/>
          </c:marker>
          <c:cat>
            <c:strRef>
              <c:f>糖!$A$33:$A$173</c:f>
              <c:strCache>
                <c:ptCount val="141"/>
                <c:pt idx="0">
                  <c:v>101/2/5</c:v>
                </c:pt>
                <c:pt idx="1">
                  <c:v>101/2/19</c:v>
                </c:pt>
                <c:pt idx="2">
                  <c:v>101/3/4</c:v>
                </c:pt>
                <c:pt idx="3">
                  <c:v>101/3/18</c:v>
                </c:pt>
                <c:pt idx="4">
                  <c:v>101/4/1</c:v>
                </c:pt>
                <c:pt idx="5">
                  <c:v>101/4/15</c:v>
                </c:pt>
                <c:pt idx="6">
                  <c:v>101/4/22</c:v>
                </c:pt>
                <c:pt idx="7">
                  <c:v>101/4/29</c:v>
                </c:pt>
                <c:pt idx="8">
                  <c:v>101/5/6</c:v>
                </c:pt>
                <c:pt idx="9">
                  <c:v>101/5/13</c:v>
                </c:pt>
                <c:pt idx="10">
                  <c:v>101/5/20</c:v>
                </c:pt>
                <c:pt idx="11">
                  <c:v>101/5/27</c:v>
                </c:pt>
                <c:pt idx="12">
                  <c:v>101/6/3</c:v>
                </c:pt>
                <c:pt idx="13">
                  <c:v>101/6/10</c:v>
                </c:pt>
                <c:pt idx="14">
                  <c:v>101/6/17</c:v>
                </c:pt>
                <c:pt idx="15">
                  <c:v>101/6/24</c:v>
                </c:pt>
                <c:pt idx="16">
                  <c:v>101/7/1</c:v>
                </c:pt>
                <c:pt idx="17">
                  <c:v>101/7/8</c:v>
                </c:pt>
                <c:pt idx="18">
                  <c:v>101/7/15</c:v>
                </c:pt>
                <c:pt idx="19">
                  <c:v>101/7/22</c:v>
                </c:pt>
                <c:pt idx="20">
                  <c:v>101/7/29</c:v>
                </c:pt>
                <c:pt idx="21">
                  <c:v>101/8/5</c:v>
                </c:pt>
                <c:pt idx="22">
                  <c:v>101/8/12</c:v>
                </c:pt>
                <c:pt idx="23">
                  <c:v>101/8/19</c:v>
                </c:pt>
                <c:pt idx="24">
                  <c:v>101/8/26</c:v>
                </c:pt>
                <c:pt idx="25">
                  <c:v>101/9/2</c:v>
                </c:pt>
                <c:pt idx="26">
                  <c:v>101/9/9</c:v>
                </c:pt>
                <c:pt idx="27">
                  <c:v>101/9/16</c:v>
                </c:pt>
                <c:pt idx="28">
                  <c:v>101/9/23</c:v>
                </c:pt>
                <c:pt idx="29">
                  <c:v>101/9/30</c:v>
                </c:pt>
                <c:pt idx="30">
                  <c:v>101/10/7</c:v>
                </c:pt>
                <c:pt idx="31">
                  <c:v>101/10/14</c:v>
                </c:pt>
                <c:pt idx="32">
                  <c:v>101/10/21</c:v>
                </c:pt>
                <c:pt idx="33">
                  <c:v>101/10/28</c:v>
                </c:pt>
                <c:pt idx="34">
                  <c:v>101/11/4</c:v>
                </c:pt>
                <c:pt idx="35">
                  <c:v>101/11/11</c:v>
                </c:pt>
                <c:pt idx="36">
                  <c:v>101/11/18</c:v>
                </c:pt>
                <c:pt idx="37">
                  <c:v>101/11/25</c:v>
                </c:pt>
                <c:pt idx="38">
                  <c:v>101/12/2</c:v>
                </c:pt>
                <c:pt idx="39">
                  <c:v>101/12/9</c:v>
                </c:pt>
                <c:pt idx="40">
                  <c:v>101/12/16</c:v>
                </c:pt>
                <c:pt idx="41">
                  <c:v>101/12/23</c:v>
                </c:pt>
                <c:pt idx="42">
                  <c:v>101/12/30</c:v>
                </c:pt>
                <c:pt idx="43">
                  <c:v>102/1/7</c:v>
                </c:pt>
                <c:pt idx="44">
                  <c:v>102/1/14</c:v>
                </c:pt>
                <c:pt idx="45">
                  <c:v>102/1/21</c:v>
                </c:pt>
                <c:pt idx="46">
                  <c:v>102/1/28</c:v>
                </c:pt>
                <c:pt idx="47">
                  <c:v>102/2/5</c:v>
                </c:pt>
                <c:pt idx="48">
                  <c:v>102/2/12</c:v>
                </c:pt>
                <c:pt idx="49">
                  <c:v>102/2/19</c:v>
                </c:pt>
                <c:pt idx="50">
                  <c:v>102/2/26</c:v>
                </c:pt>
                <c:pt idx="51">
                  <c:v>102/3/05</c:v>
                </c:pt>
                <c:pt idx="52">
                  <c:v>102/3/11</c:v>
                </c:pt>
                <c:pt idx="53">
                  <c:v>102/3/18</c:v>
                </c:pt>
                <c:pt idx="54">
                  <c:v>102/3/25</c:v>
                </c:pt>
                <c:pt idx="55">
                  <c:v>102/4/1</c:v>
                </c:pt>
                <c:pt idx="56">
                  <c:v>102/4/8</c:v>
                </c:pt>
                <c:pt idx="57">
                  <c:v>102/4/15</c:v>
                </c:pt>
                <c:pt idx="58">
                  <c:v>102/4/22</c:v>
                </c:pt>
                <c:pt idx="59">
                  <c:v>102/4/29</c:v>
                </c:pt>
                <c:pt idx="60">
                  <c:v>102/5/6</c:v>
                </c:pt>
                <c:pt idx="61">
                  <c:v>102/5/13</c:v>
                </c:pt>
                <c:pt idx="62">
                  <c:v>102/5/20</c:v>
                </c:pt>
                <c:pt idx="63">
                  <c:v>102/5/27</c:v>
                </c:pt>
                <c:pt idx="64">
                  <c:v>102/6/3</c:v>
                </c:pt>
                <c:pt idx="65">
                  <c:v>102/6/10</c:v>
                </c:pt>
                <c:pt idx="66">
                  <c:v>102/6/17</c:v>
                </c:pt>
                <c:pt idx="67">
                  <c:v>102/6/24</c:v>
                </c:pt>
                <c:pt idx="68">
                  <c:v>102/7/1</c:v>
                </c:pt>
                <c:pt idx="69">
                  <c:v>102/7/8</c:v>
                </c:pt>
                <c:pt idx="70">
                  <c:v>102/7/15</c:v>
                </c:pt>
                <c:pt idx="71">
                  <c:v>102/7/22</c:v>
                </c:pt>
                <c:pt idx="72">
                  <c:v>102/7/29</c:v>
                </c:pt>
                <c:pt idx="73">
                  <c:v>102/8/5</c:v>
                </c:pt>
                <c:pt idx="74">
                  <c:v>102/8/12</c:v>
                </c:pt>
                <c:pt idx="75">
                  <c:v>102/8/19</c:v>
                </c:pt>
                <c:pt idx="76">
                  <c:v>102/8/26</c:v>
                </c:pt>
                <c:pt idx="77">
                  <c:v>102/9/2</c:v>
                </c:pt>
                <c:pt idx="78">
                  <c:v>102/9/9</c:v>
                </c:pt>
                <c:pt idx="79">
                  <c:v>102/9/16</c:v>
                </c:pt>
                <c:pt idx="80">
                  <c:v>102/9/23</c:v>
                </c:pt>
                <c:pt idx="81">
                  <c:v>102/9/30</c:v>
                </c:pt>
                <c:pt idx="82">
                  <c:v>102/10/7</c:v>
                </c:pt>
                <c:pt idx="83">
                  <c:v>102/10/14</c:v>
                </c:pt>
                <c:pt idx="84">
                  <c:v>102/10/21</c:v>
                </c:pt>
                <c:pt idx="85">
                  <c:v>102/10/28</c:v>
                </c:pt>
                <c:pt idx="86">
                  <c:v>102/11/04</c:v>
                </c:pt>
                <c:pt idx="87">
                  <c:v>102/11/11</c:v>
                </c:pt>
                <c:pt idx="88">
                  <c:v>102/11/18</c:v>
                </c:pt>
                <c:pt idx="89">
                  <c:v>102/11/25</c:v>
                </c:pt>
                <c:pt idx="90">
                  <c:v>102/12/2</c:v>
                </c:pt>
                <c:pt idx="91">
                  <c:v>102/12/9</c:v>
                </c:pt>
                <c:pt idx="92">
                  <c:v>102/12/16</c:v>
                </c:pt>
                <c:pt idx="93">
                  <c:v>102/12/23</c:v>
                </c:pt>
                <c:pt idx="94">
                  <c:v>102/12/30</c:v>
                </c:pt>
                <c:pt idx="95">
                  <c:v>103/1/6</c:v>
                </c:pt>
                <c:pt idx="96">
                  <c:v>103/1/20</c:v>
                </c:pt>
                <c:pt idx="97">
                  <c:v>103/2/10</c:v>
                </c:pt>
                <c:pt idx="98">
                  <c:v>103/2/24</c:v>
                </c:pt>
                <c:pt idx="99">
                  <c:v>103/3/3</c:v>
                </c:pt>
                <c:pt idx="100">
                  <c:v>103/3/17</c:v>
                </c:pt>
                <c:pt idx="101">
                  <c:v>103/4/7</c:v>
                </c:pt>
                <c:pt idx="102">
                  <c:v>103/4/21</c:v>
                </c:pt>
                <c:pt idx="103">
                  <c:v>103/5/5</c:v>
                </c:pt>
                <c:pt idx="104">
                  <c:v>103/5/19</c:v>
                </c:pt>
                <c:pt idx="105">
                  <c:v>103/6/9</c:v>
                </c:pt>
                <c:pt idx="106">
                  <c:v>103/6/23</c:v>
                </c:pt>
                <c:pt idx="107">
                  <c:v>103/7/7</c:v>
                </c:pt>
                <c:pt idx="108">
                  <c:v>103/7/21</c:v>
                </c:pt>
                <c:pt idx="109">
                  <c:v>103/8/4</c:v>
                </c:pt>
                <c:pt idx="110">
                  <c:v>103/8/18</c:v>
                </c:pt>
                <c:pt idx="111">
                  <c:v>103/9/9</c:v>
                </c:pt>
                <c:pt idx="112">
                  <c:v>103/9/22</c:v>
                </c:pt>
                <c:pt idx="113">
                  <c:v>103/10/6</c:v>
                </c:pt>
                <c:pt idx="114">
                  <c:v>103/10/20</c:v>
                </c:pt>
                <c:pt idx="115">
                  <c:v>103/11/3</c:v>
                </c:pt>
                <c:pt idx="116">
                  <c:v>103/11/17</c:v>
                </c:pt>
                <c:pt idx="117">
                  <c:v>103/12/8</c:v>
                </c:pt>
                <c:pt idx="118">
                  <c:v>103/12/22</c:v>
                </c:pt>
                <c:pt idx="119">
                  <c:v>104/1/5</c:v>
                </c:pt>
                <c:pt idx="120">
                  <c:v>104/1/19</c:v>
                </c:pt>
                <c:pt idx="121">
                  <c:v>104/2/2</c:v>
                </c:pt>
                <c:pt idx="122">
                  <c:v>104/2/16</c:v>
                </c:pt>
                <c:pt idx="123">
                  <c:v>104/3/9</c:v>
                </c:pt>
                <c:pt idx="124">
                  <c:v>104/3/23</c:v>
                </c:pt>
                <c:pt idx="125">
                  <c:v>104/4/7</c:v>
                </c:pt>
                <c:pt idx="126">
                  <c:v>104/4/20</c:v>
                </c:pt>
                <c:pt idx="127">
                  <c:v>104/5/11</c:v>
                </c:pt>
                <c:pt idx="128">
                  <c:v>104/5/25</c:v>
                </c:pt>
                <c:pt idx="129">
                  <c:v>104/6/8</c:v>
                </c:pt>
                <c:pt idx="130">
                  <c:v>104/6/15</c:v>
                </c:pt>
                <c:pt idx="131">
                  <c:v>104/7/6</c:v>
                </c:pt>
                <c:pt idx="132">
                  <c:v>104/7/20</c:v>
                </c:pt>
                <c:pt idx="133">
                  <c:v>104/8/3</c:v>
                </c:pt>
                <c:pt idx="134">
                  <c:v>104/8/17</c:v>
                </c:pt>
                <c:pt idx="135">
                  <c:v>104/9/7</c:v>
                </c:pt>
                <c:pt idx="136">
                  <c:v>104/9/21</c:v>
                </c:pt>
                <c:pt idx="137">
                  <c:v>104/10/5</c:v>
                </c:pt>
                <c:pt idx="138">
                  <c:v>104/10/19</c:v>
                </c:pt>
                <c:pt idx="139">
                  <c:v>104/11/9</c:v>
                </c:pt>
                <c:pt idx="140">
                  <c:v>104/11/23</c:v>
                </c:pt>
              </c:strCache>
            </c:strRef>
          </c:cat>
          <c:val>
            <c:numRef>
              <c:f>糖!$B$33:$B$173</c:f>
              <c:numCache>
                <c:formatCode>0.00</c:formatCode>
                <c:ptCount val="141"/>
                <c:pt idx="0">
                  <c:v>53</c:v>
                </c:pt>
                <c:pt idx="1">
                  <c:v>53</c:v>
                </c:pt>
                <c:pt idx="2">
                  <c:v>53</c:v>
                </c:pt>
                <c:pt idx="3">
                  <c:v>53</c:v>
                </c:pt>
                <c:pt idx="4">
                  <c:v>53</c:v>
                </c:pt>
                <c:pt idx="5">
                  <c:v>53</c:v>
                </c:pt>
                <c:pt idx="6">
                  <c:v>53</c:v>
                </c:pt>
                <c:pt idx="7">
                  <c:v>53</c:v>
                </c:pt>
                <c:pt idx="8">
                  <c:v>53</c:v>
                </c:pt>
                <c:pt idx="9">
                  <c:v>53</c:v>
                </c:pt>
                <c:pt idx="10">
                  <c:v>53</c:v>
                </c:pt>
                <c:pt idx="11">
                  <c:v>53</c:v>
                </c:pt>
                <c:pt idx="12">
                  <c:v>53</c:v>
                </c:pt>
                <c:pt idx="13">
                  <c:v>53</c:v>
                </c:pt>
                <c:pt idx="14">
                  <c:v>53</c:v>
                </c:pt>
                <c:pt idx="15">
                  <c:v>53</c:v>
                </c:pt>
                <c:pt idx="16">
                  <c:v>53</c:v>
                </c:pt>
                <c:pt idx="17">
                  <c:v>53</c:v>
                </c:pt>
                <c:pt idx="18">
                  <c:v>53</c:v>
                </c:pt>
                <c:pt idx="19">
                  <c:v>53</c:v>
                </c:pt>
                <c:pt idx="20">
                  <c:v>53</c:v>
                </c:pt>
                <c:pt idx="21">
                  <c:v>53</c:v>
                </c:pt>
                <c:pt idx="22">
                  <c:v>53</c:v>
                </c:pt>
                <c:pt idx="23">
                  <c:v>53</c:v>
                </c:pt>
                <c:pt idx="24">
                  <c:v>53</c:v>
                </c:pt>
                <c:pt idx="25">
                  <c:v>53</c:v>
                </c:pt>
                <c:pt idx="26">
                  <c:v>53</c:v>
                </c:pt>
                <c:pt idx="27">
                  <c:v>53</c:v>
                </c:pt>
                <c:pt idx="28">
                  <c:v>53</c:v>
                </c:pt>
                <c:pt idx="29">
                  <c:v>53</c:v>
                </c:pt>
                <c:pt idx="30">
                  <c:v>53</c:v>
                </c:pt>
                <c:pt idx="31">
                  <c:v>53</c:v>
                </c:pt>
                <c:pt idx="32">
                  <c:v>53</c:v>
                </c:pt>
                <c:pt idx="33">
                  <c:v>53</c:v>
                </c:pt>
                <c:pt idx="34">
                  <c:v>53</c:v>
                </c:pt>
                <c:pt idx="35">
                  <c:v>53</c:v>
                </c:pt>
                <c:pt idx="36">
                  <c:v>53</c:v>
                </c:pt>
                <c:pt idx="37">
                  <c:v>53</c:v>
                </c:pt>
                <c:pt idx="38">
                  <c:v>53</c:v>
                </c:pt>
                <c:pt idx="39">
                  <c:v>53</c:v>
                </c:pt>
                <c:pt idx="40">
                  <c:v>53</c:v>
                </c:pt>
                <c:pt idx="41">
                  <c:v>53</c:v>
                </c:pt>
                <c:pt idx="42">
                  <c:v>53</c:v>
                </c:pt>
                <c:pt idx="43">
                  <c:v>53</c:v>
                </c:pt>
                <c:pt idx="44">
                  <c:v>53</c:v>
                </c:pt>
                <c:pt idx="45">
                  <c:v>53</c:v>
                </c:pt>
                <c:pt idx="46">
                  <c:v>53</c:v>
                </c:pt>
                <c:pt idx="47">
                  <c:v>53</c:v>
                </c:pt>
                <c:pt idx="48">
                  <c:v>53</c:v>
                </c:pt>
                <c:pt idx="49">
                  <c:v>53</c:v>
                </c:pt>
                <c:pt idx="50">
                  <c:v>53</c:v>
                </c:pt>
                <c:pt idx="51">
                  <c:v>53</c:v>
                </c:pt>
                <c:pt idx="52">
                  <c:v>53</c:v>
                </c:pt>
                <c:pt idx="53">
                  <c:v>53</c:v>
                </c:pt>
                <c:pt idx="54">
                  <c:v>53</c:v>
                </c:pt>
                <c:pt idx="55">
                  <c:v>53</c:v>
                </c:pt>
                <c:pt idx="56">
                  <c:v>53</c:v>
                </c:pt>
                <c:pt idx="57">
                  <c:v>53</c:v>
                </c:pt>
                <c:pt idx="58">
                  <c:v>53</c:v>
                </c:pt>
                <c:pt idx="59">
                  <c:v>53</c:v>
                </c:pt>
                <c:pt idx="60">
                  <c:v>53</c:v>
                </c:pt>
                <c:pt idx="61">
                  <c:v>53</c:v>
                </c:pt>
                <c:pt idx="62">
                  <c:v>53</c:v>
                </c:pt>
                <c:pt idx="63">
                  <c:v>53</c:v>
                </c:pt>
                <c:pt idx="64">
                  <c:v>53</c:v>
                </c:pt>
                <c:pt idx="65">
                  <c:v>53</c:v>
                </c:pt>
                <c:pt idx="66">
                  <c:v>53</c:v>
                </c:pt>
                <c:pt idx="67">
                  <c:v>53</c:v>
                </c:pt>
                <c:pt idx="68">
                  <c:v>53</c:v>
                </c:pt>
                <c:pt idx="69">
                  <c:v>53</c:v>
                </c:pt>
                <c:pt idx="70">
                  <c:v>53</c:v>
                </c:pt>
                <c:pt idx="71">
                  <c:v>53</c:v>
                </c:pt>
                <c:pt idx="72">
                  <c:v>53</c:v>
                </c:pt>
                <c:pt idx="73">
                  <c:v>53</c:v>
                </c:pt>
                <c:pt idx="74">
                  <c:v>53</c:v>
                </c:pt>
                <c:pt idx="75">
                  <c:v>53</c:v>
                </c:pt>
                <c:pt idx="76">
                  <c:v>53</c:v>
                </c:pt>
                <c:pt idx="77">
                  <c:v>53</c:v>
                </c:pt>
                <c:pt idx="78">
                  <c:v>53</c:v>
                </c:pt>
                <c:pt idx="79">
                  <c:v>53</c:v>
                </c:pt>
                <c:pt idx="80">
                  <c:v>53</c:v>
                </c:pt>
                <c:pt idx="81">
                  <c:v>53</c:v>
                </c:pt>
                <c:pt idx="82">
                  <c:v>53</c:v>
                </c:pt>
                <c:pt idx="83">
                  <c:v>53</c:v>
                </c:pt>
                <c:pt idx="84">
                  <c:v>53</c:v>
                </c:pt>
                <c:pt idx="85">
                  <c:v>53</c:v>
                </c:pt>
                <c:pt idx="86">
                  <c:v>53</c:v>
                </c:pt>
                <c:pt idx="87">
                  <c:v>53</c:v>
                </c:pt>
                <c:pt idx="88">
                  <c:v>53</c:v>
                </c:pt>
                <c:pt idx="89">
                  <c:v>53</c:v>
                </c:pt>
                <c:pt idx="90">
                  <c:v>53</c:v>
                </c:pt>
                <c:pt idx="91">
                  <c:v>53</c:v>
                </c:pt>
                <c:pt idx="92">
                  <c:v>53</c:v>
                </c:pt>
                <c:pt idx="93">
                  <c:v>53</c:v>
                </c:pt>
                <c:pt idx="94">
                  <c:v>53</c:v>
                </c:pt>
                <c:pt idx="95">
                  <c:v>53</c:v>
                </c:pt>
                <c:pt idx="96">
                  <c:v>53</c:v>
                </c:pt>
                <c:pt idx="97">
                  <c:v>53</c:v>
                </c:pt>
                <c:pt idx="98">
                  <c:v>53</c:v>
                </c:pt>
                <c:pt idx="99">
                  <c:v>53</c:v>
                </c:pt>
                <c:pt idx="100">
                  <c:v>53</c:v>
                </c:pt>
                <c:pt idx="101">
                  <c:v>53</c:v>
                </c:pt>
                <c:pt idx="102">
                  <c:v>53</c:v>
                </c:pt>
                <c:pt idx="103">
                  <c:v>53</c:v>
                </c:pt>
                <c:pt idx="104">
                  <c:v>53</c:v>
                </c:pt>
                <c:pt idx="105">
                  <c:v>53</c:v>
                </c:pt>
                <c:pt idx="106">
                  <c:v>53</c:v>
                </c:pt>
                <c:pt idx="107">
                  <c:v>53</c:v>
                </c:pt>
                <c:pt idx="108">
                  <c:v>53</c:v>
                </c:pt>
                <c:pt idx="109">
                  <c:v>53</c:v>
                </c:pt>
                <c:pt idx="110">
                  <c:v>53</c:v>
                </c:pt>
                <c:pt idx="111">
                  <c:v>53</c:v>
                </c:pt>
                <c:pt idx="112">
                  <c:v>53</c:v>
                </c:pt>
                <c:pt idx="113">
                  <c:v>53</c:v>
                </c:pt>
                <c:pt idx="114">
                  <c:v>53</c:v>
                </c:pt>
                <c:pt idx="115">
                  <c:v>53</c:v>
                </c:pt>
                <c:pt idx="116">
                  <c:v>53</c:v>
                </c:pt>
                <c:pt idx="117">
                  <c:v>53</c:v>
                </c:pt>
                <c:pt idx="118">
                  <c:v>53</c:v>
                </c:pt>
                <c:pt idx="119">
                  <c:v>53</c:v>
                </c:pt>
                <c:pt idx="120">
                  <c:v>53</c:v>
                </c:pt>
                <c:pt idx="121">
                  <c:v>53</c:v>
                </c:pt>
                <c:pt idx="122">
                  <c:v>53</c:v>
                </c:pt>
                <c:pt idx="123">
                  <c:v>53</c:v>
                </c:pt>
                <c:pt idx="124">
                  <c:v>53</c:v>
                </c:pt>
                <c:pt idx="125">
                  <c:v>53</c:v>
                </c:pt>
                <c:pt idx="126">
                  <c:v>53</c:v>
                </c:pt>
                <c:pt idx="127">
                  <c:v>53</c:v>
                </c:pt>
                <c:pt idx="128">
                  <c:v>53</c:v>
                </c:pt>
                <c:pt idx="129">
                  <c:v>53</c:v>
                </c:pt>
                <c:pt idx="130">
                  <c:v>53</c:v>
                </c:pt>
                <c:pt idx="131">
                  <c:v>53</c:v>
                </c:pt>
                <c:pt idx="132">
                  <c:v>53</c:v>
                </c:pt>
                <c:pt idx="133">
                  <c:v>53</c:v>
                </c:pt>
                <c:pt idx="134">
                  <c:v>53</c:v>
                </c:pt>
                <c:pt idx="135">
                  <c:v>53</c:v>
                </c:pt>
                <c:pt idx="136">
                  <c:v>53</c:v>
                </c:pt>
                <c:pt idx="137">
                  <c:v>53</c:v>
                </c:pt>
                <c:pt idx="138">
                  <c:v>53</c:v>
                </c:pt>
                <c:pt idx="139">
                  <c:v>53</c:v>
                </c:pt>
                <c:pt idx="140">
                  <c:v>53</c:v>
                </c:pt>
              </c:numCache>
            </c:numRef>
          </c:val>
          <c:smooth val="0"/>
        </c:ser>
        <c:dLbls>
          <c:showLegendKey val="0"/>
          <c:showVal val="0"/>
          <c:showCatName val="0"/>
          <c:showSerName val="0"/>
          <c:showPercent val="0"/>
          <c:showBubbleSize val="0"/>
        </c:dLbls>
        <c:marker val="1"/>
        <c:smooth val="0"/>
        <c:axId val="275597952"/>
        <c:axId val="275603840"/>
      </c:lineChart>
      <c:dateAx>
        <c:axId val="275594624"/>
        <c:scaling>
          <c:orientation val="minMax"/>
        </c:scaling>
        <c:delete val="0"/>
        <c:axPos val="b"/>
        <c:numFmt formatCode="m/d/yy" sourceLinked="0"/>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5596416"/>
        <c:crosses val="autoZero"/>
        <c:auto val="0"/>
        <c:lblOffset val="100"/>
        <c:baseTimeUnit val="days"/>
        <c:majorUnit val="7"/>
      </c:dateAx>
      <c:valAx>
        <c:axId val="275596416"/>
        <c:scaling>
          <c:orientation val="minMax"/>
          <c:max val="38"/>
          <c:min val="31"/>
        </c:scaling>
        <c:delete val="0"/>
        <c:axPos val="l"/>
        <c:numFmt formatCode="0.00" sourceLinked="1"/>
        <c:majorTickMark val="out"/>
        <c:minorTickMark val="none"/>
        <c:tickLblPos val="nextTo"/>
        <c:txPr>
          <a:bodyPr/>
          <a:lstStyle/>
          <a:p>
            <a:pPr>
              <a:defRPr>
                <a:latin typeface="Times New Roman" pitchFamily="18" charset="0"/>
                <a:cs typeface="Times New Roman" pitchFamily="18" charset="0"/>
              </a:defRPr>
            </a:pPr>
            <a:endParaRPr lang="zh-TW"/>
          </a:p>
        </c:txPr>
        <c:crossAx val="275594624"/>
        <c:crosses val="autoZero"/>
        <c:crossBetween val="between"/>
      </c:valAx>
      <c:catAx>
        <c:axId val="275597952"/>
        <c:scaling>
          <c:orientation val="minMax"/>
        </c:scaling>
        <c:delete val="1"/>
        <c:axPos val="b"/>
        <c:numFmt formatCode="General" sourceLinked="1"/>
        <c:majorTickMark val="out"/>
        <c:minorTickMark val="none"/>
        <c:tickLblPos val="nextTo"/>
        <c:crossAx val="275603840"/>
        <c:crosses val="autoZero"/>
        <c:auto val="1"/>
        <c:lblAlgn val="ctr"/>
        <c:lblOffset val="100"/>
        <c:noMultiLvlLbl val="0"/>
      </c:catAx>
      <c:valAx>
        <c:axId val="275603840"/>
        <c:scaling>
          <c:orientation val="minMax"/>
          <c:max val="55"/>
          <c:min val="50"/>
        </c:scaling>
        <c:delete val="0"/>
        <c:axPos val="r"/>
        <c:numFmt formatCode="0.00" sourceLinked="1"/>
        <c:majorTickMark val="out"/>
        <c:minorTickMark val="none"/>
        <c:tickLblPos val="nextTo"/>
        <c:crossAx val="275597952"/>
        <c:crosses val="max"/>
        <c:crossBetween val="between"/>
      </c:valAx>
      <c:spPr>
        <a:noFill/>
        <a:ln w="25400">
          <a:noFill/>
        </a:ln>
      </c:spPr>
    </c:plotArea>
    <c:legend>
      <c:legendPos val="r"/>
      <c:layout>
        <c:manualLayout>
          <c:xMode val="edge"/>
          <c:yMode val="edge"/>
          <c:x val="0.17228839471526022"/>
          <c:y val="2.2330865769633876E-2"/>
          <c:w val="0.7143140220055274"/>
          <c:h val="8.0744919110050134E-2"/>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2101380915585415E-2"/>
          <c:y val="0.12863814050022429"/>
          <c:w val="0.8453969954538344"/>
          <c:h val="0.64360414517626097"/>
        </c:manualLayout>
      </c:layout>
      <c:lineChart>
        <c:grouping val="standard"/>
        <c:varyColors val="0"/>
        <c:ser>
          <c:idx val="0"/>
          <c:order val="0"/>
          <c:tx>
            <c:strRef>
              <c:f>飲料!$D$2</c:f>
              <c:strCache>
                <c:ptCount val="1"/>
                <c:pt idx="0">
                  <c:v>超市－茶裏王</c:v>
                </c:pt>
              </c:strCache>
            </c:strRef>
          </c:tx>
          <c:spPr>
            <a:ln w="28575" cap="rnd">
              <a:solidFill>
                <a:schemeClr val="accent1"/>
              </a:solidFill>
              <a:round/>
            </a:ln>
            <a:effectLst/>
          </c:spPr>
          <c:marker>
            <c:symbol val="none"/>
          </c:marker>
          <c:cat>
            <c:strRef>
              <c:f>飲料!$A$32:$A$173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飲料!$D$32:$D$173</c:f>
              <c:numCache>
                <c:formatCode>0.00</c:formatCode>
                <c:ptCount val="142"/>
                <c:pt idx="0">
                  <c:v>17.333333333333332</c:v>
                </c:pt>
                <c:pt idx="1">
                  <c:v>17.399999999999999</c:v>
                </c:pt>
                <c:pt idx="2">
                  <c:v>17.329999999999998</c:v>
                </c:pt>
                <c:pt idx="3">
                  <c:v>17</c:v>
                </c:pt>
                <c:pt idx="4">
                  <c:v>17.13</c:v>
                </c:pt>
                <c:pt idx="5">
                  <c:v>17.2</c:v>
                </c:pt>
                <c:pt idx="6">
                  <c:v>18.233333333333334</c:v>
                </c:pt>
                <c:pt idx="7">
                  <c:v>16.730666666666664</c:v>
                </c:pt>
                <c:pt idx="8">
                  <c:v>17.266666666666666</c:v>
                </c:pt>
                <c:pt idx="9">
                  <c:v>16.84375</c:v>
                </c:pt>
                <c:pt idx="10">
                  <c:v>16.882352941176471</c:v>
                </c:pt>
                <c:pt idx="11">
                  <c:v>16.882352941176471</c:v>
                </c:pt>
                <c:pt idx="12">
                  <c:v>16.519411764705882</c:v>
                </c:pt>
                <c:pt idx="13">
                  <c:v>16.764705882352942</c:v>
                </c:pt>
                <c:pt idx="14">
                  <c:v>16.647058823529413</c:v>
                </c:pt>
                <c:pt idx="15">
                  <c:v>16.735294117647058</c:v>
                </c:pt>
                <c:pt idx="16">
                  <c:v>16.558823529411764</c:v>
                </c:pt>
                <c:pt idx="17">
                  <c:v>16.805555555555557</c:v>
                </c:pt>
                <c:pt idx="18">
                  <c:v>16.638888888888889</c:v>
                </c:pt>
                <c:pt idx="19">
                  <c:v>17</c:v>
                </c:pt>
                <c:pt idx="20">
                  <c:v>16.416666666666668</c:v>
                </c:pt>
                <c:pt idx="21">
                  <c:v>16.25</c:v>
                </c:pt>
                <c:pt idx="22">
                  <c:v>16.583333333333332</c:v>
                </c:pt>
                <c:pt idx="23">
                  <c:v>16.903703703703702</c:v>
                </c:pt>
                <c:pt idx="24">
                  <c:v>16.32037037037037</c:v>
                </c:pt>
                <c:pt idx="25">
                  <c:v>16.073703703703703</c:v>
                </c:pt>
                <c:pt idx="26">
                  <c:v>16.184814814814814</c:v>
                </c:pt>
                <c:pt idx="27">
                  <c:v>16.342592592592592</c:v>
                </c:pt>
                <c:pt idx="28">
                  <c:v>16.120370370370367</c:v>
                </c:pt>
                <c:pt idx="29">
                  <c:v>16.611111111111111</c:v>
                </c:pt>
                <c:pt idx="30">
                  <c:v>16.611111111111111</c:v>
                </c:pt>
                <c:pt idx="31">
                  <c:v>16.722222222222221</c:v>
                </c:pt>
                <c:pt idx="32">
                  <c:v>16.777777777777779</c:v>
                </c:pt>
                <c:pt idx="33">
                  <c:v>16.5</c:v>
                </c:pt>
                <c:pt idx="34">
                  <c:v>16.529411764705884</c:v>
                </c:pt>
                <c:pt idx="35">
                  <c:v>16.788888888888888</c:v>
                </c:pt>
                <c:pt idx="36">
                  <c:v>16.733333333333334</c:v>
                </c:pt>
                <c:pt idx="37">
                  <c:v>16.524999999999999</c:v>
                </c:pt>
                <c:pt idx="38">
                  <c:v>16</c:v>
                </c:pt>
                <c:pt idx="39">
                  <c:v>16.722222222222221</c:v>
                </c:pt>
                <c:pt idx="40">
                  <c:v>17.416666666666668</c:v>
                </c:pt>
                <c:pt idx="41">
                  <c:v>16.611111111111111</c:v>
                </c:pt>
                <c:pt idx="42">
                  <c:v>16.611111111111111</c:v>
                </c:pt>
                <c:pt idx="43">
                  <c:v>16.861111111111111</c:v>
                </c:pt>
                <c:pt idx="44">
                  <c:v>16.5</c:v>
                </c:pt>
                <c:pt idx="45">
                  <c:v>16.611111111111111</c:v>
                </c:pt>
                <c:pt idx="46">
                  <c:v>16.611111111111111</c:v>
                </c:pt>
                <c:pt idx="47">
                  <c:v>16.555555555555557</c:v>
                </c:pt>
                <c:pt idx="48">
                  <c:v>16.434999999999999</c:v>
                </c:pt>
                <c:pt idx="49">
                  <c:v>16.546111111111109</c:v>
                </c:pt>
                <c:pt idx="50">
                  <c:v>16.823888888888888</c:v>
                </c:pt>
                <c:pt idx="51">
                  <c:v>17.222222222222221</c:v>
                </c:pt>
                <c:pt idx="52">
                  <c:v>16.768333333333331</c:v>
                </c:pt>
                <c:pt idx="53">
                  <c:v>17</c:v>
                </c:pt>
                <c:pt idx="54">
                  <c:v>16.941176470588236</c:v>
                </c:pt>
                <c:pt idx="55">
                  <c:v>16.861111111111111</c:v>
                </c:pt>
                <c:pt idx="56">
                  <c:v>17.055555555555557</c:v>
                </c:pt>
                <c:pt idx="57">
                  <c:v>17</c:v>
                </c:pt>
                <c:pt idx="58">
                  <c:v>16.944444444444443</c:v>
                </c:pt>
                <c:pt idx="59">
                  <c:v>17.294117647058822</c:v>
                </c:pt>
                <c:pt idx="60">
                  <c:v>17.048823529411763</c:v>
                </c:pt>
                <c:pt idx="61">
                  <c:v>17.235294117647058</c:v>
                </c:pt>
                <c:pt idx="62">
                  <c:v>17.235294117647058</c:v>
                </c:pt>
                <c:pt idx="63">
                  <c:v>17.058823529411764</c:v>
                </c:pt>
                <c:pt idx="64">
                  <c:v>16.701666666666668</c:v>
                </c:pt>
                <c:pt idx="65">
                  <c:v>16.822222222222223</c:v>
                </c:pt>
                <c:pt idx="66">
                  <c:v>16.988235294117647</c:v>
                </c:pt>
                <c:pt idx="67">
                  <c:v>16.592407407407407</c:v>
                </c:pt>
                <c:pt idx="68">
                  <c:v>16.536850000000001</c:v>
                </c:pt>
                <c:pt idx="69">
                  <c:v>16.647962962962961</c:v>
                </c:pt>
                <c:pt idx="70">
                  <c:v>16.647962962962961</c:v>
                </c:pt>
                <c:pt idx="71">
                  <c:v>17</c:v>
                </c:pt>
                <c:pt idx="72">
                  <c:v>17</c:v>
                </c:pt>
                <c:pt idx="73">
                  <c:v>16.592407407407407</c:v>
                </c:pt>
                <c:pt idx="74">
                  <c:v>16.490740740740744</c:v>
                </c:pt>
                <c:pt idx="75">
                  <c:v>16.453333333333333</c:v>
                </c:pt>
                <c:pt idx="76">
                  <c:v>16.479999999999997</c:v>
                </c:pt>
                <c:pt idx="77">
                  <c:v>16.25001851851852</c:v>
                </c:pt>
                <c:pt idx="78">
                  <c:v>16.62962962962963</c:v>
                </c:pt>
                <c:pt idx="79">
                  <c:v>16.833333333333332</c:v>
                </c:pt>
                <c:pt idx="80">
                  <c:v>16.888888888888889</c:v>
                </c:pt>
                <c:pt idx="81">
                  <c:v>17.444444444444443</c:v>
                </c:pt>
                <c:pt idx="82">
                  <c:v>16.981296296296293</c:v>
                </c:pt>
                <c:pt idx="83">
                  <c:v>16.490740740740744</c:v>
                </c:pt>
                <c:pt idx="84">
                  <c:v>17</c:v>
                </c:pt>
                <c:pt idx="85">
                  <c:v>16.582962962962963</c:v>
                </c:pt>
                <c:pt idx="86">
                  <c:v>16.582962962962963</c:v>
                </c:pt>
                <c:pt idx="87">
                  <c:v>16.925740740740739</c:v>
                </c:pt>
                <c:pt idx="88">
                  <c:v>16.870185185185182</c:v>
                </c:pt>
                <c:pt idx="89">
                  <c:v>16.694444444444443</c:v>
                </c:pt>
                <c:pt idx="90">
                  <c:v>16.694444444444443</c:v>
                </c:pt>
                <c:pt idx="91">
                  <c:v>16.805555555555557</c:v>
                </c:pt>
                <c:pt idx="92">
                  <c:v>16.805555555555557</c:v>
                </c:pt>
                <c:pt idx="93">
                  <c:v>16.972222222222221</c:v>
                </c:pt>
                <c:pt idx="94">
                  <c:v>17.444444444444443</c:v>
                </c:pt>
                <c:pt idx="95">
                  <c:v>16.833333333333336</c:v>
                </c:pt>
                <c:pt idx="96">
                  <c:v>16.464814814814815</c:v>
                </c:pt>
                <c:pt idx="97">
                  <c:v>16.882352941176471</c:v>
                </c:pt>
                <c:pt idx="98">
                  <c:v>17.072916666666664</c:v>
                </c:pt>
                <c:pt idx="99">
                  <c:v>16.864374999999999</c:v>
                </c:pt>
                <c:pt idx="100">
                  <c:v>16.926874999999999</c:v>
                </c:pt>
                <c:pt idx="101">
                  <c:v>16.546875</c:v>
                </c:pt>
                <c:pt idx="102">
                  <c:v>17.220588235294116</c:v>
                </c:pt>
                <c:pt idx="103">
                  <c:v>17.294117647058822</c:v>
                </c:pt>
                <c:pt idx="104">
                  <c:v>16.705882352941178</c:v>
                </c:pt>
                <c:pt idx="105">
                  <c:v>17</c:v>
                </c:pt>
                <c:pt idx="106">
                  <c:v>17.058823529411764</c:v>
                </c:pt>
                <c:pt idx="107">
                  <c:v>16.8125</c:v>
                </c:pt>
                <c:pt idx="108">
                  <c:v>16.823529411764707</c:v>
                </c:pt>
                <c:pt idx="109">
                  <c:v>16.764705882352942</c:v>
                </c:pt>
                <c:pt idx="110">
                  <c:v>16.393750000000001</c:v>
                </c:pt>
                <c:pt idx="111">
                  <c:v>16.445833333333333</c:v>
                </c:pt>
                <c:pt idx="112">
                  <c:v>16.520833333333332</c:v>
                </c:pt>
                <c:pt idx="113">
                  <c:v>16.794117647058822</c:v>
                </c:pt>
                <c:pt idx="114">
                  <c:v>16.78125</c:v>
                </c:pt>
                <c:pt idx="115">
                  <c:v>16.009607843137253</c:v>
                </c:pt>
                <c:pt idx="116">
                  <c:v>16.5</c:v>
                </c:pt>
                <c:pt idx="117">
                  <c:v>16.40625</c:v>
                </c:pt>
                <c:pt idx="118">
                  <c:v>16.71875</c:v>
                </c:pt>
                <c:pt idx="119">
                  <c:v>16.617647058823529</c:v>
                </c:pt>
                <c:pt idx="120">
                  <c:v>16.911764705882351</c:v>
                </c:pt>
                <c:pt idx="121">
                  <c:v>16.84375</c:v>
                </c:pt>
                <c:pt idx="122">
                  <c:v>16.911764705882351</c:v>
                </c:pt>
                <c:pt idx="123">
                  <c:v>16.489999999999998</c:v>
                </c:pt>
                <c:pt idx="124">
                  <c:v>16.294117647058822</c:v>
                </c:pt>
                <c:pt idx="125">
                  <c:v>16.147058823529413</c:v>
                </c:pt>
                <c:pt idx="126">
                  <c:v>16.617647058823529</c:v>
                </c:pt>
                <c:pt idx="127">
                  <c:v>16.382352941176471</c:v>
                </c:pt>
                <c:pt idx="128">
                  <c:v>16.382352941176471</c:v>
                </c:pt>
                <c:pt idx="129">
                  <c:v>16.147058823529413</c:v>
                </c:pt>
                <c:pt idx="130">
                  <c:v>16.125</c:v>
                </c:pt>
                <c:pt idx="131">
                  <c:v>16.125</c:v>
                </c:pt>
                <c:pt idx="132">
                  <c:v>16.53125</c:v>
                </c:pt>
                <c:pt idx="133">
                  <c:v>16.625</c:v>
                </c:pt>
                <c:pt idx="134">
                  <c:v>16.6875</c:v>
                </c:pt>
                <c:pt idx="135">
                  <c:v>16.396041666666669</c:v>
                </c:pt>
                <c:pt idx="136">
                  <c:v>16.6875</c:v>
                </c:pt>
                <c:pt idx="137">
                  <c:v>16.75</c:v>
                </c:pt>
                <c:pt idx="138">
                  <c:v>16.6875</c:v>
                </c:pt>
                <c:pt idx="139">
                  <c:v>16.4375</c:v>
                </c:pt>
                <c:pt idx="140">
                  <c:v>16.8</c:v>
                </c:pt>
                <c:pt idx="141">
                  <c:v>16.75</c:v>
                </c:pt>
              </c:numCache>
            </c:numRef>
          </c:val>
          <c:smooth val="0"/>
        </c:ser>
        <c:ser>
          <c:idx val="2"/>
          <c:order val="2"/>
          <c:tx>
            <c:strRef>
              <c:f>飲料!$F$2</c:f>
              <c:strCache>
                <c:ptCount val="1"/>
                <c:pt idx="0">
                  <c:v>量販店－茶裏王</c:v>
                </c:pt>
              </c:strCache>
            </c:strRef>
          </c:tx>
          <c:spPr>
            <a:ln w="28575" cap="rnd">
              <a:solidFill>
                <a:schemeClr val="accent3"/>
              </a:solidFill>
              <a:prstDash val="solid"/>
              <a:round/>
            </a:ln>
            <a:effectLst/>
          </c:spPr>
          <c:marker>
            <c:symbol val="none"/>
          </c:marker>
          <c:cat>
            <c:strRef>
              <c:f>飲料!$A$32:$A$173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飲料!$F$32:$F$173</c:f>
              <c:numCache>
                <c:formatCode>0.00</c:formatCode>
                <c:ptCount val="142"/>
                <c:pt idx="0">
                  <c:v>14.870370370370368</c:v>
                </c:pt>
                <c:pt idx="1">
                  <c:v>15.059259259259257</c:v>
                </c:pt>
                <c:pt idx="2">
                  <c:v>14.99</c:v>
                </c:pt>
                <c:pt idx="3">
                  <c:v>15.06</c:v>
                </c:pt>
                <c:pt idx="4">
                  <c:v>15.21</c:v>
                </c:pt>
                <c:pt idx="5">
                  <c:v>15.2</c:v>
                </c:pt>
                <c:pt idx="6">
                  <c:v>15.099999999999998</c:v>
                </c:pt>
                <c:pt idx="7">
                  <c:v>15.333333333333334</c:v>
                </c:pt>
                <c:pt idx="8">
                  <c:v>15.544444444444443</c:v>
                </c:pt>
                <c:pt idx="9">
                  <c:v>15.644444444444446</c:v>
                </c:pt>
                <c:pt idx="10">
                  <c:v>15.513299999999997</c:v>
                </c:pt>
                <c:pt idx="11">
                  <c:v>15.612090909090909</c:v>
                </c:pt>
                <c:pt idx="12">
                  <c:v>15.430272727272728</c:v>
                </c:pt>
                <c:pt idx="13">
                  <c:v>14.496700000000001</c:v>
                </c:pt>
                <c:pt idx="14">
                  <c:v>14.9833</c:v>
                </c:pt>
                <c:pt idx="15">
                  <c:v>14.906600000000001</c:v>
                </c:pt>
                <c:pt idx="16">
                  <c:v>14.766625000000001</c:v>
                </c:pt>
                <c:pt idx="17">
                  <c:v>14.813300000000002</c:v>
                </c:pt>
                <c:pt idx="18">
                  <c:v>14.836700000000002</c:v>
                </c:pt>
                <c:pt idx="19">
                  <c:v>15.146600000000001</c:v>
                </c:pt>
                <c:pt idx="20">
                  <c:v>14.716699999999999</c:v>
                </c:pt>
                <c:pt idx="21">
                  <c:v>15.083299999999999</c:v>
                </c:pt>
                <c:pt idx="22">
                  <c:v>15.083299999999999</c:v>
                </c:pt>
                <c:pt idx="23">
                  <c:v>14.6067</c:v>
                </c:pt>
                <c:pt idx="24">
                  <c:v>14.416700000000001</c:v>
                </c:pt>
                <c:pt idx="25">
                  <c:v>14.406700000000001</c:v>
                </c:pt>
                <c:pt idx="26">
                  <c:v>14.406700000000001</c:v>
                </c:pt>
                <c:pt idx="27">
                  <c:v>14.7</c:v>
                </c:pt>
                <c:pt idx="28">
                  <c:v>14.924999999999999</c:v>
                </c:pt>
                <c:pt idx="29">
                  <c:v>15.01</c:v>
                </c:pt>
                <c:pt idx="30">
                  <c:v>14.853299999999999</c:v>
                </c:pt>
                <c:pt idx="31">
                  <c:v>15.2463</c:v>
                </c:pt>
                <c:pt idx="32">
                  <c:v>15.140333333333334</c:v>
                </c:pt>
                <c:pt idx="33">
                  <c:v>15.613300000000001</c:v>
                </c:pt>
                <c:pt idx="34">
                  <c:v>15.503666666666668</c:v>
                </c:pt>
                <c:pt idx="35">
                  <c:v>15.3833</c:v>
                </c:pt>
                <c:pt idx="36">
                  <c:v>15.793299999999999</c:v>
                </c:pt>
                <c:pt idx="37">
                  <c:v>14.749633333333332</c:v>
                </c:pt>
                <c:pt idx="38">
                  <c:v>14.629633333333334</c:v>
                </c:pt>
                <c:pt idx="39">
                  <c:v>15.283300000000001</c:v>
                </c:pt>
                <c:pt idx="40">
                  <c:v>15.4833</c:v>
                </c:pt>
                <c:pt idx="41">
                  <c:v>15.2333</c:v>
                </c:pt>
                <c:pt idx="42">
                  <c:v>15.153300000000002</c:v>
                </c:pt>
                <c:pt idx="43">
                  <c:v>15.253300000000001</c:v>
                </c:pt>
                <c:pt idx="44">
                  <c:v>15.003299999999999</c:v>
                </c:pt>
                <c:pt idx="45">
                  <c:v>14.803300000000002</c:v>
                </c:pt>
                <c:pt idx="46">
                  <c:v>14.229366666666667</c:v>
                </c:pt>
                <c:pt idx="47">
                  <c:v>14.499366666666665</c:v>
                </c:pt>
                <c:pt idx="48">
                  <c:v>14.679366666666667</c:v>
                </c:pt>
                <c:pt idx="49">
                  <c:v>14.359366666666665</c:v>
                </c:pt>
                <c:pt idx="50">
                  <c:v>15.306700000000001</c:v>
                </c:pt>
                <c:pt idx="51">
                  <c:v>15.586700000000002</c:v>
                </c:pt>
                <c:pt idx="52">
                  <c:v>14.886699999999999</c:v>
                </c:pt>
                <c:pt idx="53">
                  <c:v>15.173366666666666</c:v>
                </c:pt>
                <c:pt idx="54">
                  <c:v>15.789966666666666</c:v>
                </c:pt>
                <c:pt idx="55">
                  <c:v>14.739633333333334</c:v>
                </c:pt>
                <c:pt idx="56">
                  <c:v>14.739633333333334</c:v>
                </c:pt>
                <c:pt idx="57">
                  <c:v>15.009633333333335</c:v>
                </c:pt>
                <c:pt idx="58">
                  <c:v>15.212633333333333</c:v>
                </c:pt>
                <c:pt idx="59">
                  <c:v>15.392966666666666</c:v>
                </c:pt>
                <c:pt idx="60">
                  <c:v>14.849633333333333</c:v>
                </c:pt>
                <c:pt idx="61">
                  <c:v>14.819633333333334</c:v>
                </c:pt>
                <c:pt idx="62">
                  <c:v>14.779633333333333</c:v>
                </c:pt>
                <c:pt idx="63">
                  <c:v>14.903296259259257</c:v>
                </c:pt>
                <c:pt idx="64">
                  <c:v>15.072966666666668</c:v>
                </c:pt>
                <c:pt idx="65">
                  <c:v>14.956300000000002</c:v>
                </c:pt>
                <c:pt idx="66">
                  <c:v>14.556300000000002</c:v>
                </c:pt>
                <c:pt idx="67">
                  <c:v>14.973666666666666</c:v>
                </c:pt>
                <c:pt idx="68">
                  <c:v>15.2563</c:v>
                </c:pt>
                <c:pt idx="69">
                  <c:v>15.256300000000001</c:v>
                </c:pt>
                <c:pt idx="70">
                  <c:v>15.346299999999999</c:v>
                </c:pt>
                <c:pt idx="71">
                  <c:v>15.256300000000001</c:v>
                </c:pt>
                <c:pt idx="72">
                  <c:v>14.9697</c:v>
                </c:pt>
                <c:pt idx="73">
                  <c:v>14.669366666666667</c:v>
                </c:pt>
                <c:pt idx="74">
                  <c:v>14.602699999999999</c:v>
                </c:pt>
                <c:pt idx="75">
                  <c:v>14.602699999999999</c:v>
                </c:pt>
                <c:pt idx="76">
                  <c:v>14.225222222222222</c:v>
                </c:pt>
                <c:pt idx="77">
                  <c:v>15.036366666666666</c:v>
                </c:pt>
                <c:pt idx="78">
                  <c:v>14.869366666666668</c:v>
                </c:pt>
                <c:pt idx="79">
                  <c:v>14.996366666666665</c:v>
                </c:pt>
                <c:pt idx="80">
                  <c:v>15.276300000000001</c:v>
                </c:pt>
                <c:pt idx="81">
                  <c:v>15.2163</c:v>
                </c:pt>
                <c:pt idx="82">
                  <c:v>15.392966666666666</c:v>
                </c:pt>
                <c:pt idx="83">
                  <c:v>15.376300000000001</c:v>
                </c:pt>
                <c:pt idx="84">
                  <c:v>15.426300000000001</c:v>
                </c:pt>
                <c:pt idx="85">
                  <c:v>15.3263</c:v>
                </c:pt>
                <c:pt idx="86">
                  <c:v>15.376300000000001</c:v>
                </c:pt>
                <c:pt idx="87">
                  <c:v>15.4763</c:v>
                </c:pt>
                <c:pt idx="88">
                  <c:v>15.509633333333335</c:v>
                </c:pt>
                <c:pt idx="89">
                  <c:v>15.2463</c:v>
                </c:pt>
                <c:pt idx="90">
                  <c:v>15.592633333333334</c:v>
                </c:pt>
                <c:pt idx="91">
                  <c:v>15.282633333333333</c:v>
                </c:pt>
                <c:pt idx="92">
                  <c:v>15.426300000000001</c:v>
                </c:pt>
                <c:pt idx="93">
                  <c:v>15.526300000000001</c:v>
                </c:pt>
                <c:pt idx="94">
                  <c:v>15.309633333333334</c:v>
                </c:pt>
                <c:pt idx="95">
                  <c:v>15.2597</c:v>
                </c:pt>
                <c:pt idx="96">
                  <c:v>15.059700000000001</c:v>
                </c:pt>
                <c:pt idx="97">
                  <c:v>14.6227</c:v>
                </c:pt>
                <c:pt idx="98">
                  <c:v>15.719363636363637</c:v>
                </c:pt>
                <c:pt idx="99">
                  <c:v>15.145121212121213</c:v>
                </c:pt>
                <c:pt idx="100">
                  <c:v>15.236030303030304</c:v>
                </c:pt>
                <c:pt idx="101">
                  <c:v>15.209633333333334</c:v>
                </c:pt>
                <c:pt idx="102">
                  <c:v>15.281484848484849</c:v>
                </c:pt>
                <c:pt idx="103">
                  <c:v>15.126939393939393</c:v>
                </c:pt>
                <c:pt idx="104">
                  <c:v>15.109633333333335</c:v>
                </c:pt>
                <c:pt idx="105">
                  <c:v>14.947848484848485</c:v>
                </c:pt>
                <c:pt idx="106">
                  <c:v>15.008454545454544</c:v>
                </c:pt>
                <c:pt idx="107">
                  <c:v>15.390272727272729</c:v>
                </c:pt>
                <c:pt idx="108">
                  <c:v>15.93451515151515</c:v>
                </c:pt>
                <c:pt idx="109">
                  <c:v>14.959969696969695</c:v>
                </c:pt>
                <c:pt idx="110">
                  <c:v>14.732727272727272</c:v>
                </c:pt>
                <c:pt idx="111">
                  <c:v>14.857272727272727</c:v>
                </c:pt>
                <c:pt idx="112">
                  <c:v>16.280030303030305</c:v>
                </c:pt>
                <c:pt idx="113">
                  <c:v>16.643636363636364</c:v>
                </c:pt>
                <c:pt idx="114">
                  <c:v>15.472090909090911</c:v>
                </c:pt>
                <c:pt idx="115">
                  <c:v>15.402727272727274</c:v>
                </c:pt>
                <c:pt idx="116">
                  <c:v>15.042121212121213</c:v>
                </c:pt>
                <c:pt idx="117">
                  <c:v>14.844818181818182</c:v>
                </c:pt>
                <c:pt idx="118">
                  <c:v>15.008787878787878</c:v>
                </c:pt>
                <c:pt idx="119">
                  <c:v>15.042121212121213</c:v>
                </c:pt>
                <c:pt idx="120">
                  <c:v>14.951212121212121</c:v>
                </c:pt>
                <c:pt idx="121">
                  <c:v>14.981181818181819</c:v>
                </c:pt>
                <c:pt idx="122">
                  <c:v>14.853909090909092</c:v>
                </c:pt>
                <c:pt idx="123">
                  <c:v>14.641787878787879</c:v>
                </c:pt>
                <c:pt idx="124">
                  <c:v>15.148484848484848</c:v>
                </c:pt>
                <c:pt idx="125">
                  <c:v>15.057575757575757</c:v>
                </c:pt>
                <c:pt idx="126">
                  <c:v>14.951212121212121</c:v>
                </c:pt>
                <c:pt idx="127">
                  <c:v>15.009090909090908</c:v>
                </c:pt>
                <c:pt idx="128">
                  <c:v>14.98</c:v>
                </c:pt>
                <c:pt idx="129">
                  <c:v>14.98</c:v>
                </c:pt>
                <c:pt idx="130">
                  <c:v>14.98</c:v>
                </c:pt>
                <c:pt idx="131">
                  <c:v>15.7</c:v>
                </c:pt>
                <c:pt idx="132">
                  <c:v>15.5</c:v>
                </c:pt>
                <c:pt idx="133">
                  <c:v>15.7</c:v>
                </c:pt>
                <c:pt idx="134">
                  <c:v>15.65</c:v>
                </c:pt>
                <c:pt idx="135">
                  <c:v>15.65</c:v>
                </c:pt>
                <c:pt idx="136">
                  <c:v>15.7</c:v>
                </c:pt>
                <c:pt idx="137">
                  <c:v>15.716666666666665</c:v>
                </c:pt>
                <c:pt idx="138">
                  <c:v>15.599366666666668</c:v>
                </c:pt>
                <c:pt idx="139">
                  <c:v>15.670407407407408</c:v>
                </c:pt>
                <c:pt idx="140">
                  <c:v>15.716666666666669</c:v>
                </c:pt>
                <c:pt idx="141">
                  <c:v>15.740033333333333</c:v>
                </c:pt>
              </c:numCache>
            </c:numRef>
          </c:val>
          <c:smooth val="0"/>
        </c:ser>
        <c:dLbls>
          <c:showLegendKey val="0"/>
          <c:showVal val="0"/>
          <c:showCatName val="0"/>
          <c:showSerName val="0"/>
          <c:showPercent val="0"/>
          <c:showBubbleSize val="0"/>
        </c:dLbls>
        <c:marker val="1"/>
        <c:smooth val="0"/>
        <c:axId val="275250560"/>
        <c:axId val="275580032"/>
      </c:lineChart>
      <c:lineChart>
        <c:grouping val="standard"/>
        <c:varyColors val="0"/>
        <c:ser>
          <c:idx val="1"/>
          <c:order val="1"/>
          <c:tx>
            <c:strRef>
              <c:f>飲料!$B$2</c:f>
              <c:strCache>
                <c:ptCount val="1"/>
                <c:pt idx="0">
                  <c:v>便利店－茶裏王</c:v>
                </c:pt>
              </c:strCache>
            </c:strRef>
          </c:tx>
          <c:spPr>
            <a:ln w="28575" cap="rnd">
              <a:solidFill>
                <a:schemeClr val="accent2"/>
              </a:solidFill>
              <a:prstDash val="sysDash"/>
              <a:round/>
            </a:ln>
            <a:effectLst/>
          </c:spPr>
          <c:marker>
            <c:symbol val="none"/>
          </c:marker>
          <c:val>
            <c:numRef>
              <c:f>飲料!$B$32:$B$173</c:f>
              <c:numCache>
                <c:formatCode>0.00</c:formatCode>
                <c:ptCount val="142"/>
                <c:pt idx="0">
                  <c:v>23</c:v>
                </c:pt>
                <c:pt idx="1">
                  <c:v>26</c:v>
                </c:pt>
                <c:pt idx="2">
                  <c:v>20</c:v>
                </c:pt>
                <c:pt idx="3">
                  <c:v>20</c:v>
                </c:pt>
                <c:pt idx="4">
                  <c:v>20</c:v>
                </c:pt>
                <c:pt idx="5">
                  <c:v>20</c:v>
                </c:pt>
                <c:pt idx="6">
                  <c:v>20</c:v>
                </c:pt>
                <c:pt idx="7">
                  <c:v>20</c:v>
                </c:pt>
                <c:pt idx="8">
                  <c:v>20</c:v>
                </c:pt>
                <c:pt idx="9">
                  <c:v>20</c:v>
                </c:pt>
                <c:pt idx="10">
                  <c:v>20</c:v>
                </c:pt>
                <c:pt idx="11">
                  <c:v>20</c:v>
                </c:pt>
                <c:pt idx="12">
                  <c:v>20</c:v>
                </c:pt>
                <c:pt idx="13">
                  <c:v>20</c:v>
                </c:pt>
                <c:pt idx="14">
                  <c:v>20</c:v>
                </c:pt>
                <c:pt idx="15">
                  <c:v>20</c:v>
                </c:pt>
                <c:pt idx="16">
                  <c:v>20</c:v>
                </c:pt>
                <c:pt idx="17">
                  <c:v>20</c:v>
                </c:pt>
                <c:pt idx="18">
                  <c:v>20</c:v>
                </c:pt>
                <c:pt idx="19">
                  <c:v>20</c:v>
                </c:pt>
                <c:pt idx="20">
                  <c:v>20</c:v>
                </c:pt>
                <c:pt idx="21">
                  <c:v>20</c:v>
                </c:pt>
                <c:pt idx="22">
                  <c:v>20</c:v>
                </c:pt>
                <c:pt idx="23">
                  <c:v>20</c:v>
                </c:pt>
                <c:pt idx="24">
                  <c:v>20</c:v>
                </c:pt>
                <c:pt idx="25">
                  <c:v>20</c:v>
                </c:pt>
                <c:pt idx="26">
                  <c:v>20</c:v>
                </c:pt>
                <c:pt idx="27">
                  <c:v>20</c:v>
                </c:pt>
                <c:pt idx="28">
                  <c:v>20</c:v>
                </c:pt>
                <c:pt idx="29">
                  <c:v>20</c:v>
                </c:pt>
                <c:pt idx="30">
                  <c:v>20</c:v>
                </c:pt>
                <c:pt idx="31">
                  <c:v>20</c:v>
                </c:pt>
                <c:pt idx="32">
                  <c:v>20</c:v>
                </c:pt>
                <c:pt idx="33">
                  <c:v>20</c:v>
                </c:pt>
                <c:pt idx="34">
                  <c:v>20</c:v>
                </c:pt>
                <c:pt idx="35">
                  <c:v>20</c:v>
                </c:pt>
                <c:pt idx="36">
                  <c:v>20</c:v>
                </c:pt>
                <c:pt idx="37">
                  <c:v>20</c:v>
                </c:pt>
                <c:pt idx="38">
                  <c:v>20</c:v>
                </c:pt>
                <c:pt idx="39">
                  <c:v>20</c:v>
                </c:pt>
                <c:pt idx="40">
                  <c:v>20</c:v>
                </c:pt>
                <c:pt idx="41">
                  <c:v>20</c:v>
                </c:pt>
                <c:pt idx="42">
                  <c:v>20</c:v>
                </c:pt>
                <c:pt idx="43">
                  <c:v>20</c:v>
                </c:pt>
                <c:pt idx="44">
                  <c:v>20</c:v>
                </c:pt>
                <c:pt idx="45">
                  <c:v>20</c:v>
                </c:pt>
                <c:pt idx="46">
                  <c:v>20</c:v>
                </c:pt>
                <c:pt idx="47">
                  <c:v>20</c:v>
                </c:pt>
                <c:pt idx="48">
                  <c:v>20</c:v>
                </c:pt>
                <c:pt idx="49">
                  <c:v>20</c:v>
                </c:pt>
                <c:pt idx="50">
                  <c:v>20</c:v>
                </c:pt>
                <c:pt idx="51">
                  <c:v>20</c:v>
                </c:pt>
                <c:pt idx="52">
                  <c:v>20</c:v>
                </c:pt>
                <c:pt idx="53">
                  <c:v>20</c:v>
                </c:pt>
                <c:pt idx="54">
                  <c:v>20</c:v>
                </c:pt>
                <c:pt idx="55">
                  <c:v>20</c:v>
                </c:pt>
                <c:pt idx="56">
                  <c:v>20</c:v>
                </c:pt>
                <c:pt idx="57">
                  <c:v>20</c:v>
                </c:pt>
                <c:pt idx="58">
                  <c:v>20</c:v>
                </c:pt>
                <c:pt idx="59">
                  <c:v>20</c:v>
                </c:pt>
                <c:pt idx="60">
                  <c:v>20</c:v>
                </c:pt>
                <c:pt idx="61">
                  <c:v>20</c:v>
                </c:pt>
                <c:pt idx="62">
                  <c:v>20</c:v>
                </c:pt>
                <c:pt idx="63">
                  <c:v>20</c:v>
                </c:pt>
                <c:pt idx="64">
                  <c:v>19.75</c:v>
                </c:pt>
                <c:pt idx="65">
                  <c:v>20</c:v>
                </c:pt>
                <c:pt idx="66">
                  <c:v>20</c:v>
                </c:pt>
                <c:pt idx="67">
                  <c:v>20</c:v>
                </c:pt>
                <c:pt idx="68">
                  <c:v>20</c:v>
                </c:pt>
                <c:pt idx="69">
                  <c:v>20</c:v>
                </c:pt>
                <c:pt idx="70">
                  <c:v>20</c:v>
                </c:pt>
                <c:pt idx="71">
                  <c:v>20</c:v>
                </c:pt>
                <c:pt idx="72">
                  <c:v>20</c:v>
                </c:pt>
                <c:pt idx="73">
                  <c:v>20</c:v>
                </c:pt>
                <c:pt idx="74">
                  <c:v>20</c:v>
                </c:pt>
                <c:pt idx="75">
                  <c:v>20</c:v>
                </c:pt>
                <c:pt idx="76">
                  <c:v>20</c:v>
                </c:pt>
                <c:pt idx="77">
                  <c:v>20</c:v>
                </c:pt>
                <c:pt idx="78">
                  <c:v>20</c:v>
                </c:pt>
                <c:pt idx="79">
                  <c:v>20</c:v>
                </c:pt>
                <c:pt idx="80">
                  <c:v>20</c:v>
                </c:pt>
                <c:pt idx="81">
                  <c:v>20</c:v>
                </c:pt>
                <c:pt idx="82">
                  <c:v>20</c:v>
                </c:pt>
                <c:pt idx="83">
                  <c:v>20</c:v>
                </c:pt>
                <c:pt idx="84">
                  <c:v>20</c:v>
                </c:pt>
                <c:pt idx="85">
                  <c:v>20</c:v>
                </c:pt>
                <c:pt idx="86">
                  <c:v>20</c:v>
                </c:pt>
                <c:pt idx="87">
                  <c:v>20</c:v>
                </c:pt>
                <c:pt idx="88">
                  <c:v>20</c:v>
                </c:pt>
                <c:pt idx="89">
                  <c:v>20</c:v>
                </c:pt>
                <c:pt idx="90">
                  <c:v>20</c:v>
                </c:pt>
                <c:pt idx="91">
                  <c:v>20</c:v>
                </c:pt>
                <c:pt idx="92">
                  <c:v>20</c:v>
                </c:pt>
                <c:pt idx="93">
                  <c:v>20</c:v>
                </c:pt>
                <c:pt idx="94">
                  <c:v>20</c:v>
                </c:pt>
                <c:pt idx="95">
                  <c:v>20</c:v>
                </c:pt>
                <c:pt idx="96">
                  <c:v>20</c:v>
                </c:pt>
                <c:pt idx="97">
                  <c:v>20</c:v>
                </c:pt>
                <c:pt idx="98">
                  <c:v>20</c:v>
                </c:pt>
                <c:pt idx="99">
                  <c:v>20</c:v>
                </c:pt>
                <c:pt idx="100">
                  <c:v>20</c:v>
                </c:pt>
                <c:pt idx="101">
                  <c:v>20</c:v>
                </c:pt>
                <c:pt idx="102">
                  <c:v>20</c:v>
                </c:pt>
                <c:pt idx="103">
                  <c:v>20</c:v>
                </c:pt>
                <c:pt idx="104">
                  <c:v>20</c:v>
                </c:pt>
                <c:pt idx="105">
                  <c:v>20</c:v>
                </c:pt>
                <c:pt idx="106">
                  <c:v>20</c:v>
                </c:pt>
                <c:pt idx="107">
                  <c:v>20</c:v>
                </c:pt>
                <c:pt idx="108">
                  <c:v>20</c:v>
                </c:pt>
                <c:pt idx="109">
                  <c:v>20</c:v>
                </c:pt>
                <c:pt idx="110">
                  <c:v>20</c:v>
                </c:pt>
                <c:pt idx="111">
                  <c:v>20</c:v>
                </c:pt>
                <c:pt idx="112">
                  <c:v>20</c:v>
                </c:pt>
                <c:pt idx="113">
                  <c:v>20</c:v>
                </c:pt>
                <c:pt idx="114">
                  <c:v>20</c:v>
                </c:pt>
                <c:pt idx="115">
                  <c:v>20</c:v>
                </c:pt>
                <c:pt idx="116">
                  <c:v>20</c:v>
                </c:pt>
                <c:pt idx="117">
                  <c:v>20</c:v>
                </c:pt>
                <c:pt idx="118">
                  <c:v>20</c:v>
                </c:pt>
                <c:pt idx="119">
                  <c:v>20</c:v>
                </c:pt>
                <c:pt idx="120">
                  <c:v>20</c:v>
                </c:pt>
                <c:pt idx="121">
                  <c:v>20</c:v>
                </c:pt>
                <c:pt idx="122">
                  <c:v>20</c:v>
                </c:pt>
                <c:pt idx="123">
                  <c:v>20</c:v>
                </c:pt>
                <c:pt idx="124">
                  <c:v>19.5</c:v>
                </c:pt>
                <c:pt idx="125">
                  <c:v>19.5</c:v>
                </c:pt>
                <c:pt idx="126">
                  <c:v>20</c:v>
                </c:pt>
                <c:pt idx="127">
                  <c:v>20</c:v>
                </c:pt>
                <c:pt idx="128">
                  <c:v>20</c:v>
                </c:pt>
                <c:pt idx="129">
                  <c:v>20</c:v>
                </c:pt>
                <c:pt idx="130">
                  <c:v>20</c:v>
                </c:pt>
                <c:pt idx="131">
                  <c:v>20</c:v>
                </c:pt>
                <c:pt idx="132">
                  <c:v>20.75</c:v>
                </c:pt>
                <c:pt idx="133">
                  <c:v>20.75</c:v>
                </c:pt>
                <c:pt idx="134">
                  <c:v>20.75</c:v>
                </c:pt>
                <c:pt idx="135">
                  <c:v>20.75</c:v>
                </c:pt>
                <c:pt idx="136">
                  <c:v>20</c:v>
                </c:pt>
                <c:pt idx="137">
                  <c:v>20</c:v>
                </c:pt>
                <c:pt idx="138">
                  <c:v>20</c:v>
                </c:pt>
                <c:pt idx="139">
                  <c:v>20</c:v>
                </c:pt>
                <c:pt idx="140">
                  <c:v>20</c:v>
                </c:pt>
                <c:pt idx="141">
                  <c:v>20</c:v>
                </c:pt>
              </c:numCache>
            </c:numRef>
          </c:val>
          <c:smooth val="0"/>
        </c:ser>
        <c:dLbls>
          <c:showLegendKey val="0"/>
          <c:showVal val="0"/>
          <c:showCatName val="0"/>
          <c:showSerName val="0"/>
          <c:showPercent val="0"/>
          <c:showBubbleSize val="0"/>
        </c:dLbls>
        <c:marker val="1"/>
        <c:smooth val="0"/>
        <c:axId val="275581568"/>
        <c:axId val="275677568"/>
      </c:lineChart>
      <c:catAx>
        <c:axId val="275250560"/>
        <c:scaling>
          <c:orientation val="minMax"/>
        </c:scaling>
        <c:delete val="0"/>
        <c:axPos val="b"/>
        <c:numFmt formatCode="General"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mn-lt"/>
                <a:ea typeface="+mn-ea"/>
                <a:cs typeface="+mn-cs"/>
              </a:defRPr>
            </a:pPr>
            <a:endParaRPr lang="zh-TW"/>
          </a:p>
        </c:txPr>
        <c:crossAx val="275580032"/>
        <c:crosses val="autoZero"/>
        <c:auto val="1"/>
        <c:lblAlgn val="ctr"/>
        <c:lblOffset val="100"/>
        <c:tickLblSkip val="5"/>
        <c:tickMarkSkip val="6"/>
        <c:noMultiLvlLbl val="0"/>
      </c:catAx>
      <c:valAx>
        <c:axId val="275580032"/>
        <c:scaling>
          <c:orientation val="minMax"/>
          <c:max val="19"/>
          <c:min val="14"/>
        </c:scaling>
        <c:delete val="0"/>
        <c:axPos val="l"/>
        <c:numFmt formatCode="#,##0.0_);[Red]\(#,##0.0\)" sourceLinked="0"/>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TW"/>
          </a:p>
        </c:txPr>
        <c:crossAx val="275250560"/>
        <c:crosses val="autoZero"/>
        <c:crossBetween val="between"/>
      </c:valAx>
      <c:catAx>
        <c:axId val="275581568"/>
        <c:scaling>
          <c:orientation val="minMax"/>
        </c:scaling>
        <c:delete val="1"/>
        <c:axPos val="b"/>
        <c:majorTickMark val="out"/>
        <c:minorTickMark val="none"/>
        <c:tickLblPos val="nextTo"/>
        <c:crossAx val="275677568"/>
        <c:crosses val="autoZero"/>
        <c:auto val="1"/>
        <c:lblAlgn val="ctr"/>
        <c:lblOffset val="100"/>
        <c:noMultiLvlLbl val="0"/>
      </c:catAx>
      <c:valAx>
        <c:axId val="275677568"/>
        <c:scaling>
          <c:orientation val="minMax"/>
          <c:min val="15"/>
        </c:scaling>
        <c:delete val="0"/>
        <c:axPos val="r"/>
        <c:numFmt formatCode="#,##0.0_);[Red]\(#,##0.0\)" sourceLinked="0"/>
        <c:majorTickMark val="out"/>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TW"/>
          </a:p>
        </c:txPr>
        <c:crossAx val="275581568"/>
        <c:crosses val="max"/>
        <c:crossBetween val="between"/>
      </c:valAx>
      <c:spPr>
        <a:noFill/>
        <a:ln w="25400">
          <a:noFill/>
        </a:ln>
      </c:spPr>
    </c:plotArea>
    <c:legend>
      <c:legendPos val="t"/>
      <c:layout>
        <c:manualLayout>
          <c:xMode val="edge"/>
          <c:yMode val="edge"/>
          <c:x val="0.18534134166401986"/>
          <c:y val="2.2892320922473313E-3"/>
          <c:w val="0.66960004171663967"/>
          <c:h val="0.15000620825991545"/>
        </c:manualLayout>
      </c:layout>
      <c:overlay val="0"/>
      <c:spPr>
        <a:noFill/>
        <a:ln w="25400">
          <a:noFill/>
        </a:ln>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zh-TW"/>
        </a:p>
      </c:txPr>
    </c:legend>
    <c:plotVisOnly val="1"/>
    <c:dispBlanksAs val="gap"/>
    <c:showDLblsOverMax val="0"/>
  </c:chart>
  <c:spPr>
    <a:noFill/>
    <a:ln w="9525">
      <a:noFill/>
    </a:ln>
  </c:spPr>
  <c:txPr>
    <a:bodyPr/>
    <a:lstStyle/>
    <a:p>
      <a:pPr>
        <a:defRPr/>
      </a:pPr>
      <a:endParaRPr lang="zh-TW"/>
    </a:p>
  </c:txPr>
  <c:externalData r:id="rId2">
    <c:autoUpdate val="0"/>
  </c:externalData>
  <c:userShapes r:id="rId3"/>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4676616915422883E-2"/>
          <c:y val="0.11351978219839876"/>
          <c:w val="0.86401326699834158"/>
          <c:h val="0.66977258585653954"/>
        </c:manualLayout>
      </c:layout>
      <c:lineChart>
        <c:grouping val="standard"/>
        <c:varyColors val="0"/>
        <c:ser>
          <c:idx val="5"/>
          <c:order val="2"/>
          <c:tx>
            <c:strRef>
              <c:f>飲料!$G$2</c:f>
              <c:strCache>
                <c:ptCount val="1"/>
                <c:pt idx="0">
                  <c:v>量販店－寶礦力</c:v>
                </c:pt>
              </c:strCache>
            </c:strRef>
          </c:tx>
          <c:spPr>
            <a:ln w="38100"/>
          </c:spPr>
          <c:marker>
            <c:symbol val="none"/>
          </c:marker>
          <c:cat>
            <c:strRef>
              <c:f>飲料!$A$32:$A$172</c:f>
              <c:strCache>
                <c:ptCount val="141"/>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strCache>
            </c:strRef>
          </c:cat>
          <c:val>
            <c:numRef>
              <c:f>飲料!$G$32:$G$172</c:f>
              <c:numCache>
                <c:formatCode>0.00</c:formatCode>
                <c:ptCount val="141"/>
                <c:pt idx="0">
                  <c:v>18.225000000000001</c:v>
                </c:pt>
                <c:pt idx="1">
                  <c:v>19</c:v>
                </c:pt>
                <c:pt idx="2">
                  <c:v>18.37</c:v>
                </c:pt>
                <c:pt idx="3">
                  <c:v>17.690000000000001</c:v>
                </c:pt>
                <c:pt idx="4">
                  <c:v>19.03</c:v>
                </c:pt>
                <c:pt idx="5">
                  <c:v>19.600000000000001</c:v>
                </c:pt>
                <c:pt idx="6">
                  <c:v>19.083333333333332</c:v>
                </c:pt>
                <c:pt idx="7">
                  <c:v>18.611111111111111</c:v>
                </c:pt>
                <c:pt idx="8">
                  <c:v>18.344444444444445</c:v>
                </c:pt>
                <c:pt idx="9">
                  <c:v>18.444444444444443</c:v>
                </c:pt>
                <c:pt idx="10">
                  <c:v>18.722222222222221</c:v>
                </c:pt>
                <c:pt idx="11">
                  <c:v>18.705000000000002</c:v>
                </c:pt>
                <c:pt idx="12">
                  <c:v>18.255000000000003</c:v>
                </c:pt>
                <c:pt idx="13">
                  <c:v>18.285</c:v>
                </c:pt>
                <c:pt idx="14">
                  <c:v>18.73</c:v>
                </c:pt>
                <c:pt idx="15">
                  <c:v>18.285</c:v>
                </c:pt>
                <c:pt idx="16">
                  <c:v>18.50714285714286</c:v>
                </c:pt>
                <c:pt idx="17">
                  <c:v>19.234999999999999</c:v>
                </c:pt>
                <c:pt idx="18">
                  <c:v>19.425000000000001</c:v>
                </c:pt>
                <c:pt idx="19">
                  <c:v>19.25</c:v>
                </c:pt>
                <c:pt idx="20">
                  <c:v>18.755000000000003</c:v>
                </c:pt>
                <c:pt idx="21">
                  <c:v>18.585000000000001</c:v>
                </c:pt>
                <c:pt idx="22">
                  <c:v>19.255000000000003</c:v>
                </c:pt>
                <c:pt idx="23">
                  <c:v>18.7</c:v>
                </c:pt>
                <c:pt idx="24">
                  <c:v>17.895</c:v>
                </c:pt>
                <c:pt idx="25">
                  <c:v>17.899999999999999</c:v>
                </c:pt>
                <c:pt idx="26">
                  <c:v>18.5</c:v>
                </c:pt>
                <c:pt idx="27">
                  <c:v>17.824999999999999</c:v>
                </c:pt>
                <c:pt idx="28">
                  <c:v>17.7</c:v>
                </c:pt>
                <c:pt idx="29">
                  <c:v>17.524999999999999</c:v>
                </c:pt>
                <c:pt idx="30">
                  <c:v>18.080000000000002</c:v>
                </c:pt>
                <c:pt idx="31">
                  <c:v>18.444444444444443</c:v>
                </c:pt>
                <c:pt idx="32">
                  <c:v>18.444444444444443</c:v>
                </c:pt>
                <c:pt idx="33">
                  <c:v>18.580000000000002</c:v>
                </c:pt>
                <c:pt idx="34">
                  <c:v>18.511111111111113</c:v>
                </c:pt>
                <c:pt idx="35">
                  <c:v>18.535000000000004</c:v>
                </c:pt>
                <c:pt idx="36">
                  <c:v>18.505000000000003</c:v>
                </c:pt>
                <c:pt idx="37">
                  <c:v>18.380000000000003</c:v>
                </c:pt>
                <c:pt idx="38">
                  <c:v>19.305</c:v>
                </c:pt>
                <c:pt idx="39">
                  <c:v>19.305</c:v>
                </c:pt>
                <c:pt idx="40">
                  <c:v>19.125</c:v>
                </c:pt>
                <c:pt idx="41">
                  <c:v>19.125</c:v>
                </c:pt>
                <c:pt idx="42">
                  <c:v>19.25</c:v>
                </c:pt>
                <c:pt idx="43">
                  <c:v>19.18</c:v>
                </c:pt>
                <c:pt idx="44">
                  <c:v>19.18</c:v>
                </c:pt>
                <c:pt idx="45">
                  <c:v>18.93</c:v>
                </c:pt>
                <c:pt idx="46">
                  <c:v>19.166666666666668</c:v>
                </c:pt>
                <c:pt idx="47">
                  <c:v>19.100000000000001</c:v>
                </c:pt>
                <c:pt idx="48">
                  <c:v>19.18</c:v>
                </c:pt>
                <c:pt idx="49">
                  <c:v>19.18</c:v>
                </c:pt>
                <c:pt idx="50">
                  <c:v>19.18</c:v>
                </c:pt>
                <c:pt idx="51">
                  <c:v>18.972222222222221</c:v>
                </c:pt>
                <c:pt idx="52">
                  <c:v>19.138888888888889</c:v>
                </c:pt>
                <c:pt idx="53">
                  <c:v>18.824999999999999</c:v>
                </c:pt>
                <c:pt idx="54">
                  <c:v>18.824999999999999</c:v>
                </c:pt>
                <c:pt idx="55">
                  <c:v>18.675000000000001</c:v>
                </c:pt>
                <c:pt idx="56">
                  <c:v>18.75</c:v>
                </c:pt>
                <c:pt idx="57">
                  <c:v>18.68</c:v>
                </c:pt>
                <c:pt idx="58">
                  <c:v>18.2</c:v>
                </c:pt>
                <c:pt idx="59">
                  <c:v>17.55</c:v>
                </c:pt>
                <c:pt idx="60">
                  <c:v>17.833333333333332</c:v>
                </c:pt>
                <c:pt idx="61">
                  <c:v>18.305</c:v>
                </c:pt>
                <c:pt idx="62">
                  <c:v>18.830000000000002</c:v>
                </c:pt>
                <c:pt idx="63">
                  <c:v>18.460799999999999</c:v>
                </c:pt>
                <c:pt idx="64">
                  <c:v>18.091666666666665</c:v>
                </c:pt>
                <c:pt idx="65">
                  <c:v>17.3</c:v>
                </c:pt>
                <c:pt idx="66">
                  <c:v>19.071428571428573</c:v>
                </c:pt>
                <c:pt idx="67">
                  <c:v>19.142857142857142</c:v>
                </c:pt>
                <c:pt idx="68">
                  <c:v>18.537500000000001</c:v>
                </c:pt>
                <c:pt idx="69">
                  <c:v>18.471428571428572</c:v>
                </c:pt>
                <c:pt idx="70">
                  <c:v>19.225000000000001</c:v>
                </c:pt>
                <c:pt idx="71">
                  <c:v>19.006250000000001</c:v>
                </c:pt>
                <c:pt idx="72">
                  <c:v>19.09375</c:v>
                </c:pt>
                <c:pt idx="73">
                  <c:v>18.6875</c:v>
                </c:pt>
                <c:pt idx="74">
                  <c:v>18.4375</c:v>
                </c:pt>
                <c:pt idx="75">
                  <c:v>18.324999999999999</c:v>
                </c:pt>
                <c:pt idx="76">
                  <c:v>18.228571428571428</c:v>
                </c:pt>
                <c:pt idx="77">
                  <c:v>19.262499999999999</c:v>
                </c:pt>
                <c:pt idx="78">
                  <c:v>18.828571428571429</c:v>
                </c:pt>
                <c:pt idx="79">
                  <c:v>18.600000000000001</c:v>
                </c:pt>
                <c:pt idx="80">
                  <c:v>17.943750000000001</c:v>
                </c:pt>
                <c:pt idx="81">
                  <c:v>17.943750000000001</c:v>
                </c:pt>
                <c:pt idx="82">
                  <c:v>18.975000000000001</c:v>
                </c:pt>
                <c:pt idx="83">
                  <c:v>19.131250000000001</c:v>
                </c:pt>
                <c:pt idx="84">
                  <c:v>19.256250000000001</c:v>
                </c:pt>
                <c:pt idx="85">
                  <c:v>18.225000000000001</c:v>
                </c:pt>
                <c:pt idx="86">
                  <c:v>18.50714285714286</c:v>
                </c:pt>
                <c:pt idx="87">
                  <c:v>19.21875</c:v>
                </c:pt>
                <c:pt idx="88">
                  <c:v>19.475000000000001</c:v>
                </c:pt>
                <c:pt idx="89">
                  <c:v>19.543749999999999</c:v>
                </c:pt>
                <c:pt idx="90">
                  <c:v>18.606249999999999</c:v>
                </c:pt>
                <c:pt idx="91">
                  <c:v>18.662500000000001</c:v>
                </c:pt>
                <c:pt idx="92">
                  <c:v>19.287500000000001</c:v>
                </c:pt>
                <c:pt idx="93">
                  <c:v>19.725000000000001</c:v>
                </c:pt>
                <c:pt idx="94">
                  <c:v>19.725000000000001</c:v>
                </c:pt>
                <c:pt idx="95">
                  <c:v>19.100000000000001</c:v>
                </c:pt>
                <c:pt idx="96">
                  <c:v>17.912500000000001</c:v>
                </c:pt>
                <c:pt idx="97">
                  <c:v>17.912500000000001</c:v>
                </c:pt>
                <c:pt idx="98">
                  <c:v>18.922222222222224</c:v>
                </c:pt>
                <c:pt idx="99">
                  <c:v>19.611111111111111</c:v>
                </c:pt>
                <c:pt idx="100">
                  <c:v>19.611111111111111</c:v>
                </c:pt>
                <c:pt idx="101">
                  <c:v>19.59375</c:v>
                </c:pt>
                <c:pt idx="102">
                  <c:v>19.111111111111111</c:v>
                </c:pt>
                <c:pt idx="103">
                  <c:v>18.394444444444446</c:v>
                </c:pt>
                <c:pt idx="104">
                  <c:v>17.96875</c:v>
                </c:pt>
                <c:pt idx="105">
                  <c:v>17.338888888888889</c:v>
                </c:pt>
                <c:pt idx="106">
                  <c:v>18.416666666666668</c:v>
                </c:pt>
                <c:pt idx="107">
                  <c:v>19.422222222222224</c:v>
                </c:pt>
                <c:pt idx="108">
                  <c:v>19.305555555555557</c:v>
                </c:pt>
                <c:pt idx="109">
                  <c:v>19.12222222222222</c:v>
                </c:pt>
                <c:pt idx="110">
                  <c:v>18.955555555555556</c:v>
                </c:pt>
                <c:pt idx="111">
                  <c:v>18.427777777777777</c:v>
                </c:pt>
                <c:pt idx="112">
                  <c:v>17.555555555555557</c:v>
                </c:pt>
                <c:pt idx="113">
                  <c:v>17.818181818181817</c:v>
                </c:pt>
                <c:pt idx="114">
                  <c:v>17.905000000000001</c:v>
                </c:pt>
                <c:pt idx="115">
                  <c:v>18.100000000000001</c:v>
                </c:pt>
                <c:pt idx="116">
                  <c:v>19</c:v>
                </c:pt>
                <c:pt idx="117">
                  <c:v>19.399999999999999</c:v>
                </c:pt>
                <c:pt idx="118">
                  <c:v>18.204545454545453</c:v>
                </c:pt>
                <c:pt idx="119">
                  <c:v>18.40909090909091</c:v>
                </c:pt>
                <c:pt idx="120">
                  <c:v>18.399999999999999</c:v>
                </c:pt>
                <c:pt idx="121">
                  <c:v>18.731818181818184</c:v>
                </c:pt>
                <c:pt idx="122">
                  <c:v>18.395454545454545</c:v>
                </c:pt>
                <c:pt idx="123">
                  <c:v>17.763636363636365</c:v>
                </c:pt>
                <c:pt idx="124">
                  <c:v>18.849999999999998</c:v>
                </c:pt>
                <c:pt idx="125">
                  <c:v>18.986363636363635</c:v>
                </c:pt>
                <c:pt idx="126">
                  <c:v>18.140909090909091</c:v>
                </c:pt>
                <c:pt idx="127">
                  <c:v>17.345454545454547</c:v>
                </c:pt>
                <c:pt idx="128">
                  <c:v>17.595454545454547</c:v>
                </c:pt>
                <c:pt idx="129">
                  <c:v>17.072727272727274</c:v>
                </c:pt>
                <c:pt idx="130">
                  <c:v>17.322727272727274</c:v>
                </c:pt>
                <c:pt idx="131">
                  <c:v>17.024999999999999</c:v>
                </c:pt>
                <c:pt idx="132">
                  <c:v>16.886363636363637</c:v>
                </c:pt>
                <c:pt idx="133">
                  <c:v>17.959090909090911</c:v>
                </c:pt>
                <c:pt idx="134">
                  <c:v>17.955000000000002</c:v>
                </c:pt>
                <c:pt idx="135">
                  <c:v>17.943750000000001</c:v>
                </c:pt>
                <c:pt idx="136">
                  <c:v>19.23</c:v>
                </c:pt>
                <c:pt idx="137">
                  <c:v>18.213636363636365</c:v>
                </c:pt>
                <c:pt idx="138">
                  <c:v>18.327272727272728</c:v>
                </c:pt>
                <c:pt idx="139">
                  <c:v>18.080000000000002</c:v>
                </c:pt>
                <c:pt idx="140">
                  <c:v>18.467272727272729</c:v>
                </c:pt>
              </c:numCache>
            </c:numRef>
          </c:val>
          <c:smooth val="0"/>
        </c:ser>
        <c:dLbls>
          <c:showLegendKey val="0"/>
          <c:showVal val="0"/>
          <c:showCatName val="0"/>
          <c:showSerName val="0"/>
          <c:showPercent val="0"/>
          <c:showBubbleSize val="0"/>
        </c:dLbls>
        <c:marker val="1"/>
        <c:smooth val="0"/>
        <c:axId val="275668352"/>
        <c:axId val="275670144"/>
      </c:lineChart>
      <c:lineChart>
        <c:grouping val="standard"/>
        <c:varyColors val="0"/>
        <c:ser>
          <c:idx val="1"/>
          <c:order val="0"/>
          <c:tx>
            <c:strRef>
              <c:f>飲料!$C$2</c:f>
              <c:strCache>
                <c:ptCount val="1"/>
                <c:pt idx="0">
                  <c:v>便利店－寶礦力</c:v>
                </c:pt>
              </c:strCache>
            </c:strRef>
          </c:tx>
          <c:spPr>
            <a:ln>
              <a:prstDash val="sysDot"/>
            </a:ln>
          </c:spPr>
          <c:marker>
            <c:symbol val="none"/>
          </c:marker>
          <c:cat>
            <c:strRef>
              <c:f>飲料!$A$32:$A$172</c:f>
              <c:strCache>
                <c:ptCount val="141"/>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strCache>
            </c:strRef>
          </c:cat>
          <c:val>
            <c:numRef>
              <c:f>飲料!$C$32:$C$172</c:f>
              <c:numCache>
                <c:formatCode>0.00</c:formatCode>
                <c:ptCount val="141"/>
                <c:pt idx="0">
                  <c:v>25</c:v>
                </c:pt>
                <c:pt idx="1">
                  <c:v>25</c:v>
                </c:pt>
                <c:pt idx="2">
                  <c:v>25</c:v>
                </c:pt>
                <c:pt idx="3">
                  <c:v>25</c:v>
                </c:pt>
                <c:pt idx="4">
                  <c:v>25</c:v>
                </c:pt>
                <c:pt idx="5">
                  <c:v>25</c:v>
                </c:pt>
                <c:pt idx="6">
                  <c:v>25</c:v>
                </c:pt>
                <c:pt idx="7">
                  <c:v>25</c:v>
                </c:pt>
                <c:pt idx="8">
                  <c:v>25</c:v>
                </c:pt>
                <c:pt idx="9">
                  <c:v>25</c:v>
                </c:pt>
                <c:pt idx="10">
                  <c:v>25</c:v>
                </c:pt>
                <c:pt idx="11">
                  <c:v>25</c:v>
                </c:pt>
                <c:pt idx="12">
                  <c:v>25</c:v>
                </c:pt>
                <c:pt idx="13">
                  <c:v>25</c:v>
                </c:pt>
                <c:pt idx="14">
                  <c:v>25</c:v>
                </c:pt>
                <c:pt idx="15">
                  <c:v>25</c:v>
                </c:pt>
                <c:pt idx="16">
                  <c:v>25</c:v>
                </c:pt>
                <c:pt idx="17">
                  <c:v>25</c:v>
                </c:pt>
                <c:pt idx="18">
                  <c:v>25</c:v>
                </c:pt>
                <c:pt idx="19">
                  <c:v>25</c:v>
                </c:pt>
                <c:pt idx="20">
                  <c:v>25</c:v>
                </c:pt>
                <c:pt idx="21">
                  <c:v>25</c:v>
                </c:pt>
                <c:pt idx="22">
                  <c:v>25</c:v>
                </c:pt>
                <c:pt idx="23">
                  <c:v>25</c:v>
                </c:pt>
                <c:pt idx="24">
                  <c:v>25</c:v>
                </c:pt>
                <c:pt idx="25">
                  <c:v>25</c:v>
                </c:pt>
                <c:pt idx="26">
                  <c:v>25</c:v>
                </c:pt>
                <c:pt idx="27">
                  <c:v>25</c:v>
                </c:pt>
                <c:pt idx="28">
                  <c:v>25</c:v>
                </c:pt>
                <c:pt idx="29">
                  <c:v>25</c:v>
                </c:pt>
                <c:pt idx="30">
                  <c:v>25</c:v>
                </c:pt>
                <c:pt idx="31">
                  <c:v>25</c:v>
                </c:pt>
                <c:pt idx="32">
                  <c:v>25</c:v>
                </c:pt>
                <c:pt idx="33">
                  <c:v>25</c:v>
                </c:pt>
                <c:pt idx="34">
                  <c:v>25</c:v>
                </c:pt>
                <c:pt idx="35">
                  <c:v>25</c:v>
                </c:pt>
                <c:pt idx="36">
                  <c:v>25</c:v>
                </c:pt>
                <c:pt idx="37">
                  <c:v>25</c:v>
                </c:pt>
                <c:pt idx="38">
                  <c:v>25</c:v>
                </c:pt>
                <c:pt idx="39">
                  <c:v>25</c:v>
                </c:pt>
                <c:pt idx="40">
                  <c:v>25</c:v>
                </c:pt>
                <c:pt idx="41">
                  <c:v>25</c:v>
                </c:pt>
                <c:pt idx="42">
                  <c:v>25</c:v>
                </c:pt>
                <c:pt idx="43">
                  <c:v>25</c:v>
                </c:pt>
                <c:pt idx="44">
                  <c:v>25</c:v>
                </c:pt>
                <c:pt idx="45">
                  <c:v>25</c:v>
                </c:pt>
                <c:pt idx="46">
                  <c:v>25</c:v>
                </c:pt>
                <c:pt idx="47">
                  <c:v>25</c:v>
                </c:pt>
                <c:pt idx="48">
                  <c:v>25</c:v>
                </c:pt>
                <c:pt idx="49">
                  <c:v>25</c:v>
                </c:pt>
                <c:pt idx="50">
                  <c:v>25</c:v>
                </c:pt>
                <c:pt idx="51">
                  <c:v>25</c:v>
                </c:pt>
                <c:pt idx="52">
                  <c:v>25</c:v>
                </c:pt>
                <c:pt idx="53">
                  <c:v>25</c:v>
                </c:pt>
                <c:pt idx="54">
                  <c:v>25</c:v>
                </c:pt>
                <c:pt idx="55">
                  <c:v>25</c:v>
                </c:pt>
                <c:pt idx="56">
                  <c:v>25</c:v>
                </c:pt>
                <c:pt idx="57">
                  <c:v>25</c:v>
                </c:pt>
                <c:pt idx="58">
                  <c:v>25</c:v>
                </c:pt>
                <c:pt idx="59">
                  <c:v>25</c:v>
                </c:pt>
                <c:pt idx="60">
                  <c:v>25</c:v>
                </c:pt>
                <c:pt idx="61">
                  <c:v>25</c:v>
                </c:pt>
                <c:pt idx="62">
                  <c:v>25</c:v>
                </c:pt>
                <c:pt idx="63">
                  <c:v>25</c:v>
                </c:pt>
                <c:pt idx="64">
                  <c:v>25</c:v>
                </c:pt>
                <c:pt idx="65">
                  <c:v>25</c:v>
                </c:pt>
                <c:pt idx="66">
                  <c:v>25</c:v>
                </c:pt>
                <c:pt idx="67">
                  <c:v>25</c:v>
                </c:pt>
                <c:pt idx="68">
                  <c:v>25</c:v>
                </c:pt>
                <c:pt idx="69">
                  <c:v>25</c:v>
                </c:pt>
                <c:pt idx="70">
                  <c:v>25</c:v>
                </c:pt>
                <c:pt idx="71">
                  <c:v>25</c:v>
                </c:pt>
                <c:pt idx="72">
                  <c:v>25</c:v>
                </c:pt>
                <c:pt idx="73">
                  <c:v>25</c:v>
                </c:pt>
                <c:pt idx="74">
                  <c:v>25</c:v>
                </c:pt>
                <c:pt idx="75">
                  <c:v>25</c:v>
                </c:pt>
                <c:pt idx="76">
                  <c:v>25</c:v>
                </c:pt>
                <c:pt idx="77">
                  <c:v>25</c:v>
                </c:pt>
                <c:pt idx="78">
                  <c:v>25</c:v>
                </c:pt>
                <c:pt idx="79">
                  <c:v>25</c:v>
                </c:pt>
                <c:pt idx="80">
                  <c:v>25</c:v>
                </c:pt>
                <c:pt idx="81">
                  <c:v>25</c:v>
                </c:pt>
                <c:pt idx="82">
                  <c:v>25</c:v>
                </c:pt>
                <c:pt idx="83">
                  <c:v>25</c:v>
                </c:pt>
                <c:pt idx="84">
                  <c:v>25</c:v>
                </c:pt>
                <c:pt idx="85">
                  <c:v>25</c:v>
                </c:pt>
                <c:pt idx="86">
                  <c:v>25</c:v>
                </c:pt>
                <c:pt idx="87">
                  <c:v>25</c:v>
                </c:pt>
                <c:pt idx="88">
                  <c:v>25</c:v>
                </c:pt>
                <c:pt idx="89">
                  <c:v>25</c:v>
                </c:pt>
                <c:pt idx="90">
                  <c:v>25</c:v>
                </c:pt>
                <c:pt idx="91">
                  <c:v>25</c:v>
                </c:pt>
                <c:pt idx="92">
                  <c:v>25</c:v>
                </c:pt>
                <c:pt idx="93">
                  <c:v>25</c:v>
                </c:pt>
                <c:pt idx="94">
                  <c:v>25</c:v>
                </c:pt>
                <c:pt idx="95">
                  <c:v>25</c:v>
                </c:pt>
                <c:pt idx="96">
                  <c:v>25</c:v>
                </c:pt>
                <c:pt idx="97">
                  <c:v>25</c:v>
                </c:pt>
                <c:pt idx="98">
                  <c:v>25</c:v>
                </c:pt>
                <c:pt idx="99">
                  <c:v>25</c:v>
                </c:pt>
                <c:pt idx="100">
                  <c:v>25</c:v>
                </c:pt>
                <c:pt idx="101">
                  <c:v>25</c:v>
                </c:pt>
                <c:pt idx="102">
                  <c:v>25</c:v>
                </c:pt>
                <c:pt idx="103">
                  <c:v>25</c:v>
                </c:pt>
                <c:pt idx="104">
                  <c:v>25</c:v>
                </c:pt>
                <c:pt idx="105">
                  <c:v>25</c:v>
                </c:pt>
                <c:pt idx="106">
                  <c:v>25</c:v>
                </c:pt>
                <c:pt idx="107">
                  <c:v>25</c:v>
                </c:pt>
                <c:pt idx="108">
                  <c:v>25</c:v>
                </c:pt>
                <c:pt idx="109">
                  <c:v>25</c:v>
                </c:pt>
                <c:pt idx="110">
                  <c:v>25</c:v>
                </c:pt>
                <c:pt idx="111">
                  <c:v>25</c:v>
                </c:pt>
                <c:pt idx="112">
                  <c:v>25</c:v>
                </c:pt>
                <c:pt idx="113">
                  <c:v>25</c:v>
                </c:pt>
                <c:pt idx="114">
                  <c:v>25</c:v>
                </c:pt>
                <c:pt idx="115">
                  <c:v>25</c:v>
                </c:pt>
                <c:pt idx="116">
                  <c:v>25</c:v>
                </c:pt>
                <c:pt idx="117">
                  <c:v>25</c:v>
                </c:pt>
                <c:pt idx="118">
                  <c:v>25</c:v>
                </c:pt>
                <c:pt idx="119">
                  <c:v>25</c:v>
                </c:pt>
                <c:pt idx="120">
                  <c:v>25</c:v>
                </c:pt>
                <c:pt idx="121">
                  <c:v>25</c:v>
                </c:pt>
                <c:pt idx="122">
                  <c:v>25</c:v>
                </c:pt>
                <c:pt idx="123">
                  <c:v>25</c:v>
                </c:pt>
                <c:pt idx="124">
                  <c:v>25</c:v>
                </c:pt>
                <c:pt idx="125">
                  <c:v>25</c:v>
                </c:pt>
                <c:pt idx="126">
                  <c:v>25</c:v>
                </c:pt>
                <c:pt idx="127">
                  <c:v>25</c:v>
                </c:pt>
                <c:pt idx="128">
                  <c:v>25</c:v>
                </c:pt>
                <c:pt idx="129">
                  <c:v>25</c:v>
                </c:pt>
                <c:pt idx="130">
                  <c:v>25</c:v>
                </c:pt>
                <c:pt idx="131">
                  <c:v>25</c:v>
                </c:pt>
                <c:pt idx="132">
                  <c:v>25</c:v>
                </c:pt>
                <c:pt idx="133">
                  <c:v>25</c:v>
                </c:pt>
                <c:pt idx="134">
                  <c:v>25</c:v>
                </c:pt>
                <c:pt idx="135">
                  <c:v>25</c:v>
                </c:pt>
                <c:pt idx="136">
                  <c:v>25</c:v>
                </c:pt>
                <c:pt idx="137">
                  <c:v>25</c:v>
                </c:pt>
                <c:pt idx="138">
                  <c:v>25</c:v>
                </c:pt>
                <c:pt idx="139">
                  <c:v>25</c:v>
                </c:pt>
                <c:pt idx="140">
                  <c:v>25</c:v>
                </c:pt>
              </c:numCache>
            </c:numRef>
          </c:val>
          <c:smooth val="0"/>
        </c:ser>
        <c:ser>
          <c:idx val="3"/>
          <c:order val="1"/>
          <c:tx>
            <c:strRef>
              <c:f>飲料!$E$2</c:f>
              <c:strCache>
                <c:ptCount val="1"/>
                <c:pt idx="0">
                  <c:v>超市－寶礦力</c:v>
                </c:pt>
              </c:strCache>
            </c:strRef>
          </c:tx>
          <c:spPr>
            <a:ln>
              <a:headEnd type="oval" w="med" len="sm"/>
              <a:tailEnd type="oval" w="med" len="sm"/>
            </a:ln>
          </c:spPr>
          <c:marker>
            <c:symbol val="none"/>
          </c:marker>
          <c:cat>
            <c:strRef>
              <c:f>飲料!$A$32:$A$172</c:f>
              <c:strCache>
                <c:ptCount val="141"/>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strCache>
            </c:strRef>
          </c:cat>
          <c:val>
            <c:numRef>
              <c:f>飲料!$E$32:$E$172</c:f>
              <c:numCache>
                <c:formatCode>0.00</c:formatCode>
                <c:ptCount val="141"/>
                <c:pt idx="0">
                  <c:v>22.142857142857142</c:v>
                </c:pt>
                <c:pt idx="1">
                  <c:v>22.071428571428573</c:v>
                </c:pt>
                <c:pt idx="2">
                  <c:v>24.07</c:v>
                </c:pt>
                <c:pt idx="3">
                  <c:v>22.36</c:v>
                </c:pt>
                <c:pt idx="4">
                  <c:v>21.5</c:v>
                </c:pt>
                <c:pt idx="5">
                  <c:v>22.214285714285715</c:v>
                </c:pt>
                <c:pt idx="6">
                  <c:v>22.928571428571427</c:v>
                </c:pt>
                <c:pt idx="7">
                  <c:v>21</c:v>
                </c:pt>
                <c:pt idx="8">
                  <c:v>21.066666666666666</c:v>
                </c:pt>
                <c:pt idx="9">
                  <c:v>21.125</c:v>
                </c:pt>
                <c:pt idx="10">
                  <c:v>21.058823529411764</c:v>
                </c:pt>
                <c:pt idx="11">
                  <c:v>21.647058823529413</c:v>
                </c:pt>
                <c:pt idx="12">
                  <c:v>21.764705882352942</c:v>
                </c:pt>
                <c:pt idx="13">
                  <c:v>21.411764705882351</c:v>
                </c:pt>
                <c:pt idx="14">
                  <c:v>21.611111111111111</c:v>
                </c:pt>
                <c:pt idx="15">
                  <c:v>21.222222222222221</c:v>
                </c:pt>
                <c:pt idx="16">
                  <c:v>21.3125</c:v>
                </c:pt>
                <c:pt idx="17">
                  <c:v>21.705882352941178</c:v>
                </c:pt>
                <c:pt idx="18">
                  <c:v>21.444444444444443</c:v>
                </c:pt>
                <c:pt idx="19">
                  <c:v>21.352941176470587</c:v>
                </c:pt>
                <c:pt idx="20">
                  <c:v>21.1875</c:v>
                </c:pt>
                <c:pt idx="21">
                  <c:v>21.235294117647058</c:v>
                </c:pt>
                <c:pt idx="22">
                  <c:v>21.222222222222221</c:v>
                </c:pt>
                <c:pt idx="23">
                  <c:v>21.277777777777779</c:v>
                </c:pt>
                <c:pt idx="24">
                  <c:v>20.777777777777779</c:v>
                </c:pt>
                <c:pt idx="25">
                  <c:v>20.944444444444443</c:v>
                </c:pt>
                <c:pt idx="26">
                  <c:v>20.888888888888889</c:v>
                </c:pt>
                <c:pt idx="27">
                  <c:v>20.888888888888889</c:v>
                </c:pt>
                <c:pt idx="28">
                  <c:v>20.894736842105264</c:v>
                </c:pt>
                <c:pt idx="29">
                  <c:v>21.166666666666668</c:v>
                </c:pt>
                <c:pt idx="30">
                  <c:v>21.166666666666668</c:v>
                </c:pt>
                <c:pt idx="31">
                  <c:v>21.5</c:v>
                </c:pt>
                <c:pt idx="32">
                  <c:v>21.5</c:v>
                </c:pt>
                <c:pt idx="33">
                  <c:v>21.5</c:v>
                </c:pt>
                <c:pt idx="34">
                  <c:v>21.647058823529413</c:v>
                </c:pt>
                <c:pt idx="35">
                  <c:v>21.333333333333332</c:v>
                </c:pt>
                <c:pt idx="36">
                  <c:v>21.222222222222221</c:v>
                </c:pt>
                <c:pt idx="37">
                  <c:v>21.111111111111111</c:v>
                </c:pt>
                <c:pt idx="38">
                  <c:v>21.055555555555557</c:v>
                </c:pt>
                <c:pt idx="39">
                  <c:v>21.055555555555557</c:v>
                </c:pt>
                <c:pt idx="40">
                  <c:v>21.333333333333332</c:v>
                </c:pt>
                <c:pt idx="41">
                  <c:v>21.444444444444443</c:v>
                </c:pt>
                <c:pt idx="42">
                  <c:v>21.388888888888889</c:v>
                </c:pt>
                <c:pt idx="43">
                  <c:v>21.444444444444443</c:v>
                </c:pt>
                <c:pt idx="44">
                  <c:v>21.444444444444443</c:v>
                </c:pt>
                <c:pt idx="45">
                  <c:v>21.444444444444443</c:v>
                </c:pt>
                <c:pt idx="46">
                  <c:v>21.5</c:v>
                </c:pt>
                <c:pt idx="47">
                  <c:v>21.222222222222221</c:v>
                </c:pt>
                <c:pt idx="48">
                  <c:v>21.555555555555557</c:v>
                </c:pt>
                <c:pt idx="49">
                  <c:v>21.555555555555557</c:v>
                </c:pt>
                <c:pt idx="50">
                  <c:v>21.5</c:v>
                </c:pt>
                <c:pt idx="51">
                  <c:v>21.5</c:v>
                </c:pt>
                <c:pt idx="52">
                  <c:v>21.5</c:v>
                </c:pt>
                <c:pt idx="53">
                  <c:v>21.470588235294116</c:v>
                </c:pt>
                <c:pt idx="54">
                  <c:v>21.352941176470587</c:v>
                </c:pt>
                <c:pt idx="55">
                  <c:v>21.388888888888889</c:v>
                </c:pt>
                <c:pt idx="56">
                  <c:v>21.625</c:v>
                </c:pt>
                <c:pt idx="57">
                  <c:v>20.4375</c:v>
                </c:pt>
                <c:pt idx="58">
                  <c:v>20.333333333333332</c:v>
                </c:pt>
                <c:pt idx="59">
                  <c:v>20.588235294117649</c:v>
                </c:pt>
                <c:pt idx="60">
                  <c:v>20.882352941176471</c:v>
                </c:pt>
                <c:pt idx="61">
                  <c:v>20.882352941176471</c:v>
                </c:pt>
                <c:pt idx="62">
                  <c:v>20.441176470588236</c:v>
                </c:pt>
                <c:pt idx="63">
                  <c:v>20.720590000000001</c:v>
                </c:pt>
                <c:pt idx="64">
                  <c:v>21</c:v>
                </c:pt>
                <c:pt idx="65">
                  <c:v>21.285714285714285</c:v>
                </c:pt>
                <c:pt idx="66">
                  <c:v>20.941176470588236</c:v>
                </c:pt>
                <c:pt idx="67">
                  <c:v>20.277777777777779</c:v>
                </c:pt>
                <c:pt idx="68">
                  <c:v>20.27778</c:v>
                </c:pt>
                <c:pt idx="69">
                  <c:v>20.833333333333332</c:v>
                </c:pt>
                <c:pt idx="70">
                  <c:v>20.833333333333332</c:v>
                </c:pt>
                <c:pt idx="71">
                  <c:v>20</c:v>
                </c:pt>
                <c:pt idx="72">
                  <c:v>20.416666666666668</c:v>
                </c:pt>
                <c:pt idx="73">
                  <c:v>20.027777777777779</c:v>
                </c:pt>
                <c:pt idx="74">
                  <c:v>19.888888888888889</c:v>
                </c:pt>
                <c:pt idx="75">
                  <c:v>19.888888888888889</c:v>
                </c:pt>
                <c:pt idx="76">
                  <c:v>19.705882352941178</c:v>
                </c:pt>
                <c:pt idx="77">
                  <c:v>19.888888888888889</c:v>
                </c:pt>
                <c:pt idx="78">
                  <c:v>20.705882352941178</c:v>
                </c:pt>
                <c:pt idx="79">
                  <c:v>20.555555555555557</c:v>
                </c:pt>
                <c:pt idx="80">
                  <c:v>21.235294117647058</c:v>
                </c:pt>
                <c:pt idx="81">
                  <c:v>21.166666666666668</c:v>
                </c:pt>
                <c:pt idx="82">
                  <c:v>21.444444444444443</c:v>
                </c:pt>
                <c:pt idx="83">
                  <c:v>21.166666666666668</c:v>
                </c:pt>
                <c:pt idx="84">
                  <c:v>21.388888888888889</c:v>
                </c:pt>
                <c:pt idx="85">
                  <c:v>21.055555555555557</c:v>
                </c:pt>
                <c:pt idx="86">
                  <c:v>19.694444444444443</c:v>
                </c:pt>
                <c:pt idx="87">
                  <c:v>21.388888888888889</c:v>
                </c:pt>
                <c:pt idx="88">
                  <c:v>21.333333333333332</c:v>
                </c:pt>
                <c:pt idx="89">
                  <c:v>21.222222222222221</c:v>
                </c:pt>
                <c:pt idx="90">
                  <c:v>21.166666666666668</c:v>
                </c:pt>
                <c:pt idx="91">
                  <c:v>21.166666666666668</c:v>
                </c:pt>
                <c:pt idx="92">
                  <c:v>21.055555555555557</c:v>
                </c:pt>
                <c:pt idx="93">
                  <c:v>21.388888888888889</c:v>
                </c:pt>
                <c:pt idx="94">
                  <c:v>21.111111111111111</c:v>
                </c:pt>
                <c:pt idx="95">
                  <c:v>22</c:v>
                </c:pt>
                <c:pt idx="96">
                  <c:v>21.833333333333332</c:v>
                </c:pt>
                <c:pt idx="97">
                  <c:v>21.235294117647058</c:v>
                </c:pt>
                <c:pt idx="98">
                  <c:v>21.15625</c:v>
                </c:pt>
                <c:pt idx="99">
                  <c:v>21.6875</c:v>
                </c:pt>
                <c:pt idx="100">
                  <c:v>21.875</c:v>
                </c:pt>
                <c:pt idx="101">
                  <c:v>22.25</c:v>
                </c:pt>
                <c:pt idx="102">
                  <c:v>21.176470588235293</c:v>
                </c:pt>
                <c:pt idx="103">
                  <c:v>20.617647058823529</c:v>
                </c:pt>
                <c:pt idx="104">
                  <c:v>21.647058823529413</c:v>
                </c:pt>
                <c:pt idx="105">
                  <c:v>20.705882352941178</c:v>
                </c:pt>
                <c:pt idx="106">
                  <c:v>21.352941176470587</c:v>
                </c:pt>
                <c:pt idx="107">
                  <c:v>21.1875</c:v>
                </c:pt>
                <c:pt idx="108">
                  <c:v>21.352941176470587</c:v>
                </c:pt>
                <c:pt idx="109">
                  <c:v>21.176470588235293</c:v>
                </c:pt>
                <c:pt idx="110">
                  <c:v>20.75</c:v>
                </c:pt>
                <c:pt idx="111">
                  <c:v>19.784375000000001</c:v>
                </c:pt>
                <c:pt idx="112">
                  <c:v>21</c:v>
                </c:pt>
                <c:pt idx="113">
                  <c:v>21.058823529411764</c:v>
                </c:pt>
                <c:pt idx="114">
                  <c:v>20.5625</c:v>
                </c:pt>
                <c:pt idx="115">
                  <c:v>20.852941176470587</c:v>
                </c:pt>
                <c:pt idx="116">
                  <c:v>21.6875</c:v>
                </c:pt>
                <c:pt idx="117">
                  <c:v>21.4375</c:v>
                </c:pt>
                <c:pt idx="118">
                  <c:v>21.125</c:v>
                </c:pt>
                <c:pt idx="119">
                  <c:v>21.588235294117649</c:v>
                </c:pt>
                <c:pt idx="120">
                  <c:v>21.264705882352942</c:v>
                </c:pt>
                <c:pt idx="121">
                  <c:v>21.6875</c:v>
                </c:pt>
                <c:pt idx="122">
                  <c:v>22.294117647058822</c:v>
                </c:pt>
                <c:pt idx="123">
                  <c:v>21.352941176470587</c:v>
                </c:pt>
                <c:pt idx="124">
                  <c:v>21.705882352941178</c:v>
                </c:pt>
                <c:pt idx="125">
                  <c:v>20.352941176470587</c:v>
                </c:pt>
                <c:pt idx="126">
                  <c:v>21.647058823529413</c:v>
                </c:pt>
                <c:pt idx="127">
                  <c:v>20.882352941176471</c:v>
                </c:pt>
                <c:pt idx="128">
                  <c:v>21.058823529411764</c:v>
                </c:pt>
                <c:pt idx="129">
                  <c:v>21.705882352941178</c:v>
                </c:pt>
                <c:pt idx="130">
                  <c:v>21</c:v>
                </c:pt>
                <c:pt idx="131">
                  <c:v>20.625</c:v>
                </c:pt>
                <c:pt idx="132">
                  <c:v>20.323529411764707</c:v>
                </c:pt>
                <c:pt idx="133">
                  <c:v>20.235294117647058</c:v>
                </c:pt>
                <c:pt idx="134">
                  <c:v>20.117647058823529</c:v>
                </c:pt>
                <c:pt idx="135">
                  <c:v>21.058823529411764</c:v>
                </c:pt>
                <c:pt idx="136">
                  <c:v>21</c:v>
                </c:pt>
                <c:pt idx="137">
                  <c:v>21</c:v>
                </c:pt>
                <c:pt idx="138">
                  <c:v>20.352941176470587</c:v>
                </c:pt>
                <c:pt idx="139">
                  <c:v>20.176470588235293</c:v>
                </c:pt>
                <c:pt idx="140">
                  <c:v>20.411764705882351</c:v>
                </c:pt>
              </c:numCache>
            </c:numRef>
          </c:val>
          <c:smooth val="0"/>
        </c:ser>
        <c:dLbls>
          <c:showLegendKey val="0"/>
          <c:showVal val="0"/>
          <c:showCatName val="0"/>
          <c:showSerName val="0"/>
          <c:showPercent val="0"/>
          <c:showBubbleSize val="0"/>
        </c:dLbls>
        <c:marker val="1"/>
        <c:smooth val="0"/>
        <c:axId val="275671680"/>
        <c:axId val="275743104"/>
      </c:lineChart>
      <c:catAx>
        <c:axId val="275668352"/>
        <c:scaling>
          <c:orientation val="minMax"/>
        </c:scaling>
        <c:delete val="0"/>
        <c:axPos val="b"/>
        <c:numFmt formatCode="General" sourceLinked="1"/>
        <c:majorTickMark val="in"/>
        <c:minorTickMark val="none"/>
        <c:tickLblPos val="nextTo"/>
        <c:spPr>
          <a:ln>
            <a:solidFill>
              <a:sysClr val="windowText" lastClr="000000"/>
            </a:solidFill>
          </a:ln>
        </c:spPr>
        <c:txPr>
          <a:bodyPr rot="-2700000"/>
          <a:lstStyle/>
          <a:p>
            <a:pPr>
              <a:defRPr sz="900">
                <a:latin typeface="Times New Roman" pitchFamily="18" charset="0"/>
                <a:cs typeface="Times New Roman" pitchFamily="18" charset="0"/>
              </a:defRPr>
            </a:pPr>
            <a:endParaRPr lang="zh-TW"/>
          </a:p>
        </c:txPr>
        <c:crossAx val="275670144"/>
        <c:crosses val="autoZero"/>
        <c:auto val="1"/>
        <c:lblAlgn val="ctr"/>
        <c:lblOffset val="100"/>
        <c:tickLblSkip val="5"/>
        <c:tickMarkSkip val="5"/>
        <c:noMultiLvlLbl val="0"/>
      </c:catAx>
      <c:valAx>
        <c:axId val="275670144"/>
        <c:scaling>
          <c:orientation val="minMax"/>
          <c:max val="21"/>
          <c:min val="16"/>
        </c:scaling>
        <c:delete val="0"/>
        <c:axPos val="l"/>
        <c:numFmt formatCode="#,##0.0_);[Red]\(#,##0.0\)" sourceLinked="0"/>
        <c:majorTickMark val="in"/>
        <c:minorTickMark val="none"/>
        <c:tickLblPos val="nextTo"/>
        <c:spPr>
          <a:ln>
            <a:solidFill>
              <a:sysClr val="windowText" lastClr="000000"/>
            </a:solidFill>
          </a:ln>
        </c:spPr>
        <c:txPr>
          <a:bodyPr/>
          <a:lstStyle/>
          <a:p>
            <a:pPr>
              <a:defRPr>
                <a:latin typeface="Times New Roman" pitchFamily="18" charset="0"/>
                <a:cs typeface="Times New Roman" pitchFamily="18" charset="0"/>
              </a:defRPr>
            </a:pPr>
            <a:endParaRPr lang="zh-TW"/>
          </a:p>
        </c:txPr>
        <c:crossAx val="275668352"/>
        <c:crosses val="autoZero"/>
        <c:crossBetween val="between"/>
        <c:majorUnit val="1"/>
      </c:valAx>
      <c:catAx>
        <c:axId val="275671680"/>
        <c:scaling>
          <c:orientation val="minMax"/>
        </c:scaling>
        <c:delete val="1"/>
        <c:axPos val="b"/>
        <c:numFmt formatCode="General" sourceLinked="1"/>
        <c:majorTickMark val="out"/>
        <c:minorTickMark val="none"/>
        <c:tickLblPos val="nextTo"/>
        <c:crossAx val="275743104"/>
        <c:crosses val="autoZero"/>
        <c:auto val="1"/>
        <c:lblAlgn val="ctr"/>
        <c:lblOffset val="100"/>
        <c:noMultiLvlLbl val="0"/>
      </c:catAx>
      <c:valAx>
        <c:axId val="275743104"/>
        <c:scaling>
          <c:orientation val="minMax"/>
          <c:max val="27"/>
          <c:min val="17"/>
        </c:scaling>
        <c:delete val="0"/>
        <c:axPos val="r"/>
        <c:numFmt formatCode="#,##0.0_);[Red]\(#,##0.0\)" sourceLinked="0"/>
        <c:majorTickMark val="in"/>
        <c:minorTickMark val="none"/>
        <c:tickLblPos val="nextTo"/>
        <c:spPr>
          <a:ln>
            <a:solidFill>
              <a:sysClr val="windowText" lastClr="000000"/>
            </a:solidFill>
          </a:ln>
        </c:spPr>
        <c:crossAx val="275671680"/>
        <c:crosses val="max"/>
        <c:crossBetween val="between"/>
      </c:valAx>
      <c:spPr>
        <a:noFill/>
        <a:ln w="25400">
          <a:noFill/>
        </a:ln>
      </c:spPr>
    </c:plotArea>
    <c:legend>
      <c:legendPos val="r"/>
      <c:layout>
        <c:manualLayout>
          <c:xMode val="edge"/>
          <c:yMode val="edge"/>
          <c:x val="0.12129700825325795"/>
          <c:y val="8.828530852126025E-2"/>
          <c:w val="0.71151085343711928"/>
          <c:h val="0.11746073025275511"/>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9017023342301653"/>
        </c:manualLayout>
      </c:layout>
      <c:lineChart>
        <c:grouping val="standard"/>
        <c:varyColors val="0"/>
        <c:ser>
          <c:idx val="1"/>
          <c:order val="0"/>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工作表1!$F$27:$AY$27</c:f>
              <c:numCache>
                <c:formatCode>0.0_);[Red]\(0.0\)</c:formatCode>
                <c:ptCount val="46"/>
                <c:pt idx="0">
                  <c:v>113.64285714285714</c:v>
                </c:pt>
                <c:pt idx="1">
                  <c:v>109.07692307692308</c:v>
                </c:pt>
                <c:pt idx="2">
                  <c:v>110.58333333333333</c:v>
                </c:pt>
                <c:pt idx="3">
                  <c:v>108.61538461538461</c:v>
                </c:pt>
                <c:pt idx="4">
                  <c:v>110.46153846153847</c:v>
                </c:pt>
                <c:pt idx="5">
                  <c:v>110.46153846153847</c:v>
                </c:pt>
                <c:pt idx="6">
                  <c:v>110.35714285714286</c:v>
                </c:pt>
                <c:pt idx="7">
                  <c:v>110.71428571428571</c:v>
                </c:pt>
                <c:pt idx="8">
                  <c:v>111.85714285714286</c:v>
                </c:pt>
                <c:pt idx="9">
                  <c:v>113.42857142857143</c:v>
                </c:pt>
                <c:pt idx="10">
                  <c:v>115.21428571428571</c:v>
                </c:pt>
                <c:pt idx="11">
                  <c:v>116.23076923076923</c:v>
                </c:pt>
                <c:pt idx="12">
                  <c:v>113.71428571428571</c:v>
                </c:pt>
                <c:pt idx="13">
                  <c:v>115.14285714285714</c:v>
                </c:pt>
                <c:pt idx="14">
                  <c:v>117.76923076923077</c:v>
                </c:pt>
                <c:pt idx="15">
                  <c:v>113.30769230769231</c:v>
                </c:pt>
                <c:pt idx="16">
                  <c:v>116.15384615384616</c:v>
                </c:pt>
                <c:pt idx="17">
                  <c:v>119.42857142857143</c:v>
                </c:pt>
                <c:pt idx="18">
                  <c:v>119.15384615384616</c:v>
                </c:pt>
                <c:pt idx="19">
                  <c:v>115.64285714285714</c:v>
                </c:pt>
                <c:pt idx="20">
                  <c:v>111.76923076923077</c:v>
                </c:pt>
                <c:pt idx="21">
                  <c:v>114.25</c:v>
                </c:pt>
                <c:pt idx="22">
                  <c:v>117.5</c:v>
                </c:pt>
                <c:pt idx="23">
                  <c:v>120.61538461538461</c:v>
                </c:pt>
                <c:pt idx="24">
                  <c:v>120.57142857142857</c:v>
                </c:pt>
                <c:pt idx="25">
                  <c:v>121</c:v>
                </c:pt>
                <c:pt idx="26">
                  <c:v>121.61538461538461</c:v>
                </c:pt>
                <c:pt idx="27">
                  <c:v>116</c:v>
                </c:pt>
                <c:pt idx="28">
                  <c:v>116.18181818181819</c:v>
                </c:pt>
                <c:pt idx="29">
                  <c:v>116.54545454545455</c:v>
                </c:pt>
                <c:pt idx="30">
                  <c:v>116.54545454545455</c:v>
                </c:pt>
                <c:pt idx="31">
                  <c:v>116.54545454545455</c:v>
                </c:pt>
                <c:pt idx="32">
                  <c:v>116.18181818181819</c:v>
                </c:pt>
                <c:pt idx="33">
                  <c:v>115.09090909090909</c:v>
                </c:pt>
                <c:pt idx="34">
                  <c:v>111.09090909090909</c:v>
                </c:pt>
                <c:pt idx="35">
                  <c:v>111.09090909090909</c:v>
                </c:pt>
                <c:pt idx="36">
                  <c:v>111.09090909090909</c:v>
                </c:pt>
                <c:pt idx="37">
                  <c:v>113.3</c:v>
                </c:pt>
                <c:pt idx="38">
                  <c:v>113.3</c:v>
                </c:pt>
                <c:pt idx="39">
                  <c:v>112.5</c:v>
                </c:pt>
                <c:pt idx="40">
                  <c:v>114.72727272727273</c:v>
                </c:pt>
                <c:pt idx="41">
                  <c:v>116.54545454545455</c:v>
                </c:pt>
                <c:pt idx="42">
                  <c:v>115.91666666666667</c:v>
                </c:pt>
                <c:pt idx="43">
                  <c:v>116.54545454545455</c:v>
                </c:pt>
                <c:pt idx="44">
                  <c:v>114.72727272727273</c:v>
                </c:pt>
                <c:pt idx="45">
                  <c:v>113.45454545454545</c:v>
                </c:pt>
              </c:numCache>
            </c:numRef>
          </c:val>
          <c:smooth val="0"/>
        </c:ser>
        <c:ser>
          <c:idx val="2"/>
          <c:order val="1"/>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工作表1!$F$28:$AY$28</c:f>
              <c:numCache>
                <c:formatCode>0.0_);[Red]\(0.0\)</c:formatCode>
                <c:ptCount val="46"/>
                <c:pt idx="0">
                  <c:v>103.5</c:v>
                </c:pt>
                <c:pt idx="1">
                  <c:v>102.9</c:v>
                </c:pt>
                <c:pt idx="2">
                  <c:v>103.3</c:v>
                </c:pt>
                <c:pt idx="3">
                  <c:v>105.45454545454545</c:v>
                </c:pt>
                <c:pt idx="4">
                  <c:v>103</c:v>
                </c:pt>
                <c:pt idx="5">
                  <c:v>103.3</c:v>
                </c:pt>
                <c:pt idx="6">
                  <c:v>104.45454545454545</c:v>
                </c:pt>
                <c:pt idx="7">
                  <c:v>107.45454545454545</c:v>
                </c:pt>
                <c:pt idx="8">
                  <c:v>103</c:v>
                </c:pt>
                <c:pt idx="9">
                  <c:v>104.27272727272727</c:v>
                </c:pt>
                <c:pt idx="10">
                  <c:v>111.36363636363636</c:v>
                </c:pt>
                <c:pt idx="11">
                  <c:v>108.81818181818181</c:v>
                </c:pt>
                <c:pt idx="12">
                  <c:v>109.54545454545455</c:v>
                </c:pt>
                <c:pt idx="13">
                  <c:v>113.27272727272727</c:v>
                </c:pt>
                <c:pt idx="14">
                  <c:v>105.36363636363636</c:v>
                </c:pt>
                <c:pt idx="15">
                  <c:v>107.90909090909091</c:v>
                </c:pt>
                <c:pt idx="16">
                  <c:v>109.63636363636364</c:v>
                </c:pt>
                <c:pt idx="17">
                  <c:v>116.18181818181819</c:v>
                </c:pt>
                <c:pt idx="18">
                  <c:v>117.27272727272727</c:v>
                </c:pt>
                <c:pt idx="19">
                  <c:v>115.45454545454545</c:v>
                </c:pt>
                <c:pt idx="20">
                  <c:v>111.72727272727273</c:v>
                </c:pt>
                <c:pt idx="21">
                  <c:v>115.09090909090909</c:v>
                </c:pt>
                <c:pt idx="22">
                  <c:v>117.45454545454545</c:v>
                </c:pt>
                <c:pt idx="23">
                  <c:v>114.45454545454545</c:v>
                </c:pt>
                <c:pt idx="24">
                  <c:v>111.90909090909091</c:v>
                </c:pt>
                <c:pt idx="25">
                  <c:v>114</c:v>
                </c:pt>
                <c:pt idx="26">
                  <c:v>114.22222222222223</c:v>
                </c:pt>
                <c:pt idx="27">
                  <c:v>118</c:v>
                </c:pt>
                <c:pt idx="28">
                  <c:v>115.3</c:v>
                </c:pt>
                <c:pt idx="29">
                  <c:v>113.9</c:v>
                </c:pt>
                <c:pt idx="30">
                  <c:v>114.5</c:v>
                </c:pt>
                <c:pt idx="31">
                  <c:v>118.5</c:v>
                </c:pt>
                <c:pt idx="32">
                  <c:v>114.2</c:v>
                </c:pt>
                <c:pt idx="33">
                  <c:v>114</c:v>
                </c:pt>
                <c:pt idx="34">
                  <c:v>113.4</c:v>
                </c:pt>
                <c:pt idx="35">
                  <c:v>113</c:v>
                </c:pt>
                <c:pt idx="36">
                  <c:v>112.9</c:v>
                </c:pt>
                <c:pt idx="37">
                  <c:v>113</c:v>
                </c:pt>
                <c:pt idx="38">
                  <c:v>114.1</c:v>
                </c:pt>
                <c:pt idx="39">
                  <c:v>108.9</c:v>
                </c:pt>
                <c:pt idx="40">
                  <c:v>109.4</c:v>
                </c:pt>
                <c:pt idx="41">
                  <c:v>109.55555555555556</c:v>
                </c:pt>
                <c:pt idx="42">
                  <c:v>109.2</c:v>
                </c:pt>
                <c:pt idx="43">
                  <c:v>109.22222222222223</c:v>
                </c:pt>
                <c:pt idx="44">
                  <c:v>109.2</c:v>
                </c:pt>
                <c:pt idx="45">
                  <c:v>109.6</c:v>
                </c:pt>
              </c:numCache>
            </c:numRef>
          </c:val>
          <c:smooth val="0"/>
        </c:ser>
        <c:dLbls>
          <c:showLegendKey val="0"/>
          <c:showVal val="0"/>
          <c:showCatName val="0"/>
          <c:showSerName val="0"/>
          <c:showPercent val="0"/>
          <c:showBubbleSize val="0"/>
        </c:dLbls>
        <c:marker val="1"/>
        <c:smooth val="0"/>
        <c:axId val="275770752"/>
        <c:axId val="275121280"/>
      </c:lineChart>
      <c:dateAx>
        <c:axId val="275770752"/>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5121280"/>
        <c:crosses val="autoZero"/>
        <c:auto val="1"/>
        <c:lblOffset val="100"/>
        <c:baseTimeUnit val="days"/>
        <c:majorUnit val="1"/>
        <c:majorTimeUnit val="months"/>
      </c:dateAx>
      <c:valAx>
        <c:axId val="275121280"/>
        <c:scaling>
          <c:orientation val="minMax"/>
          <c:min val="10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5770752"/>
        <c:crosses val="autoZero"/>
        <c:crossBetween val="between"/>
      </c:valAx>
      <c:spPr>
        <a:noFill/>
        <a:ln>
          <a:noFill/>
        </a:ln>
        <a:effectLst/>
      </c:spPr>
    </c:plotArea>
    <c:legend>
      <c:legendPos val="b"/>
      <c:layout>
        <c:manualLayout>
          <c:xMode val="edge"/>
          <c:yMode val="edge"/>
          <c:x val="0.30649671355202585"/>
          <c:y val="1.0979583825549878E-2"/>
          <c:w val="0.48347434811387729"/>
          <c:h val="8.2063291654787596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9539489382009068"/>
        </c:manualLayout>
      </c:layout>
      <c:lineChart>
        <c:grouping val="standard"/>
        <c:varyColors val="0"/>
        <c:ser>
          <c:idx val="1"/>
          <c:order val="0"/>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工作表1!$F$31:$AY$31</c:f>
              <c:numCache>
                <c:formatCode>0.0_);[Red]\(0.0\)</c:formatCode>
                <c:ptCount val="46"/>
                <c:pt idx="0">
                  <c:v>62.545454545454547</c:v>
                </c:pt>
                <c:pt idx="1">
                  <c:v>63.4</c:v>
                </c:pt>
                <c:pt idx="2">
                  <c:v>62.222222222222221</c:v>
                </c:pt>
                <c:pt idx="3">
                  <c:v>65.888888888888886</c:v>
                </c:pt>
                <c:pt idx="4">
                  <c:v>65.7</c:v>
                </c:pt>
                <c:pt idx="5">
                  <c:v>61.6</c:v>
                </c:pt>
                <c:pt idx="6">
                  <c:v>64.7</c:v>
                </c:pt>
                <c:pt idx="7">
                  <c:v>65.400000000000006</c:v>
                </c:pt>
                <c:pt idx="8">
                  <c:v>63.6</c:v>
                </c:pt>
                <c:pt idx="9">
                  <c:v>64</c:v>
                </c:pt>
                <c:pt idx="10">
                  <c:v>64.444444444444443</c:v>
                </c:pt>
                <c:pt idx="11">
                  <c:v>64.444444444444443</c:v>
                </c:pt>
                <c:pt idx="12">
                  <c:v>62.6</c:v>
                </c:pt>
                <c:pt idx="13">
                  <c:v>64.2</c:v>
                </c:pt>
                <c:pt idx="14">
                  <c:v>63.3</c:v>
                </c:pt>
                <c:pt idx="15">
                  <c:v>64</c:v>
                </c:pt>
                <c:pt idx="16">
                  <c:v>64.2</c:v>
                </c:pt>
                <c:pt idx="17">
                  <c:v>64.36363636363636</c:v>
                </c:pt>
                <c:pt idx="18">
                  <c:v>65.400000000000006</c:v>
                </c:pt>
                <c:pt idx="19">
                  <c:v>65.818181818181813</c:v>
                </c:pt>
                <c:pt idx="20">
                  <c:v>66.181818181818187</c:v>
                </c:pt>
                <c:pt idx="21">
                  <c:v>62.444444444444443</c:v>
                </c:pt>
                <c:pt idx="22">
                  <c:v>62.666666666666664</c:v>
                </c:pt>
                <c:pt idx="23">
                  <c:v>63.333333333333336</c:v>
                </c:pt>
                <c:pt idx="24">
                  <c:v>65.222222222222229</c:v>
                </c:pt>
                <c:pt idx="25">
                  <c:v>63.777777777777779</c:v>
                </c:pt>
                <c:pt idx="26">
                  <c:v>62.6</c:v>
                </c:pt>
                <c:pt idx="27">
                  <c:v>62.6</c:v>
                </c:pt>
                <c:pt idx="28">
                  <c:v>63.9</c:v>
                </c:pt>
                <c:pt idx="29">
                  <c:v>64.900000000000006</c:v>
                </c:pt>
                <c:pt idx="30">
                  <c:v>64.599999999999994</c:v>
                </c:pt>
                <c:pt idx="31">
                  <c:v>64</c:v>
                </c:pt>
                <c:pt idx="32">
                  <c:v>63.7</c:v>
                </c:pt>
                <c:pt idx="33">
                  <c:v>66.111111111111114</c:v>
                </c:pt>
                <c:pt idx="34">
                  <c:v>63.444444444444443</c:v>
                </c:pt>
                <c:pt idx="35">
                  <c:v>63.444444444444443</c:v>
                </c:pt>
                <c:pt idx="36">
                  <c:v>59.777777777777779</c:v>
                </c:pt>
                <c:pt idx="37">
                  <c:v>60.6</c:v>
                </c:pt>
                <c:pt idx="38">
                  <c:v>58.1</c:v>
                </c:pt>
                <c:pt idx="39">
                  <c:v>62.6</c:v>
                </c:pt>
                <c:pt idx="40">
                  <c:v>63.1</c:v>
                </c:pt>
                <c:pt idx="41">
                  <c:v>63.8</c:v>
                </c:pt>
                <c:pt idx="42">
                  <c:v>62</c:v>
                </c:pt>
                <c:pt idx="43">
                  <c:v>64.099999999999994</c:v>
                </c:pt>
                <c:pt idx="44">
                  <c:v>65.3</c:v>
                </c:pt>
                <c:pt idx="45">
                  <c:v>65</c:v>
                </c:pt>
              </c:numCache>
            </c:numRef>
          </c:val>
          <c:smooth val="0"/>
        </c:ser>
        <c:ser>
          <c:idx val="2"/>
          <c:order val="1"/>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工作表1!$F$32:$AY$32</c:f>
              <c:numCache>
                <c:formatCode>0.0_);[Red]\(0.0\)</c:formatCode>
                <c:ptCount val="46"/>
                <c:pt idx="0">
                  <c:v>74</c:v>
                </c:pt>
                <c:pt idx="1">
                  <c:v>74</c:v>
                </c:pt>
                <c:pt idx="2">
                  <c:v>74</c:v>
                </c:pt>
                <c:pt idx="3">
                  <c:v>74</c:v>
                </c:pt>
                <c:pt idx="4">
                  <c:v>74</c:v>
                </c:pt>
                <c:pt idx="5">
                  <c:v>75</c:v>
                </c:pt>
                <c:pt idx="6">
                  <c:v>75</c:v>
                </c:pt>
                <c:pt idx="7">
                  <c:v>65.666666666666671</c:v>
                </c:pt>
                <c:pt idx="8">
                  <c:v>65.666666666666671</c:v>
                </c:pt>
                <c:pt idx="9">
                  <c:v>63.666666666666664</c:v>
                </c:pt>
                <c:pt idx="10">
                  <c:v>66</c:v>
                </c:pt>
                <c:pt idx="11">
                  <c:v>64.333333333333329</c:v>
                </c:pt>
                <c:pt idx="12">
                  <c:v>64.333333333333329</c:v>
                </c:pt>
                <c:pt idx="13">
                  <c:v>64.666666666666671</c:v>
                </c:pt>
                <c:pt idx="14">
                  <c:v>64</c:v>
                </c:pt>
                <c:pt idx="15">
                  <c:v>61.75</c:v>
                </c:pt>
                <c:pt idx="16">
                  <c:v>66.25</c:v>
                </c:pt>
                <c:pt idx="17">
                  <c:v>68.75</c:v>
                </c:pt>
                <c:pt idx="18">
                  <c:v>68.75</c:v>
                </c:pt>
                <c:pt idx="19">
                  <c:v>70.75</c:v>
                </c:pt>
                <c:pt idx="20">
                  <c:v>70.75</c:v>
                </c:pt>
                <c:pt idx="21">
                  <c:v>72.25</c:v>
                </c:pt>
                <c:pt idx="22">
                  <c:v>70.75</c:v>
                </c:pt>
                <c:pt idx="23">
                  <c:v>71</c:v>
                </c:pt>
                <c:pt idx="24">
                  <c:v>71</c:v>
                </c:pt>
                <c:pt idx="25">
                  <c:v>72.25</c:v>
                </c:pt>
                <c:pt idx="26">
                  <c:v>72.25</c:v>
                </c:pt>
                <c:pt idx="27">
                  <c:v>68.25</c:v>
                </c:pt>
                <c:pt idx="28">
                  <c:v>68.25</c:v>
                </c:pt>
                <c:pt idx="29">
                  <c:v>68.25</c:v>
                </c:pt>
                <c:pt idx="30">
                  <c:v>68.25</c:v>
                </c:pt>
                <c:pt idx="31">
                  <c:v>68.25</c:v>
                </c:pt>
                <c:pt idx="32">
                  <c:v>64.25</c:v>
                </c:pt>
                <c:pt idx="33">
                  <c:v>61.8</c:v>
                </c:pt>
                <c:pt idx="34">
                  <c:v>60.6</c:v>
                </c:pt>
                <c:pt idx="35">
                  <c:v>63.4</c:v>
                </c:pt>
                <c:pt idx="36">
                  <c:v>61</c:v>
                </c:pt>
                <c:pt idx="37">
                  <c:v>61</c:v>
                </c:pt>
                <c:pt idx="38">
                  <c:v>63.4</c:v>
                </c:pt>
                <c:pt idx="39">
                  <c:v>63.8</c:v>
                </c:pt>
                <c:pt idx="40">
                  <c:v>65.166666666666671</c:v>
                </c:pt>
                <c:pt idx="41">
                  <c:v>65.857142857142861</c:v>
                </c:pt>
                <c:pt idx="42">
                  <c:v>66.571428571428569</c:v>
                </c:pt>
                <c:pt idx="43">
                  <c:v>67</c:v>
                </c:pt>
                <c:pt idx="44">
                  <c:v>67</c:v>
                </c:pt>
                <c:pt idx="45">
                  <c:v>63.571428571428569</c:v>
                </c:pt>
              </c:numCache>
            </c:numRef>
          </c:val>
          <c:smooth val="0"/>
        </c:ser>
        <c:dLbls>
          <c:showLegendKey val="0"/>
          <c:showVal val="0"/>
          <c:showCatName val="0"/>
          <c:showSerName val="0"/>
          <c:showPercent val="0"/>
          <c:showBubbleSize val="0"/>
        </c:dLbls>
        <c:marker val="1"/>
        <c:smooth val="0"/>
        <c:axId val="275180928"/>
        <c:axId val="275711104"/>
      </c:lineChart>
      <c:dateAx>
        <c:axId val="275180928"/>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5711104"/>
        <c:crosses val="autoZero"/>
        <c:auto val="1"/>
        <c:lblOffset val="100"/>
        <c:baseTimeUnit val="days"/>
        <c:majorUnit val="1"/>
        <c:majorTimeUnit val="months"/>
      </c:dateAx>
      <c:valAx>
        <c:axId val="275711104"/>
        <c:scaling>
          <c:orientation val="minMax"/>
          <c:min val="5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5180928"/>
        <c:crosses val="autoZero"/>
        <c:crossBetween val="between"/>
      </c:valAx>
      <c:spPr>
        <a:noFill/>
        <a:ln>
          <a:noFill/>
        </a:ln>
        <a:effectLst/>
      </c:spPr>
    </c:plotArea>
    <c:legend>
      <c:legendPos val="b"/>
      <c:layout>
        <c:manualLayout>
          <c:xMode val="edge"/>
          <c:yMode val="edge"/>
          <c:x val="0.30649671355202585"/>
          <c:y val="1.0979583825549878E-2"/>
          <c:w val="0.48347434811387729"/>
          <c:h val="8.2063291654787596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6157064338815071E-2"/>
          <c:y val="0.12883948708301723"/>
          <c:w val="0.9235858923342537"/>
          <c:h val="0.62257562383331655"/>
        </c:manualLayout>
      </c:layout>
      <c:lineChart>
        <c:grouping val="standard"/>
        <c:varyColors val="0"/>
        <c:ser>
          <c:idx val="0"/>
          <c:order val="0"/>
          <c:tx>
            <c:strRef>
              <c:f>洗衣粉!$B$1</c:f>
              <c:strCache>
                <c:ptCount val="1"/>
                <c:pt idx="0">
                  <c:v>便利店</c:v>
                </c:pt>
              </c:strCache>
            </c:strRef>
          </c:tx>
          <c:spPr>
            <a:ln>
              <a:prstDash val="sysDash"/>
            </a:ln>
          </c:spPr>
          <c:marker>
            <c:symbol val="none"/>
          </c:marker>
          <c:cat>
            <c:strRef>
              <c:f>洗衣粉!$A$89:$A$173</c:f>
              <c:strCache>
                <c:ptCount val="85"/>
                <c:pt idx="0">
                  <c:v>102/4/8</c:v>
                </c:pt>
                <c:pt idx="1">
                  <c:v>102/4/15</c:v>
                </c:pt>
                <c:pt idx="2">
                  <c:v>102/4/22</c:v>
                </c:pt>
                <c:pt idx="3">
                  <c:v>102/4/29</c:v>
                </c:pt>
                <c:pt idx="4">
                  <c:v>102/5/6</c:v>
                </c:pt>
                <c:pt idx="5">
                  <c:v>102/5/13</c:v>
                </c:pt>
                <c:pt idx="6">
                  <c:v>102/5/20</c:v>
                </c:pt>
                <c:pt idx="7">
                  <c:v>102/5/27</c:v>
                </c:pt>
                <c:pt idx="8">
                  <c:v>102/6/3</c:v>
                </c:pt>
                <c:pt idx="9">
                  <c:v>102/6/10</c:v>
                </c:pt>
                <c:pt idx="10">
                  <c:v>102/6/17</c:v>
                </c:pt>
                <c:pt idx="11">
                  <c:v>102/6/24</c:v>
                </c:pt>
                <c:pt idx="12">
                  <c:v>102/7/1</c:v>
                </c:pt>
                <c:pt idx="13">
                  <c:v>102/7/8</c:v>
                </c:pt>
                <c:pt idx="14">
                  <c:v>102/7/15</c:v>
                </c:pt>
                <c:pt idx="15">
                  <c:v>102/7/22</c:v>
                </c:pt>
                <c:pt idx="16">
                  <c:v>102/7/29</c:v>
                </c:pt>
                <c:pt idx="17">
                  <c:v>102/8/5</c:v>
                </c:pt>
                <c:pt idx="18">
                  <c:v>102/8/12</c:v>
                </c:pt>
                <c:pt idx="19">
                  <c:v>102/8/19</c:v>
                </c:pt>
                <c:pt idx="20">
                  <c:v>102/8/26</c:v>
                </c:pt>
                <c:pt idx="21">
                  <c:v>102/9/2</c:v>
                </c:pt>
                <c:pt idx="22">
                  <c:v>102/9/9</c:v>
                </c:pt>
                <c:pt idx="23">
                  <c:v>102/9/16</c:v>
                </c:pt>
                <c:pt idx="24">
                  <c:v>102/9/23</c:v>
                </c:pt>
                <c:pt idx="25">
                  <c:v>102/9/30</c:v>
                </c:pt>
                <c:pt idx="26">
                  <c:v>102/10/7</c:v>
                </c:pt>
                <c:pt idx="27">
                  <c:v>102/10/14</c:v>
                </c:pt>
                <c:pt idx="28">
                  <c:v>102/10/21</c:v>
                </c:pt>
                <c:pt idx="29">
                  <c:v>102/10/28</c:v>
                </c:pt>
                <c:pt idx="30">
                  <c:v>102/11/04</c:v>
                </c:pt>
                <c:pt idx="31">
                  <c:v>102/11/11</c:v>
                </c:pt>
                <c:pt idx="32">
                  <c:v>102/11/18</c:v>
                </c:pt>
                <c:pt idx="33">
                  <c:v>102/11/25</c:v>
                </c:pt>
                <c:pt idx="34">
                  <c:v>102/12/2</c:v>
                </c:pt>
                <c:pt idx="35">
                  <c:v>102/12/9</c:v>
                </c:pt>
                <c:pt idx="36">
                  <c:v>102/12/16</c:v>
                </c:pt>
                <c:pt idx="37">
                  <c:v>102/12/23</c:v>
                </c:pt>
                <c:pt idx="38">
                  <c:v>102/12/30</c:v>
                </c:pt>
                <c:pt idx="39">
                  <c:v>103/1/6</c:v>
                </c:pt>
                <c:pt idx="40">
                  <c:v>103/1/20</c:v>
                </c:pt>
                <c:pt idx="41">
                  <c:v>103/2/10</c:v>
                </c:pt>
                <c:pt idx="42">
                  <c:v>103/2/24</c:v>
                </c:pt>
                <c:pt idx="43">
                  <c:v>103/3/3</c:v>
                </c:pt>
                <c:pt idx="44">
                  <c:v>103/3/17</c:v>
                </c:pt>
                <c:pt idx="45">
                  <c:v>103/4/7</c:v>
                </c:pt>
                <c:pt idx="46">
                  <c:v>103/4/21</c:v>
                </c:pt>
                <c:pt idx="47">
                  <c:v>103/5/5</c:v>
                </c:pt>
                <c:pt idx="48">
                  <c:v>103/5/19</c:v>
                </c:pt>
                <c:pt idx="49">
                  <c:v>103/6/9</c:v>
                </c:pt>
                <c:pt idx="50">
                  <c:v>103/6/23</c:v>
                </c:pt>
                <c:pt idx="51">
                  <c:v>103/7/7</c:v>
                </c:pt>
                <c:pt idx="52">
                  <c:v>103/7/21</c:v>
                </c:pt>
                <c:pt idx="53">
                  <c:v>103/8/4</c:v>
                </c:pt>
                <c:pt idx="54">
                  <c:v>103/8/18</c:v>
                </c:pt>
                <c:pt idx="55">
                  <c:v>103/9/9</c:v>
                </c:pt>
                <c:pt idx="56">
                  <c:v>103/9/22</c:v>
                </c:pt>
                <c:pt idx="57">
                  <c:v>103/10/6</c:v>
                </c:pt>
                <c:pt idx="58">
                  <c:v>103/10/20</c:v>
                </c:pt>
                <c:pt idx="59">
                  <c:v>103/11/3</c:v>
                </c:pt>
                <c:pt idx="60">
                  <c:v>103/11/17</c:v>
                </c:pt>
                <c:pt idx="61">
                  <c:v>103/12/8</c:v>
                </c:pt>
                <c:pt idx="62">
                  <c:v>103/12/22</c:v>
                </c:pt>
                <c:pt idx="63">
                  <c:v>104/1/5</c:v>
                </c:pt>
                <c:pt idx="64">
                  <c:v>104/1/19</c:v>
                </c:pt>
                <c:pt idx="65">
                  <c:v>104/2/2</c:v>
                </c:pt>
                <c:pt idx="66">
                  <c:v>104/2/16</c:v>
                </c:pt>
                <c:pt idx="67">
                  <c:v>104/3/9</c:v>
                </c:pt>
                <c:pt idx="68">
                  <c:v>104/3/23</c:v>
                </c:pt>
                <c:pt idx="69">
                  <c:v>104/4/7</c:v>
                </c:pt>
                <c:pt idx="70">
                  <c:v>104/4/20</c:v>
                </c:pt>
                <c:pt idx="71">
                  <c:v>104/5/11</c:v>
                </c:pt>
                <c:pt idx="72">
                  <c:v>104/5/25</c:v>
                </c:pt>
                <c:pt idx="73">
                  <c:v>104/6/8</c:v>
                </c:pt>
                <c:pt idx="74">
                  <c:v>104/6/15</c:v>
                </c:pt>
                <c:pt idx="75">
                  <c:v>104/7/6</c:v>
                </c:pt>
                <c:pt idx="76">
                  <c:v>104/7/20</c:v>
                </c:pt>
                <c:pt idx="77">
                  <c:v>104/8/3</c:v>
                </c:pt>
                <c:pt idx="78">
                  <c:v>104/8/17</c:v>
                </c:pt>
                <c:pt idx="79">
                  <c:v>104/9/7</c:v>
                </c:pt>
                <c:pt idx="80">
                  <c:v>104/9/21</c:v>
                </c:pt>
                <c:pt idx="81">
                  <c:v>104/10/5</c:v>
                </c:pt>
                <c:pt idx="82">
                  <c:v>104/10/19</c:v>
                </c:pt>
                <c:pt idx="83">
                  <c:v>104/11/9</c:v>
                </c:pt>
                <c:pt idx="84">
                  <c:v>104/11/23</c:v>
                </c:pt>
              </c:strCache>
            </c:strRef>
          </c:cat>
          <c:val>
            <c:numRef>
              <c:f>洗衣粉!$B$89:$B$173</c:f>
              <c:numCache>
                <c:formatCode>0.00_ </c:formatCode>
                <c:ptCount val="85"/>
                <c:pt idx="0">
                  <c:v>106</c:v>
                </c:pt>
                <c:pt idx="1">
                  <c:v>106</c:v>
                </c:pt>
                <c:pt idx="2">
                  <c:v>106</c:v>
                </c:pt>
                <c:pt idx="3">
                  <c:v>115</c:v>
                </c:pt>
                <c:pt idx="4">
                  <c:v>115</c:v>
                </c:pt>
                <c:pt idx="5">
                  <c:v>115</c:v>
                </c:pt>
                <c:pt idx="6">
                  <c:v>115</c:v>
                </c:pt>
                <c:pt idx="7">
                  <c:v>115</c:v>
                </c:pt>
                <c:pt idx="8">
                  <c:v>106</c:v>
                </c:pt>
                <c:pt idx="9">
                  <c:v>106</c:v>
                </c:pt>
                <c:pt idx="10">
                  <c:v>106</c:v>
                </c:pt>
                <c:pt idx="11">
                  <c:v>115</c:v>
                </c:pt>
                <c:pt idx="12">
                  <c:v>115</c:v>
                </c:pt>
                <c:pt idx="13">
                  <c:v>115</c:v>
                </c:pt>
                <c:pt idx="14">
                  <c:v>115</c:v>
                </c:pt>
                <c:pt idx="15">
                  <c:v>115</c:v>
                </c:pt>
                <c:pt idx="16">
                  <c:v>115</c:v>
                </c:pt>
                <c:pt idx="17">
                  <c:v>115</c:v>
                </c:pt>
                <c:pt idx="18">
                  <c:v>115</c:v>
                </c:pt>
                <c:pt idx="19">
                  <c:v>115</c:v>
                </c:pt>
                <c:pt idx="20">
                  <c:v>115</c:v>
                </c:pt>
                <c:pt idx="21">
                  <c:v>115</c:v>
                </c:pt>
                <c:pt idx="22">
                  <c:v>115</c:v>
                </c:pt>
                <c:pt idx="23">
                  <c:v>115</c:v>
                </c:pt>
                <c:pt idx="24">
                  <c:v>115</c:v>
                </c:pt>
                <c:pt idx="25">
                  <c:v>115</c:v>
                </c:pt>
                <c:pt idx="26">
                  <c:v>115</c:v>
                </c:pt>
                <c:pt idx="27">
                  <c:v>115</c:v>
                </c:pt>
                <c:pt idx="28">
                  <c:v>115</c:v>
                </c:pt>
                <c:pt idx="29">
                  <c:v>115</c:v>
                </c:pt>
                <c:pt idx="30">
                  <c:v>115</c:v>
                </c:pt>
                <c:pt idx="31">
                  <c:v>115</c:v>
                </c:pt>
                <c:pt idx="32">
                  <c:v>106</c:v>
                </c:pt>
                <c:pt idx="33">
                  <c:v>97</c:v>
                </c:pt>
                <c:pt idx="34">
                  <c:v>115</c:v>
                </c:pt>
                <c:pt idx="35">
                  <c:v>115</c:v>
                </c:pt>
                <c:pt idx="36">
                  <c:v>115</c:v>
                </c:pt>
                <c:pt idx="37">
                  <c:v>115</c:v>
                </c:pt>
                <c:pt idx="38">
                  <c:v>115</c:v>
                </c:pt>
                <c:pt idx="39">
                  <c:v>115</c:v>
                </c:pt>
                <c:pt idx="40">
                  <c:v>115</c:v>
                </c:pt>
                <c:pt idx="41">
                  <c:v>115</c:v>
                </c:pt>
                <c:pt idx="42">
                  <c:v>115</c:v>
                </c:pt>
                <c:pt idx="43">
                  <c:v>115</c:v>
                </c:pt>
                <c:pt idx="44">
                  <c:v>115</c:v>
                </c:pt>
                <c:pt idx="45">
                  <c:v>115</c:v>
                </c:pt>
                <c:pt idx="46">
                  <c:v>115</c:v>
                </c:pt>
                <c:pt idx="47">
                  <c:v>113.5</c:v>
                </c:pt>
                <c:pt idx="48">
                  <c:v>113.5</c:v>
                </c:pt>
                <c:pt idx="49">
                  <c:v>113.5</c:v>
                </c:pt>
                <c:pt idx="50">
                  <c:v>115</c:v>
                </c:pt>
                <c:pt idx="51">
                  <c:v>115</c:v>
                </c:pt>
                <c:pt idx="52">
                  <c:v>115</c:v>
                </c:pt>
                <c:pt idx="53">
                  <c:v>115</c:v>
                </c:pt>
                <c:pt idx="54">
                  <c:v>115</c:v>
                </c:pt>
                <c:pt idx="55">
                  <c:v>115</c:v>
                </c:pt>
                <c:pt idx="56">
                  <c:v>115</c:v>
                </c:pt>
                <c:pt idx="57">
                  <c:v>113.5</c:v>
                </c:pt>
                <c:pt idx="58">
                  <c:v>113.5</c:v>
                </c:pt>
                <c:pt idx="59">
                  <c:v>115</c:v>
                </c:pt>
                <c:pt idx="60">
                  <c:v>106</c:v>
                </c:pt>
                <c:pt idx="61">
                  <c:v>106</c:v>
                </c:pt>
                <c:pt idx="62">
                  <c:v>106</c:v>
                </c:pt>
                <c:pt idx="63">
                  <c:v>106</c:v>
                </c:pt>
                <c:pt idx="64">
                  <c:v>106</c:v>
                </c:pt>
                <c:pt idx="65">
                  <c:v>106</c:v>
                </c:pt>
                <c:pt idx="66">
                  <c:v>106</c:v>
                </c:pt>
                <c:pt idx="67">
                  <c:v>106</c:v>
                </c:pt>
                <c:pt idx="68">
                  <c:v>106</c:v>
                </c:pt>
                <c:pt idx="69">
                  <c:v>115</c:v>
                </c:pt>
                <c:pt idx="70">
                  <c:v>115</c:v>
                </c:pt>
                <c:pt idx="71">
                  <c:v>115</c:v>
                </c:pt>
                <c:pt idx="72">
                  <c:v>106</c:v>
                </c:pt>
                <c:pt idx="73">
                  <c:v>115</c:v>
                </c:pt>
                <c:pt idx="74">
                  <c:v>115</c:v>
                </c:pt>
                <c:pt idx="75">
                  <c:v>115</c:v>
                </c:pt>
                <c:pt idx="76">
                  <c:v>110</c:v>
                </c:pt>
                <c:pt idx="77">
                  <c:v>106</c:v>
                </c:pt>
                <c:pt idx="78">
                  <c:v>106</c:v>
                </c:pt>
                <c:pt idx="79">
                  <c:v>106</c:v>
                </c:pt>
                <c:pt idx="80">
                  <c:v>106</c:v>
                </c:pt>
                <c:pt idx="81">
                  <c:v>104.5</c:v>
                </c:pt>
                <c:pt idx="82">
                  <c:v>104.5</c:v>
                </c:pt>
                <c:pt idx="83">
                  <c:v>106</c:v>
                </c:pt>
                <c:pt idx="84">
                  <c:v>106</c:v>
                </c:pt>
              </c:numCache>
            </c:numRef>
          </c:val>
          <c:smooth val="0"/>
        </c:ser>
        <c:ser>
          <c:idx val="1"/>
          <c:order val="1"/>
          <c:tx>
            <c:strRef>
              <c:f>洗衣粉!$C$1</c:f>
              <c:strCache>
                <c:ptCount val="1"/>
                <c:pt idx="0">
                  <c:v>超市</c:v>
                </c:pt>
              </c:strCache>
            </c:strRef>
          </c:tx>
          <c:spPr>
            <a:ln>
              <a:prstDash val="sysDot"/>
            </a:ln>
          </c:spPr>
          <c:marker>
            <c:symbol val="none"/>
          </c:marker>
          <c:cat>
            <c:strRef>
              <c:f>洗衣粉!$A$89:$A$173</c:f>
              <c:strCache>
                <c:ptCount val="85"/>
                <c:pt idx="0">
                  <c:v>102/4/8</c:v>
                </c:pt>
                <c:pt idx="1">
                  <c:v>102/4/15</c:v>
                </c:pt>
                <c:pt idx="2">
                  <c:v>102/4/22</c:v>
                </c:pt>
                <c:pt idx="3">
                  <c:v>102/4/29</c:v>
                </c:pt>
                <c:pt idx="4">
                  <c:v>102/5/6</c:v>
                </c:pt>
                <c:pt idx="5">
                  <c:v>102/5/13</c:v>
                </c:pt>
                <c:pt idx="6">
                  <c:v>102/5/20</c:v>
                </c:pt>
                <c:pt idx="7">
                  <c:v>102/5/27</c:v>
                </c:pt>
                <c:pt idx="8">
                  <c:v>102/6/3</c:v>
                </c:pt>
                <c:pt idx="9">
                  <c:v>102/6/10</c:v>
                </c:pt>
                <c:pt idx="10">
                  <c:v>102/6/17</c:v>
                </c:pt>
                <c:pt idx="11">
                  <c:v>102/6/24</c:v>
                </c:pt>
                <c:pt idx="12">
                  <c:v>102/7/1</c:v>
                </c:pt>
                <c:pt idx="13">
                  <c:v>102/7/8</c:v>
                </c:pt>
                <c:pt idx="14">
                  <c:v>102/7/15</c:v>
                </c:pt>
                <c:pt idx="15">
                  <c:v>102/7/22</c:v>
                </c:pt>
                <c:pt idx="16">
                  <c:v>102/7/29</c:v>
                </c:pt>
                <c:pt idx="17">
                  <c:v>102/8/5</c:v>
                </c:pt>
                <c:pt idx="18">
                  <c:v>102/8/12</c:v>
                </c:pt>
                <c:pt idx="19">
                  <c:v>102/8/19</c:v>
                </c:pt>
                <c:pt idx="20">
                  <c:v>102/8/26</c:v>
                </c:pt>
                <c:pt idx="21">
                  <c:v>102/9/2</c:v>
                </c:pt>
                <c:pt idx="22">
                  <c:v>102/9/9</c:v>
                </c:pt>
                <c:pt idx="23">
                  <c:v>102/9/16</c:v>
                </c:pt>
                <c:pt idx="24">
                  <c:v>102/9/23</c:v>
                </c:pt>
                <c:pt idx="25">
                  <c:v>102/9/30</c:v>
                </c:pt>
                <c:pt idx="26">
                  <c:v>102/10/7</c:v>
                </c:pt>
                <c:pt idx="27">
                  <c:v>102/10/14</c:v>
                </c:pt>
                <c:pt idx="28">
                  <c:v>102/10/21</c:v>
                </c:pt>
                <c:pt idx="29">
                  <c:v>102/10/28</c:v>
                </c:pt>
                <c:pt idx="30">
                  <c:v>102/11/04</c:v>
                </c:pt>
                <c:pt idx="31">
                  <c:v>102/11/11</c:v>
                </c:pt>
                <c:pt idx="32">
                  <c:v>102/11/18</c:v>
                </c:pt>
                <c:pt idx="33">
                  <c:v>102/11/25</c:v>
                </c:pt>
                <c:pt idx="34">
                  <c:v>102/12/2</c:v>
                </c:pt>
                <c:pt idx="35">
                  <c:v>102/12/9</c:v>
                </c:pt>
                <c:pt idx="36">
                  <c:v>102/12/16</c:v>
                </c:pt>
                <c:pt idx="37">
                  <c:v>102/12/23</c:v>
                </c:pt>
                <c:pt idx="38">
                  <c:v>102/12/30</c:v>
                </c:pt>
                <c:pt idx="39">
                  <c:v>103/1/6</c:v>
                </c:pt>
                <c:pt idx="40">
                  <c:v>103/1/20</c:v>
                </c:pt>
                <c:pt idx="41">
                  <c:v>103/2/10</c:v>
                </c:pt>
                <c:pt idx="42">
                  <c:v>103/2/24</c:v>
                </c:pt>
                <c:pt idx="43">
                  <c:v>103/3/3</c:v>
                </c:pt>
                <c:pt idx="44">
                  <c:v>103/3/17</c:v>
                </c:pt>
                <c:pt idx="45">
                  <c:v>103/4/7</c:v>
                </c:pt>
                <c:pt idx="46">
                  <c:v>103/4/21</c:v>
                </c:pt>
                <c:pt idx="47">
                  <c:v>103/5/5</c:v>
                </c:pt>
                <c:pt idx="48">
                  <c:v>103/5/19</c:v>
                </c:pt>
                <c:pt idx="49">
                  <c:v>103/6/9</c:v>
                </c:pt>
                <c:pt idx="50">
                  <c:v>103/6/23</c:v>
                </c:pt>
                <c:pt idx="51">
                  <c:v>103/7/7</c:v>
                </c:pt>
                <c:pt idx="52">
                  <c:v>103/7/21</c:v>
                </c:pt>
                <c:pt idx="53">
                  <c:v>103/8/4</c:v>
                </c:pt>
                <c:pt idx="54">
                  <c:v>103/8/18</c:v>
                </c:pt>
                <c:pt idx="55">
                  <c:v>103/9/9</c:v>
                </c:pt>
                <c:pt idx="56">
                  <c:v>103/9/22</c:v>
                </c:pt>
                <c:pt idx="57">
                  <c:v>103/10/6</c:v>
                </c:pt>
                <c:pt idx="58">
                  <c:v>103/10/20</c:v>
                </c:pt>
                <c:pt idx="59">
                  <c:v>103/11/3</c:v>
                </c:pt>
                <c:pt idx="60">
                  <c:v>103/11/17</c:v>
                </c:pt>
                <c:pt idx="61">
                  <c:v>103/12/8</c:v>
                </c:pt>
                <c:pt idx="62">
                  <c:v>103/12/22</c:v>
                </c:pt>
                <c:pt idx="63">
                  <c:v>104/1/5</c:v>
                </c:pt>
                <c:pt idx="64">
                  <c:v>104/1/19</c:v>
                </c:pt>
                <c:pt idx="65">
                  <c:v>104/2/2</c:v>
                </c:pt>
                <c:pt idx="66">
                  <c:v>104/2/16</c:v>
                </c:pt>
                <c:pt idx="67">
                  <c:v>104/3/9</c:v>
                </c:pt>
                <c:pt idx="68">
                  <c:v>104/3/23</c:v>
                </c:pt>
                <c:pt idx="69">
                  <c:v>104/4/7</c:v>
                </c:pt>
                <c:pt idx="70">
                  <c:v>104/4/20</c:v>
                </c:pt>
                <c:pt idx="71">
                  <c:v>104/5/11</c:v>
                </c:pt>
                <c:pt idx="72">
                  <c:v>104/5/25</c:v>
                </c:pt>
                <c:pt idx="73">
                  <c:v>104/6/8</c:v>
                </c:pt>
                <c:pt idx="74">
                  <c:v>104/6/15</c:v>
                </c:pt>
                <c:pt idx="75">
                  <c:v>104/7/6</c:v>
                </c:pt>
                <c:pt idx="76">
                  <c:v>104/7/20</c:v>
                </c:pt>
                <c:pt idx="77">
                  <c:v>104/8/3</c:v>
                </c:pt>
                <c:pt idx="78">
                  <c:v>104/8/17</c:v>
                </c:pt>
                <c:pt idx="79">
                  <c:v>104/9/7</c:v>
                </c:pt>
                <c:pt idx="80">
                  <c:v>104/9/21</c:v>
                </c:pt>
                <c:pt idx="81">
                  <c:v>104/10/5</c:v>
                </c:pt>
                <c:pt idx="82">
                  <c:v>104/10/19</c:v>
                </c:pt>
                <c:pt idx="83">
                  <c:v>104/11/9</c:v>
                </c:pt>
                <c:pt idx="84">
                  <c:v>104/11/23</c:v>
                </c:pt>
              </c:strCache>
            </c:strRef>
          </c:cat>
          <c:val>
            <c:numRef>
              <c:f>洗衣粉!$C$89:$C$173</c:f>
              <c:numCache>
                <c:formatCode>0.00_ </c:formatCode>
                <c:ptCount val="85"/>
                <c:pt idx="0">
                  <c:v>125.57142857142857</c:v>
                </c:pt>
                <c:pt idx="1">
                  <c:v>125.86666666666666</c:v>
                </c:pt>
                <c:pt idx="2">
                  <c:v>135.69230769230768</c:v>
                </c:pt>
                <c:pt idx="3">
                  <c:v>131.76923076923077</c:v>
                </c:pt>
                <c:pt idx="4">
                  <c:v>136.46153846153845</c:v>
                </c:pt>
                <c:pt idx="5">
                  <c:v>138.38461538461539</c:v>
                </c:pt>
                <c:pt idx="6">
                  <c:v>132.38461538461539</c:v>
                </c:pt>
                <c:pt idx="7">
                  <c:v>129.71428571428572</c:v>
                </c:pt>
                <c:pt idx="8">
                  <c:v>127.78571428571429</c:v>
                </c:pt>
                <c:pt idx="9">
                  <c:v>120.21428571428571</c:v>
                </c:pt>
                <c:pt idx="10">
                  <c:v>134.71428571428572</c:v>
                </c:pt>
                <c:pt idx="11">
                  <c:v>128.78569999999999</c:v>
                </c:pt>
                <c:pt idx="12">
                  <c:v>128.93333333333334</c:v>
                </c:pt>
                <c:pt idx="13">
                  <c:v>127.46666666666667</c:v>
                </c:pt>
                <c:pt idx="14">
                  <c:v>136.6</c:v>
                </c:pt>
                <c:pt idx="15">
                  <c:v>130.1</c:v>
                </c:pt>
                <c:pt idx="16">
                  <c:v>126.2</c:v>
                </c:pt>
                <c:pt idx="17">
                  <c:v>121.2</c:v>
                </c:pt>
                <c:pt idx="18">
                  <c:v>122.06666666666666</c:v>
                </c:pt>
                <c:pt idx="19">
                  <c:v>113.13333333333334</c:v>
                </c:pt>
                <c:pt idx="20">
                  <c:v>110.2</c:v>
                </c:pt>
                <c:pt idx="21">
                  <c:v>110.5</c:v>
                </c:pt>
                <c:pt idx="22">
                  <c:v>115.13333333333334</c:v>
                </c:pt>
                <c:pt idx="23">
                  <c:v>125.86666666666666</c:v>
                </c:pt>
                <c:pt idx="24">
                  <c:v>123.93333333333334</c:v>
                </c:pt>
                <c:pt idx="25">
                  <c:v>124.6</c:v>
                </c:pt>
                <c:pt idx="26">
                  <c:v>134.26666666666668</c:v>
                </c:pt>
                <c:pt idx="27">
                  <c:v>125.6</c:v>
                </c:pt>
                <c:pt idx="28">
                  <c:v>118.53333333333333</c:v>
                </c:pt>
                <c:pt idx="29">
                  <c:v>114.5625</c:v>
                </c:pt>
                <c:pt idx="30">
                  <c:v>118.5625</c:v>
                </c:pt>
                <c:pt idx="31">
                  <c:v>121.625</c:v>
                </c:pt>
                <c:pt idx="32">
                  <c:v>123.875</c:v>
                </c:pt>
                <c:pt idx="33">
                  <c:v>130.4375</c:v>
                </c:pt>
                <c:pt idx="34">
                  <c:v>128.375</c:v>
                </c:pt>
                <c:pt idx="35">
                  <c:v>128.375</c:v>
                </c:pt>
                <c:pt idx="36">
                  <c:v>123.875</c:v>
                </c:pt>
                <c:pt idx="37">
                  <c:v>123.6875</c:v>
                </c:pt>
                <c:pt idx="38">
                  <c:v>129.64285714285714</c:v>
                </c:pt>
                <c:pt idx="39">
                  <c:v>129.4375</c:v>
                </c:pt>
                <c:pt idx="40">
                  <c:v>126.26666666666667</c:v>
                </c:pt>
                <c:pt idx="41">
                  <c:v>133.53333333333333</c:v>
                </c:pt>
                <c:pt idx="42">
                  <c:v>126.28571428571429</c:v>
                </c:pt>
                <c:pt idx="43">
                  <c:v>122.35714285714286</c:v>
                </c:pt>
                <c:pt idx="44">
                  <c:v>123.57142857142857</c:v>
                </c:pt>
                <c:pt idx="45">
                  <c:v>129.066666666667</c:v>
                </c:pt>
                <c:pt idx="46">
                  <c:v>130.06666666666666</c:v>
                </c:pt>
                <c:pt idx="47">
                  <c:v>124.46666666666667</c:v>
                </c:pt>
                <c:pt idx="48">
                  <c:v>124.53333333333333</c:v>
                </c:pt>
                <c:pt idx="49">
                  <c:v>131.13333333333333</c:v>
                </c:pt>
                <c:pt idx="50">
                  <c:v>134.57142857142858</c:v>
                </c:pt>
                <c:pt idx="51">
                  <c:v>128.06666666666666</c:v>
                </c:pt>
                <c:pt idx="52">
                  <c:v>130.73333333333332</c:v>
                </c:pt>
                <c:pt idx="53">
                  <c:v>128.57142857142858</c:v>
                </c:pt>
                <c:pt idx="54">
                  <c:v>126.21428571428571</c:v>
                </c:pt>
                <c:pt idx="55">
                  <c:v>130.07142857142858</c:v>
                </c:pt>
                <c:pt idx="56">
                  <c:v>136.06666666666666</c:v>
                </c:pt>
                <c:pt idx="57">
                  <c:v>134.85714285714286</c:v>
                </c:pt>
                <c:pt idx="58">
                  <c:v>126.53333333333333</c:v>
                </c:pt>
                <c:pt idx="59">
                  <c:v>123.4</c:v>
                </c:pt>
                <c:pt idx="60">
                  <c:v>129.28571428571428</c:v>
                </c:pt>
                <c:pt idx="61">
                  <c:v>133.35714285714286</c:v>
                </c:pt>
                <c:pt idx="62">
                  <c:v>133.46666666666667</c:v>
                </c:pt>
                <c:pt idx="63">
                  <c:v>134.5</c:v>
                </c:pt>
                <c:pt idx="64">
                  <c:v>136</c:v>
                </c:pt>
                <c:pt idx="65">
                  <c:v>134.46666666666667</c:v>
                </c:pt>
                <c:pt idx="66">
                  <c:v>121.66666666666667</c:v>
                </c:pt>
                <c:pt idx="67">
                  <c:v>139.4</c:v>
                </c:pt>
                <c:pt idx="68">
                  <c:v>139.4</c:v>
                </c:pt>
                <c:pt idx="69">
                  <c:v>130</c:v>
                </c:pt>
                <c:pt idx="70">
                  <c:v>129.73333333333332</c:v>
                </c:pt>
                <c:pt idx="71">
                  <c:v>138.73333333333332</c:v>
                </c:pt>
                <c:pt idx="72">
                  <c:v>134.73333333333332</c:v>
                </c:pt>
                <c:pt idx="73">
                  <c:v>138.06666666666666</c:v>
                </c:pt>
                <c:pt idx="74">
                  <c:v>138.73333333333332</c:v>
                </c:pt>
                <c:pt idx="75">
                  <c:v>131</c:v>
                </c:pt>
                <c:pt idx="76">
                  <c:v>132.625</c:v>
                </c:pt>
                <c:pt idx="77">
                  <c:v>135.8125</c:v>
                </c:pt>
                <c:pt idx="78">
                  <c:v>138.25</c:v>
                </c:pt>
                <c:pt idx="79">
                  <c:v>128.75</c:v>
                </c:pt>
                <c:pt idx="80">
                  <c:v>131</c:v>
                </c:pt>
                <c:pt idx="81">
                  <c:v>131.375</c:v>
                </c:pt>
                <c:pt idx="82">
                  <c:v>139.0625</c:v>
                </c:pt>
                <c:pt idx="83">
                  <c:v>136.86666666666667</c:v>
                </c:pt>
                <c:pt idx="84">
                  <c:v>125.2</c:v>
                </c:pt>
              </c:numCache>
            </c:numRef>
          </c:val>
          <c:smooth val="0"/>
        </c:ser>
        <c:ser>
          <c:idx val="2"/>
          <c:order val="2"/>
          <c:tx>
            <c:strRef>
              <c:f>洗衣粉!$D$1</c:f>
              <c:strCache>
                <c:ptCount val="1"/>
                <c:pt idx="0">
                  <c:v>量販店</c:v>
                </c:pt>
              </c:strCache>
            </c:strRef>
          </c:tx>
          <c:marker>
            <c:symbol val="none"/>
          </c:marker>
          <c:cat>
            <c:strRef>
              <c:f>洗衣粉!$A$89:$A$173</c:f>
              <c:strCache>
                <c:ptCount val="85"/>
                <c:pt idx="0">
                  <c:v>102/4/8</c:v>
                </c:pt>
                <c:pt idx="1">
                  <c:v>102/4/15</c:v>
                </c:pt>
                <c:pt idx="2">
                  <c:v>102/4/22</c:v>
                </c:pt>
                <c:pt idx="3">
                  <c:v>102/4/29</c:v>
                </c:pt>
                <c:pt idx="4">
                  <c:v>102/5/6</c:v>
                </c:pt>
                <c:pt idx="5">
                  <c:v>102/5/13</c:v>
                </c:pt>
                <c:pt idx="6">
                  <c:v>102/5/20</c:v>
                </c:pt>
                <c:pt idx="7">
                  <c:v>102/5/27</c:v>
                </c:pt>
                <c:pt idx="8">
                  <c:v>102/6/3</c:v>
                </c:pt>
                <c:pt idx="9">
                  <c:v>102/6/10</c:v>
                </c:pt>
                <c:pt idx="10">
                  <c:v>102/6/17</c:v>
                </c:pt>
                <c:pt idx="11">
                  <c:v>102/6/24</c:v>
                </c:pt>
                <c:pt idx="12">
                  <c:v>102/7/1</c:v>
                </c:pt>
                <c:pt idx="13">
                  <c:v>102/7/8</c:v>
                </c:pt>
                <c:pt idx="14">
                  <c:v>102/7/15</c:v>
                </c:pt>
                <c:pt idx="15">
                  <c:v>102/7/22</c:v>
                </c:pt>
                <c:pt idx="16">
                  <c:v>102/7/29</c:v>
                </c:pt>
                <c:pt idx="17">
                  <c:v>102/8/5</c:v>
                </c:pt>
                <c:pt idx="18">
                  <c:v>102/8/12</c:v>
                </c:pt>
                <c:pt idx="19">
                  <c:v>102/8/19</c:v>
                </c:pt>
                <c:pt idx="20">
                  <c:v>102/8/26</c:v>
                </c:pt>
                <c:pt idx="21">
                  <c:v>102/9/2</c:v>
                </c:pt>
                <c:pt idx="22">
                  <c:v>102/9/9</c:v>
                </c:pt>
                <c:pt idx="23">
                  <c:v>102/9/16</c:v>
                </c:pt>
                <c:pt idx="24">
                  <c:v>102/9/23</c:v>
                </c:pt>
                <c:pt idx="25">
                  <c:v>102/9/30</c:v>
                </c:pt>
                <c:pt idx="26">
                  <c:v>102/10/7</c:v>
                </c:pt>
                <c:pt idx="27">
                  <c:v>102/10/14</c:v>
                </c:pt>
                <c:pt idx="28">
                  <c:v>102/10/21</c:v>
                </c:pt>
                <c:pt idx="29">
                  <c:v>102/10/28</c:v>
                </c:pt>
                <c:pt idx="30">
                  <c:v>102/11/04</c:v>
                </c:pt>
                <c:pt idx="31">
                  <c:v>102/11/11</c:v>
                </c:pt>
                <c:pt idx="32">
                  <c:v>102/11/18</c:v>
                </c:pt>
                <c:pt idx="33">
                  <c:v>102/11/25</c:v>
                </c:pt>
                <c:pt idx="34">
                  <c:v>102/12/2</c:v>
                </c:pt>
                <c:pt idx="35">
                  <c:v>102/12/9</c:v>
                </c:pt>
                <c:pt idx="36">
                  <c:v>102/12/16</c:v>
                </c:pt>
                <c:pt idx="37">
                  <c:v>102/12/23</c:v>
                </c:pt>
                <c:pt idx="38">
                  <c:v>102/12/30</c:v>
                </c:pt>
                <c:pt idx="39">
                  <c:v>103/1/6</c:v>
                </c:pt>
                <c:pt idx="40">
                  <c:v>103/1/20</c:v>
                </c:pt>
                <c:pt idx="41">
                  <c:v>103/2/10</c:v>
                </c:pt>
                <c:pt idx="42">
                  <c:v>103/2/24</c:v>
                </c:pt>
                <c:pt idx="43">
                  <c:v>103/3/3</c:v>
                </c:pt>
                <c:pt idx="44">
                  <c:v>103/3/17</c:v>
                </c:pt>
                <c:pt idx="45">
                  <c:v>103/4/7</c:v>
                </c:pt>
                <c:pt idx="46">
                  <c:v>103/4/21</c:v>
                </c:pt>
                <c:pt idx="47">
                  <c:v>103/5/5</c:v>
                </c:pt>
                <c:pt idx="48">
                  <c:v>103/5/19</c:v>
                </c:pt>
                <c:pt idx="49">
                  <c:v>103/6/9</c:v>
                </c:pt>
                <c:pt idx="50">
                  <c:v>103/6/23</c:v>
                </c:pt>
                <c:pt idx="51">
                  <c:v>103/7/7</c:v>
                </c:pt>
                <c:pt idx="52">
                  <c:v>103/7/21</c:v>
                </c:pt>
                <c:pt idx="53">
                  <c:v>103/8/4</c:v>
                </c:pt>
                <c:pt idx="54">
                  <c:v>103/8/18</c:v>
                </c:pt>
                <c:pt idx="55">
                  <c:v>103/9/9</c:v>
                </c:pt>
                <c:pt idx="56">
                  <c:v>103/9/22</c:v>
                </c:pt>
                <c:pt idx="57">
                  <c:v>103/10/6</c:v>
                </c:pt>
                <c:pt idx="58">
                  <c:v>103/10/20</c:v>
                </c:pt>
                <c:pt idx="59">
                  <c:v>103/11/3</c:v>
                </c:pt>
                <c:pt idx="60">
                  <c:v>103/11/17</c:v>
                </c:pt>
                <c:pt idx="61">
                  <c:v>103/12/8</c:v>
                </c:pt>
                <c:pt idx="62">
                  <c:v>103/12/22</c:v>
                </c:pt>
                <c:pt idx="63">
                  <c:v>104/1/5</c:v>
                </c:pt>
                <c:pt idx="64">
                  <c:v>104/1/19</c:v>
                </c:pt>
                <c:pt idx="65">
                  <c:v>104/2/2</c:v>
                </c:pt>
                <c:pt idx="66">
                  <c:v>104/2/16</c:v>
                </c:pt>
                <c:pt idx="67">
                  <c:v>104/3/9</c:v>
                </c:pt>
                <c:pt idx="68">
                  <c:v>104/3/23</c:v>
                </c:pt>
                <c:pt idx="69">
                  <c:v>104/4/7</c:v>
                </c:pt>
                <c:pt idx="70">
                  <c:v>104/4/20</c:v>
                </c:pt>
                <c:pt idx="71">
                  <c:v>104/5/11</c:v>
                </c:pt>
                <c:pt idx="72">
                  <c:v>104/5/25</c:v>
                </c:pt>
                <c:pt idx="73">
                  <c:v>104/6/8</c:v>
                </c:pt>
                <c:pt idx="74">
                  <c:v>104/6/15</c:v>
                </c:pt>
                <c:pt idx="75">
                  <c:v>104/7/6</c:v>
                </c:pt>
                <c:pt idx="76">
                  <c:v>104/7/20</c:v>
                </c:pt>
                <c:pt idx="77">
                  <c:v>104/8/3</c:v>
                </c:pt>
                <c:pt idx="78">
                  <c:v>104/8/17</c:v>
                </c:pt>
                <c:pt idx="79">
                  <c:v>104/9/7</c:v>
                </c:pt>
                <c:pt idx="80">
                  <c:v>104/9/21</c:v>
                </c:pt>
                <c:pt idx="81">
                  <c:v>104/10/5</c:v>
                </c:pt>
                <c:pt idx="82">
                  <c:v>104/10/19</c:v>
                </c:pt>
                <c:pt idx="83">
                  <c:v>104/11/9</c:v>
                </c:pt>
                <c:pt idx="84">
                  <c:v>104/11/23</c:v>
                </c:pt>
              </c:strCache>
            </c:strRef>
          </c:cat>
          <c:val>
            <c:numRef>
              <c:f>洗衣粉!$D$89:$D$173</c:f>
              <c:numCache>
                <c:formatCode>0.00_ </c:formatCode>
                <c:ptCount val="85"/>
                <c:pt idx="0">
                  <c:v>140</c:v>
                </c:pt>
                <c:pt idx="1">
                  <c:v>143.88888888888889</c:v>
                </c:pt>
                <c:pt idx="2">
                  <c:v>126.33333333333333</c:v>
                </c:pt>
                <c:pt idx="3">
                  <c:v>129.22222222222223</c:v>
                </c:pt>
                <c:pt idx="4">
                  <c:v>130.55555555555554</c:v>
                </c:pt>
                <c:pt idx="5">
                  <c:v>133.88888888888889</c:v>
                </c:pt>
                <c:pt idx="6">
                  <c:v>132</c:v>
                </c:pt>
                <c:pt idx="7">
                  <c:v>113.8</c:v>
                </c:pt>
                <c:pt idx="8">
                  <c:v>111</c:v>
                </c:pt>
                <c:pt idx="9">
                  <c:v>112.33333333333333</c:v>
                </c:pt>
                <c:pt idx="10">
                  <c:v>120.75</c:v>
                </c:pt>
                <c:pt idx="11">
                  <c:v>117.2222</c:v>
                </c:pt>
                <c:pt idx="12">
                  <c:v>118.77777777777777</c:v>
                </c:pt>
                <c:pt idx="13">
                  <c:v>125.66666666666667</c:v>
                </c:pt>
                <c:pt idx="14">
                  <c:v>120.55555555555556</c:v>
                </c:pt>
                <c:pt idx="15">
                  <c:v>116.22222222222223</c:v>
                </c:pt>
                <c:pt idx="16">
                  <c:v>124.44444444444444</c:v>
                </c:pt>
                <c:pt idx="17">
                  <c:v>123.33333333333333</c:v>
                </c:pt>
                <c:pt idx="18">
                  <c:v>110.77777777777777</c:v>
                </c:pt>
                <c:pt idx="19">
                  <c:v>104.88888888888889</c:v>
                </c:pt>
                <c:pt idx="20">
                  <c:v>110.77777777777777</c:v>
                </c:pt>
                <c:pt idx="21">
                  <c:v>122.11111111111111</c:v>
                </c:pt>
                <c:pt idx="22">
                  <c:v>120.11111111111111</c:v>
                </c:pt>
                <c:pt idx="23">
                  <c:v>123.44444444444444</c:v>
                </c:pt>
                <c:pt idx="24">
                  <c:v>118.66666666666667</c:v>
                </c:pt>
                <c:pt idx="25">
                  <c:v>116.33333333333333</c:v>
                </c:pt>
                <c:pt idx="26">
                  <c:v>113.11111111111111</c:v>
                </c:pt>
                <c:pt idx="27">
                  <c:v>111.33333333333333</c:v>
                </c:pt>
                <c:pt idx="28">
                  <c:v>111.55555555555556</c:v>
                </c:pt>
                <c:pt idx="29">
                  <c:v>113.55555555555556</c:v>
                </c:pt>
                <c:pt idx="30">
                  <c:v>115.11111111111111</c:v>
                </c:pt>
                <c:pt idx="31">
                  <c:v>114.22222222222223</c:v>
                </c:pt>
                <c:pt idx="32">
                  <c:v>110.55555555555556</c:v>
                </c:pt>
                <c:pt idx="33">
                  <c:v>107.77777777777777</c:v>
                </c:pt>
                <c:pt idx="34">
                  <c:v>110.22222222222223</c:v>
                </c:pt>
                <c:pt idx="35">
                  <c:v>117</c:v>
                </c:pt>
                <c:pt idx="36">
                  <c:v>113.11111111111111</c:v>
                </c:pt>
                <c:pt idx="37">
                  <c:v>102.77777777777777</c:v>
                </c:pt>
                <c:pt idx="38">
                  <c:v>105</c:v>
                </c:pt>
                <c:pt idx="39">
                  <c:v>108.11111111111111</c:v>
                </c:pt>
                <c:pt idx="40">
                  <c:v>107.55555555555556</c:v>
                </c:pt>
                <c:pt idx="41">
                  <c:v>101.8</c:v>
                </c:pt>
                <c:pt idx="42">
                  <c:v>112.7</c:v>
                </c:pt>
                <c:pt idx="43">
                  <c:v>107</c:v>
                </c:pt>
                <c:pt idx="44">
                  <c:v>108.33333333333333</c:v>
                </c:pt>
                <c:pt idx="45">
                  <c:v>100.2</c:v>
                </c:pt>
                <c:pt idx="46">
                  <c:v>108.8</c:v>
                </c:pt>
                <c:pt idx="47">
                  <c:v>112.6</c:v>
                </c:pt>
                <c:pt idx="48">
                  <c:v>121.7</c:v>
                </c:pt>
                <c:pt idx="49">
                  <c:v>120.27272727272727</c:v>
                </c:pt>
                <c:pt idx="50">
                  <c:v>119.36363636363636</c:v>
                </c:pt>
                <c:pt idx="51">
                  <c:v>120.81818181818181</c:v>
                </c:pt>
                <c:pt idx="52">
                  <c:v>120.45454545454545</c:v>
                </c:pt>
                <c:pt idx="53">
                  <c:v>114.90909090909091</c:v>
                </c:pt>
                <c:pt idx="54">
                  <c:v>115.36363636363636</c:v>
                </c:pt>
                <c:pt idx="55">
                  <c:v>117.90909090909091</c:v>
                </c:pt>
                <c:pt idx="56">
                  <c:v>122</c:v>
                </c:pt>
                <c:pt idx="57">
                  <c:v>125.45454545454545</c:v>
                </c:pt>
                <c:pt idx="58">
                  <c:v>124.72727272727273</c:v>
                </c:pt>
                <c:pt idx="59">
                  <c:v>126.72727272727273</c:v>
                </c:pt>
                <c:pt idx="60">
                  <c:v>126.72727272727273</c:v>
                </c:pt>
                <c:pt idx="61">
                  <c:v>123.90909090909091</c:v>
                </c:pt>
                <c:pt idx="62">
                  <c:v>124.45454545454545</c:v>
                </c:pt>
                <c:pt idx="63">
                  <c:v>117.18181818181819</c:v>
                </c:pt>
                <c:pt idx="64">
                  <c:v>124.36363636363636</c:v>
                </c:pt>
                <c:pt idx="65">
                  <c:v>120.36363636363636</c:v>
                </c:pt>
                <c:pt idx="66">
                  <c:v>119.09090909090909</c:v>
                </c:pt>
                <c:pt idx="67">
                  <c:v>126.09090909090909</c:v>
                </c:pt>
                <c:pt idx="68">
                  <c:v>120.27272727272727</c:v>
                </c:pt>
                <c:pt idx="69">
                  <c:v>119.81818181818181</c:v>
                </c:pt>
                <c:pt idx="70">
                  <c:v>115.36363636363636</c:v>
                </c:pt>
                <c:pt idx="71">
                  <c:v>115.45454545454545</c:v>
                </c:pt>
                <c:pt idx="72">
                  <c:v>114.45454545454545</c:v>
                </c:pt>
                <c:pt idx="73">
                  <c:v>109.63636363636364</c:v>
                </c:pt>
                <c:pt idx="74">
                  <c:v>109.09090909090909</c:v>
                </c:pt>
                <c:pt idx="75">
                  <c:v>122.72727272727273</c:v>
                </c:pt>
                <c:pt idx="76">
                  <c:v>113.54545454545455</c:v>
                </c:pt>
                <c:pt idx="77">
                  <c:v>117.27272727272727</c:v>
                </c:pt>
                <c:pt idx="78">
                  <c:v>114</c:v>
                </c:pt>
                <c:pt idx="79">
                  <c:v>117.18181818181819</c:v>
                </c:pt>
                <c:pt idx="80">
                  <c:v>115.81818181818181</c:v>
                </c:pt>
                <c:pt idx="81">
                  <c:v>119.09090909090909</c:v>
                </c:pt>
                <c:pt idx="82">
                  <c:v>116.90909090909091</c:v>
                </c:pt>
                <c:pt idx="83">
                  <c:v>117.54545454545455</c:v>
                </c:pt>
                <c:pt idx="84">
                  <c:v>118.09090909090909</c:v>
                </c:pt>
              </c:numCache>
            </c:numRef>
          </c:val>
          <c:smooth val="0"/>
        </c:ser>
        <c:dLbls>
          <c:showLegendKey val="0"/>
          <c:showVal val="0"/>
          <c:showCatName val="0"/>
          <c:showSerName val="0"/>
          <c:showPercent val="0"/>
          <c:showBubbleSize val="0"/>
        </c:dLbls>
        <c:marker val="1"/>
        <c:smooth val="0"/>
        <c:axId val="275989248"/>
        <c:axId val="275990784"/>
      </c:lineChart>
      <c:catAx>
        <c:axId val="275989248"/>
        <c:scaling>
          <c:orientation val="minMax"/>
        </c:scaling>
        <c:delete val="0"/>
        <c:axPos val="b"/>
        <c:numFmt formatCode="General" sourceLinked="1"/>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5990784"/>
        <c:crosses val="autoZero"/>
        <c:auto val="1"/>
        <c:lblAlgn val="ctr"/>
        <c:lblOffset val="100"/>
        <c:tickLblSkip val="3"/>
        <c:noMultiLvlLbl val="0"/>
      </c:catAx>
      <c:valAx>
        <c:axId val="275990784"/>
        <c:scaling>
          <c:orientation val="minMax"/>
          <c:max val="150"/>
          <c:min val="90"/>
        </c:scaling>
        <c:delete val="0"/>
        <c:axPos val="l"/>
        <c:numFmt formatCode="#,##0_);\(#,##0\)" sourceLinked="0"/>
        <c:majorTickMark val="out"/>
        <c:minorTickMark val="none"/>
        <c:tickLblPos val="nextTo"/>
        <c:txPr>
          <a:bodyPr/>
          <a:lstStyle/>
          <a:p>
            <a:pPr>
              <a:defRPr>
                <a:latin typeface="Times New Roman" pitchFamily="18" charset="0"/>
                <a:cs typeface="Times New Roman" pitchFamily="18" charset="0"/>
              </a:defRPr>
            </a:pPr>
            <a:endParaRPr lang="zh-TW"/>
          </a:p>
        </c:txPr>
        <c:crossAx val="275989248"/>
        <c:crosses val="autoZero"/>
        <c:crossBetween val="between"/>
      </c:valAx>
      <c:spPr>
        <a:noFill/>
        <a:ln w="25400">
          <a:noFill/>
        </a:ln>
      </c:spPr>
    </c:plotArea>
    <c:legend>
      <c:legendPos val="r"/>
      <c:layout>
        <c:manualLayout>
          <c:xMode val="edge"/>
          <c:yMode val="edge"/>
          <c:x val="0.11317120154105466"/>
          <c:y val="2.8116582565535831E-2"/>
          <c:w val="0.18908918891760249"/>
          <c:h val="0.22977159359411919"/>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05399260952468E-2"/>
          <c:y val="0.12168114060565217"/>
          <c:w val="0.91608915668197055"/>
          <c:h val="0.63551389890913146"/>
        </c:manualLayout>
      </c:layout>
      <c:lineChart>
        <c:grouping val="standard"/>
        <c:varyColors val="0"/>
        <c:ser>
          <c:idx val="3"/>
          <c:order val="1"/>
          <c:tx>
            <c:strRef>
              <c:f>衛生紙!$C$2</c:f>
              <c:strCache>
                <c:ptCount val="1"/>
                <c:pt idx="0">
                  <c:v>超市－舒潔 </c:v>
                </c:pt>
              </c:strCache>
            </c:strRef>
          </c:tx>
          <c:spPr>
            <a:ln>
              <a:solidFill>
                <a:srgbClr val="00B050"/>
              </a:solidFill>
            </a:ln>
          </c:spPr>
          <c:marker>
            <c:symbol val="none"/>
          </c:marker>
          <c:cat>
            <c:strRef>
              <c:f>衛生紙!$A$32:$A$173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104/02/02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衛生紙!$C$32:$C$173</c:f>
              <c:numCache>
                <c:formatCode>0.00_ </c:formatCode>
                <c:ptCount val="142"/>
                <c:pt idx="0">
                  <c:v>121.88888888888889</c:v>
                </c:pt>
                <c:pt idx="1">
                  <c:v>125.44444444444444</c:v>
                </c:pt>
                <c:pt idx="2">
                  <c:v>129.29</c:v>
                </c:pt>
                <c:pt idx="3">
                  <c:v>134.11000000000001</c:v>
                </c:pt>
                <c:pt idx="4">
                  <c:v>135.56</c:v>
                </c:pt>
                <c:pt idx="5">
                  <c:v>135.11000000000001</c:v>
                </c:pt>
                <c:pt idx="6">
                  <c:v>126.1</c:v>
                </c:pt>
                <c:pt idx="7">
                  <c:v>128.375</c:v>
                </c:pt>
                <c:pt idx="8">
                  <c:v>128.25</c:v>
                </c:pt>
                <c:pt idx="9">
                  <c:v>125.55555555555556</c:v>
                </c:pt>
                <c:pt idx="10">
                  <c:v>119.55555555555556</c:v>
                </c:pt>
                <c:pt idx="11">
                  <c:v>128</c:v>
                </c:pt>
                <c:pt idx="12">
                  <c:v>128</c:v>
                </c:pt>
                <c:pt idx="13">
                  <c:v>126.11111111111111</c:v>
                </c:pt>
                <c:pt idx="14">
                  <c:v>124.6</c:v>
                </c:pt>
                <c:pt idx="15">
                  <c:v>117</c:v>
                </c:pt>
                <c:pt idx="16">
                  <c:v>114.33333333333333</c:v>
                </c:pt>
                <c:pt idx="17">
                  <c:v>120.4</c:v>
                </c:pt>
                <c:pt idx="18">
                  <c:v>116.81818181818181</c:v>
                </c:pt>
                <c:pt idx="19">
                  <c:v>122.63636363636364</c:v>
                </c:pt>
                <c:pt idx="20">
                  <c:v>122.36363636363636</c:v>
                </c:pt>
                <c:pt idx="21">
                  <c:v>118.7</c:v>
                </c:pt>
                <c:pt idx="22">
                  <c:v>115.63636363636364</c:v>
                </c:pt>
                <c:pt idx="23">
                  <c:v>118.5</c:v>
                </c:pt>
                <c:pt idx="24">
                  <c:v>120.5</c:v>
                </c:pt>
                <c:pt idx="25">
                  <c:v>120.90909090909091</c:v>
                </c:pt>
                <c:pt idx="26">
                  <c:v>120.90909090909091</c:v>
                </c:pt>
                <c:pt idx="27">
                  <c:v>125.18181818181819</c:v>
                </c:pt>
                <c:pt idx="28">
                  <c:v>120.2</c:v>
                </c:pt>
                <c:pt idx="29">
                  <c:v>125.9</c:v>
                </c:pt>
                <c:pt idx="30">
                  <c:v>132.33333333333334</c:v>
                </c:pt>
                <c:pt idx="31">
                  <c:v>119.2</c:v>
                </c:pt>
                <c:pt idx="32">
                  <c:v>122.2</c:v>
                </c:pt>
                <c:pt idx="33">
                  <c:v>121.6</c:v>
                </c:pt>
                <c:pt idx="34">
                  <c:v>118.55555555555556</c:v>
                </c:pt>
                <c:pt idx="35">
                  <c:v>125.2</c:v>
                </c:pt>
                <c:pt idx="36">
                  <c:v>120.2</c:v>
                </c:pt>
                <c:pt idx="37">
                  <c:v>136.19999999999999</c:v>
                </c:pt>
                <c:pt idx="38">
                  <c:v>129.6</c:v>
                </c:pt>
                <c:pt idx="39">
                  <c:v>126.4</c:v>
                </c:pt>
                <c:pt idx="40">
                  <c:v>119.8</c:v>
                </c:pt>
                <c:pt idx="41">
                  <c:v>113.66666666666667</c:v>
                </c:pt>
                <c:pt idx="42">
                  <c:v>112.55555555555556</c:v>
                </c:pt>
                <c:pt idx="43">
                  <c:v>120.33333333333333</c:v>
                </c:pt>
                <c:pt idx="44">
                  <c:v>124.33333333333333</c:v>
                </c:pt>
                <c:pt idx="45">
                  <c:v>127</c:v>
                </c:pt>
                <c:pt idx="46">
                  <c:v>127</c:v>
                </c:pt>
                <c:pt idx="47">
                  <c:v>121.2</c:v>
                </c:pt>
                <c:pt idx="48">
                  <c:v>121.8</c:v>
                </c:pt>
                <c:pt idx="49">
                  <c:v>121.8</c:v>
                </c:pt>
                <c:pt idx="50">
                  <c:v>121.4</c:v>
                </c:pt>
                <c:pt idx="51">
                  <c:v>117.8</c:v>
                </c:pt>
                <c:pt idx="52">
                  <c:v>119.6</c:v>
                </c:pt>
                <c:pt idx="53">
                  <c:v>118</c:v>
                </c:pt>
                <c:pt idx="54">
                  <c:v>122.4</c:v>
                </c:pt>
                <c:pt idx="55">
                  <c:v>116.8</c:v>
                </c:pt>
                <c:pt idx="56">
                  <c:v>117.8</c:v>
                </c:pt>
                <c:pt idx="57">
                  <c:v>117.8</c:v>
                </c:pt>
                <c:pt idx="58">
                  <c:v>117.8</c:v>
                </c:pt>
                <c:pt idx="59">
                  <c:v>119.8</c:v>
                </c:pt>
                <c:pt idx="60">
                  <c:v>118.8</c:v>
                </c:pt>
                <c:pt idx="61">
                  <c:v>118.8</c:v>
                </c:pt>
                <c:pt idx="62">
                  <c:v>119.4</c:v>
                </c:pt>
                <c:pt idx="63">
                  <c:v>123.75</c:v>
                </c:pt>
                <c:pt idx="64">
                  <c:v>126.63636363636364</c:v>
                </c:pt>
                <c:pt idx="65">
                  <c:v>127.18181818181819</c:v>
                </c:pt>
                <c:pt idx="66">
                  <c:v>127.72727272727273</c:v>
                </c:pt>
                <c:pt idx="67">
                  <c:v>123.8</c:v>
                </c:pt>
                <c:pt idx="68">
                  <c:v>123.8</c:v>
                </c:pt>
                <c:pt idx="69">
                  <c:v>123.8</c:v>
                </c:pt>
                <c:pt idx="70">
                  <c:v>123</c:v>
                </c:pt>
                <c:pt idx="71">
                  <c:v>123</c:v>
                </c:pt>
                <c:pt idx="72">
                  <c:v>123</c:v>
                </c:pt>
                <c:pt idx="73">
                  <c:v>126.8</c:v>
                </c:pt>
                <c:pt idx="74">
                  <c:v>120.8</c:v>
                </c:pt>
                <c:pt idx="75">
                  <c:v>123.45454545454545</c:v>
                </c:pt>
                <c:pt idx="76">
                  <c:v>115.2</c:v>
                </c:pt>
                <c:pt idx="77">
                  <c:v>117.90909090909091</c:v>
                </c:pt>
                <c:pt idx="78">
                  <c:v>121.18181818181819</c:v>
                </c:pt>
                <c:pt idx="79">
                  <c:v>126.4</c:v>
                </c:pt>
                <c:pt idx="80">
                  <c:v>126.4</c:v>
                </c:pt>
                <c:pt idx="81">
                  <c:v>127</c:v>
                </c:pt>
                <c:pt idx="82">
                  <c:v>132</c:v>
                </c:pt>
                <c:pt idx="83">
                  <c:v>133.9</c:v>
                </c:pt>
                <c:pt idx="84">
                  <c:v>133.9</c:v>
                </c:pt>
                <c:pt idx="85">
                  <c:v>128.80000000000001</c:v>
                </c:pt>
                <c:pt idx="86">
                  <c:v>127.8</c:v>
                </c:pt>
                <c:pt idx="87">
                  <c:v>131.9</c:v>
                </c:pt>
                <c:pt idx="88">
                  <c:v>133.14285714285714</c:v>
                </c:pt>
                <c:pt idx="89">
                  <c:v>135.5</c:v>
                </c:pt>
                <c:pt idx="90">
                  <c:v>121</c:v>
                </c:pt>
                <c:pt idx="91">
                  <c:v>129.5</c:v>
                </c:pt>
                <c:pt idx="92">
                  <c:v>121</c:v>
                </c:pt>
                <c:pt idx="93">
                  <c:v>126.57142857142857</c:v>
                </c:pt>
                <c:pt idx="94">
                  <c:v>123</c:v>
                </c:pt>
                <c:pt idx="95">
                  <c:v>128.14285714285714</c:v>
                </c:pt>
                <c:pt idx="96">
                  <c:v>133.14285714285714</c:v>
                </c:pt>
                <c:pt idx="97">
                  <c:v>126.57142857142857</c:v>
                </c:pt>
                <c:pt idx="98">
                  <c:v>131.71428571428572</c:v>
                </c:pt>
                <c:pt idx="99">
                  <c:v>125.16666666666667</c:v>
                </c:pt>
                <c:pt idx="100">
                  <c:v>122.66666666666667</c:v>
                </c:pt>
                <c:pt idx="101">
                  <c:v>123.66666666666667</c:v>
                </c:pt>
                <c:pt idx="102">
                  <c:v>133.71428571428572</c:v>
                </c:pt>
                <c:pt idx="103">
                  <c:v>135.85714285714286</c:v>
                </c:pt>
                <c:pt idx="104">
                  <c:v>131.57142857142858</c:v>
                </c:pt>
                <c:pt idx="105">
                  <c:v>128.71428571428572</c:v>
                </c:pt>
                <c:pt idx="106">
                  <c:v>133.71428571428572</c:v>
                </c:pt>
                <c:pt idx="107">
                  <c:v>131.57142857142858</c:v>
                </c:pt>
                <c:pt idx="108">
                  <c:v>127.85714285714286</c:v>
                </c:pt>
                <c:pt idx="109">
                  <c:v>133.42857142857099</c:v>
                </c:pt>
                <c:pt idx="110">
                  <c:v>134.42857142857142</c:v>
                </c:pt>
                <c:pt idx="111">
                  <c:v>127.85714285714286</c:v>
                </c:pt>
                <c:pt idx="112">
                  <c:v>126.57142857142857</c:v>
                </c:pt>
                <c:pt idx="113">
                  <c:v>123.57142857142857</c:v>
                </c:pt>
                <c:pt idx="114">
                  <c:v>123.57142857142857</c:v>
                </c:pt>
                <c:pt idx="115">
                  <c:v>125</c:v>
                </c:pt>
                <c:pt idx="116">
                  <c:v>133</c:v>
                </c:pt>
                <c:pt idx="117">
                  <c:v>135.14285714285714</c:v>
                </c:pt>
                <c:pt idx="118">
                  <c:v>130.71428571428572</c:v>
                </c:pt>
                <c:pt idx="119">
                  <c:v>134.42857142857142</c:v>
                </c:pt>
                <c:pt idx="120">
                  <c:v>131.28571428571428</c:v>
                </c:pt>
                <c:pt idx="121">
                  <c:v>134.42857142857142</c:v>
                </c:pt>
                <c:pt idx="122">
                  <c:v>130.71428571428572</c:v>
                </c:pt>
                <c:pt idx="123">
                  <c:v>130.71428571428572</c:v>
                </c:pt>
                <c:pt idx="124">
                  <c:v>134.5</c:v>
                </c:pt>
                <c:pt idx="125">
                  <c:v>132.14285714285714</c:v>
                </c:pt>
                <c:pt idx="126">
                  <c:v>123</c:v>
                </c:pt>
                <c:pt idx="127">
                  <c:v>136.71428571428572</c:v>
                </c:pt>
                <c:pt idx="128">
                  <c:v>120.71428571428571</c:v>
                </c:pt>
                <c:pt idx="129">
                  <c:v>133</c:v>
                </c:pt>
                <c:pt idx="130">
                  <c:v>136.42857142857142</c:v>
                </c:pt>
                <c:pt idx="131">
                  <c:v>133.57142857142858</c:v>
                </c:pt>
                <c:pt idx="132">
                  <c:v>134.71428571428572</c:v>
                </c:pt>
                <c:pt idx="133">
                  <c:v>134.5</c:v>
                </c:pt>
                <c:pt idx="134">
                  <c:v>120.5</c:v>
                </c:pt>
                <c:pt idx="135">
                  <c:v>128.75</c:v>
                </c:pt>
                <c:pt idx="136">
                  <c:v>130.25</c:v>
                </c:pt>
                <c:pt idx="137">
                  <c:v>132</c:v>
                </c:pt>
                <c:pt idx="138">
                  <c:v>130.75</c:v>
                </c:pt>
                <c:pt idx="139">
                  <c:v>132</c:v>
                </c:pt>
                <c:pt idx="140">
                  <c:v>126.71428571428571</c:v>
                </c:pt>
                <c:pt idx="141">
                  <c:v>127.85714285714286</c:v>
                </c:pt>
              </c:numCache>
            </c:numRef>
          </c:val>
          <c:smooth val="0"/>
        </c:ser>
        <c:ser>
          <c:idx val="1"/>
          <c:order val="2"/>
          <c:tx>
            <c:strRef>
              <c:f>衛生紙!$D$2</c:f>
              <c:strCache>
                <c:ptCount val="1"/>
                <c:pt idx="0">
                  <c:v>超市－五月花</c:v>
                </c:pt>
              </c:strCache>
            </c:strRef>
          </c:tx>
          <c:spPr>
            <a:ln>
              <a:prstDash val="sysDot"/>
            </a:ln>
          </c:spPr>
          <c:marker>
            <c:symbol val="none"/>
          </c:marker>
          <c:cat>
            <c:strRef>
              <c:f>衛生紙!$A$32:$A$173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104/02/02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衛生紙!$D$32:$D$173</c:f>
              <c:numCache>
                <c:formatCode>0.00_ </c:formatCode>
                <c:ptCount val="142"/>
                <c:pt idx="0">
                  <c:v>118</c:v>
                </c:pt>
                <c:pt idx="1">
                  <c:v>121.4</c:v>
                </c:pt>
                <c:pt idx="2">
                  <c:v>110.5</c:v>
                </c:pt>
                <c:pt idx="3">
                  <c:v>113.2</c:v>
                </c:pt>
                <c:pt idx="4">
                  <c:v>113.2</c:v>
                </c:pt>
                <c:pt idx="5">
                  <c:v>107</c:v>
                </c:pt>
                <c:pt idx="6">
                  <c:v>109.5</c:v>
                </c:pt>
                <c:pt idx="7">
                  <c:v>108.6</c:v>
                </c:pt>
                <c:pt idx="8">
                  <c:v>114.5</c:v>
                </c:pt>
                <c:pt idx="9">
                  <c:v>117.4</c:v>
                </c:pt>
                <c:pt idx="10">
                  <c:v>117.4</c:v>
                </c:pt>
                <c:pt idx="11">
                  <c:v>94.2</c:v>
                </c:pt>
                <c:pt idx="12">
                  <c:v>98.2</c:v>
                </c:pt>
                <c:pt idx="13">
                  <c:v>111.66666666666667</c:v>
                </c:pt>
                <c:pt idx="14">
                  <c:v>117.4</c:v>
                </c:pt>
                <c:pt idx="15">
                  <c:v>109.5</c:v>
                </c:pt>
                <c:pt idx="16">
                  <c:v>110.33333333333333</c:v>
                </c:pt>
                <c:pt idx="17">
                  <c:v>111</c:v>
                </c:pt>
                <c:pt idx="18">
                  <c:v>108.5</c:v>
                </c:pt>
                <c:pt idx="19">
                  <c:v>111</c:v>
                </c:pt>
                <c:pt idx="20">
                  <c:v>111</c:v>
                </c:pt>
                <c:pt idx="21">
                  <c:v>134.6</c:v>
                </c:pt>
                <c:pt idx="22">
                  <c:v>131</c:v>
                </c:pt>
                <c:pt idx="23">
                  <c:v>101</c:v>
                </c:pt>
                <c:pt idx="24">
                  <c:v>99</c:v>
                </c:pt>
                <c:pt idx="25">
                  <c:v>121.5</c:v>
                </c:pt>
                <c:pt idx="26">
                  <c:v>121.5</c:v>
                </c:pt>
                <c:pt idx="27">
                  <c:v>120.5</c:v>
                </c:pt>
                <c:pt idx="28">
                  <c:v>115.4</c:v>
                </c:pt>
                <c:pt idx="29">
                  <c:v>118.5</c:v>
                </c:pt>
                <c:pt idx="30">
                  <c:v>113.5</c:v>
                </c:pt>
                <c:pt idx="31">
                  <c:v>129</c:v>
                </c:pt>
                <c:pt idx="32">
                  <c:v>119</c:v>
                </c:pt>
                <c:pt idx="33">
                  <c:v>128</c:v>
                </c:pt>
                <c:pt idx="34">
                  <c:v>127</c:v>
                </c:pt>
                <c:pt idx="35">
                  <c:v>106</c:v>
                </c:pt>
                <c:pt idx="36">
                  <c:v>106</c:v>
                </c:pt>
                <c:pt idx="37">
                  <c:v>139</c:v>
                </c:pt>
                <c:pt idx="38">
                  <c:v>134</c:v>
                </c:pt>
                <c:pt idx="39">
                  <c:v>114</c:v>
                </c:pt>
                <c:pt idx="40">
                  <c:v>114</c:v>
                </c:pt>
                <c:pt idx="41">
                  <c:v>106.5</c:v>
                </c:pt>
                <c:pt idx="42">
                  <c:v>106.5</c:v>
                </c:pt>
                <c:pt idx="43">
                  <c:v>109</c:v>
                </c:pt>
                <c:pt idx="44">
                  <c:v>109</c:v>
                </c:pt>
                <c:pt idx="45">
                  <c:v>114</c:v>
                </c:pt>
                <c:pt idx="46">
                  <c:v>114</c:v>
                </c:pt>
                <c:pt idx="47">
                  <c:v>109</c:v>
                </c:pt>
                <c:pt idx="48">
                  <c:v>101.5</c:v>
                </c:pt>
                <c:pt idx="49">
                  <c:v>99</c:v>
                </c:pt>
                <c:pt idx="50">
                  <c:v>111.5</c:v>
                </c:pt>
                <c:pt idx="51">
                  <c:v>104</c:v>
                </c:pt>
                <c:pt idx="52">
                  <c:v>104</c:v>
                </c:pt>
                <c:pt idx="53">
                  <c:v>109</c:v>
                </c:pt>
                <c:pt idx="54">
                  <c:v>109</c:v>
                </c:pt>
                <c:pt idx="55">
                  <c:v>109</c:v>
                </c:pt>
                <c:pt idx="56">
                  <c:v>109</c:v>
                </c:pt>
                <c:pt idx="57">
                  <c:v>109</c:v>
                </c:pt>
                <c:pt idx="58">
                  <c:v>109</c:v>
                </c:pt>
                <c:pt idx="59">
                  <c:v>94</c:v>
                </c:pt>
                <c:pt idx="60">
                  <c:v>109</c:v>
                </c:pt>
                <c:pt idx="61">
                  <c:v>114</c:v>
                </c:pt>
                <c:pt idx="62">
                  <c:v>104</c:v>
                </c:pt>
                <c:pt idx="63">
                  <c:v>108.73958333333334</c:v>
                </c:pt>
                <c:pt idx="64">
                  <c:v>109</c:v>
                </c:pt>
                <c:pt idx="65">
                  <c:v>119</c:v>
                </c:pt>
                <c:pt idx="66">
                  <c:v>119</c:v>
                </c:pt>
                <c:pt idx="67">
                  <c:v>113</c:v>
                </c:pt>
                <c:pt idx="68">
                  <c:v>103</c:v>
                </c:pt>
                <c:pt idx="69">
                  <c:v>97</c:v>
                </c:pt>
                <c:pt idx="70">
                  <c:v>99</c:v>
                </c:pt>
                <c:pt idx="71">
                  <c:v>115</c:v>
                </c:pt>
                <c:pt idx="72">
                  <c:v>119</c:v>
                </c:pt>
                <c:pt idx="73">
                  <c:v>107</c:v>
                </c:pt>
                <c:pt idx="74">
                  <c:v>118.2</c:v>
                </c:pt>
                <c:pt idx="75">
                  <c:v>119</c:v>
                </c:pt>
                <c:pt idx="76">
                  <c:v>107</c:v>
                </c:pt>
                <c:pt idx="77">
                  <c:v>99</c:v>
                </c:pt>
                <c:pt idx="78">
                  <c:v>111</c:v>
                </c:pt>
                <c:pt idx="79">
                  <c:v>111</c:v>
                </c:pt>
                <c:pt idx="80">
                  <c:v>95</c:v>
                </c:pt>
                <c:pt idx="81">
                  <c:v>89</c:v>
                </c:pt>
                <c:pt idx="82">
                  <c:v>113</c:v>
                </c:pt>
                <c:pt idx="83">
                  <c:v>117</c:v>
                </c:pt>
                <c:pt idx="84">
                  <c:v>103</c:v>
                </c:pt>
                <c:pt idx="85">
                  <c:v>91</c:v>
                </c:pt>
                <c:pt idx="86">
                  <c:v>91</c:v>
                </c:pt>
                <c:pt idx="87">
                  <c:v>113.2</c:v>
                </c:pt>
                <c:pt idx="88">
                  <c:v>117.2</c:v>
                </c:pt>
                <c:pt idx="89">
                  <c:v>101.2</c:v>
                </c:pt>
                <c:pt idx="90">
                  <c:v>101.2</c:v>
                </c:pt>
                <c:pt idx="91">
                  <c:v>117.2</c:v>
                </c:pt>
                <c:pt idx="92">
                  <c:v>117.2</c:v>
                </c:pt>
                <c:pt idx="93">
                  <c:v>99.2</c:v>
                </c:pt>
                <c:pt idx="94">
                  <c:v>99</c:v>
                </c:pt>
                <c:pt idx="95">
                  <c:v>105.83333333333333</c:v>
                </c:pt>
                <c:pt idx="96">
                  <c:v>114.8</c:v>
                </c:pt>
                <c:pt idx="97">
                  <c:v>114.8</c:v>
                </c:pt>
                <c:pt idx="98">
                  <c:v>110.25</c:v>
                </c:pt>
                <c:pt idx="99">
                  <c:v>100.8</c:v>
                </c:pt>
                <c:pt idx="100">
                  <c:v>100.8</c:v>
                </c:pt>
                <c:pt idx="101">
                  <c:v>110.4</c:v>
                </c:pt>
                <c:pt idx="102">
                  <c:v>107.4</c:v>
                </c:pt>
                <c:pt idx="103">
                  <c:v>115</c:v>
                </c:pt>
                <c:pt idx="104">
                  <c:v>100.8</c:v>
                </c:pt>
                <c:pt idx="105">
                  <c:v>127.2</c:v>
                </c:pt>
                <c:pt idx="106">
                  <c:v>105</c:v>
                </c:pt>
                <c:pt idx="107">
                  <c:v>113.4</c:v>
                </c:pt>
                <c:pt idx="108">
                  <c:v>102.28571428571429</c:v>
                </c:pt>
                <c:pt idx="109">
                  <c:v>102.4</c:v>
                </c:pt>
                <c:pt idx="110">
                  <c:v>119.8</c:v>
                </c:pt>
                <c:pt idx="111">
                  <c:v>130.6</c:v>
                </c:pt>
                <c:pt idx="112">
                  <c:v>102.33333333333333</c:v>
                </c:pt>
                <c:pt idx="113">
                  <c:v>114.5</c:v>
                </c:pt>
                <c:pt idx="114">
                  <c:v>99.5</c:v>
                </c:pt>
                <c:pt idx="115">
                  <c:v>131</c:v>
                </c:pt>
                <c:pt idx="116">
                  <c:v>113.4</c:v>
                </c:pt>
                <c:pt idx="117">
                  <c:v>133</c:v>
                </c:pt>
                <c:pt idx="118">
                  <c:v>127</c:v>
                </c:pt>
                <c:pt idx="119">
                  <c:v>125.4</c:v>
                </c:pt>
                <c:pt idx="120">
                  <c:v>118.2</c:v>
                </c:pt>
                <c:pt idx="121">
                  <c:v>127</c:v>
                </c:pt>
                <c:pt idx="122">
                  <c:v>126.6</c:v>
                </c:pt>
                <c:pt idx="123">
                  <c:v>126.6</c:v>
                </c:pt>
                <c:pt idx="124">
                  <c:v>126.6</c:v>
                </c:pt>
                <c:pt idx="125">
                  <c:v>117</c:v>
                </c:pt>
                <c:pt idx="126">
                  <c:v>127</c:v>
                </c:pt>
                <c:pt idx="127">
                  <c:v>123</c:v>
                </c:pt>
                <c:pt idx="128">
                  <c:v>125</c:v>
                </c:pt>
                <c:pt idx="129">
                  <c:v>121</c:v>
                </c:pt>
                <c:pt idx="130">
                  <c:v>127</c:v>
                </c:pt>
                <c:pt idx="131">
                  <c:v>127</c:v>
                </c:pt>
                <c:pt idx="132">
                  <c:v>129</c:v>
                </c:pt>
                <c:pt idx="133">
                  <c:v>119.4</c:v>
                </c:pt>
                <c:pt idx="134">
                  <c:v>131.4</c:v>
                </c:pt>
                <c:pt idx="135">
                  <c:v>117</c:v>
                </c:pt>
                <c:pt idx="136">
                  <c:v>119.4</c:v>
                </c:pt>
                <c:pt idx="137">
                  <c:v>97.8</c:v>
                </c:pt>
                <c:pt idx="138">
                  <c:v>126.2</c:v>
                </c:pt>
                <c:pt idx="139">
                  <c:v>131.4</c:v>
                </c:pt>
                <c:pt idx="140">
                  <c:v>107</c:v>
                </c:pt>
                <c:pt idx="141">
                  <c:v>131.4</c:v>
                </c:pt>
              </c:numCache>
            </c:numRef>
          </c:val>
          <c:smooth val="0"/>
        </c:ser>
        <c:ser>
          <c:idx val="4"/>
          <c:order val="3"/>
          <c:tx>
            <c:strRef>
              <c:f>衛生紙!$E$2</c:f>
              <c:strCache>
                <c:ptCount val="1"/>
                <c:pt idx="0">
                  <c:v>量販店－舒潔</c:v>
                </c:pt>
              </c:strCache>
            </c:strRef>
          </c:tx>
          <c:spPr>
            <a:ln>
              <a:prstDash val="sysDash"/>
            </a:ln>
          </c:spPr>
          <c:marker>
            <c:symbol val="none"/>
          </c:marker>
          <c:cat>
            <c:strRef>
              <c:f>衛生紙!$A$32:$A$173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104/02/02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衛生紙!$E$32:$E$173</c:f>
              <c:numCache>
                <c:formatCode>0.00_ </c:formatCode>
                <c:ptCount val="142"/>
                <c:pt idx="0">
                  <c:v>164.85714285714286</c:v>
                </c:pt>
                <c:pt idx="1">
                  <c:v>151.42857142857142</c:v>
                </c:pt>
                <c:pt idx="2">
                  <c:v>163.74</c:v>
                </c:pt>
                <c:pt idx="3">
                  <c:v>159.21</c:v>
                </c:pt>
                <c:pt idx="4">
                  <c:v>159.33000000000001</c:v>
                </c:pt>
                <c:pt idx="5">
                  <c:v>161.33333333333334</c:v>
                </c:pt>
                <c:pt idx="6">
                  <c:v>168</c:v>
                </c:pt>
                <c:pt idx="7">
                  <c:v>162.77777777777777</c:v>
                </c:pt>
                <c:pt idx="8">
                  <c:v>163.77777777777777</c:v>
                </c:pt>
                <c:pt idx="9">
                  <c:v>169.25</c:v>
                </c:pt>
                <c:pt idx="10">
                  <c:v>169.22222222222223</c:v>
                </c:pt>
                <c:pt idx="11">
                  <c:v>162.5</c:v>
                </c:pt>
                <c:pt idx="12">
                  <c:v>164.2</c:v>
                </c:pt>
                <c:pt idx="13">
                  <c:v>173</c:v>
                </c:pt>
                <c:pt idx="14">
                  <c:v>164.4</c:v>
                </c:pt>
                <c:pt idx="15">
                  <c:v>161.1</c:v>
                </c:pt>
                <c:pt idx="16">
                  <c:v>156.25</c:v>
                </c:pt>
                <c:pt idx="17">
                  <c:v>163</c:v>
                </c:pt>
                <c:pt idx="18">
                  <c:v>163</c:v>
                </c:pt>
                <c:pt idx="19">
                  <c:v>155.69999999999999</c:v>
                </c:pt>
                <c:pt idx="20">
                  <c:v>163</c:v>
                </c:pt>
                <c:pt idx="21">
                  <c:v>163</c:v>
                </c:pt>
                <c:pt idx="22">
                  <c:v>162.6</c:v>
                </c:pt>
                <c:pt idx="23">
                  <c:v>163.69999999999999</c:v>
                </c:pt>
                <c:pt idx="24">
                  <c:v>161</c:v>
                </c:pt>
                <c:pt idx="25">
                  <c:v>158.6</c:v>
                </c:pt>
                <c:pt idx="26">
                  <c:v>159.4</c:v>
                </c:pt>
                <c:pt idx="27">
                  <c:v>146.6</c:v>
                </c:pt>
                <c:pt idx="28">
                  <c:v>151.16666666666666</c:v>
                </c:pt>
                <c:pt idx="29">
                  <c:v>157.80000000000001</c:v>
                </c:pt>
                <c:pt idx="30">
                  <c:v>161.69999999999999</c:v>
                </c:pt>
                <c:pt idx="31">
                  <c:v>155.33333333333334</c:v>
                </c:pt>
                <c:pt idx="32">
                  <c:v>149.11111111111111</c:v>
                </c:pt>
                <c:pt idx="33">
                  <c:v>147</c:v>
                </c:pt>
                <c:pt idx="34">
                  <c:v>153.75</c:v>
                </c:pt>
                <c:pt idx="35">
                  <c:v>150.9</c:v>
                </c:pt>
                <c:pt idx="36">
                  <c:v>151.19999999999999</c:v>
                </c:pt>
                <c:pt idx="37">
                  <c:v>153.9</c:v>
                </c:pt>
                <c:pt idx="38">
                  <c:v>149.19999999999999</c:v>
                </c:pt>
                <c:pt idx="39">
                  <c:v>141.6</c:v>
                </c:pt>
                <c:pt idx="40">
                  <c:v>147.80000000000001</c:v>
                </c:pt>
                <c:pt idx="41">
                  <c:v>154.4</c:v>
                </c:pt>
                <c:pt idx="42">
                  <c:v>155.30000000000001</c:v>
                </c:pt>
                <c:pt idx="43">
                  <c:v>159</c:v>
                </c:pt>
                <c:pt idx="44">
                  <c:v>162</c:v>
                </c:pt>
                <c:pt idx="45">
                  <c:v>162.1</c:v>
                </c:pt>
                <c:pt idx="46">
                  <c:v>152.1</c:v>
                </c:pt>
                <c:pt idx="47">
                  <c:v>152.1</c:v>
                </c:pt>
                <c:pt idx="48">
                  <c:v>151</c:v>
                </c:pt>
                <c:pt idx="49">
                  <c:v>140.55555555555554</c:v>
                </c:pt>
                <c:pt idx="50">
                  <c:v>153.88888888888889</c:v>
                </c:pt>
                <c:pt idx="51">
                  <c:v>160</c:v>
                </c:pt>
                <c:pt idx="52">
                  <c:v>153.77777777777777</c:v>
                </c:pt>
                <c:pt idx="53">
                  <c:v>166.22222222222223</c:v>
                </c:pt>
                <c:pt idx="54">
                  <c:v>166.88888888888889</c:v>
                </c:pt>
                <c:pt idx="55">
                  <c:v>152.88888888888889</c:v>
                </c:pt>
                <c:pt idx="56">
                  <c:v>143.55555555555554</c:v>
                </c:pt>
                <c:pt idx="57">
                  <c:v>165.11111111111111</c:v>
                </c:pt>
                <c:pt idx="58">
                  <c:v>152.44444444444446</c:v>
                </c:pt>
                <c:pt idx="59">
                  <c:v>144.66666666666666</c:v>
                </c:pt>
                <c:pt idx="60">
                  <c:v>154.11111111111111</c:v>
                </c:pt>
                <c:pt idx="61">
                  <c:v>145.5</c:v>
                </c:pt>
                <c:pt idx="62">
                  <c:v>153.375</c:v>
                </c:pt>
                <c:pt idx="63">
                  <c:v>156.33333333333334</c:v>
                </c:pt>
                <c:pt idx="64">
                  <c:v>144.75</c:v>
                </c:pt>
                <c:pt idx="65">
                  <c:v>151.25</c:v>
                </c:pt>
                <c:pt idx="66">
                  <c:v>146.5</c:v>
                </c:pt>
                <c:pt idx="67">
                  <c:v>148.57142857142858</c:v>
                </c:pt>
                <c:pt idx="68">
                  <c:v>150.75</c:v>
                </c:pt>
                <c:pt idx="69">
                  <c:v>140.25</c:v>
                </c:pt>
                <c:pt idx="70">
                  <c:v>138</c:v>
                </c:pt>
                <c:pt idx="71">
                  <c:v>146.25</c:v>
                </c:pt>
                <c:pt idx="72">
                  <c:v>146.75</c:v>
                </c:pt>
                <c:pt idx="73">
                  <c:v>163.875</c:v>
                </c:pt>
                <c:pt idx="74">
                  <c:v>166.125</c:v>
                </c:pt>
                <c:pt idx="75">
                  <c:v>149.5</c:v>
                </c:pt>
                <c:pt idx="76">
                  <c:v>148.25</c:v>
                </c:pt>
                <c:pt idx="77">
                  <c:v>152</c:v>
                </c:pt>
                <c:pt idx="78">
                  <c:v>156.5</c:v>
                </c:pt>
                <c:pt idx="79">
                  <c:v>143.625</c:v>
                </c:pt>
                <c:pt idx="80">
                  <c:v>149.75</c:v>
                </c:pt>
                <c:pt idx="81">
                  <c:v>140.25</c:v>
                </c:pt>
                <c:pt idx="82">
                  <c:v>144.75</c:v>
                </c:pt>
                <c:pt idx="83">
                  <c:v>147.5</c:v>
                </c:pt>
                <c:pt idx="84">
                  <c:v>149.125</c:v>
                </c:pt>
                <c:pt idx="85">
                  <c:v>158.875</c:v>
                </c:pt>
                <c:pt idx="86">
                  <c:v>150</c:v>
                </c:pt>
                <c:pt idx="87">
                  <c:v>160</c:v>
                </c:pt>
                <c:pt idx="88">
                  <c:v>172.66666666666666</c:v>
                </c:pt>
                <c:pt idx="89">
                  <c:v>157.88888888888889</c:v>
                </c:pt>
                <c:pt idx="90">
                  <c:v>148.11111111111111</c:v>
                </c:pt>
                <c:pt idx="91">
                  <c:v>155</c:v>
                </c:pt>
                <c:pt idx="92">
                  <c:v>153.33333333333334</c:v>
                </c:pt>
                <c:pt idx="93">
                  <c:v>149.11111111111111</c:v>
                </c:pt>
                <c:pt idx="94">
                  <c:v>156.11111111111111</c:v>
                </c:pt>
                <c:pt idx="95">
                  <c:v>149.11111111111111</c:v>
                </c:pt>
                <c:pt idx="96">
                  <c:v>149</c:v>
                </c:pt>
                <c:pt idx="97">
                  <c:v>140.11111111111111</c:v>
                </c:pt>
                <c:pt idx="98">
                  <c:v>155.44444444444446</c:v>
                </c:pt>
                <c:pt idx="99">
                  <c:v>169.4</c:v>
                </c:pt>
                <c:pt idx="100">
                  <c:v>158.4</c:v>
                </c:pt>
                <c:pt idx="101">
                  <c:v>165.88888888888889</c:v>
                </c:pt>
                <c:pt idx="102">
                  <c:v>166</c:v>
                </c:pt>
                <c:pt idx="103">
                  <c:v>162.69999999999999</c:v>
                </c:pt>
                <c:pt idx="104">
                  <c:v>140.80000000000001</c:v>
                </c:pt>
                <c:pt idx="105">
                  <c:v>152.36363636363637</c:v>
                </c:pt>
                <c:pt idx="106">
                  <c:v>143.30000000000001</c:v>
                </c:pt>
                <c:pt idx="107">
                  <c:v>158.54545454545453</c:v>
                </c:pt>
                <c:pt idx="108">
                  <c:v>164</c:v>
                </c:pt>
                <c:pt idx="109">
                  <c:v>157.18181818181819</c:v>
                </c:pt>
                <c:pt idx="110">
                  <c:v>171.90909090909091</c:v>
                </c:pt>
                <c:pt idx="111">
                  <c:v>155.72727272727272</c:v>
                </c:pt>
                <c:pt idx="112">
                  <c:v>165.45454545454547</c:v>
                </c:pt>
                <c:pt idx="113">
                  <c:v>160.63636363636363</c:v>
                </c:pt>
                <c:pt idx="114">
                  <c:v>155.18181818181819</c:v>
                </c:pt>
                <c:pt idx="115">
                  <c:v>151.4</c:v>
                </c:pt>
                <c:pt idx="116">
                  <c:v>158.09090909090909</c:v>
                </c:pt>
                <c:pt idx="117">
                  <c:v>147.45454545454547</c:v>
                </c:pt>
                <c:pt idx="118">
                  <c:v>158.09090909090909</c:v>
                </c:pt>
                <c:pt idx="119">
                  <c:v>159.54545454545453</c:v>
                </c:pt>
                <c:pt idx="120">
                  <c:v>152.81818181818181</c:v>
                </c:pt>
                <c:pt idx="121">
                  <c:v>155</c:v>
                </c:pt>
                <c:pt idx="122">
                  <c:v>150.27272727272728</c:v>
                </c:pt>
                <c:pt idx="123">
                  <c:v>149.18181818181819</c:v>
                </c:pt>
                <c:pt idx="124">
                  <c:v>159.63636363636363</c:v>
                </c:pt>
                <c:pt idx="125">
                  <c:v>156.90909090909091</c:v>
                </c:pt>
                <c:pt idx="126">
                  <c:v>146.81818181818181</c:v>
                </c:pt>
                <c:pt idx="127">
                  <c:v>148.81818181818181</c:v>
                </c:pt>
                <c:pt idx="128">
                  <c:v>155.09090909090909</c:v>
                </c:pt>
                <c:pt idx="129">
                  <c:v>162.63636363636363</c:v>
                </c:pt>
                <c:pt idx="130">
                  <c:v>163.18181818181819</c:v>
                </c:pt>
                <c:pt idx="131">
                  <c:v>161.72727272727272</c:v>
                </c:pt>
                <c:pt idx="132">
                  <c:v>160.18181818181819</c:v>
                </c:pt>
                <c:pt idx="133">
                  <c:v>160.27272727272728</c:v>
                </c:pt>
                <c:pt idx="134">
                  <c:v>163</c:v>
                </c:pt>
                <c:pt idx="135">
                  <c:v>158.36363636363637</c:v>
                </c:pt>
                <c:pt idx="136">
                  <c:v>158.90909090909091</c:v>
                </c:pt>
                <c:pt idx="137">
                  <c:v>161.54545454545453</c:v>
                </c:pt>
                <c:pt idx="138">
                  <c:v>160.54545454545453</c:v>
                </c:pt>
                <c:pt idx="139">
                  <c:v>154.54545454545453</c:v>
                </c:pt>
                <c:pt idx="140">
                  <c:v>155.81818181818181</c:v>
                </c:pt>
                <c:pt idx="141">
                  <c:v>155.18181818181819</c:v>
                </c:pt>
              </c:numCache>
            </c:numRef>
          </c:val>
          <c:smooth val="0"/>
        </c:ser>
        <c:ser>
          <c:idx val="2"/>
          <c:order val="4"/>
          <c:tx>
            <c:strRef>
              <c:f>衛生紙!$F$2</c:f>
              <c:strCache>
                <c:ptCount val="1"/>
                <c:pt idx="0">
                  <c:v>量販店－五月花</c:v>
                </c:pt>
              </c:strCache>
            </c:strRef>
          </c:tx>
          <c:marker>
            <c:symbol val="none"/>
          </c:marker>
          <c:cat>
            <c:strRef>
              <c:f>衛生紙!$A$32:$A$173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104/02/02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衛生紙!$F$32:$F$173</c:f>
              <c:numCache>
                <c:formatCode>0.00_ </c:formatCode>
                <c:ptCount val="142"/>
                <c:pt idx="0">
                  <c:v>114.44444444444444</c:v>
                </c:pt>
                <c:pt idx="1">
                  <c:v>113.88888888888889</c:v>
                </c:pt>
                <c:pt idx="2">
                  <c:v>115.33</c:v>
                </c:pt>
                <c:pt idx="3">
                  <c:v>115</c:v>
                </c:pt>
                <c:pt idx="4">
                  <c:v>110.11</c:v>
                </c:pt>
                <c:pt idx="5">
                  <c:v>113</c:v>
                </c:pt>
                <c:pt idx="6">
                  <c:v>118.55555555555556</c:v>
                </c:pt>
                <c:pt idx="7">
                  <c:v>119.22222222222223</c:v>
                </c:pt>
                <c:pt idx="8">
                  <c:v>103.88888888888889</c:v>
                </c:pt>
                <c:pt idx="9">
                  <c:v>102.25</c:v>
                </c:pt>
                <c:pt idx="10">
                  <c:v>113.44444444444444</c:v>
                </c:pt>
                <c:pt idx="11">
                  <c:v>112.6</c:v>
                </c:pt>
                <c:pt idx="12">
                  <c:v>97.6</c:v>
                </c:pt>
                <c:pt idx="13">
                  <c:v>97.6</c:v>
                </c:pt>
                <c:pt idx="14">
                  <c:v>103</c:v>
                </c:pt>
                <c:pt idx="15">
                  <c:v>106.2</c:v>
                </c:pt>
                <c:pt idx="16">
                  <c:v>99.75</c:v>
                </c:pt>
                <c:pt idx="17">
                  <c:v>107.2</c:v>
                </c:pt>
                <c:pt idx="18">
                  <c:v>114.6</c:v>
                </c:pt>
                <c:pt idx="19">
                  <c:v>107.9</c:v>
                </c:pt>
                <c:pt idx="20">
                  <c:v>112.6</c:v>
                </c:pt>
                <c:pt idx="21">
                  <c:v>109.2</c:v>
                </c:pt>
                <c:pt idx="22">
                  <c:v>110.7</c:v>
                </c:pt>
                <c:pt idx="23">
                  <c:v>107.6</c:v>
                </c:pt>
                <c:pt idx="24">
                  <c:v>107</c:v>
                </c:pt>
                <c:pt idx="25">
                  <c:v>110.7</c:v>
                </c:pt>
                <c:pt idx="26">
                  <c:v>106.7</c:v>
                </c:pt>
                <c:pt idx="27">
                  <c:v>109.8</c:v>
                </c:pt>
                <c:pt idx="28">
                  <c:v>114.08333333333333</c:v>
                </c:pt>
                <c:pt idx="29">
                  <c:v>104.3</c:v>
                </c:pt>
                <c:pt idx="30">
                  <c:v>100.3</c:v>
                </c:pt>
                <c:pt idx="31">
                  <c:v>119.6</c:v>
                </c:pt>
                <c:pt idx="32">
                  <c:v>100.33333333333333</c:v>
                </c:pt>
                <c:pt idx="33">
                  <c:v>101.7</c:v>
                </c:pt>
                <c:pt idx="34">
                  <c:v>108.88888888888889</c:v>
                </c:pt>
                <c:pt idx="35">
                  <c:v>114.1</c:v>
                </c:pt>
                <c:pt idx="36">
                  <c:v>106.3</c:v>
                </c:pt>
                <c:pt idx="37">
                  <c:v>115</c:v>
                </c:pt>
                <c:pt idx="38">
                  <c:v>104.6</c:v>
                </c:pt>
                <c:pt idx="39">
                  <c:v>103.2</c:v>
                </c:pt>
                <c:pt idx="40">
                  <c:v>102.77777777777777</c:v>
                </c:pt>
                <c:pt idx="41">
                  <c:v>107.6</c:v>
                </c:pt>
                <c:pt idx="42">
                  <c:v>105.9</c:v>
                </c:pt>
                <c:pt idx="43">
                  <c:v>110.5</c:v>
                </c:pt>
                <c:pt idx="44">
                  <c:v>108.1</c:v>
                </c:pt>
                <c:pt idx="45">
                  <c:v>110.4</c:v>
                </c:pt>
                <c:pt idx="46">
                  <c:v>113.1</c:v>
                </c:pt>
                <c:pt idx="47">
                  <c:v>111.5</c:v>
                </c:pt>
                <c:pt idx="48">
                  <c:v>103.1</c:v>
                </c:pt>
                <c:pt idx="49">
                  <c:v>102.3</c:v>
                </c:pt>
                <c:pt idx="50">
                  <c:v>101.9</c:v>
                </c:pt>
                <c:pt idx="51">
                  <c:v>104.8</c:v>
                </c:pt>
                <c:pt idx="52">
                  <c:v>103.1</c:v>
                </c:pt>
                <c:pt idx="53">
                  <c:v>113.2</c:v>
                </c:pt>
                <c:pt idx="54">
                  <c:v>109.1</c:v>
                </c:pt>
                <c:pt idx="55">
                  <c:v>105</c:v>
                </c:pt>
                <c:pt idx="56">
                  <c:v>99</c:v>
                </c:pt>
                <c:pt idx="57">
                  <c:v>108.6</c:v>
                </c:pt>
                <c:pt idx="58">
                  <c:v>118.7</c:v>
                </c:pt>
                <c:pt idx="59">
                  <c:v>107</c:v>
                </c:pt>
                <c:pt idx="60">
                  <c:v>99.5</c:v>
                </c:pt>
                <c:pt idx="61">
                  <c:v>100.9</c:v>
                </c:pt>
                <c:pt idx="62">
                  <c:v>104.8</c:v>
                </c:pt>
                <c:pt idx="63">
                  <c:v>104.8</c:v>
                </c:pt>
                <c:pt idx="64">
                  <c:v>104.8</c:v>
                </c:pt>
                <c:pt idx="65">
                  <c:v>109.75</c:v>
                </c:pt>
                <c:pt idx="66">
                  <c:v>113.2</c:v>
                </c:pt>
                <c:pt idx="67">
                  <c:v>111.11111111111111</c:v>
                </c:pt>
                <c:pt idx="68">
                  <c:v>104.44</c:v>
                </c:pt>
                <c:pt idx="69">
                  <c:v>108.33333333333333</c:v>
                </c:pt>
                <c:pt idx="70">
                  <c:v>113</c:v>
                </c:pt>
                <c:pt idx="71">
                  <c:v>106.66666666666667</c:v>
                </c:pt>
                <c:pt idx="72">
                  <c:v>111.22222222222223</c:v>
                </c:pt>
                <c:pt idx="73">
                  <c:v>118.3</c:v>
                </c:pt>
                <c:pt idx="74">
                  <c:v>118.7</c:v>
                </c:pt>
                <c:pt idx="75">
                  <c:v>113.55555555555556</c:v>
                </c:pt>
                <c:pt idx="76">
                  <c:v>110.1</c:v>
                </c:pt>
                <c:pt idx="77">
                  <c:v>106.4</c:v>
                </c:pt>
                <c:pt idx="78">
                  <c:v>107.4</c:v>
                </c:pt>
                <c:pt idx="79">
                  <c:v>110</c:v>
                </c:pt>
                <c:pt idx="80">
                  <c:v>114.8</c:v>
                </c:pt>
                <c:pt idx="81">
                  <c:v>112</c:v>
                </c:pt>
                <c:pt idx="82">
                  <c:v>116.8</c:v>
                </c:pt>
                <c:pt idx="83">
                  <c:v>104.2</c:v>
                </c:pt>
                <c:pt idx="84">
                  <c:v>96</c:v>
                </c:pt>
                <c:pt idx="85">
                  <c:v>104.3</c:v>
                </c:pt>
                <c:pt idx="86">
                  <c:v>102.95</c:v>
                </c:pt>
                <c:pt idx="87">
                  <c:v>102.45</c:v>
                </c:pt>
                <c:pt idx="88">
                  <c:v>100.25</c:v>
                </c:pt>
                <c:pt idx="89">
                  <c:v>91.15</c:v>
                </c:pt>
                <c:pt idx="90">
                  <c:v>90.15</c:v>
                </c:pt>
                <c:pt idx="91">
                  <c:v>90.75</c:v>
                </c:pt>
                <c:pt idx="92">
                  <c:v>87.05</c:v>
                </c:pt>
                <c:pt idx="93">
                  <c:v>86.75</c:v>
                </c:pt>
                <c:pt idx="94">
                  <c:v>93.05</c:v>
                </c:pt>
                <c:pt idx="95">
                  <c:v>100.05</c:v>
                </c:pt>
                <c:pt idx="96">
                  <c:v>98.388888888888886</c:v>
                </c:pt>
                <c:pt idx="97">
                  <c:v>97.722222222222229</c:v>
                </c:pt>
                <c:pt idx="98">
                  <c:v>100.14444444444445</c:v>
                </c:pt>
                <c:pt idx="99">
                  <c:v>100.22</c:v>
                </c:pt>
                <c:pt idx="100">
                  <c:v>103.42</c:v>
                </c:pt>
                <c:pt idx="101">
                  <c:v>100.57777777777778</c:v>
                </c:pt>
                <c:pt idx="102">
                  <c:v>96.820000000000007</c:v>
                </c:pt>
                <c:pt idx="103">
                  <c:v>100.52000000000001</c:v>
                </c:pt>
                <c:pt idx="104">
                  <c:v>94.888888888888886</c:v>
                </c:pt>
                <c:pt idx="105">
                  <c:v>96.2</c:v>
                </c:pt>
                <c:pt idx="106">
                  <c:v>95.6</c:v>
                </c:pt>
                <c:pt idx="107">
                  <c:v>98.555555555555557</c:v>
                </c:pt>
                <c:pt idx="108">
                  <c:v>102.125</c:v>
                </c:pt>
                <c:pt idx="109">
                  <c:v>100.33333333333333</c:v>
                </c:pt>
                <c:pt idx="110">
                  <c:v>99.428571428571431</c:v>
                </c:pt>
                <c:pt idx="111">
                  <c:v>106</c:v>
                </c:pt>
                <c:pt idx="112">
                  <c:v>93.666666666666671</c:v>
                </c:pt>
                <c:pt idx="113">
                  <c:v>108.2</c:v>
                </c:pt>
                <c:pt idx="114">
                  <c:v>105</c:v>
                </c:pt>
                <c:pt idx="115">
                  <c:v>109.4</c:v>
                </c:pt>
                <c:pt idx="116">
                  <c:v>105</c:v>
                </c:pt>
                <c:pt idx="117">
                  <c:v>98.4</c:v>
                </c:pt>
                <c:pt idx="118">
                  <c:v>97.2</c:v>
                </c:pt>
                <c:pt idx="119">
                  <c:v>93.666666666666671</c:v>
                </c:pt>
                <c:pt idx="120">
                  <c:v>98.833333333333329</c:v>
                </c:pt>
                <c:pt idx="121">
                  <c:v>91.666666666666671</c:v>
                </c:pt>
                <c:pt idx="122">
                  <c:v>98</c:v>
                </c:pt>
                <c:pt idx="123">
                  <c:v>93.666666666666671</c:v>
                </c:pt>
                <c:pt idx="124">
                  <c:v>92.666666666666671</c:v>
                </c:pt>
                <c:pt idx="125">
                  <c:v>98.5</c:v>
                </c:pt>
                <c:pt idx="126">
                  <c:v>91</c:v>
                </c:pt>
                <c:pt idx="127">
                  <c:v>96</c:v>
                </c:pt>
                <c:pt idx="128">
                  <c:v>89.666666666666671</c:v>
                </c:pt>
                <c:pt idx="129">
                  <c:v>88.333333333333329</c:v>
                </c:pt>
                <c:pt idx="130">
                  <c:v>91</c:v>
                </c:pt>
                <c:pt idx="131">
                  <c:v>91.428571428571431</c:v>
                </c:pt>
                <c:pt idx="132">
                  <c:v>89</c:v>
                </c:pt>
                <c:pt idx="133">
                  <c:v>86.166666666666671</c:v>
                </c:pt>
                <c:pt idx="134">
                  <c:v>88.833333333333329</c:v>
                </c:pt>
                <c:pt idx="135">
                  <c:v>85.166666666666671</c:v>
                </c:pt>
                <c:pt idx="136">
                  <c:v>85.666666666666671</c:v>
                </c:pt>
                <c:pt idx="137">
                  <c:v>86.333333333333329</c:v>
                </c:pt>
                <c:pt idx="138">
                  <c:v>90.333333333333329</c:v>
                </c:pt>
                <c:pt idx="139">
                  <c:v>83.5</c:v>
                </c:pt>
                <c:pt idx="140">
                  <c:v>86</c:v>
                </c:pt>
                <c:pt idx="141">
                  <c:v>87.5</c:v>
                </c:pt>
              </c:numCache>
            </c:numRef>
          </c:val>
          <c:smooth val="0"/>
        </c:ser>
        <c:dLbls>
          <c:showLegendKey val="0"/>
          <c:showVal val="0"/>
          <c:showCatName val="0"/>
          <c:showSerName val="0"/>
          <c:showPercent val="0"/>
          <c:showBubbleSize val="0"/>
        </c:dLbls>
        <c:marker val="1"/>
        <c:smooth val="0"/>
        <c:axId val="276060800"/>
        <c:axId val="276066688"/>
      </c:lineChart>
      <c:lineChart>
        <c:grouping val="standard"/>
        <c:varyColors val="0"/>
        <c:ser>
          <c:idx val="0"/>
          <c:order val="0"/>
          <c:tx>
            <c:strRef>
              <c:f>衛生紙!$B$2</c:f>
              <c:strCache>
                <c:ptCount val="1"/>
                <c:pt idx="0">
                  <c:v>便利店－舒潔</c:v>
                </c:pt>
              </c:strCache>
            </c:strRef>
          </c:tx>
          <c:spPr>
            <a:ln w="28575">
              <a:solidFill>
                <a:schemeClr val="tx2"/>
              </a:solidFill>
            </a:ln>
          </c:spPr>
          <c:marker>
            <c:symbol val="none"/>
          </c:marker>
          <c:cat>
            <c:strRef>
              <c:f>衛生紙!$A$32:$A$173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104/02/02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衛生紙!$B$32:$B$173</c:f>
              <c:numCache>
                <c:formatCode>General</c:formatCode>
                <c:ptCount val="142"/>
                <c:pt idx="6" formatCode="0.00_ ">
                  <c:v>32.333333333333336</c:v>
                </c:pt>
                <c:pt idx="7" formatCode="0.00_ ">
                  <c:v>32.333333333333336</c:v>
                </c:pt>
                <c:pt idx="8" formatCode="0.00_ ">
                  <c:v>32.333333333333336</c:v>
                </c:pt>
                <c:pt idx="9" formatCode="0.00_ ">
                  <c:v>33.666666666666664</c:v>
                </c:pt>
                <c:pt idx="10" formatCode="0.00_ ">
                  <c:v>33.666666666666664</c:v>
                </c:pt>
                <c:pt idx="11" formatCode="0.00_ ">
                  <c:v>33.666666666666664</c:v>
                </c:pt>
                <c:pt idx="12" formatCode="0.00_ ">
                  <c:v>33.666666666666664</c:v>
                </c:pt>
                <c:pt idx="13" formatCode="0.00_ ">
                  <c:v>33.666666666666664</c:v>
                </c:pt>
                <c:pt idx="14" formatCode="0.00_ ">
                  <c:v>33.666666666666664</c:v>
                </c:pt>
                <c:pt idx="15" formatCode="0.00_ ">
                  <c:v>33.666666666666664</c:v>
                </c:pt>
                <c:pt idx="16" formatCode="0.00_ ">
                  <c:v>33.666666666666664</c:v>
                </c:pt>
                <c:pt idx="17" formatCode="0.00_ ">
                  <c:v>33.666666666666664</c:v>
                </c:pt>
                <c:pt idx="18" formatCode="0.00_ ">
                  <c:v>33.666666666666664</c:v>
                </c:pt>
                <c:pt idx="19" formatCode="0.00_ ">
                  <c:v>33.666666666666664</c:v>
                </c:pt>
                <c:pt idx="20" formatCode="0.00_ ">
                  <c:v>35</c:v>
                </c:pt>
                <c:pt idx="21" formatCode="0.00_ ">
                  <c:v>33.666666666666664</c:v>
                </c:pt>
                <c:pt idx="22" formatCode="0.00_ ">
                  <c:v>33.666666666666664</c:v>
                </c:pt>
                <c:pt idx="23" formatCode="0.00_ ">
                  <c:v>33.666666666666664</c:v>
                </c:pt>
                <c:pt idx="24" formatCode="0.00_ ">
                  <c:v>33.666666666666664</c:v>
                </c:pt>
                <c:pt idx="25" formatCode="0.00_ ">
                  <c:v>33.666666666666664</c:v>
                </c:pt>
                <c:pt idx="26" formatCode="0.00_ ">
                  <c:v>33.666666666666664</c:v>
                </c:pt>
                <c:pt idx="27" formatCode="0.00_ ">
                  <c:v>33.666666666666664</c:v>
                </c:pt>
                <c:pt idx="28" formatCode="0.00_ ">
                  <c:v>35</c:v>
                </c:pt>
                <c:pt idx="29" formatCode="0.00_ ">
                  <c:v>33.666666666666664</c:v>
                </c:pt>
                <c:pt idx="30" formatCode="0.00_ ">
                  <c:v>33.666666666666664</c:v>
                </c:pt>
                <c:pt idx="31" formatCode="0.00_ ">
                  <c:v>33.666666666666664</c:v>
                </c:pt>
                <c:pt idx="32" formatCode="0.00_ ">
                  <c:v>33.666666666666664</c:v>
                </c:pt>
                <c:pt idx="33" formatCode="0.00_ ">
                  <c:v>33.666666666666664</c:v>
                </c:pt>
                <c:pt idx="34" formatCode="0.00_ ">
                  <c:v>33.666666666666664</c:v>
                </c:pt>
                <c:pt idx="35" formatCode="0.00_ ">
                  <c:v>33.666666666666664</c:v>
                </c:pt>
                <c:pt idx="36" formatCode="0.00_ ">
                  <c:v>33.666666666666664</c:v>
                </c:pt>
                <c:pt idx="37" formatCode="0.00_ ">
                  <c:v>33.666666666666664</c:v>
                </c:pt>
                <c:pt idx="38" formatCode="0.00_ ">
                  <c:v>33.666666666666664</c:v>
                </c:pt>
                <c:pt idx="39" formatCode="0.00_ ">
                  <c:v>33.666666666666664</c:v>
                </c:pt>
                <c:pt idx="40" formatCode="0.00_ ">
                  <c:v>33.666666666666664</c:v>
                </c:pt>
                <c:pt idx="41" formatCode="0.00_ ">
                  <c:v>33.666666666666664</c:v>
                </c:pt>
                <c:pt idx="42" formatCode="0.00_ ">
                  <c:v>33.666666666666664</c:v>
                </c:pt>
                <c:pt idx="43" formatCode="0.00_ ">
                  <c:v>33.666666666666664</c:v>
                </c:pt>
                <c:pt idx="44" formatCode="0.00_ ">
                  <c:v>33.666666666666664</c:v>
                </c:pt>
                <c:pt idx="45" formatCode="0.00_ ">
                  <c:v>33.666666666666664</c:v>
                </c:pt>
                <c:pt idx="46" formatCode="0.00_ ">
                  <c:v>33.666666666666664</c:v>
                </c:pt>
                <c:pt idx="47" formatCode="0.00_ ">
                  <c:v>33.666666666666664</c:v>
                </c:pt>
                <c:pt idx="48" formatCode="0.00_ ">
                  <c:v>33.666666666666664</c:v>
                </c:pt>
                <c:pt idx="49" formatCode="0.00_ ">
                  <c:v>33.666666666666664</c:v>
                </c:pt>
                <c:pt idx="50" formatCode="0.00_ ">
                  <c:v>33.666666666666664</c:v>
                </c:pt>
                <c:pt idx="51" formatCode="0.00_ ">
                  <c:v>33.666666666666664</c:v>
                </c:pt>
                <c:pt idx="52" formatCode="0.00_ ">
                  <c:v>33.666666666666664</c:v>
                </c:pt>
                <c:pt idx="53" formatCode="0.00_ ">
                  <c:v>33.666666666666664</c:v>
                </c:pt>
                <c:pt idx="54" formatCode="0.00_ ">
                  <c:v>33.666666666666664</c:v>
                </c:pt>
                <c:pt idx="55" formatCode="0.00_ ">
                  <c:v>33.666666666666664</c:v>
                </c:pt>
                <c:pt idx="56" formatCode="0.00_ ">
                  <c:v>33.666666666666664</c:v>
                </c:pt>
                <c:pt idx="57" formatCode="0.00_ ">
                  <c:v>33.666666666666664</c:v>
                </c:pt>
                <c:pt idx="58" formatCode="0.00_ ">
                  <c:v>33.666666666666664</c:v>
                </c:pt>
                <c:pt idx="59" formatCode="0.00_ ">
                  <c:v>33.666666666666664</c:v>
                </c:pt>
                <c:pt idx="60" formatCode="0.00_ ">
                  <c:v>33.666666666666664</c:v>
                </c:pt>
                <c:pt idx="61" formatCode="0.00_ ">
                  <c:v>33.666666666666664</c:v>
                </c:pt>
                <c:pt idx="62" formatCode="0.00_ ">
                  <c:v>33.666666666666664</c:v>
                </c:pt>
                <c:pt idx="63" formatCode="0.00_ ">
                  <c:v>35.25</c:v>
                </c:pt>
                <c:pt idx="64" formatCode="0.00_ ">
                  <c:v>35</c:v>
                </c:pt>
                <c:pt idx="65" formatCode="0.00_ ">
                  <c:v>33.5</c:v>
                </c:pt>
                <c:pt idx="66" formatCode="0.00_ ">
                  <c:v>33.5</c:v>
                </c:pt>
                <c:pt idx="67" formatCode="0.00_ ">
                  <c:v>33.5</c:v>
                </c:pt>
                <c:pt idx="68" formatCode="0.00_ ">
                  <c:v>33.5</c:v>
                </c:pt>
                <c:pt idx="69" formatCode="0.00_ ">
                  <c:v>33.5</c:v>
                </c:pt>
                <c:pt idx="70" formatCode="0.00_ ">
                  <c:v>33.5</c:v>
                </c:pt>
                <c:pt idx="71" formatCode="0.00_ ">
                  <c:v>33.5</c:v>
                </c:pt>
                <c:pt idx="72" formatCode="0.00_ ">
                  <c:v>33.5</c:v>
                </c:pt>
                <c:pt idx="73" formatCode="0.00_ ">
                  <c:v>33.5</c:v>
                </c:pt>
                <c:pt idx="74" formatCode="0.00_ ">
                  <c:v>33.5</c:v>
                </c:pt>
                <c:pt idx="75" formatCode="0.00_ ">
                  <c:v>33.5</c:v>
                </c:pt>
                <c:pt idx="76" formatCode="0.00_ ">
                  <c:v>33.5</c:v>
                </c:pt>
                <c:pt idx="77" formatCode="0.00_ ">
                  <c:v>33.5</c:v>
                </c:pt>
                <c:pt idx="78" formatCode="0.00_ ">
                  <c:v>33.5</c:v>
                </c:pt>
                <c:pt idx="79" formatCode="0.00_ ">
                  <c:v>33.5</c:v>
                </c:pt>
                <c:pt idx="80" formatCode="0.00_ ">
                  <c:v>33.5</c:v>
                </c:pt>
                <c:pt idx="81" formatCode="0.00_ ">
                  <c:v>33.5</c:v>
                </c:pt>
                <c:pt idx="82" formatCode="0.00_ ">
                  <c:v>33.5</c:v>
                </c:pt>
                <c:pt idx="83" formatCode="0.00_ ">
                  <c:v>33.5</c:v>
                </c:pt>
                <c:pt idx="84" formatCode="0.00_ ">
                  <c:v>33.5</c:v>
                </c:pt>
                <c:pt idx="85" formatCode="0.00_ ">
                  <c:v>35</c:v>
                </c:pt>
                <c:pt idx="86" formatCode="0.00_ ">
                  <c:v>34.5</c:v>
                </c:pt>
                <c:pt idx="87" formatCode="0.00_ ">
                  <c:v>33.5</c:v>
                </c:pt>
                <c:pt idx="88" formatCode="0.00_ ">
                  <c:v>33.5</c:v>
                </c:pt>
                <c:pt idx="89" formatCode="0.00_ ">
                  <c:v>33.5</c:v>
                </c:pt>
                <c:pt idx="90" formatCode="0.00_ ">
                  <c:v>33.5</c:v>
                </c:pt>
                <c:pt idx="91" formatCode="0.00_ ">
                  <c:v>33.5</c:v>
                </c:pt>
                <c:pt idx="92" formatCode="0.00_ ">
                  <c:v>33.5</c:v>
                </c:pt>
                <c:pt idx="93" formatCode="0.00_ ">
                  <c:v>33.5</c:v>
                </c:pt>
                <c:pt idx="94" formatCode="0.00_ ">
                  <c:v>33.5</c:v>
                </c:pt>
                <c:pt idx="95" formatCode="0.00_ ">
                  <c:v>33.5</c:v>
                </c:pt>
                <c:pt idx="96" formatCode="0.00_ ">
                  <c:v>33.5</c:v>
                </c:pt>
                <c:pt idx="97" formatCode="0.00_ ">
                  <c:v>33.5</c:v>
                </c:pt>
                <c:pt idx="98" formatCode="0.00_ ">
                  <c:v>33.5</c:v>
                </c:pt>
                <c:pt idx="99" formatCode="0.00_ ">
                  <c:v>33.5</c:v>
                </c:pt>
                <c:pt idx="100" formatCode="0.00_ ">
                  <c:v>33.5</c:v>
                </c:pt>
                <c:pt idx="101" formatCode="0.00_ ">
                  <c:v>33.5</c:v>
                </c:pt>
                <c:pt idx="102" formatCode="0.00_ ">
                  <c:v>33.5</c:v>
                </c:pt>
                <c:pt idx="103" formatCode="0.00_ ">
                  <c:v>33.5</c:v>
                </c:pt>
                <c:pt idx="104" formatCode="0.00_ ">
                  <c:v>33.5</c:v>
                </c:pt>
                <c:pt idx="105" formatCode="0.00_ ">
                  <c:v>33.5</c:v>
                </c:pt>
                <c:pt idx="106" formatCode="0.00_ ">
                  <c:v>33.5</c:v>
                </c:pt>
                <c:pt idx="107" formatCode="0.00_ ">
                  <c:v>33.5</c:v>
                </c:pt>
                <c:pt idx="108" formatCode="0.00_ ">
                  <c:v>33.5</c:v>
                </c:pt>
                <c:pt idx="109" formatCode="0.00_ ">
                  <c:v>33.5</c:v>
                </c:pt>
                <c:pt idx="110" formatCode="0.00_ ">
                  <c:v>33.5</c:v>
                </c:pt>
                <c:pt idx="111" formatCode="0.00_ ">
                  <c:v>33.5</c:v>
                </c:pt>
                <c:pt idx="112" formatCode="0.00_ ">
                  <c:v>33.5</c:v>
                </c:pt>
                <c:pt idx="113" formatCode="0.00_ ">
                  <c:v>33.5</c:v>
                </c:pt>
                <c:pt idx="114" formatCode="0.00_ ">
                  <c:v>33.5</c:v>
                </c:pt>
                <c:pt idx="115" formatCode="0.00_ ">
                  <c:v>33.5</c:v>
                </c:pt>
                <c:pt idx="116" formatCode="0.00_ ">
                  <c:v>33.5</c:v>
                </c:pt>
                <c:pt idx="117" formatCode="0.00_ ">
                  <c:v>33.5</c:v>
                </c:pt>
                <c:pt idx="118" formatCode="0.00_ ">
                  <c:v>33.5</c:v>
                </c:pt>
                <c:pt idx="119" formatCode="0.00_ ">
                  <c:v>33.5</c:v>
                </c:pt>
                <c:pt idx="120" formatCode="0.00_ ">
                  <c:v>33.5</c:v>
                </c:pt>
                <c:pt idx="121" formatCode="0.00_ ">
                  <c:v>33.5</c:v>
                </c:pt>
                <c:pt idx="122" formatCode="0.00_ ">
                  <c:v>33.5</c:v>
                </c:pt>
                <c:pt idx="123" formatCode="0.00_ ">
                  <c:v>33.5</c:v>
                </c:pt>
                <c:pt idx="124" formatCode="0.00_ ">
                  <c:v>33.5</c:v>
                </c:pt>
                <c:pt idx="125" formatCode="0.00_ ">
                  <c:v>33.5</c:v>
                </c:pt>
                <c:pt idx="126" formatCode="0.00_ ">
                  <c:v>33.5</c:v>
                </c:pt>
                <c:pt idx="127" formatCode="0.00_ ">
                  <c:v>33.5</c:v>
                </c:pt>
                <c:pt idx="128" formatCode="0.00_ ">
                  <c:v>33.5</c:v>
                </c:pt>
                <c:pt idx="129" formatCode="0.00_ ">
                  <c:v>33.5</c:v>
                </c:pt>
                <c:pt idx="130" formatCode="0.00_ ">
                  <c:v>33.5</c:v>
                </c:pt>
                <c:pt idx="131" formatCode="0.00_ ">
                  <c:v>33.5</c:v>
                </c:pt>
                <c:pt idx="132" formatCode="0.00_ ">
                  <c:v>33.5</c:v>
                </c:pt>
                <c:pt idx="133" formatCode="0.00_ ">
                  <c:v>33.5</c:v>
                </c:pt>
                <c:pt idx="134" formatCode="0.00_ ">
                  <c:v>33.5</c:v>
                </c:pt>
                <c:pt idx="135" formatCode="0.00_ ">
                  <c:v>33.5</c:v>
                </c:pt>
                <c:pt idx="136" formatCode="0.00_ ">
                  <c:v>33.5</c:v>
                </c:pt>
                <c:pt idx="137" formatCode="0.00_ ">
                  <c:v>33.5</c:v>
                </c:pt>
                <c:pt idx="138" formatCode="0.00_ ">
                  <c:v>33.5</c:v>
                </c:pt>
                <c:pt idx="139" formatCode="0.00_ ">
                  <c:v>33.5</c:v>
                </c:pt>
                <c:pt idx="140" formatCode="0.00_ ">
                  <c:v>33.5</c:v>
                </c:pt>
                <c:pt idx="141" formatCode="0.00_ ">
                  <c:v>33.5</c:v>
                </c:pt>
              </c:numCache>
            </c:numRef>
          </c:val>
          <c:smooth val="0"/>
        </c:ser>
        <c:dLbls>
          <c:showLegendKey val="0"/>
          <c:showVal val="0"/>
          <c:showCatName val="0"/>
          <c:showSerName val="0"/>
          <c:showPercent val="0"/>
          <c:showBubbleSize val="0"/>
        </c:dLbls>
        <c:marker val="1"/>
        <c:smooth val="0"/>
        <c:axId val="276068224"/>
        <c:axId val="276069760"/>
      </c:lineChart>
      <c:catAx>
        <c:axId val="276060800"/>
        <c:scaling>
          <c:orientation val="minMax"/>
        </c:scaling>
        <c:delete val="0"/>
        <c:axPos val="b"/>
        <c:numFmt formatCode="General" sourceLinked="1"/>
        <c:majorTickMark val="in"/>
        <c:minorTickMark val="none"/>
        <c:tickLblPos val="nextTo"/>
        <c:spPr>
          <a:ln>
            <a:solidFill>
              <a:sysClr val="windowText" lastClr="000000"/>
            </a:solidFill>
          </a:ln>
        </c:spPr>
        <c:txPr>
          <a:bodyPr rot="-2700000"/>
          <a:lstStyle/>
          <a:p>
            <a:pPr>
              <a:defRPr>
                <a:latin typeface="Times New Roman" pitchFamily="18" charset="0"/>
                <a:cs typeface="Times New Roman" pitchFamily="18" charset="0"/>
              </a:defRPr>
            </a:pPr>
            <a:endParaRPr lang="zh-TW"/>
          </a:p>
        </c:txPr>
        <c:crossAx val="276066688"/>
        <c:crosses val="autoZero"/>
        <c:auto val="1"/>
        <c:lblAlgn val="ctr"/>
        <c:lblOffset val="100"/>
        <c:tickLblSkip val="5"/>
        <c:tickMarkSkip val="5"/>
        <c:noMultiLvlLbl val="1"/>
      </c:catAx>
      <c:valAx>
        <c:axId val="276066688"/>
        <c:scaling>
          <c:orientation val="minMax"/>
          <c:max val="180"/>
          <c:min val="80"/>
        </c:scaling>
        <c:delete val="0"/>
        <c:axPos val="l"/>
        <c:numFmt formatCode="#,##0_);\(#,##0\)" sourceLinked="0"/>
        <c:majorTickMark val="in"/>
        <c:minorTickMark val="none"/>
        <c:tickLblPos val="nextTo"/>
        <c:spPr>
          <a:ln>
            <a:solidFill>
              <a:sysClr val="windowText" lastClr="000000"/>
            </a:solidFill>
          </a:ln>
        </c:spPr>
        <c:txPr>
          <a:bodyPr/>
          <a:lstStyle/>
          <a:p>
            <a:pPr>
              <a:defRPr>
                <a:latin typeface="Times New Roman" pitchFamily="18" charset="0"/>
                <a:cs typeface="Times New Roman" pitchFamily="18" charset="0"/>
              </a:defRPr>
            </a:pPr>
            <a:endParaRPr lang="zh-TW"/>
          </a:p>
        </c:txPr>
        <c:crossAx val="276060800"/>
        <c:crosses val="autoZero"/>
        <c:crossBetween val="between"/>
      </c:valAx>
      <c:catAx>
        <c:axId val="276068224"/>
        <c:scaling>
          <c:orientation val="minMax"/>
        </c:scaling>
        <c:delete val="1"/>
        <c:axPos val="b"/>
        <c:numFmt formatCode="General" sourceLinked="1"/>
        <c:majorTickMark val="out"/>
        <c:minorTickMark val="none"/>
        <c:tickLblPos val="nextTo"/>
        <c:crossAx val="276069760"/>
        <c:crosses val="autoZero"/>
        <c:auto val="1"/>
        <c:lblAlgn val="ctr"/>
        <c:lblOffset val="100"/>
        <c:noMultiLvlLbl val="0"/>
      </c:catAx>
      <c:valAx>
        <c:axId val="276069760"/>
        <c:scaling>
          <c:orientation val="minMax"/>
          <c:max val="36"/>
          <c:min val="32"/>
        </c:scaling>
        <c:delete val="0"/>
        <c:axPos val="r"/>
        <c:numFmt formatCode="#,##0_);\(#,##0\)" sourceLinked="0"/>
        <c:majorTickMark val="in"/>
        <c:minorTickMark val="none"/>
        <c:tickLblPos val="nextTo"/>
        <c:spPr>
          <a:ln>
            <a:solidFill>
              <a:sysClr val="windowText" lastClr="000000"/>
            </a:solidFill>
          </a:ln>
        </c:spPr>
        <c:crossAx val="276068224"/>
        <c:crosses val="max"/>
        <c:crossBetween val="between"/>
        <c:majorUnit val="1"/>
      </c:valAx>
      <c:spPr>
        <a:noFill/>
        <a:ln w="25400">
          <a:noFill/>
        </a:ln>
      </c:spPr>
    </c:plotArea>
    <c:legend>
      <c:legendPos val="r"/>
      <c:layout>
        <c:manualLayout>
          <c:xMode val="edge"/>
          <c:yMode val="edge"/>
          <c:x val="0.16633170974023143"/>
          <c:y val="1.5475159330470929E-3"/>
          <c:w val="0.64351355911958141"/>
          <c:h val="0.15286877536212412"/>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8941798941798939E-2"/>
          <c:y val="0.11686536032562746"/>
          <c:w val="0.85789799992795268"/>
          <c:h val="0.63738183291541184"/>
        </c:manualLayout>
      </c:layout>
      <c:lineChart>
        <c:grouping val="standard"/>
        <c:varyColors val="0"/>
        <c:ser>
          <c:idx val="1"/>
          <c:order val="1"/>
          <c:tx>
            <c:strRef>
              <c:f>香皂!$C$1</c:f>
              <c:strCache>
                <c:ptCount val="1"/>
                <c:pt idx="0">
                  <c:v>超市</c:v>
                </c:pt>
              </c:strCache>
            </c:strRef>
          </c:tx>
          <c:marker>
            <c:symbol val="none"/>
          </c:marker>
          <c:cat>
            <c:strRef>
              <c:f>香皂!$A$32:$A$173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香皂!$C$32:$C$173</c:f>
              <c:numCache>
                <c:formatCode>#,##0.00_ </c:formatCode>
                <c:ptCount val="142"/>
                <c:pt idx="0">
                  <c:v>11.5</c:v>
                </c:pt>
                <c:pt idx="1">
                  <c:v>11.5</c:v>
                </c:pt>
                <c:pt idx="2">
                  <c:v>11.01</c:v>
                </c:pt>
                <c:pt idx="3">
                  <c:v>11.21</c:v>
                </c:pt>
                <c:pt idx="4">
                  <c:v>11.24</c:v>
                </c:pt>
                <c:pt idx="5">
                  <c:v>11.8</c:v>
                </c:pt>
                <c:pt idx="6">
                  <c:v>11.670833333333333</c:v>
                </c:pt>
                <c:pt idx="7">
                  <c:v>12.034722222222221</c:v>
                </c:pt>
                <c:pt idx="8">
                  <c:v>12.587222222222222</c:v>
                </c:pt>
                <c:pt idx="9">
                  <c:v>11.146904761904763</c:v>
                </c:pt>
                <c:pt idx="10">
                  <c:v>11.159777777777778</c:v>
                </c:pt>
                <c:pt idx="11">
                  <c:v>11.981777777777777</c:v>
                </c:pt>
                <c:pt idx="12">
                  <c:v>12.295416666666666</c:v>
                </c:pt>
                <c:pt idx="13">
                  <c:v>11.56875</c:v>
                </c:pt>
                <c:pt idx="14">
                  <c:v>11.505882352941176</c:v>
                </c:pt>
                <c:pt idx="15">
                  <c:v>12.111764705882351</c:v>
                </c:pt>
                <c:pt idx="16">
                  <c:v>12.047499999999999</c:v>
                </c:pt>
                <c:pt idx="17">
                  <c:v>12.130980392156863</c:v>
                </c:pt>
                <c:pt idx="18">
                  <c:v>12.033333333333333</c:v>
                </c:pt>
                <c:pt idx="19">
                  <c:v>12.109411764705882</c:v>
                </c:pt>
                <c:pt idx="20">
                  <c:v>11.945294117647057</c:v>
                </c:pt>
                <c:pt idx="21">
                  <c:v>12.042941176470588</c:v>
                </c:pt>
                <c:pt idx="22">
                  <c:v>12.178235294117645</c:v>
                </c:pt>
                <c:pt idx="23">
                  <c:v>11.917058823529413</c:v>
                </c:pt>
                <c:pt idx="24">
                  <c:v>11.917058823529413</c:v>
                </c:pt>
                <c:pt idx="25">
                  <c:v>12.013333333333334</c:v>
                </c:pt>
                <c:pt idx="26">
                  <c:v>12.10156862745098</c:v>
                </c:pt>
                <c:pt idx="27">
                  <c:v>12.023333333333332</c:v>
                </c:pt>
                <c:pt idx="28">
                  <c:v>12.082156862745096</c:v>
                </c:pt>
                <c:pt idx="29">
                  <c:v>11.354294117647058</c:v>
                </c:pt>
                <c:pt idx="30">
                  <c:v>11.303117647058823</c:v>
                </c:pt>
                <c:pt idx="31">
                  <c:v>10.992764705882353</c:v>
                </c:pt>
                <c:pt idx="32">
                  <c:v>11.06335294117647</c:v>
                </c:pt>
                <c:pt idx="33">
                  <c:v>10.865274509803921</c:v>
                </c:pt>
                <c:pt idx="34">
                  <c:v>10.894354166666666</c:v>
                </c:pt>
                <c:pt idx="35">
                  <c:v>12.044509803921567</c:v>
                </c:pt>
                <c:pt idx="36">
                  <c:v>12.203333333333333</c:v>
                </c:pt>
                <c:pt idx="37">
                  <c:v>12.203333333333333</c:v>
                </c:pt>
                <c:pt idx="38">
                  <c:v>12.203333333333333</c:v>
                </c:pt>
                <c:pt idx="39">
                  <c:v>12.311568627450979</c:v>
                </c:pt>
                <c:pt idx="40">
                  <c:v>11.786854166666666</c:v>
                </c:pt>
                <c:pt idx="41">
                  <c:v>11.937980392156861</c:v>
                </c:pt>
                <c:pt idx="42">
                  <c:v>12.037980392156863</c:v>
                </c:pt>
                <c:pt idx="43">
                  <c:v>11.777803921568628</c:v>
                </c:pt>
                <c:pt idx="44">
                  <c:v>10.659998039215685</c:v>
                </c:pt>
                <c:pt idx="45">
                  <c:v>10.891174509803921</c:v>
                </c:pt>
                <c:pt idx="46">
                  <c:v>11.128801960784312</c:v>
                </c:pt>
                <c:pt idx="47">
                  <c:v>10.932723529411764</c:v>
                </c:pt>
                <c:pt idx="48">
                  <c:v>11.617074509803919</c:v>
                </c:pt>
                <c:pt idx="49">
                  <c:v>11.603329166666665</c:v>
                </c:pt>
                <c:pt idx="50">
                  <c:v>11.811891666666664</c:v>
                </c:pt>
                <c:pt idx="51">
                  <c:v>11.922564705882351</c:v>
                </c:pt>
                <c:pt idx="52">
                  <c:v>11.741976470588234</c:v>
                </c:pt>
                <c:pt idx="53">
                  <c:v>11.942666666666664</c:v>
                </c:pt>
                <c:pt idx="54">
                  <c:v>11.719791666666664</c:v>
                </c:pt>
                <c:pt idx="55">
                  <c:v>11.581960784313724</c:v>
                </c:pt>
                <c:pt idx="56">
                  <c:v>12.003333333333332</c:v>
                </c:pt>
                <c:pt idx="57">
                  <c:v>12.175849999999999</c:v>
                </c:pt>
                <c:pt idx="58">
                  <c:v>11.893447058823527</c:v>
                </c:pt>
                <c:pt idx="59">
                  <c:v>12.007308333333331</c:v>
                </c:pt>
                <c:pt idx="60">
                  <c:v>11.475958333333331</c:v>
                </c:pt>
                <c:pt idx="61">
                  <c:v>10.767833333333332</c:v>
                </c:pt>
                <c:pt idx="62">
                  <c:v>10.874083333333331</c:v>
                </c:pt>
                <c:pt idx="63">
                  <c:v>10.940999999999999</c:v>
                </c:pt>
                <c:pt idx="64">
                  <c:v>10.822901960784314</c:v>
                </c:pt>
                <c:pt idx="65">
                  <c:v>11.70507843137255</c:v>
                </c:pt>
                <c:pt idx="66">
                  <c:v>11.771462962962964</c:v>
                </c:pt>
                <c:pt idx="67">
                  <c:v>11.780740740740741</c:v>
                </c:pt>
                <c:pt idx="68">
                  <c:v>11.691850000000001</c:v>
                </c:pt>
                <c:pt idx="69">
                  <c:v>11.463296296296296</c:v>
                </c:pt>
                <c:pt idx="70">
                  <c:v>11.610764705882351</c:v>
                </c:pt>
                <c:pt idx="71">
                  <c:v>11.687944444444444</c:v>
                </c:pt>
                <c:pt idx="72">
                  <c:v>11.447388888888888</c:v>
                </c:pt>
                <c:pt idx="73">
                  <c:v>11.479388888888888</c:v>
                </c:pt>
                <c:pt idx="74">
                  <c:v>12.382388888888888</c:v>
                </c:pt>
                <c:pt idx="75">
                  <c:v>11.777888888888889</c:v>
                </c:pt>
                <c:pt idx="76">
                  <c:v>11.885624999999999</c:v>
                </c:pt>
                <c:pt idx="77">
                  <c:v>11.962777777777777</c:v>
                </c:pt>
                <c:pt idx="78">
                  <c:v>11.962777777777777</c:v>
                </c:pt>
                <c:pt idx="79">
                  <c:v>11.7935</c:v>
                </c:pt>
                <c:pt idx="80">
                  <c:v>11.108833333333331</c:v>
                </c:pt>
                <c:pt idx="81">
                  <c:v>11.219944444444444</c:v>
                </c:pt>
                <c:pt idx="82">
                  <c:v>11.143833333333331</c:v>
                </c:pt>
                <c:pt idx="83">
                  <c:v>11.138277777777777</c:v>
                </c:pt>
                <c:pt idx="84">
                  <c:v>11.847777777777777</c:v>
                </c:pt>
                <c:pt idx="85">
                  <c:v>11.747777777777777</c:v>
                </c:pt>
                <c:pt idx="86">
                  <c:v>11.986666666666666</c:v>
                </c:pt>
                <c:pt idx="87">
                  <c:v>11.992222222222221</c:v>
                </c:pt>
                <c:pt idx="88">
                  <c:v>12.189611111111111</c:v>
                </c:pt>
                <c:pt idx="89">
                  <c:v>12.298999999999998</c:v>
                </c:pt>
                <c:pt idx="90">
                  <c:v>12.110764705882351</c:v>
                </c:pt>
                <c:pt idx="91">
                  <c:v>11.767431372549018</c:v>
                </c:pt>
                <c:pt idx="92">
                  <c:v>11.53213725490196</c:v>
                </c:pt>
                <c:pt idx="93">
                  <c:v>12.01705882352941</c:v>
                </c:pt>
                <c:pt idx="94">
                  <c:v>11.897647058823528</c:v>
                </c:pt>
                <c:pt idx="95">
                  <c:v>11.46862745098039</c:v>
                </c:pt>
                <c:pt idx="96">
                  <c:v>11.487037037037036</c:v>
                </c:pt>
                <c:pt idx="97">
                  <c:v>11.250372549019607</c:v>
                </c:pt>
                <c:pt idx="98">
                  <c:v>11.383333333333331</c:v>
                </c:pt>
                <c:pt idx="99">
                  <c:v>12.064604166666665</c:v>
                </c:pt>
                <c:pt idx="100">
                  <c:v>12.168770833333332</c:v>
                </c:pt>
                <c:pt idx="101">
                  <c:v>11.539166666666667</c:v>
                </c:pt>
                <c:pt idx="102">
                  <c:v>11.527450980392155</c:v>
                </c:pt>
                <c:pt idx="103">
                  <c:v>11.681372549019606</c:v>
                </c:pt>
                <c:pt idx="104">
                  <c:v>11.397627450980391</c:v>
                </c:pt>
                <c:pt idx="105">
                  <c:v>11.081980392156861</c:v>
                </c:pt>
                <c:pt idx="106">
                  <c:v>11.958431372549018</c:v>
                </c:pt>
                <c:pt idx="107">
                  <c:v>11.256249999999998</c:v>
                </c:pt>
                <c:pt idx="108">
                  <c:v>11.189354166666666</c:v>
                </c:pt>
                <c:pt idx="109">
                  <c:v>11.338729166666665</c:v>
                </c:pt>
                <c:pt idx="110">
                  <c:v>10.986199999999998</c:v>
                </c:pt>
                <c:pt idx="111">
                  <c:v>11.2262</c:v>
                </c:pt>
                <c:pt idx="112">
                  <c:v>11.572644444444444</c:v>
                </c:pt>
                <c:pt idx="113">
                  <c:v>12.702688888888888</c:v>
                </c:pt>
                <c:pt idx="114">
                  <c:v>12.400911111111109</c:v>
                </c:pt>
                <c:pt idx="115">
                  <c:v>11.5360625</c:v>
                </c:pt>
                <c:pt idx="116">
                  <c:v>12.329166666666666</c:v>
                </c:pt>
                <c:pt idx="117">
                  <c:v>12.375133333333334</c:v>
                </c:pt>
                <c:pt idx="118">
                  <c:v>11.592666666666666</c:v>
                </c:pt>
                <c:pt idx="119">
                  <c:v>11.462499999999999</c:v>
                </c:pt>
                <c:pt idx="120">
                  <c:v>11.532916666666665</c:v>
                </c:pt>
                <c:pt idx="121">
                  <c:v>10.748644444444443</c:v>
                </c:pt>
                <c:pt idx="122">
                  <c:v>11.065395833333334</c:v>
                </c:pt>
                <c:pt idx="123">
                  <c:v>11.966041666666666</c:v>
                </c:pt>
                <c:pt idx="124">
                  <c:v>11.962083333333332</c:v>
                </c:pt>
                <c:pt idx="125">
                  <c:v>11.272083333333333</c:v>
                </c:pt>
                <c:pt idx="126">
                  <c:v>11.008770833333333</c:v>
                </c:pt>
                <c:pt idx="127">
                  <c:v>11.727708333333332</c:v>
                </c:pt>
                <c:pt idx="128">
                  <c:v>11.129791666666668</c:v>
                </c:pt>
                <c:pt idx="129">
                  <c:v>11.715833333333334</c:v>
                </c:pt>
                <c:pt idx="130">
                  <c:v>11.966249999999999</c:v>
                </c:pt>
                <c:pt idx="131">
                  <c:v>11.273937499999999</c:v>
                </c:pt>
                <c:pt idx="132">
                  <c:v>11.430187499999999</c:v>
                </c:pt>
                <c:pt idx="133">
                  <c:v>11.398937499999999</c:v>
                </c:pt>
                <c:pt idx="134">
                  <c:v>11.049375</c:v>
                </c:pt>
                <c:pt idx="135">
                  <c:v>11.547499999999999</c:v>
                </c:pt>
                <c:pt idx="136">
                  <c:v>11.422499999999999</c:v>
                </c:pt>
                <c:pt idx="137">
                  <c:v>11.1525</c:v>
                </c:pt>
                <c:pt idx="138">
                  <c:v>10.844666666666667</c:v>
                </c:pt>
                <c:pt idx="139">
                  <c:v>11.706466666666667</c:v>
                </c:pt>
                <c:pt idx="140">
                  <c:v>11.202199999999999</c:v>
                </c:pt>
                <c:pt idx="141">
                  <c:v>11.946199999999999</c:v>
                </c:pt>
              </c:numCache>
            </c:numRef>
          </c:val>
          <c:smooth val="0"/>
        </c:ser>
        <c:ser>
          <c:idx val="2"/>
          <c:order val="2"/>
          <c:tx>
            <c:strRef>
              <c:f>香皂!$D$1</c:f>
              <c:strCache>
                <c:ptCount val="1"/>
                <c:pt idx="0">
                  <c:v>量販店</c:v>
                </c:pt>
              </c:strCache>
            </c:strRef>
          </c:tx>
          <c:marker>
            <c:symbol val="none"/>
          </c:marker>
          <c:cat>
            <c:strRef>
              <c:f>香皂!$A$32:$A$173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香皂!$D$32:$D$173</c:f>
              <c:numCache>
                <c:formatCode>General</c:formatCode>
                <c:ptCount val="142"/>
                <c:pt idx="3" formatCode="#,##0.00_ ">
                  <c:v>10.34</c:v>
                </c:pt>
                <c:pt idx="4" formatCode="#,##0.00_ ">
                  <c:v>10.42</c:v>
                </c:pt>
                <c:pt idx="5" formatCode="#,##0.00_ ">
                  <c:v>10.14</c:v>
                </c:pt>
                <c:pt idx="6" formatCode="#,##0.00_ ">
                  <c:v>10.145833333333334</c:v>
                </c:pt>
                <c:pt idx="7" formatCode="#,##0.00_ ">
                  <c:v>9.9874999999999989</c:v>
                </c:pt>
                <c:pt idx="8" formatCode="#,##0.00_ ">
                  <c:v>10.362500000000001</c:v>
                </c:pt>
                <c:pt idx="9" formatCode="#,##0.00_ ">
                  <c:v>10.377777777777778</c:v>
                </c:pt>
                <c:pt idx="10" formatCode="#,##0.00_ ">
                  <c:v>10.56</c:v>
                </c:pt>
                <c:pt idx="11" formatCode="#,##0.00_ ">
                  <c:v>10.581818181818182</c:v>
                </c:pt>
                <c:pt idx="12" formatCode="#,##0.00_ ">
                  <c:v>10.645454545454546</c:v>
                </c:pt>
                <c:pt idx="13" formatCode="#,##0.00_ ">
                  <c:v>10.88</c:v>
                </c:pt>
                <c:pt idx="14" formatCode="#,##0.00_ ">
                  <c:v>10.576670000000002</c:v>
                </c:pt>
                <c:pt idx="15" formatCode="#,##0.00_ ">
                  <c:v>11.29997</c:v>
                </c:pt>
                <c:pt idx="16" formatCode="#,##0.00_ ">
                  <c:v>11.237500000000001</c:v>
                </c:pt>
                <c:pt idx="17" formatCode="#,##0.00_ ">
                  <c:v>11.280000000000001</c:v>
                </c:pt>
                <c:pt idx="18" formatCode="#,##0.00_ ">
                  <c:v>10.673300000000001</c:v>
                </c:pt>
                <c:pt idx="19" formatCode="#,##0.00_ ">
                  <c:v>10.673300000000001</c:v>
                </c:pt>
                <c:pt idx="20" formatCode="#,##0.00_ ">
                  <c:v>10.9033</c:v>
                </c:pt>
                <c:pt idx="21" formatCode="#,##0.00_ ">
                  <c:v>11.133300000000002</c:v>
                </c:pt>
                <c:pt idx="22" formatCode="#,##0.00_ ">
                  <c:v>10.56</c:v>
                </c:pt>
                <c:pt idx="23" formatCode="#,##0.00_ ">
                  <c:v>10.9633</c:v>
                </c:pt>
                <c:pt idx="24" formatCode="#,##0.00_ ">
                  <c:v>10.4633</c:v>
                </c:pt>
                <c:pt idx="25" formatCode="#,##0.00_ ">
                  <c:v>10.3233</c:v>
                </c:pt>
                <c:pt idx="26" formatCode="#,##0.00_ ">
                  <c:v>10.743300000000001</c:v>
                </c:pt>
                <c:pt idx="27" formatCode="#,##0.00_ ">
                  <c:v>10.693300000000001</c:v>
                </c:pt>
                <c:pt idx="28" formatCode="#,##0.00_ ">
                  <c:v>10.686083333333334</c:v>
                </c:pt>
                <c:pt idx="29" formatCode="#,##0.00_ ">
                  <c:v>10.2563</c:v>
                </c:pt>
                <c:pt idx="30" formatCode="#,##0.00_ ">
                  <c:v>10.3963</c:v>
                </c:pt>
                <c:pt idx="31" formatCode="#,##0.00_ ">
                  <c:v>10.163300000000001</c:v>
                </c:pt>
                <c:pt idx="32" formatCode="#,##0.00_ ">
                  <c:v>10.018111111111113</c:v>
                </c:pt>
                <c:pt idx="33" formatCode="#,##0.00_ ">
                  <c:v>10.016300000000001</c:v>
                </c:pt>
                <c:pt idx="34" formatCode="#,##0.00_ ">
                  <c:v>9.6847777777777768</c:v>
                </c:pt>
                <c:pt idx="35" formatCode="#,##0.00_ ">
                  <c:v>9.6562999999999999</c:v>
                </c:pt>
                <c:pt idx="36" formatCode="#,##0.00_ ">
                  <c:v>10.243300000000001</c:v>
                </c:pt>
                <c:pt idx="37" formatCode="#,##0.00_ ">
                  <c:v>10.283300000000001</c:v>
                </c:pt>
                <c:pt idx="38" formatCode="#,##0.00_ ">
                  <c:v>9.6933000000000007</c:v>
                </c:pt>
                <c:pt idx="39" formatCode="#,##0.00_ ">
                  <c:v>9.9030000000000005</c:v>
                </c:pt>
                <c:pt idx="40" formatCode="#,##0.00_ ">
                  <c:v>10.66</c:v>
                </c:pt>
                <c:pt idx="41" formatCode="#,##0.00_ ">
                  <c:v>11.25</c:v>
                </c:pt>
                <c:pt idx="42" formatCode="#,##0.00_ ">
                  <c:v>10.9133</c:v>
                </c:pt>
                <c:pt idx="43" formatCode="#,##0.00_ ">
                  <c:v>10.5733</c:v>
                </c:pt>
                <c:pt idx="44" formatCode="#,##0.00_ ">
                  <c:v>10.103300000000001</c:v>
                </c:pt>
                <c:pt idx="45" formatCode="#,##0.00_ ">
                  <c:v>10.269299999999999</c:v>
                </c:pt>
                <c:pt idx="46" formatCode="#,##0.00_ ">
                  <c:v>10.252700000000001</c:v>
                </c:pt>
                <c:pt idx="47" formatCode="#,##0.00_ ">
                  <c:v>10.082699999999999</c:v>
                </c:pt>
                <c:pt idx="48" formatCode="#,##0.00_ ">
                  <c:v>10.099299999999999</c:v>
                </c:pt>
                <c:pt idx="49" formatCode="#,##0.00_ ">
                  <c:v>10.099299999999999</c:v>
                </c:pt>
                <c:pt idx="50" formatCode="#,##0.00_ ">
                  <c:v>10.4193</c:v>
                </c:pt>
                <c:pt idx="51" formatCode="#,##0.00_ ">
                  <c:v>10.182700000000001</c:v>
                </c:pt>
                <c:pt idx="52" formatCode="#,##0.00_ ">
                  <c:v>10.896699999999999</c:v>
                </c:pt>
                <c:pt idx="53" formatCode="#,##0.00_ ">
                  <c:v>10.5367</c:v>
                </c:pt>
                <c:pt idx="54" formatCode="#,##0.00_ ">
                  <c:v>10.82</c:v>
                </c:pt>
                <c:pt idx="55" formatCode="#,##0.00_ ">
                  <c:v>10.603300000000001</c:v>
                </c:pt>
                <c:pt idx="56" formatCode="#,##0.00_ ">
                  <c:v>10.4633</c:v>
                </c:pt>
                <c:pt idx="57" formatCode="#,##0.00_ ">
                  <c:v>10.7333</c:v>
                </c:pt>
                <c:pt idx="58" formatCode="#,##0.00_ ">
                  <c:v>10.7233</c:v>
                </c:pt>
                <c:pt idx="59" formatCode="#,##0.00_ ">
                  <c:v>10.603300000000001</c:v>
                </c:pt>
                <c:pt idx="60" formatCode="#,##0.00_ ">
                  <c:v>10.946700000000002</c:v>
                </c:pt>
                <c:pt idx="61" formatCode="#,##0.00_ ">
                  <c:v>10.6983</c:v>
                </c:pt>
                <c:pt idx="62" formatCode="#,##0.00_ ">
                  <c:v>10.583299999999999</c:v>
                </c:pt>
                <c:pt idx="63" formatCode="#,##0.00_ ">
                  <c:v>9.3255184814814811</c:v>
                </c:pt>
                <c:pt idx="64" formatCode="#,##0.00_ ">
                  <c:v>9.3963000000000001</c:v>
                </c:pt>
                <c:pt idx="65" formatCode="#,##0.00_ ">
                  <c:v>10.916366666666667</c:v>
                </c:pt>
                <c:pt idx="66" formatCode="#,##0.00_ ">
                  <c:v>12.130033333333333</c:v>
                </c:pt>
                <c:pt idx="67" formatCode="#,##0.00_ ">
                  <c:v>12.281148148148148</c:v>
                </c:pt>
                <c:pt idx="68" formatCode="#,##0.00_ ">
                  <c:v>10.993</c:v>
                </c:pt>
                <c:pt idx="69" formatCode="#,##0.00_ ">
                  <c:v>10.849666666666668</c:v>
                </c:pt>
                <c:pt idx="70" formatCode="#,##0.00_ ">
                  <c:v>10.516299999999999</c:v>
                </c:pt>
                <c:pt idx="71" formatCode="#,##0.00_ ">
                  <c:v>10.816333333333333</c:v>
                </c:pt>
                <c:pt idx="72" formatCode="#,##0.00_ ">
                  <c:v>10.5633</c:v>
                </c:pt>
                <c:pt idx="73" formatCode="#,##0.00_ ">
                  <c:v>10.499633333333332</c:v>
                </c:pt>
                <c:pt idx="74" formatCode="#,##0.00_ ">
                  <c:v>10.609633333333333</c:v>
                </c:pt>
                <c:pt idx="75" formatCode="#,##0.00_ ">
                  <c:v>11.376300000000001</c:v>
                </c:pt>
                <c:pt idx="76" formatCode="#,##0.00_ ">
                  <c:v>10.781074074074075</c:v>
                </c:pt>
                <c:pt idx="77" formatCode="#,##0.00_ ">
                  <c:v>10.579966666666667</c:v>
                </c:pt>
                <c:pt idx="78" formatCode="#,##0.00_ ">
                  <c:v>11.096666666666668</c:v>
                </c:pt>
                <c:pt idx="79" formatCode="#,##0.00_ ">
                  <c:v>11.1533</c:v>
                </c:pt>
                <c:pt idx="80" formatCode="#,##0.00_ ">
                  <c:v>10.879966666666668</c:v>
                </c:pt>
                <c:pt idx="81" formatCode="#,##0.00_ ">
                  <c:v>11.183333333333334</c:v>
                </c:pt>
                <c:pt idx="82" formatCode="#,##0.00_ ">
                  <c:v>10.673333333333334</c:v>
                </c:pt>
                <c:pt idx="83" formatCode="#,##0.00_ ">
                  <c:v>10.673333333333334</c:v>
                </c:pt>
                <c:pt idx="84" formatCode="#,##0.00_ ">
                  <c:v>10.673333333333334</c:v>
                </c:pt>
                <c:pt idx="85" formatCode="#,##0.00_ ">
                  <c:v>11.183333333333334</c:v>
                </c:pt>
                <c:pt idx="86" formatCode="#,##0.00_ ">
                  <c:v>10.633333333333333</c:v>
                </c:pt>
                <c:pt idx="87" formatCode="#,##0.00_ ">
                  <c:v>11.125</c:v>
                </c:pt>
                <c:pt idx="88" formatCode="#,##0.00_ ">
                  <c:v>11.675000000000001</c:v>
                </c:pt>
                <c:pt idx="89" formatCode="#,##0.00_ ">
                  <c:v>11.258333333333333</c:v>
                </c:pt>
                <c:pt idx="90" formatCode="#,##0.00_ ">
                  <c:v>10.886666666666667</c:v>
                </c:pt>
                <c:pt idx="91" formatCode="#,##0.00_ ">
                  <c:v>10.638299999999999</c:v>
                </c:pt>
                <c:pt idx="92" formatCode="#,##0.00_ ">
                  <c:v>10.174966666666666</c:v>
                </c:pt>
                <c:pt idx="93" formatCode="#,##0.00_ ">
                  <c:v>10.084966666666666</c:v>
                </c:pt>
                <c:pt idx="94" formatCode="#,##0.00_ ">
                  <c:v>9.5009666666666668</c:v>
                </c:pt>
                <c:pt idx="95" formatCode="#,##0.00_ ">
                  <c:v>10.144966666666667</c:v>
                </c:pt>
                <c:pt idx="96" formatCode="#,##0.00_ ">
                  <c:v>10.017966666666666</c:v>
                </c:pt>
                <c:pt idx="97" formatCode="#,##0.00_ ">
                  <c:v>10.302633333333334</c:v>
                </c:pt>
                <c:pt idx="98" formatCode="#,##0.00_ ">
                  <c:v>11.351484848484846</c:v>
                </c:pt>
                <c:pt idx="99" formatCode="#,##0.00_ ">
                  <c:v>11.472696969696969</c:v>
                </c:pt>
                <c:pt idx="100" formatCode="#,##0.00_ ">
                  <c:v>11.863666666666667</c:v>
                </c:pt>
                <c:pt idx="101" formatCode="#,##0.00_ ">
                  <c:v>12.0267</c:v>
                </c:pt>
                <c:pt idx="102" formatCode="#,##0.00_ ">
                  <c:v>10.930272727272728</c:v>
                </c:pt>
                <c:pt idx="103" formatCode="#,##0.00_ ">
                  <c:v>11.130272727272727</c:v>
                </c:pt>
                <c:pt idx="104" formatCode="#,##0.00_ ">
                  <c:v>10.564966666666667</c:v>
                </c:pt>
                <c:pt idx="105" formatCode="#,##0.00_ ">
                  <c:v>10.100424242424243</c:v>
                </c:pt>
                <c:pt idx="106" formatCode="#,##0.00_ ">
                  <c:v>11.132696969696969</c:v>
                </c:pt>
                <c:pt idx="107" formatCode="#,##0.00_ ">
                  <c:v>11.132999999999999</c:v>
                </c:pt>
                <c:pt idx="108" formatCode="#,##0.00_ ">
                  <c:v>10.778151515151515</c:v>
                </c:pt>
                <c:pt idx="109" formatCode="#,##0.00_ ">
                  <c:v>10.32360606060606</c:v>
                </c:pt>
                <c:pt idx="110" formatCode="#,##0.00_ ">
                  <c:v>11.032696969696969</c:v>
                </c:pt>
                <c:pt idx="111" formatCode="#,##0.00_ ">
                  <c:v>10.414818181818182</c:v>
                </c:pt>
                <c:pt idx="112" formatCode="#,##0.00_ ">
                  <c:v>11.720333333333333</c:v>
                </c:pt>
                <c:pt idx="113" formatCode="#,##0.00_ ">
                  <c:v>11.744878787878788</c:v>
                </c:pt>
                <c:pt idx="114" formatCode="#,##0.00_ ">
                  <c:v>11.5657</c:v>
                </c:pt>
                <c:pt idx="115" formatCode="#,##0.00_ ">
                  <c:v>12.262366666666667</c:v>
                </c:pt>
                <c:pt idx="116" formatCode="#,##0.00_ ">
                  <c:v>12.502151515151514</c:v>
                </c:pt>
                <c:pt idx="117" formatCode="#,##0.00_ ">
                  <c:v>11.005757575757576</c:v>
                </c:pt>
                <c:pt idx="118" formatCode="#,##0.00_ ">
                  <c:v>11.933030303030302</c:v>
                </c:pt>
                <c:pt idx="119" formatCode="#,##0.00_ ">
                  <c:v>10.463333333333333</c:v>
                </c:pt>
                <c:pt idx="120" formatCode="#,##0.00_ ">
                  <c:v>12.026969696969696</c:v>
                </c:pt>
                <c:pt idx="121" formatCode="#,##0.00_ ">
                  <c:v>11.072424242424241</c:v>
                </c:pt>
                <c:pt idx="122" formatCode="#,##0.00_ ">
                  <c:v>10.799696969696969</c:v>
                </c:pt>
                <c:pt idx="123" formatCode="#,##0.00_ ">
                  <c:v>9.9326969696969698</c:v>
                </c:pt>
                <c:pt idx="124" formatCode="#,##0.00_ ">
                  <c:v>10.804329004329004</c:v>
                </c:pt>
                <c:pt idx="125" formatCode="#,##0.00_ ">
                  <c:v>11.168831168831169</c:v>
                </c:pt>
                <c:pt idx="126" formatCode="#,##0.00_ ">
                  <c:v>10.867965367965368</c:v>
                </c:pt>
                <c:pt idx="127" formatCode="#,##0.00_ ">
                  <c:v>11.229437229437229</c:v>
                </c:pt>
                <c:pt idx="128" formatCode="#,##0.00_ ">
                  <c:v>10.453376623376624</c:v>
                </c:pt>
                <c:pt idx="129" formatCode="#,##0.00_ ">
                  <c:v>10.498831168831169</c:v>
                </c:pt>
                <c:pt idx="130" formatCode="#,##0.00_ ">
                  <c:v>11.270562770562771</c:v>
                </c:pt>
                <c:pt idx="131" formatCode="#,##0.00_ ">
                  <c:v>11.181818181818182</c:v>
                </c:pt>
                <c:pt idx="132" formatCode="#,##0.00_ ">
                  <c:v>11.136363636363637</c:v>
                </c:pt>
                <c:pt idx="133" formatCode="#,##0.00_ ">
                  <c:v>11.047619047619047</c:v>
                </c:pt>
                <c:pt idx="134" formatCode="#,##0.00_ ">
                  <c:v>11.02943722943723</c:v>
                </c:pt>
                <c:pt idx="135" formatCode="#,##0.00_ ">
                  <c:v>11.056277056277056</c:v>
                </c:pt>
                <c:pt idx="136" formatCode="#,##0.00_ ">
                  <c:v>11.012121212121212</c:v>
                </c:pt>
                <c:pt idx="137" formatCode="#,##0.00_ ">
                  <c:v>10.556277056277056</c:v>
                </c:pt>
                <c:pt idx="138" formatCode="#,##0.00_ ">
                  <c:v>10.5</c:v>
                </c:pt>
                <c:pt idx="139" formatCode="#,##0.00_ ">
                  <c:v>9.754545454545454</c:v>
                </c:pt>
                <c:pt idx="140" formatCode="#,##0.00_ ">
                  <c:v>10.314848484848484</c:v>
                </c:pt>
                <c:pt idx="141" formatCode="#,##0.00_ ">
                  <c:v>10.314848484848484</c:v>
                </c:pt>
              </c:numCache>
            </c:numRef>
          </c:val>
          <c:smooth val="0"/>
        </c:ser>
        <c:dLbls>
          <c:showLegendKey val="0"/>
          <c:showVal val="0"/>
          <c:showCatName val="0"/>
          <c:showSerName val="0"/>
          <c:showPercent val="0"/>
          <c:showBubbleSize val="0"/>
        </c:dLbls>
        <c:marker val="1"/>
        <c:smooth val="0"/>
        <c:axId val="276212352"/>
        <c:axId val="276226432"/>
      </c:lineChart>
      <c:lineChart>
        <c:grouping val="standard"/>
        <c:varyColors val="0"/>
        <c:ser>
          <c:idx val="0"/>
          <c:order val="0"/>
          <c:tx>
            <c:strRef>
              <c:f>香皂!$B$1</c:f>
              <c:strCache>
                <c:ptCount val="1"/>
                <c:pt idx="0">
                  <c:v>便利店</c:v>
                </c:pt>
              </c:strCache>
            </c:strRef>
          </c:tx>
          <c:spPr>
            <a:ln>
              <a:prstDash val="sysDash"/>
            </a:ln>
          </c:spPr>
          <c:marker>
            <c:symbol val="none"/>
          </c:marker>
          <c:cat>
            <c:strRef>
              <c:f>香皂!$A$32:$A$173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香皂!$B$32:$B$173</c:f>
              <c:numCache>
                <c:formatCode>General</c:formatCode>
                <c:ptCount val="142"/>
                <c:pt idx="6" formatCode="#,##0.00_ ">
                  <c:v>15.25</c:v>
                </c:pt>
                <c:pt idx="7" formatCode="#,##0.00_ ">
                  <c:v>15.25</c:v>
                </c:pt>
                <c:pt idx="8" formatCode="#,##0.00_ ">
                  <c:v>15.25</c:v>
                </c:pt>
                <c:pt idx="9" formatCode="#,##0.00_ ">
                  <c:v>15.25</c:v>
                </c:pt>
                <c:pt idx="10" formatCode="#,##0.00_ ">
                  <c:v>15.25</c:v>
                </c:pt>
                <c:pt idx="11" formatCode="#,##0.00_ ">
                  <c:v>15.25</c:v>
                </c:pt>
                <c:pt idx="12" formatCode="#,##0.00_ ">
                  <c:v>15.25</c:v>
                </c:pt>
                <c:pt idx="13" formatCode="#,##0.00_ ">
                  <c:v>15.25</c:v>
                </c:pt>
                <c:pt idx="14" formatCode="#,##0.00_ ">
                  <c:v>15.25</c:v>
                </c:pt>
                <c:pt idx="15" formatCode="#,##0.00_ ">
                  <c:v>15.25</c:v>
                </c:pt>
                <c:pt idx="16" formatCode="#,##0.00_ ">
                  <c:v>15.25</c:v>
                </c:pt>
                <c:pt idx="17" formatCode="#,##0.00_ ">
                  <c:v>15.25</c:v>
                </c:pt>
                <c:pt idx="18" formatCode="#,##0.00_ ">
                  <c:v>15.25</c:v>
                </c:pt>
                <c:pt idx="19" formatCode="#,##0.00_ ">
                  <c:v>15.25</c:v>
                </c:pt>
                <c:pt idx="20" formatCode="#,##0.00_ ">
                  <c:v>15.25</c:v>
                </c:pt>
                <c:pt idx="21" formatCode="#,##0.00_ ">
                  <c:v>15.25</c:v>
                </c:pt>
                <c:pt idx="22" formatCode="#,##0.00_ ">
                  <c:v>15.25</c:v>
                </c:pt>
                <c:pt idx="23" formatCode="#,##0.00_ ">
                  <c:v>15.25</c:v>
                </c:pt>
                <c:pt idx="24" formatCode="#,##0.00_ ">
                  <c:v>15.25</c:v>
                </c:pt>
                <c:pt idx="25" formatCode="#,##0.00_ ">
                  <c:v>15.25</c:v>
                </c:pt>
                <c:pt idx="26" formatCode="#,##0.00_ ">
                  <c:v>15.25</c:v>
                </c:pt>
                <c:pt idx="27" formatCode="#,##0.00_ ">
                  <c:v>15.25</c:v>
                </c:pt>
                <c:pt idx="28" formatCode="#,##0.00_ ">
                  <c:v>15.25</c:v>
                </c:pt>
                <c:pt idx="29" formatCode="#,##0.00_ ">
                  <c:v>15.25</c:v>
                </c:pt>
                <c:pt idx="30" formatCode="#,##0.00_ ">
                  <c:v>15.25</c:v>
                </c:pt>
                <c:pt idx="31" formatCode="#,##0.00_ ">
                  <c:v>15.25</c:v>
                </c:pt>
                <c:pt idx="32" formatCode="#,##0.00_ ">
                  <c:v>15.25</c:v>
                </c:pt>
                <c:pt idx="33" formatCode="#,##0.00_ ">
                  <c:v>15.25</c:v>
                </c:pt>
                <c:pt idx="34" formatCode="#,##0.00_ ">
                  <c:v>15.25</c:v>
                </c:pt>
                <c:pt idx="35" formatCode="#,##0.00_ ">
                  <c:v>15.25</c:v>
                </c:pt>
                <c:pt idx="36" formatCode="#,##0.00_ ">
                  <c:v>15.25</c:v>
                </c:pt>
                <c:pt idx="37" formatCode="#,##0.00_ ">
                  <c:v>15.25</c:v>
                </c:pt>
                <c:pt idx="38" formatCode="#,##0.00_ ">
                  <c:v>15.25</c:v>
                </c:pt>
                <c:pt idx="39" formatCode="#,##0.00_ ">
                  <c:v>15.25</c:v>
                </c:pt>
                <c:pt idx="40" formatCode="#,##0.00_ ">
                  <c:v>15.25</c:v>
                </c:pt>
                <c:pt idx="41" formatCode="#,##0.00_ ">
                  <c:v>15.25</c:v>
                </c:pt>
                <c:pt idx="42" formatCode="#,##0.00_ ">
                  <c:v>15.25</c:v>
                </c:pt>
                <c:pt idx="43" formatCode="#,##0.00_ ">
                  <c:v>15.25</c:v>
                </c:pt>
                <c:pt idx="44" formatCode="#,##0.00_ ">
                  <c:v>15.25</c:v>
                </c:pt>
                <c:pt idx="45" formatCode="#,##0.00_ ">
                  <c:v>15.25</c:v>
                </c:pt>
                <c:pt idx="46" formatCode="#,##0.00_ ">
                  <c:v>15.25</c:v>
                </c:pt>
                <c:pt idx="47" formatCode="#,##0.00_ ">
                  <c:v>15.25</c:v>
                </c:pt>
                <c:pt idx="48" formatCode="#,##0.00_ ">
                  <c:v>15.25</c:v>
                </c:pt>
                <c:pt idx="49" formatCode="#,##0.00_ ">
                  <c:v>15.25</c:v>
                </c:pt>
                <c:pt idx="50" formatCode="#,##0.00_ ">
                  <c:v>15.25</c:v>
                </c:pt>
                <c:pt idx="51" formatCode="#,##0.00_ ">
                  <c:v>15.25</c:v>
                </c:pt>
                <c:pt idx="52" formatCode="#,##0.00_ ">
                  <c:v>15.25</c:v>
                </c:pt>
                <c:pt idx="53" formatCode="#,##0.00_ ">
                  <c:v>15.25</c:v>
                </c:pt>
                <c:pt idx="54" formatCode="#,##0.00_ ">
                  <c:v>15.25</c:v>
                </c:pt>
                <c:pt idx="55" formatCode="#,##0.00_ ">
                  <c:v>15.25</c:v>
                </c:pt>
                <c:pt idx="56" formatCode="#,##0.00_ ">
                  <c:v>15.25</c:v>
                </c:pt>
                <c:pt idx="57" formatCode="#,##0.00_ ">
                  <c:v>15.25</c:v>
                </c:pt>
                <c:pt idx="58" formatCode="#,##0.00_ ">
                  <c:v>15.25</c:v>
                </c:pt>
                <c:pt idx="59" formatCode="#,##0.00_ ">
                  <c:v>15.25</c:v>
                </c:pt>
                <c:pt idx="60" formatCode="#,##0.00_ ">
                  <c:v>15.25</c:v>
                </c:pt>
                <c:pt idx="61" formatCode="#,##0.00_ ">
                  <c:v>15.25</c:v>
                </c:pt>
                <c:pt idx="62" formatCode="#,##0.00_ ">
                  <c:v>15.25</c:v>
                </c:pt>
                <c:pt idx="63" formatCode="#,##0.00_ ">
                  <c:v>15.25</c:v>
                </c:pt>
                <c:pt idx="64" formatCode="#,##0.00_ ">
                  <c:v>15.25</c:v>
                </c:pt>
                <c:pt idx="65" formatCode="#,##0.00_ ">
                  <c:v>15.25</c:v>
                </c:pt>
                <c:pt idx="66" formatCode="#,##0.00_ ">
                  <c:v>15.25</c:v>
                </c:pt>
                <c:pt idx="67" formatCode="#,##0.00_ ">
                  <c:v>15.25</c:v>
                </c:pt>
                <c:pt idx="68" formatCode="#,##0.00_ ">
                  <c:v>15.25</c:v>
                </c:pt>
                <c:pt idx="69" formatCode="#,##0.00_ ">
                  <c:v>15.25</c:v>
                </c:pt>
                <c:pt idx="70" formatCode="#,##0.00_ ">
                  <c:v>15.25</c:v>
                </c:pt>
                <c:pt idx="71" formatCode="#,##0.00_ ">
                  <c:v>15.25</c:v>
                </c:pt>
                <c:pt idx="72" formatCode="#,##0.00_ ">
                  <c:v>15.25</c:v>
                </c:pt>
                <c:pt idx="73" formatCode="#,##0.00_ ">
                  <c:v>15.25</c:v>
                </c:pt>
                <c:pt idx="74" formatCode="#,##0.00_ ">
                  <c:v>15.25</c:v>
                </c:pt>
                <c:pt idx="75" formatCode="#,##0.00_ ">
                  <c:v>15.25</c:v>
                </c:pt>
                <c:pt idx="76" formatCode="#,##0.00_ ">
                  <c:v>15.25</c:v>
                </c:pt>
                <c:pt idx="77" formatCode="#,##0.00_ ">
                  <c:v>15.25</c:v>
                </c:pt>
                <c:pt idx="78" formatCode="#,##0.00_ ">
                  <c:v>15.25</c:v>
                </c:pt>
                <c:pt idx="79" formatCode="#,##0.00_ ">
                  <c:v>15.25</c:v>
                </c:pt>
                <c:pt idx="80" formatCode="#,##0.00_ ">
                  <c:v>15.25</c:v>
                </c:pt>
                <c:pt idx="81" formatCode="#,##0.00_ ">
                  <c:v>15.25</c:v>
                </c:pt>
                <c:pt idx="82" formatCode="#,##0.00_ ">
                  <c:v>15.25</c:v>
                </c:pt>
                <c:pt idx="83" formatCode="#,##0.00_ ">
                  <c:v>15.25</c:v>
                </c:pt>
                <c:pt idx="84" formatCode="#,##0.00_ ">
                  <c:v>15.25</c:v>
                </c:pt>
                <c:pt idx="85" formatCode="#,##0.00_ ">
                  <c:v>15.25</c:v>
                </c:pt>
                <c:pt idx="86" formatCode="#,##0.00_ ">
                  <c:v>15.25</c:v>
                </c:pt>
                <c:pt idx="87" formatCode="#,##0.00_ ">
                  <c:v>15.25</c:v>
                </c:pt>
                <c:pt idx="88" formatCode="#,##0.00_ ">
                  <c:v>15.25</c:v>
                </c:pt>
                <c:pt idx="89" formatCode="#,##0.00_ ">
                  <c:v>15.25</c:v>
                </c:pt>
                <c:pt idx="90" formatCode="#,##0.00_ ">
                  <c:v>15.25</c:v>
                </c:pt>
                <c:pt idx="91" formatCode="#,##0.00_ ">
                  <c:v>15.25</c:v>
                </c:pt>
                <c:pt idx="92" formatCode="#,##0.00_ ">
                  <c:v>15.25</c:v>
                </c:pt>
                <c:pt idx="93" formatCode="#,##0.00_ ">
                  <c:v>15.25</c:v>
                </c:pt>
                <c:pt idx="94" formatCode="#,##0.00_ ">
                  <c:v>15.25</c:v>
                </c:pt>
                <c:pt idx="95" formatCode="#,##0.00_ ">
                  <c:v>15.25</c:v>
                </c:pt>
                <c:pt idx="96" formatCode="#,##0.00_ ">
                  <c:v>15.25</c:v>
                </c:pt>
                <c:pt idx="97" formatCode="#,##0.00_ ">
                  <c:v>15.25</c:v>
                </c:pt>
                <c:pt idx="98" formatCode="#,##0.00_ ">
                  <c:v>15.25</c:v>
                </c:pt>
                <c:pt idx="99" formatCode="#,##0.00_ ">
                  <c:v>15.25</c:v>
                </c:pt>
                <c:pt idx="100" formatCode="#,##0.00_ ">
                  <c:v>15.25</c:v>
                </c:pt>
                <c:pt idx="101" formatCode="#,##0.00_ ">
                  <c:v>15.25</c:v>
                </c:pt>
                <c:pt idx="102" formatCode="#,##0.00_ ">
                  <c:v>15.25</c:v>
                </c:pt>
                <c:pt idx="103" formatCode="#,##0.00_ ">
                  <c:v>15.25</c:v>
                </c:pt>
                <c:pt idx="104" formatCode="#,##0.00_ ">
                  <c:v>15.25</c:v>
                </c:pt>
                <c:pt idx="105" formatCode="#,##0.00_ ">
                  <c:v>15.25</c:v>
                </c:pt>
                <c:pt idx="106" formatCode="#,##0.00_ ">
                  <c:v>15.25</c:v>
                </c:pt>
                <c:pt idx="107" formatCode="#,##0.00_ ">
                  <c:v>15.25</c:v>
                </c:pt>
                <c:pt idx="108" formatCode="#,##0.00_ ">
                  <c:v>15.25</c:v>
                </c:pt>
                <c:pt idx="109" formatCode="#,##0.00_ ">
                  <c:v>15.25</c:v>
                </c:pt>
                <c:pt idx="110" formatCode="#,##0.00_ ">
                  <c:v>15.25</c:v>
                </c:pt>
                <c:pt idx="111" formatCode="#,##0.00_ ">
                  <c:v>15.25</c:v>
                </c:pt>
                <c:pt idx="112" formatCode="#,##0.00_ ">
                  <c:v>15.25</c:v>
                </c:pt>
                <c:pt idx="113" formatCode="#,##0.00_ ">
                  <c:v>15.25</c:v>
                </c:pt>
                <c:pt idx="114" formatCode="#,##0.00_ ">
                  <c:v>15.25</c:v>
                </c:pt>
                <c:pt idx="115" formatCode="#,##0.00_ ">
                  <c:v>15.25</c:v>
                </c:pt>
                <c:pt idx="116" formatCode="#,##0.00_ ">
                  <c:v>15.25</c:v>
                </c:pt>
                <c:pt idx="117" formatCode="#,##0.00_ ">
                  <c:v>15.25</c:v>
                </c:pt>
                <c:pt idx="118" formatCode="#,##0.00_ ">
                  <c:v>15.25</c:v>
                </c:pt>
                <c:pt idx="119" formatCode="#,##0.00_ ">
                  <c:v>15.25</c:v>
                </c:pt>
                <c:pt idx="120" formatCode="#,##0.00_ ">
                  <c:v>15.25</c:v>
                </c:pt>
                <c:pt idx="121" formatCode="#,##0.00_ ">
                  <c:v>15.25</c:v>
                </c:pt>
                <c:pt idx="122" formatCode="#,##0.00_ ">
                  <c:v>15.25</c:v>
                </c:pt>
                <c:pt idx="123" formatCode="#,##0.00_ ">
                  <c:v>15.25</c:v>
                </c:pt>
                <c:pt idx="124" formatCode="#,##0.00_ ">
                  <c:v>15.25</c:v>
                </c:pt>
                <c:pt idx="125" formatCode="#,##0.00_ ">
                  <c:v>15.25</c:v>
                </c:pt>
                <c:pt idx="126" formatCode="#,##0.00_ ">
                  <c:v>15.25</c:v>
                </c:pt>
                <c:pt idx="127" formatCode="#,##0.00_ ">
                  <c:v>15.25</c:v>
                </c:pt>
                <c:pt idx="128" formatCode="#,##0.00_ ">
                  <c:v>15.25</c:v>
                </c:pt>
                <c:pt idx="129" formatCode="#,##0.00_ ">
                  <c:v>15.25</c:v>
                </c:pt>
                <c:pt idx="130" formatCode="#,##0.00_ ">
                  <c:v>15.25</c:v>
                </c:pt>
                <c:pt idx="131" formatCode="#,##0.00_ ">
                  <c:v>15.25</c:v>
                </c:pt>
                <c:pt idx="132" formatCode="#,##0.00_ ">
                  <c:v>15.25</c:v>
                </c:pt>
                <c:pt idx="133" formatCode="#,##0.00_ ">
                  <c:v>15.25</c:v>
                </c:pt>
                <c:pt idx="134" formatCode="#,##0.00_ ">
                  <c:v>15.25</c:v>
                </c:pt>
                <c:pt idx="135" formatCode="#,##0.00_ ">
                  <c:v>15.25</c:v>
                </c:pt>
                <c:pt idx="136" formatCode="#,##0.00_ ">
                  <c:v>15.25</c:v>
                </c:pt>
                <c:pt idx="137" formatCode="#,##0.00_ ">
                  <c:v>15.25</c:v>
                </c:pt>
                <c:pt idx="138" formatCode="#,##0.00_ ">
                  <c:v>15.25</c:v>
                </c:pt>
                <c:pt idx="139" formatCode="#,##0.00_ ">
                  <c:v>15.25</c:v>
                </c:pt>
                <c:pt idx="140" formatCode="#,##0.00_ ">
                  <c:v>15.25</c:v>
                </c:pt>
                <c:pt idx="141" formatCode="#,##0.00_ ">
                  <c:v>15.25</c:v>
                </c:pt>
              </c:numCache>
            </c:numRef>
          </c:val>
          <c:smooth val="0"/>
        </c:ser>
        <c:dLbls>
          <c:showLegendKey val="0"/>
          <c:showVal val="0"/>
          <c:showCatName val="0"/>
          <c:showSerName val="0"/>
          <c:showPercent val="0"/>
          <c:showBubbleSize val="0"/>
        </c:dLbls>
        <c:marker val="1"/>
        <c:smooth val="0"/>
        <c:axId val="276227968"/>
        <c:axId val="276229504"/>
      </c:lineChart>
      <c:catAx>
        <c:axId val="276212352"/>
        <c:scaling>
          <c:orientation val="minMax"/>
        </c:scaling>
        <c:delete val="0"/>
        <c:axPos val="b"/>
        <c:numFmt formatCode="General" sourceLinked="1"/>
        <c:majorTickMark val="out"/>
        <c:minorTickMark val="none"/>
        <c:tickLblPos val="nextTo"/>
        <c:txPr>
          <a:bodyPr rot="-2700000"/>
          <a:lstStyle/>
          <a:p>
            <a:pPr>
              <a:defRPr>
                <a:latin typeface="Times New Roman" pitchFamily="18" charset="0"/>
                <a:cs typeface="Times New Roman" pitchFamily="18" charset="0"/>
              </a:defRPr>
            </a:pPr>
            <a:endParaRPr lang="zh-TW"/>
          </a:p>
        </c:txPr>
        <c:crossAx val="276226432"/>
        <c:crosses val="autoZero"/>
        <c:auto val="1"/>
        <c:lblAlgn val="ctr"/>
        <c:lblOffset val="100"/>
        <c:tickLblSkip val="7"/>
        <c:noMultiLvlLbl val="0"/>
      </c:catAx>
      <c:valAx>
        <c:axId val="276226432"/>
        <c:scaling>
          <c:orientation val="minMax"/>
          <c:max val="13"/>
          <c:min val="9"/>
        </c:scaling>
        <c:delete val="0"/>
        <c:axPos val="l"/>
        <c:numFmt formatCode="#,##0.0_);[Red]\(#,##0.0\)" sourceLinked="0"/>
        <c:majorTickMark val="out"/>
        <c:minorTickMark val="none"/>
        <c:tickLblPos val="nextTo"/>
        <c:txPr>
          <a:bodyPr/>
          <a:lstStyle/>
          <a:p>
            <a:pPr>
              <a:defRPr>
                <a:latin typeface="Times New Roman" pitchFamily="18" charset="0"/>
                <a:cs typeface="Times New Roman" pitchFamily="18" charset="0"/>
              </a:defRPr>
            </a:pPr>
            <a:endParaRPr lang="zh-TW"/>
          </a:p>
        </c:txPr>
        <c:crossAx val="276212352"/>
        <c:crosses val="autoZero"/>
        <c:crossBetween val="between"/>
      </c:valAx>
      <c:catAx>
        <c:axId val="276227968"/>
        <c:scaling>
          <c:orientation val="minMax"/>
        </c:scaling>
        <c:delete val="1"/>
        <c:axPos val="b"/>
        <c:numFmt formatCode="General" sourceLinked="1"/>
        <c:majorTickMark val="out"/>
        <c:minorTickMark val="none"/>
        <c:tickLblPos val="nextTo"/>
        <c:crossAx val="276229504"/>
        <c:crosses val="autoZero"/>
        <c:auto val="1"/>
        <c:lblAlgn val="ctr"/>
        <c:lblOffset val="100"/>
        <c:noMultiLvlLbl val="0"/>
      </c:catAx>
      <c:valAx>
        <c:axId val="276229504"/>
        <c:scaling>
          <c:orientation val="minMax"/>
        </c:scaling>
        <c:delete val="0"/>
        <c:axPos val="r"/>
        <c:numFmt formatCode="#,##0.0_);[Red]\(#,##0.0\)" sourceLinked="0"/>
        <c:majorTickMark val="out"/>
        <c:minorTickMark val="none"/>
        <c:tickLblPos val="nextTo"/>
        <c:crossAx val="276227968"/>
        <c:crosses val="max"/>
        <c:crossBetween val="between"/>
      </c:valAx>
      <c:spPr>
        <a:noFill/>
        <a:ln w="25400">
          <a:noFill/>
        </a:ln>
      </c:spPr>
    </c:plotArea>
    <c:legend>
      <c:legendPos val="r"/>
      <c:layout>
        <c:manualLayout>
          <c:xMode val="edge"/>
          <c:yMode val="edge"/>
          <c:x val="0.17822539820374608"/>
          <c:y val="2.9175822699243192E-2"/>
          <c:w val="0.65781912705169021"/>
          <c:h val="9.7314158044294052E-2"/>
        </c:manualLayout>
      </c:layout>
      <c:overlay val="0"/>
      <c:txPr>
        <a:bodyPr/>
        <a:lstStyle/>
        <a:p>
          <a:pPr>
            <a:defRPr sz="110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w="9525">
      <a:noFill/>
    </a:ln>
  </c:spPr>
  <c:externalData r:id="rId2">
    <c:autoUpdate val="0"/>
  </c:externalData>
  <c:userShapes r:id="rId3"/>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8814055636896049E-2"/>
          <c:y val="0.12335351622659139"/>
          <c:w val="0.87124039377720364"/>
          <c:h val="0.63183012467363875"/>
        </c:manualLayout>
      </c:layout>
      <c:lineChart>
        <c:grouping val="standard"/>
        <c:varyColors val="0"/>
        <c:ser>
          <c:idx val="1"/>
          <c:order val="1"/>
          <c:tx>
            <c:strRef>
              <c:f>沐浴乳!$C$1</c:f>
              <c:strCache>
                <c:ptCount val="1"/>
                <c:pt idx="0">
                  <c:v>超市</c:v>
                </c:pt>
              </c:strCache>
            </c:strRef>
          </c:tx>
          <c:spPr>
            <a:ln>
              <a:prstDash val="sysDot"/>
            </a:ln>
          </c:spPr>
          <c:marker>
            <c:symbol val="none"/>
          </c:marker>
          <c:cat>
            <c:strRef>
              <c:f>沐浴乳!$A$32:$A$173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沐浴乳!$C$32:$C$173</c:f>
              <c:numCache>
                <c:formatCode>0.00</c:formatCode>
                <c:ptCount val="142"/>
                <c:pt idx="0">
                  <c:v>180.53846153846155</c:v>
                </c:pt>
                <c:pt idx="1">
                  <c:v>179</c:v>
                </c:pt>
                <c:pt idx="2">
                  <c:v>178.83</c:v>
                </c:pt>
                <c:pt idx="3">
                  <c:v>180.54</c:v>
                </c:pt>
                <c:pt idx="4">
                  <c:v>180.54</c:v>
                </c:pt>
                <c:pt idx="5">
                  <c:v>175.69</c:v>
                </c:pt>
                <c:pt idx="6">
                  <c:v>179.90909090909091</c:v>
                </c:pt>
                <c:pt idx="7">
                  <c:v>179.90909090909091</c:v>
                </c:pt>
                <c:pt idx="8">
                  <c:v>179.90909090909091</c:v>
                </c:pt>
                <c:pt idx="9">
                  <c:v>179.76923076923077</c:v>
                </c:pt>
                <c:pt idx="10">
                  <c:v>178.42857142857142</c:v>
                </c:pt>
                <c:pt idx="11">
                  <c:v>178.42857142857142</c:v>
                </c:pt>
                <c:pt idx="12">
                  <c:v>178.42857142857142</c:v>
                </c:pt>
                <c:pt idx="13">
                  <c:v>177.8</c:v>
                </c:pt>
                <c:pt idx="14">
                  <c:v>177.8</c:v>
                </c:pt>
                <c:pt idx="15">
                  <c:v>177.5</c:v>
                </c:pt>
                <c:pt idx="16">
                  <c:v>176.73333333333332</c:v>
                </c:pt>
                <c:pt idx="17">
                  <c:v>176.0625</c:v>
                </c:pt>
                <c:pt idx="18">
                  <c:v>176.375</c:v>
                </c:pt>
                <c:pt idx="19">
                  <c:v>175.25</c:v>
                </c:pt>
                <c:pt idx="20">
                  <c:v>175</c:v>
                </c:pt>
                <c:pt idx="21">
                  <c:v>175.0625</c:v>
                </c:pt>
                <c:pt idx="22">
                  <c:v>175.5625</c:v>
                </c:pt>
                <c:pt idx="23">
                  <c:v>172.625</c:v>
                </c:pt>
                <c:pt idx="24">
                  <c:v>172.625</c:v>
                </c:pt>
                <c:pt idx="25">
                  <c:v>175.5</c:v>
                </c:pt>
                <c:pt idx="26">
                  <c:v>175.5</c:v>
                </c:pt>
                <c:pt idx="27">
                  <c:v>175.75</c:v>
                </c:pt>
                <c:pt idx="28">
                  <c:v>174.125</c:v>
                </c:pt>
                <c:pt idx="29">
                  <c:v>174.75</c:v>
                </c:pt>
                <c:pt idx="30">
                  <c:v>173.125</c:v>
                </c:pt>
                <c:pt idx="31">
                  <c:v>176.41176470588235</c:v>
                </c:pt>
                <c:pt idx="32">
                  <c:v>176.05882352941177</c:v>
                </c:pt>
                <c:pt idx="33">
                  <c:v>173.11764705882354</c:v>
                </c:pt>
                <c:pt idx="34">
                  <c:v>170.625</c:v>
                </c:pt>
                <c:pt idx="35">
                  <c:v>176.29411764705881</c:v>
                </c:pt>
                <c:pt idx="36">
                  <c:v>176.11764705882354</c:v>
                </c:pt>
                <c:pt idx="37">
                  <c:v>177.47058823529412</c:v>
                </c:pt>
                <c:pt idx="38">
                  <c:v>169.23529411764707</c:v>
                </c:pt>
                <c:pt idx="39">
                  <c:v>166.4375</c:v>
                </c:pt>
                <c:pt idx="40">
                  <c:v>174.5625</c:v>
                </c:pt>
                <c:pt idx="41">
                  <c:v>173.6</c:v>
                </c:pt>
                <c:pt idx="42">
                  <c:v>177</c:v>
                </c:pt>
                <c:pt idx="43">
                  <c:v>176.8125</c:v>
                </c:pt>
                <c:pt idx="44">
                  <c:v>172.8235294117647</c:v>
                </c:pt>
                <c:pt idx="45">
                  <c:v>171.8125</c:v>
                </c:pt>
                <c:pt idx="46">
                  <c:v>169.33333333333334</c:v>
                </c:pt>
                <c:pt idx="47">
                  <c:v>171.625</c:v>
                </c:pt>
                <c:pt idx="48">
                  <c:v>173.5</c:v>
                </c:pt>
                <c:pt idx="49">
                  <c:v>174.75</c:v>
                </c:pt>
                <c:pt idx="50">
                  <c:v>177</c:v>
                </c:pt>
                <c:pt idx="51">
                  <c:v>176.125</c:v>
                </c:pt>
                <c:pt idx="52">
                  <c:v>177.625</c:v>
                </c:pt>
                <c:pt idx="53">
                  <c:v>167.8</c:v>
                </c:pt>
                <c:pt idx="54">
                  <c:v>168.06666666666666</c:v>
                </c:pt>
                <c:pt idx="55">
                  <c:v>172.46666666666667</c:v>
                </c:pt>
                <c:pt idx="56">
                  <c:v>172.93333333333334</c:v>
                </c:pt>
                <c:pt idx="57">
                  <c:v>175.13333333333333</c:v>
                </c:pt>
                <c:pt idx="58">
                  <c:v>177.5</c:v>
                </c:pt>
                <c:pt idx="59">
                  <c:v>174.5</c:v>
                </c:pt>
                <c:pt idx="60">
                  <c:v>174.5</c:v>
                </c:pt>
                <c:pt idx="61">
                  <c:v>179.14285714285714</c:v>
                </c:pt>
                <c:pt idx="62">
                  <c:v>178.2</c:v>
                </c:pt>
                <c:pt idx="63">
                  <c:v>173.46153846153845</c:v>
                </c:pt>
                <c:pt idx="64">
                  <c:v>177.8</c:v>
                </c:pt>
                <c:pt idx="65">
                  <c:v>166.8</c:v>
                </c:pt>
                <c:pt idx="66">
                  <c:v>165.2</c:v>
                </c:pt>
                <c:pt idx="67">
                  <c:v>166.13333333333333</c:v>
                </c:pt>
                <c:pt idx="68">
                  <c:v>167.0667</c:v>
                </c:pt>
                <c:pt idx="69">
                  <c:v>161.46666666666667</c:v>
                </c:pt>
                <c:pt idx="70">
                  <c:v>166.73333333333332</c:v>
                </c:pt>
                <c:pt idx="71">
                  <c:v>172.6875</c:v>
                </c:pt>
                <c:pt idx="72">
                  <c:v>172.9375</c:v>
                </c:pt>
                <c:pt idx="73">
                  <c:v>175.75</c:v>
                </c:pt>
                <c:pt idx="74">
                  <c:v>175.75</c:v>
                </c:pt>
                <c:pt idx="75">
                  <c:v>177.9375</c:v>
                </c:pt>
                <c:pt idx="76">
                  <c:v>177.46666666666667</c:v>
                </c:pt>
                <c:pt idx="77">
                  <c:v>177.9375</c:v>
                </c:pt>
                <c:pt idx="78">
                  <c:v>172.9375</c:v>
                </c:pt>
                <c:pt idx="79">
                  <c:v>167.6875</c:v>
                </c:pt>
                <c:pt idx="80">
                  <c:v>163.53333333333333</c:v>
                </c:pt>
                <c:pt idx="81">
                  <c:v>150.46666666666667</c:v>
                </c:pt>
                <c:pt idx="82">
                  <c:v>163.86666666666667</c:v>
                </c:pt>
                <c:pt idx="83">
                  <c:v>176.53333333333333</c:v>
                </c:pt>
                <c:pt idx="84">
                  <c:v>176.86666666666667</c:v>
                </c:pt>
                <c:pt idx="85">
                  <c:v>178.46666666666667</c:v>
                </c:pt>
                <c:pt idx="86">
                  <c:v>172.26666666666668</c:v>
                </c:pt>
                <c:pt idx="87">
                  <c:v>170.26666666666668</c:v>
                </c:pt>
                <c:pt idx="88">
                  <c:v>170.46666666666667</c:v>
                </c:pt>
                <c:pt idx="89">
                  <c:v>170.14285714285714</c:v>
                </c:pt>
                <c:pt idx="90">
                  <c:v>173.13333333333333</c:v>
                </c:pt>
                <c:pt idx="91">
                  <c:v>173.2</c:v>
                </c:pt>
                <c:pt idx="92">
                  <c:v>173.86666666666667</c:v>
                </c:pt>
                <c:pt idx="93">
                  <c:v>175.53333333333333</c:v>
                </c:pt>
                <c:pt idx="94">
                  <c:v>175.57142857142858</c:v>
                </c:pt>
                <c:pt idx="95">
                  <c:v>177.71428571428572</c:v>
                </c:pt>
                <c:pt idx="96">
                  <c:v>177.8</c:v>
                </c:pt>
                <c:pt idx="97">
                  <c:v>179.14285714285714</c:v>
                </c:pt>
                <c:pt idx="98">
                  <c:v>176.07692307692307</c:v>
                </c:pt>
                <c:pt idx="99">
                  <c:v>173.42857142857142</c:v>
                </c:pt>
                <c:pt idx="100">
                  <c:v>172.42857142857142</c:v>
                </c:pt>
                <c:pt idx="101">
                  <c:v>174.85714285714286</c:v>
                </c:pt>
                <c:pt idx="102">
                  <c:v>173.93333333333334</c:v>
                </c:pt>
                <c:pt idx="103">
                  <c:v>175.66666666666666</c:v>
                </c:pt>
                <c:pt idx="104">
                  <c:v>167.26666666666668</c:v>
                </c:pt>
                <c:pt idx="105">
                  <c:v>167.0625</c:v>
                </c:pt>
                <c:pt idx="106">
                  <c:v>174.125</c:v>
                </c:pt>
                <c:pt idx="107">
                  <c:v>175.26666666666668</c:v>
                </c:pt>
                <c:pt idx="108">
                  <c:v>174.25</c:v>
                </c:pt>
                <c:pt idx="109">
                  <c:v>173.625</c:v>
                </c:pt>
                <c:pt idx="110">
                  <c:v>169.13333333333333</c:v>
                </c:pt>
                <c:pt idx="111">
                  <c:v>174.85714285714286</c:v>
                </c:pt>
                <c:pt idx="112">
                  <c:v>176.28571428571428</c:v>
                </c:pt>
                <c:pt idx="113">
                  <c:v>172.46666666666667</c:v>
                </c:pt>
                <c:pt idx="114">
                  <c:v>168.85714285714286</c:v>
                </c:pt>
                <c:pt idx="115">
                  <c:v>172.86666666666667</c:v>
                </c:pt>
                <c:pt idx="116">
                  <c:v>174.33333333333334</c:v>
                </c:pt>
                <c:pt idx="117">
                  <c:v>172</c:v>
                </c:pt>
                <c:pt idx="118">
                  <c:v>167.71428571428572</c:v>
                </c:pt>
                <c:pt idx="119">
                  <c:v>170.86666666666667</c:v>
                </c:pt>
                <c:pt idx="120">
                  <c:v>170.73333333333332</c:v>
                </c:pt>
                <c:pt idx="121">
                  <c:v>162</c:v>
                </c:pt>
                <c:pt idx="122">
                  <c:v>175.33333333333334</c:v>
                </c:pt>
                <c:pt idx="123">
                  <c:v>172.6</c:v>
                </c:pt>
                <c:pt idx="124">
                  <c:v>171.8</c:v>
                </c:pt>
                <c:pt idx="125">
                  <c:v>167.6</c:v>
                </c:pt>
                <c:pt idx="126">
                  <c:v>167.6</c:v>
                </c:pt>
                <c:pt idx="127">
                  <c:v>167.13333333333333</c:v>
                </c:pt>
                <c:pt idx="128">
                  <c:v>172.26666666666668</c:v>
                </c:pt>
                <c:pt idx="129">
                  <c:v>173.6</c:v>
                </c:pt>
                <c:pt idx="130">
                  <c:v>172.4</c:v>
                </c:pt>
                <c:pt idx="131">
                  <c:v>172</c:v>
                </c:pt>
                <c:pt idx="132">
                  <c:v>161.875</c:v>
                </c:pt>
                <c:pt idx="133">
                  <c:v>171.375</c:v>
                </c:pt>
                <c:pt idx="134">
                  <c:v>171.375</c:v>
                </c:pt>
                <c:pt idx="135">
                  <c:v>178.5</c:v>
                </c:pt>
                <c:pt idx="136">
                  <c:v>176.625</c:v>
                </c:pt>
                <c:pt idx="137">
                  <c:v>176.625</c:v>
                </c:pt>
                <c:pt idx="138">
                  <c:v>173.875</c:v>
                </c:pt>
                <c:pt idx="139">
                  <c:v>175.625</c:v>
                </c:pt>
                <c:pt idx="140">
                  <c:v>158.25</c:v>
                </c:pt>
                <c:pt idx="141">
                  <c:v>170.75</c:v>
                </c:pt>
              </c:numCache>
            </c:numRef>
          </c:val>
          <c:smooth val="0"/>
        </c:ser>
        <c:ser>
          <c:idx val="2"/>
          <c:order val="2"/>
          <c:tx>
            <c:strRef>
              <c:f>沐浴乳!$D$1</c:f>
              <c:strCache>
                <c:ptCount val="1"/>
                <c:pt idx="0">
                  <c:v>量販店</c:v>
                </c:pt>
              </c:strCache>
            </c:strRef>
          </c:tx>
          <c:marker>
            <c:symbol val="none"/>
          </c:marker>
          <c:cat>
            <c:strRef>
              <c:f>沐浴乳!$A$32:$A$173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沐浴乳!$D$32:$D$173</c:f>
              <c:numCache>
                <c:formatCode>0.00</c:formatCode>
                <c:ptCount val="142"/>
                <c:pt idx="0">
                  <c:v>155.85714285714286</c:v>
                </c:pt>
                <c:pt idx="1">
                  <c:v>156.71428571428572</c:v>
                </c:pt>
                <c:pt idx="2">
                  <c:v>151</c:v>
                </c:pt>
                <c:pt idx="3">
                  <c:v>140.71</c:v>
                </c:pt>
                <c:pt idx="4">
                  <c:v>151.5</c:v>
                </c:pt>
                <c:pt idx="5">
                  <c:v>143</c:v>
                </c:pt>
                <c:pt idx="6">
                  <c:v>150.75</c:v>
                </c:pt>
                <c:pt idx="7">
                  <c:v>157.5</c:v>
                </c:pt>
                <c:pt idx="8">
                  <c:v>151.75</c:v>
                </c:pt>
                <c:pt idx="9">
                  <c:v>154.42857142857142</c:v>
                </c:pt>
                <c:pt idx="10">
                  <c:v>152.5</c:v>
                </c:pt>
                <c:pt idx="11">
                  <c:v>145.69999999999999</c:v>
                </c:pt>
                <c:pt idx="12">
                  <c:v>143.69999999999999</c:v>
                </c:pt>
                <c:pt idx="13">
                  <c:v>139.11111111111111</c:v>
                </c:pt>
                <c:pt idx="14">
                  <c:v>153.44444444444446</c:v>
                </c:pt>
                <c:pt idx="15">
                  <c:v>157.11111111111111</c:v>
                </c:pt>
                <c:pt idx="16">
                  <c:v>151.28571428571428</c:v>
                </c:pt>
                <c:pt idx="17">
                  <c:v>146.88888888888889</c:v>
                </c:pt>
                <c:pt idx="18">
                  <c:v>146.55555555555554</c:v>
                </c:pt>
                <c:pt idx="19">
                  <c:v>160.44444444444446</c:v>
                </c:pt>
                <c:pt idx="20">
                  <c:v>160.77777777777777</c:v>
                </c:pt>
                <c:pt idx="21">
                  <c:v>156.88888888888889</c:v>
                </c:pt>
                <c:pt idx="22">
                  <c:v>156.55555555555554</c:v>
                </c:pt>
                <c:pt idx="23">
                  <c:v>157.88888888888889</c:v>
                </c:pt>
                <c:pt idx="24">
                  <c:v>156.11111111111111</c:v>
                </c:pt>
                <c:pt idx="25">
                  <c:v>157.44444444444446</c:v>
                </c:pt>
                <c:pt idx="26">
                  <c:v>158.55555555555554</c:v>
                </c:pt>
                <c:pt idx="27">
                  <c:v>151.66666666666666</c:v>
                </c:pt>
                <c:pt idx="28">
                  <c:v>138.27272727272728</c:v>
                </c:pt>
                <c:pt idx="29">
                  <c:v>140.33333333333334</c:v>
                </c:pt>
                <c:pt idx="30">
                  <c:v>139</c:v>
                </c:pt>
                <c:pt idx="31">
                  <c:v>149</c:v>
                </c:pt>
                <c:pt idx="32">
                  <c:v>146.25</c:v>
                </c:pt>
                <c:pt idx="33">
                  <c:v>147.66666666666666</c:v>
                </c:pt>
                <c:pt idx="34">
                  <c:v>139.875</c:v>
                </c:pt>
                <c:pt idx="35">
                  <c:v>142.66666666666666</c:v>
                </c:pt>
                <c:pt idx="36">
                  <c:v>150.66666666666666</c:v>
                </c:pt>
                <c:pt idx="37">
                  <c:v>155.66666666666666</c:v>
                </c:pt>
                <c:pt idx="38">
                  <c:v>149.88888888888889</c:v>
                </c:pt>
                <c:pt idx="39">
                  <c:v>148.66666666666666</c:v>
                </c:pt>
                <c:pt idx="40">
                  <c:v>160.88888888888889</c:v>
                </c:pt>
                <c:pt idx="41">
                  <c:v>161.55555555555554</c:v>
                </c:pt>
                <c:pt idx="42">
                  <c:v>161.55555555555554</c:v>
                </c:pt>
                <c:pt idx="43">
                  <c:v>159.22222222222223</c:v>
                </c:pt>
                <c:pt idx="44">
                  <c:v>159.22222222222223</c:v>
                </c:pt>
                <c:pt idx="45">
                  <c:v>161.44444444444446</c:v>
                </c:pt>
                <c:pt idx="46">
                  <c:v>161.44444444444446</c:v>
                </c:pt>
                <c:pt idx="47">
                  <c:v>156.77777777777777</c:v>
                </c:pt>
                <c:pt idx="48">
                  <c:v>156.11111111111111</c:v>
                </c:pt>
                <c:pt idx="49">
                  <c:v>156.11111111111111</c:v>
                </c:pt>
                <c:pt idx="50">
                  <c:v>158.33333333333334</c:v>
                </c:pt>
                <c:pt idx="51">
                  <c:v>155.22222222222223</c:v>
                </c:pt>
                <c:pt idx="52">
                  <c:v>145.33333333333334</c:v>
                </c:pt>
                <c:pt idx="53">
                  <c:v>145.33333333333334</c:v>
                </c:pt>
                <c:pt idx="54">
                  <c:v>141.33333333333334</c:v>
                </c:pt>
                <c:pt idx="55">
                  <c:v>154.44444444444446</c:v>
                </c:pt>
                <c:pt idx="56">
                  <c:v>155.55555555555554</c:v>
                </c:pt>
                <c:pt idx="57">
                  <c:v>147.11111111111111</c:v>
                </c:pt>
                <c:pt idx="58">
                  <c:v>145.22222222222223</c:v>
                </c:pt>
                <c:pt idx="59">
                  <c:v>140.11111111111111</c:v>
                </c:pt>
                <c:pt idx="60">
                  <c:v>139.66666666666666</c:v>
                </c:pt>
                <c:pt idx="61">
                  <c:v>144.88888888888889</c:v>
                </c:pt>
                <c:pt idx="62">
                  <c:v>148.88888888888889</c:v>
                </c:pt>
                <c:pt idx="63">
                  <c:v>153.5</c:v>
                </c:pt>
                <c:pt idx="64">
                  <c:v>154.22222222222223</c:v>
                </c:pt>
                <c:pt idx="65">
                  <c:v>148.66666666666666</c:v>
                </c:pt>
                <c:pt idx="66">
                  <c:v>153.22222222222223</c:v>
                </c:pt>
                <c:pt idx="67">
                  <c:v>153.5</c:v>
                </c:pt>
                <c:pt idx="68">
                  <c:v>155.22219999999999</c:v>
                </c:pt>
                <c:pt idx="69">
                  <c:v>144.55555555555554</c:v>
                </c:pt>
                <c:pt idx="70">
                  <c:v>140</c:v>
                </c:pt>
                <c:pt idx="71">
                  <c:v>153.55555555555554</c:v>
                </c:pt>
                <c:pt idx="72">
                  <c:v>159.22222222222223</c:v>
                </c:pt>
                <c:pt idx="73">
                  <c:v>148.88888888888889</c:v>
                </c:pt>
                <c:pt idx="74">
                  <c:v>148.88888888888889</c:v>
                </c:pt>
                <c:pt idx="75">
                  <c:v>158</c:v>
                </c:pt>
                <c:pt idx="76">
                  <c:v>163.66666666666666</c:v>
                </c:pt>
                <c:pt idx="77">
                  <c:v>152.33333333333334</c:v>
                </c:pt>
                <c:pt idx="78">
                  <c:v>144.33333333333334</c:v>
                </c:pt>
                <c:pt idx="79">
                  <c:v>140.66666666666666</c:v>
                </c:pt>
                <c:pt idx="80">
                  <c:v>142</c:v>
                </c:pt>
                <c:pt idx="81">
                  <c:v>140.55555555555554</c:v>
                </c:pt>
                <c:pt idx="82">
                  <c:v>152.55555555555554</c:v>
                </c:pt>
                <c:pt idx="83">
                  <c:v>152.22222222222223</c:v>
                </c:pt>
                <c:pt idx="84">
                  <c:v>139.66666666666666</c:v>
                </c:pt>
                <c:pt idx="85">
                  <c:v>154.88888888888889</c:v>
                </c:pt>
                <c:pt idx="86">
                  <c:v>152.33333333333334</c:v>
                </c:pt>
                <c:pt idx="87">
                  <c:v>144.77777777777777</c:v>
                </c:pt>
                <c:pt idx="88">
                  <c:v>144.77777777777777</c:v>
                </c:pt>
                <c:pt idx="89">
                  <c:v>144.88888888888889</c:v>
                </c:pt>
                <c:pt idx="90">
                  <c:v>152.33333333333334</c:v>
                </c:pt>
                <c:pt idx="91">
                  <c:v>156.22222222222223</c:v>
                </c:pt>
                <c:pt idx="92">
                  <c:v>157.88888888888889</c:v>
                </c:pt>
                <c:pt idx="93">
                  <c:v>153.44444444444446</c:v>
                </c:pt>
                <c:pt idx="94">
                  <c:v>154</c:v>
                </c:pt>
                <c:pt idx="95">
                  <c:v>150.88888888888889</c:v>
                </c:pt>
                <c:pt idx="96">
                  <c:v>140.88888888888889</c:v>
                </c:pt>
                <c:pt idx="97">
                  <c:v>152.66666666666666</c:v>
                </c:pt>
                <c:pt idx="98">
                  <c:v>151.66666666666666</c:v>
                </c:pt>
                <c:pt idx="99">
                  <c:v>146.19999999999999</c:v>
                </c:pt>
                <c:pt idx="100">
                  <c:v>143.19999999999999</c:v>
                </c:pt>
                <c:pt idx="101">
                  <c:v>151.77777777777777</c:v>
                </c:pt>
                <c:pt idx="102">
                  <c:v>135.80000000000001</c:v>
                </c:pt>
                <c:pt idx="103">
                  <c:v>145.5</c:v>
                </c:pt>
                <c:pt idx="104">
                  <c:v>144.1</c:v>
                </c:pt>
                <c:pt idx="105">
                  <c:v>146.81818181818181</c:v>
                </c:pt>
                <c:pt idx="106">
                  <c:v>133.81818181818181</c:v>
                </c:pt>
                <c:pt idx="107">
                  <c:v>156.54545454545453</c:v>
                </c:pt>
                <c:pt idx="108">
                  <c:v>154</c:v>
                </c:pt>
                <c:pt idx="109">
                  <c:v>154.72727272727272</c:v>
                </c:pt>
                <c:pt idx="110">
                  <c:v>134.54545454545453</c:v>
                </c:pt>
                <c:pt idx="111">
                  <c:v>139.90909090909091</c:v>
                </c:pt>
                <c:pt idx="112">
                  <c:v>160.18181818181819</c:v>
                </c:pt>
                <c:pt idx="113">
                  <c:v>152.27272727272728</c:v>
                </c:pt>
                <c:pt idx="114">
                  <c:v>159</c:v>
                </c:pt>
                <c:pt idx="115">
                  <c:v>138.72727272727272</c:v>
                </c:pt>
                <c:pt idx="116">
                  <c:v>151.09090909090909</c:v>
                </c:pt>
                <c:pt idx="117">
                  <c:v>134.09090909090909</c:v>
                </c:pt>
                <c:pt idx="118">
                  <c:v>159.63636363636363</c:v>
                </c:pt>
                <c:pt idx="119">
                  <c:v>140.45454545454547</c:v>
                </c:pt>
                <c:pt idx="120">
                  <c:v>137.09090909090909</c:v>
                </c:pt>
                <c:pt idx="121">
                  <c:v>161.27272727272728</c:v>
                </c:pt>
                <c:pt idx="122">
                  <c:v>149.54545454545453</c:v>
                </c:pt>
                <c:pt idx="123">
                  <c:v>138.81818181818181</c:v>
                </c:pt>
                <c:pt idx="124">
                  <c:v>142.90909090909091</c:v>
                </c:pt>
                <c:pt idx="125">
                  <c:v>138.45454545454547</c:v>
                </c:pt>
                <c:pt idx="126">
                  <c:v>139</c:v>
                </c:pt>
                <c:pt idx="127">
                  <c:v>150.45454545454547</c:v>
                </c:pt>
                <c:pt idx="128">
                  <c:v>145.90909090909091</c:v>
                </c:pt>
                <c:pt idx="129">
                  <c:v>142.18181818181819</c:v>
                </c:pt>
                <c:pt idx="130">
                  <c:v>133.27272727272728</c:v>
                </c:pt>
                <c:pt idx="131">
                  <c:v>147.09090909090909</c:v>
                </c:pt>
                <c:pt idx="132">
                  <c:v>130.72727272727272</c:v>
                </c:pt>
                <c:pt idx="133">
                  <c:v>116.90909090909091</c:v>
                </c:pt>
                <c:pt idx="134">
                  <c:v>132.54545454545453</c:v>
                </c:pt>
                <c:pt idx="135">
                  <c:v>153.36363636363637</c:v>
                </c:pt>
                <c:pt idx="136">
                  <c:v>146.54545454545453</c:v>
                </c:pt>
                <c:pt idx="137">
                  <c:v>141.45454545454547</c:v>
                </c:pt>
                <c:pt idx="138">
                  <c:v>151.36363636363637</c:v>
                </c:pt>
                <c:pt idx="139">
                  <c:v>124</c:v>
                </c:pt>
                <c:pt idx="140">
                  <c:v>115.63636363636364</c:v>
                </c:pt>
                <c:pt idx="141">
                  <c:v>155.6</c:v>
                </c:pt>
              </c:numCache>
            </c:numRef>
          </c:val>
          <c:smooth val="0"/>
        </c:ser>
        <c:dLbls>
          <c:showLegendKey val="0"/>
          <c:showVal val="0"/>
          <c:showCatName val="0"/>
          <c:showSerName val="0"/>
          <c:showPercent val="0"/>
          <c:showBubbleSize val="0"/>
        </c:dLbls>
        <c:marker val="1"/>
        <c:smooth val="0"/>
        <c:axId val="275901440"/>
        <c:axId val="276169472"/>
      </c:lineChart>
      <c:lineChart>
        <c:grouping val="standard"/>
        <c:varyColors val="0"/>
        <c:ser>
          <c:idx val="0"/>
          <c:order val="0"/>
          <c:tx>
            <c:strRef>
              <c:f>沐浴乳!$B$1</c:f>
              <c:strCache>
                <c:ptCount val="1"/>
                <c:pt idx="0">
                  <c:v>便利店</c:v>
                </c:pt>
              </c:strCache>
            </c:strRef>
          </c:tx>
          <c:spPr>
            <a:ln>
              <a:prstDash val="sysDash"/>
            </a:ln>
          </c:spPr>
          <c:marker>
            <c:symbol val="none"/>
          </c:marker>
          <c:cat>
            <c:strRef>
              <c:f>沐浴乳!$A$32:$A$173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沐浴乳!$B$32:$B$173</c:f>
              <c:numCache>
                <c:formatCode>General</c:formatCode>
                <c:ptCount val="142"/>
                <c:pt idx="92" formatCode="0.00">
                  <c:v>109</c:v>
                </c:pt>
                <c:pt idx="93" formatCode="0.00">
                  <c:v>109</c:v>
                </c:pt>
                <c:pt idx="94" formatCode="0.00">
                  <c:v>109</c:v>
                </c:pt>
                <c:pt idx="95" formatCode="0.00">
                  <c:v>109</c:v>
                </c:pt>
                <c:pt idx="96" formatCode="0.00">
                  <c:v>109</c:v>
                </c:pt>
                <c:pt idx="97" formatCode="0.00">
                  <c:v>109</c:v>
                </c:pt>
                <c:pt idx="98" formatCode="0.00">
                  <c:v>109</c:v>
                </c:pt>
                <c:pt idx="99" formatCode="0.00">
                  <c:v>109</c:v>
                </c:pt>
                <c:pt idx="100" formatCode="0.00">
                  <c:v>109</c:v>
                </c:pt>
                <c:pt idx="101" formatCode="0.00">
                  <c:v>109</c:v>
                </c:pt>
                <c:pt idx="102" formatCode="0.00">
                  <c:v>109</c:v>
                </c:pt>
                <c:pt idx="103" formatCode="0.00">
                  <c:v>109</c:v>
                </c:pt>
                <c:pt idx="104" formatCode="0.00">
                  <c:v>109</c:v>
                </c:pt>
                <c:pt idx="105" formatCode="0.00">
                  <c:v>109</c:v>
                </c:pt>
                <c:pt idx="106" formatCode="0.00">
                  <c:v>109</c:v>
                </c:pt>
                <c:pt idx="107" formatCode="0.00">
                  <c:v>109</c:v>
                </c:pt>
                <c:pt idx="108" formatCode="0.00">
                  <c:v>109</c:v>
                </c:pt>
                <c:pt idx="109" formatCode="0.00">
                  <c:v>109</c:v>
                </c:pt>
                <c:pt idx="110" formatCode="0.00">
                  <c:v>109</c:v>
                </c:pt>
                <c:pt idx="111" formatCode="0.00">
                  <c:v>109</c:v>
                </c:pt>
                <c:pt idx="112" formatCode="0.00">
                  <c:v>109</c:v>
                </c:pt>
                <c:pt idx="113" formatCode="0.00">
                  <c:v>109</c:v>
                </c:pt>
                <c:pt idx="114" formatCode="0.00">
                  <c:v>109</c:v>
                </c:pt>
                <c:pt idx="115" formatCode="0.00">
                  <c:v>109</c:v>
                </c:pt>
                <c:pt idx="116" formatCode="0.00">
                  <c:v>109</c:v>
                </c:pt>
                <c:pt idx="117" formatCode="0.00">
                  <c:v>109</c:v>
                </c:pt>
                <c:pt idx="118" formatCode="0.00">
                  <c:v>109</c:v>
                </c:pt>
                <c:pt idx="119" formatCode="0.00">
                  <c:v>109</c:v>
                </c:pt>
                <c:pt idx="120" formatCode="0.00">
                  <c:v>109</c:v>
                </c:pt>
                <c:pt idx="121" formatCode="0.00">
                  <c:v>109</c:v>
                </c:pt>
                <c:pt idx="122" formatCode="0.00">
                  <c:v>109</c:v>
                </c:pt>
                <c:pt idx="123" formatCode="0.00">
                  <c:v>109</c:v>
                </c:pt>
                <c:pt idx="124" formatCode="0.00">
                  <c:v>109</c:v>
                </c:pt>
                <c:pt idx="125" formatCode="0.00">
                  <c:v>109</c:v>
                </c:pt>
                <c:pt idx="126" formatCode="0.00">
                  <c:v>109</c:v>
                </c:pt>
                <c:pt idx="127" formatCode="0.00">
                  <c:v>109</c:v>
                </c:pt>
                <c:pt idx="128" formatCode="0.00">
                  <c:v>109</c:v>
                </c:pt>
                <c:pt idx="129" formatCode="0.00">
                  <c:v>109</c:v>
                </c:pt>
                <c:pt idx="130" formatCode="0.00">
                  <c:v>109</c:v>
                </c:pt>
                <c:pt idx="131" formatCode="0.00">
                  <c:v>109</c:v>
                </c:pt>
                <c:pt idx="132" formatCode="0.00">
                  <c:v>109</c:v>
                </c:pt>
                <c:pt idx="133" formatCode="0.00">
                  <c:v>109</c:v>
                </c:pt>
                <c:pt idx="134" formatCode="0.00">
                  <c:v>109</c:v>
                </c:pt>
                <c:pt idx="135" formatCode="0.00">
                  <c:v>101.5</c:v>
                </c:pt>
                <c:pt idx="136" formatCode="0.00">
                  <c:v>101.5</c:v>
                </c:pt>
                <c:pt idx="137" formatCode="0.00">
                  <c:v>101.5</c:v>
                </c:pt>
                <c:pt idx="138" formatCode="0.00">
                  <c:v>101.5</c:v>
                </c:pt>
                <c:pt idx="139" formatCode="0.00">
                  <c:v>101.5</c:v>
                </c:pt>
                <c:pt idx="140" formatCode="0.00">
                  <c:v>91.5</c:v>
                </c:pt>
                <c:pt idx="141" formatCode="0.00">
                  <c:v>91.5</c:v>
                </c:pt>
              </c:numCache>
            </c:numRef>
          </c:val>
          <c:smooth val="0"/>
        </c:ser>
        <c:dLbls>
          <c:showLegendKey val="0"/>
          <c:showVal val="0"/>
          <c:showCatName val="0"/>
          <c:showSerName val="0"/>
          <c:showPercent val="0"/>
          <c:showBubbleSize val="0"/>
        </c:dLbls>
        <c:marker val="1"/>
        <c:smooth val="0"/>
        <c:axId val="276171008"/>
        <c:axId val="276172800"/>
      </c:lineChart>
      <c:catAx>
        <c:axId val="275901440"/>
        <c:scaling>
          <c:orientation val="minMax"/>
        </c:scaling>
        <c:delete val="0"/>
        <c:axPos val="b"/>
        <c:numFmt formatCode="General" sourceLinked="1"/>
        <c:majorTickMark val="in"/>
        <c:minorTickMark val="none"/>
        <c:tickLblPos val="nextTo"/>
        <c:spPr>
          <a:ln>
            <a:solidFill>
              <a:sysClr val="windowText" lastClr="000000"/>
            </a:solidFill>
          </a:ln>
        </c:spPr>
        <c:txPr>
          <a:bodyPr rot="-2700000"/>
          <a:lstStyle/>
          <a:p>
            <a:pPr>
              <a:defRPr>
                <a:latin typeface="Times New Roman" pitchFamily="18" charset="0"/>
                <a:cs typeface="Times New Roman" pitchFamily="18" charset="0"/>
              </a:defRPr>
            </a:pPr>
            <a:endParaRPr lang="zh-TW"/>
          </a:p>
        </c:txPr>
        <c:crossAx val="276169472"/>
        <c:crosses val="autoZero"/>
        <c:auto val="1"/>
        <c:lblAlgn val="ctr"/>
        <c:lblOffset val="100"/>
        <c:tickLblSkip val="5"/>
        <c:tickMarkSkip val="5"/>
        <c:noMultiLvlLbl val="0"/>
      </c:catAx>
      <c:valAx>
        <c:axId val="276169472"/>
        <c:scaling>
          <c:orientation val="minMax"/>
          <c:max val="190"/>
          <c:min val="110"/>
        </c:scaling>
        <c:delete val="0"/>
        <c:axPos val="l"/>
        <c:numFmt formatCode="#,##0_);\(#,##0\)" sourceLinked="0"/>
        <c:majorTickMark val="in"/>
        <c:minorTickMark val="none"/>
        <c:tickLblPos val="nextTo"/>
        <c:spPr>
          <a:ln>
            <a:solidFill>
              <a:sysClr val="windowText" lastClr="000000"/>
            </a:solidFill>
          </a:ln>
        </c:spPr>
        <c:txPr>
          <a:bodyPr/>
          <a:lstStyle/>
          <a:p>
            <a:pPr>
              <a:defRPr>
                <a:latin typeface="Times New Roman" pitchFamily="18" charset="0"/>
                <a:cs typeface="Times New Roman" pitchFamily="18" charset="0"/>
              </a:defRPr>
            </a:pPr>
            <a:endParaRPr lang="zh-TW"/>
          </a:p>
        </c:txPr>
        <c:crossAx val="275901440"/>
        <c:crosses val="autoZero"/>
        <c:crossBetween val="between"/>
      </c:valAx>
      <c:catAx>
        <c:axId val="276171008"/>
        <c:scaling>
          <c:orientation val="minMax"/>
        </c:scaling>
        <c:delete val="1"/>
        <c:axPos val="b"/>
        <c:numFmt formatCode="General" sourceLinked="1"/>
        <c:majorTickMark val="out"/>
        <c:minorTickMark val="none"/>
        <c:tickLblPos val="nextTo"/>
        <c:crossAx val="276172800"/>
        <c:crosses val="autoZero"/>
        <c:auto val="1"/>
        <c:lblAlgn val="ctr"/>
        <c:lblOffset val="100"/>
        <c:noMultiLvlLbl val="0"/>
      </c:catAx>
      <c:valAx>
        <c:axId val="276172800"/>
        <c:scaling>
          <c:orientation val="minMax"/>
          <c:max val="110"/>
          <c:min val="90"/>
        </c:scaling>
        <c:delete val="0"/>
        <c:axPos val="r"/>
        <c:numFmt formatCode="General" sourceLinked="1"/>
        <c:majorTickMark val="in"/>
        <c:minorTickMark val="none"/>
        <c:tickLblPos val="nextTo"/>
        <c:spPr>
          <a:ln>
            <a:solidFill>
              <a:sysClr val="windowText" lastClr="000000"/>
            </a:solidFill>
          </a:ln>
        </c:spPr>
        <c:crossAx val="276171008"/>
        <c:crosses val="max"/>
        <c:crossBetween val="between"/>
      </c:valAx>
      <c:spPr>
        <a:noFill/>
        <a:ln w="25400">
          <a:noFill/>
        </a:ln>
      </c:spPr>
    </c:plotArea>
    <c:legend>
      <c:legendPos val="r"/>
      <c:layout>
        <c:manualLayout>
          <c:xMode val="edge"/>
          <c:yMode val="edge"/>
          <c:x val="0.18850389908822202"/>
          <c:y val="4.0485960520358952E-2"/>
          <c:w val="0.65009186035708932"/>
          <c:h val="6.8862065594236244E-2"/>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6717690243939881E-2"/>
          <c:y val="0.11874239007076069"/>
          <c:w val="0.89811046627263713"/>
          <c:h val="0.64445583708704823"/>
        </c:manualLayout>
      </c:layout>
      <c:lineChart>
        <c:grouping val="standard"/>
        <c:varyColors val="0"/>
        <c:ser>
          <c:idx val="1"/>
          <c:order val="1"/>
          <c:tx>
            <c:strRef>
              <c:f>牙膏!$C$1</c:f>
              <c:strCache>
                <c:ptCount val="1"/>
                <c:pt idx="0">
                  <c:v>超市</c:v>
                </c:pt>
              </c:strCache>
            </c:strRef>
          </c:tx>
          <c:spPr>
            <a:ln w="38100">
              <a:solidFill>
                <a:srgbClr val="993366"/>
              </a:solidFill>
              <a:prstDash val="sysDash"/>
            </a:ln>
          </c:spPr>
          <c:marker>
            <c:symbol val="none"/>
          </c:marker>
          <c:cat>
            <c:strRef>
              <c:f>牙膏!$A$32:$A$173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牙膏!$C$32:$C$173</c:f>
              <c:numCache>
                <c:formatCode>0.00</c:formatCode>
                <c:ptCount val="142"/>
                <c:pt idx="0">
                  <c:v>67</c:v>
                </c:pt>
                <c:pt idx="1">
                  <c:v>65.642857142857139</c:v>
                </c:pt>
                <c:pt idx="2">
                  <c:v>64.459999999999994</c:v>
                </c:pt>
                <c:pt idx="3">
                  <c:v>63.29</c:v>
                </c:pt>
                <c:pt idx="4">
                  <c:v>66.540000000000006</c:v>
                </c:pt>
                <c:pt idx="5">
                  <c:v>68.430000000000007</c:v>
                </c:pt>
                <c:pt idx="6">
                  <c:v>70.384615384615387</c:v>
                </c:pt>
                <c:pt idx="7">
                  <c:v>68.083333333333329</c:v>
                </c:pt>
                <c:pt idx="8">
                  <c:v>67.692307692307693</c:v>
                </c:pt>
                <c:pt idx="9">
                  <c:v>65.727272727272734</c:v>
                </c:pt>
                <c:pt idx="10">
                  <c:v>66</c:v>
                </c:pt>
                <c:pt idx="11">
                  <c:v>60.638888888888886</c:v>
                </c:pt>
                <c:pt idx="12">
                  <c:v>63.013888888888886</c:v>
                </c:pt>
                <c:pt idx="13">
                  <c:v>67.9375</c:v>
                </c:pt>
                <c:pt idx="14">
                  <c:v>68.375</c:v>
                </c:pt>
                <c:pt idx="15">
                  <c:v>67.21875</c:v>
                </c:pt>
                <c:pt idx="16">
                  <c:v>68.166666666666671</c:v>
                </c:pt>
                <c:pt idx="17">
                  <c:v>66.67647058823529</c:v>
                </c:pt>
                <c:pt idx="18">
                  <c:v>67.861111111111114</c:v>
                </c:pt>
                <c:pt idx="19">
                  <c:v>67.694444444444443</c:v>
                </c:pt>
                <c:pt idx="20">
                  <c:v>66.972222222222229</c:v>
                </c:pt>
                <c:pt idx="21">
                  <c:v>66.361111111111114</c:v>
                </c:pt>
                <c:pt idx="22">
                  <c:v>66.583333333333329</c:v>
                </c:pt>
                <c:pt idx="23">
                  <c:v>67.583333333333329</c:v>
                </c:pt>
                <c:pt idx="24">
                  <c:v>67.972222222222229</c:v>
                </c:pt>
                <c:pt idx="25">
                  <c:v>67.75</c:v>
                </c:pt>
                <c:pt idx="26">
                  <c:v>67.583333333333329</c:v>
                </c:pt>
                <c:pt idx="27">
                  <c:v>67.527777777777771</c:v>
                </c:pt>
                <c:pt idx="28">
                  <c:v>64.694444444444443</c:v>
                </c:pt>
                <c:pt idx="29">
                  <c:v>66.638888888888886</c:v>
                </c:pt>
                <c:pt idx="30">
                  <c:v>67.083333333333329</c:v>
                </c:pt>
                <c:pt idx="31">
                  <c:v>66.597647058823526</c:v>
                </c:pt>
                <c:pt idx="32">
                  <c:v>66.638888888888886</c:v>
                </c:pt>
                <c:pt idx="33">
                  <c:v>67.638888888888886</c:v>
                </c:pt>
                <c:pt idx="34">
                  <c:v>66.127470588235283</c:v>
                </c:pt>
                <c:pt idx="35">
                  <c:v>67.388888888888886</c:v>
                </c:pt>
                <c:pt idx="36">
                  <c:v>67.852941176470594</c:v>
                </c:pt>
                <c:pt idx="37">
                  <c:v>66.588235294117652</c:v>
                </c:pt>
                <c:pt idx="38">
                  <c:v>66.352941176470594</c:v>
                </c:pt>
                <c:pt idx="39">
                  <c:v>67.294117647058826</c:v>
                </c:pt>
                <c:pt idx="40">
                  <c:v>68</c:v>
                </c:pt>
                <c:pt idx="41">
                  <c:v>66.852941176470594</c:v>
                </c:pt>
                <c:pt idx="42">
                  <c:v>67.205882352941174</c:v>
                </c:pt>
                <c:pt idx="43">
                  <c:v>67.764705882352942</c:v>
                </c:pt>
                <c:pt idx="44">
                  <c:v>66.472222222222229</c:v>
                </c:pt>
                <c:pt idx="45">
                  <c:v>67.861111111111114</c:v>
                </c:pt>
                <c:pt idx="46">
                  <c:v>67.852941176470594</c:v>
                </c:pt>
                <c:pt idx="47">
                  <c:v>67.361111111111114</c:v>
                </c:pt>
                <c:pt idx="48">
                  <c:v>66.617647058823536</c:v>
                </c:pt>
                <c:pt idx="49">
                  <c:v>67.088235294117652</c:v>
                </c:pt>
                <c:pt idx="50">
                  <c:v>68.138888888888886</c:v>
                </c:pt>
                <c:pt idx="51">
                  <c:v>67.944444444444443</c:v>
                </c:pt>
                <c:pt idx="52">
                  <c:v>67.764705882352942</c:v>
                </c:pt>
                <c:pt idx="53">
                  <c:v>67.147058823529406</c:v>
                </c:pt>
                <c:pt idx="54">
                  <c:v>67.588235294117652</c:v>
                </c:pt>
                <c:pt idx="55">
                  <c:v>67.411764705882348</c:v>
                </c:pt>
                <c:pt idx="56">
                  <c:v>67.588235294117652</c:v>
                </c:pt>
                <c:pt idx="57">
                  <c:v>67.588235294117652</c:v>
                </c:pt>
                <c:pt idx="58">
                  <c:v>67.444444444444443</c:v>
                </c:pt>
                <c:pt idx="59">
                  <c:v>67.588235294117652</c:v>
                </c:pt>
                <c:pt idx="60">
                  <c:v>65.705882352941174</c:v>
                </c:pt>
                <c:pt idx="61">
                  <c:v>66</c:v>
                </c:pt>
                <c:pt idx="62">
                  <c:v>67.21875</c:v>
                </c:pt>
                <c:pt idx="63">
                  <c:v>68.34375</c:v>
                </c:pt>
                <c:pt idx="64">
                  <c:v>67.78125</c:v>
                </c:pt>
                <c:pt idx="65">
                  <c:v>65.966666666666669</c:v>
                </c:pt>
                <c:pt idx="66">
                  <c:v>66.972222222222229</c:v>
                </c:pt>
                <c:pt idx="67">
                  <c:v>66.527777777777771</c:v>
                </c:pt>
                <c:pt idx="68">
                  <c:v>66.361109999999996</c:v>
                </c:pt>
                <c:pt idx="69">
                  <c:v>64.588235294117652</c:v>
                </c:pt>
                <c:pt idx="70">
                  <c:v>64.647058823529406</c:v>
                </c:pt>
                <c:pt idx="71">
                  <c:v>66.970588235294116</c:v>
                </c:pt>
                <c:pt idx="72">
                  <c:v>66.735294117647058</c:v>
                </c:pt>
                <c:pt idx="73">
                  <c:v>65.5</c:v>
                </c:pt>
                <c:pt idx="74">
                  <c:v>65.764705882352942</c:v>
                </c:pt>
                <c:pt idx="75">
                  <c:v>66.441176470588232</c:v>
                </c:pt>
                <c:pt idx="76">
                  <c:v>66.78125</c:v>
                </c:pt>
                <c:pt idx="77">
                  <c:v>64.470588235294116</c:v>
                </c:pt>
                <c:pt idx="78">
                  <c:v>66.529411764705884</c:v>
                </c:pt>
                <c:pt idx="79">
                  <c:v>67.382352941176464</c:v>
                </c:pt>
                <c:pt idx="80">
                  <c:v>66.235294117647058</c:v>
                </c:pt>
                <c:pt idx="81">
                  <c:v>66.264705882352942</c:v>
                </c:pt>
                <c:pt idx="82">
                  <c:v>66.147058823529406</c:v>
                </c:pt>
                <c:pt idx="83">
                  <c:v>66.5</c:v>
                </c:pt>
                <c:pt idx="84">
                  <c:v>67.294117647058826</c:v>
                </c:pt>
                <c:pt idx="85">
                  <c:v>67.647058823529406</c:v>
                </c:pt>
                <c:pt idx="86">
                  <c:v>68.205882352941174</c:v>
                </c:pt>
                <c:pt idx="87">
                  <c:v>69.617647058823536</c:v>
                </c:pt>
                <c:pt idx="88">
                  <c:v>68.264705882352942</c:v>
                </c:pt>
                <c:pt idx="89">
                  <c:v>66.17647058823529</c:v>
                </c:pt>
                <c:pt idx="90">
                  <c:v>66.647058823529406</c:v>
                </c:pt>
                <c:pt idx="91">
                  <c:v>67.558823529411768</c:v>
                </c:pt>
                <c:pt idx="92">
                  <c:v>67.32352941176471</c:v>
                </c:pt>
                <c:pt idx="93">
                  <c:v>67.32352941176471</c:v>
                </c:pt>
                <c:pt idx="94">
                  <c:v>68.588235294117652</c:v>
                </c:pt>
                <c:pt idx="95">
                  <c:v>70.125</c:v>
                </c:pt>
                <c:pt idx="96">
                  <c:v>69.617647058823536</c:v>
                </c:pt>
                <c:pt idx="97">
                  <c:v>65.59375</c:v>
                </c:pt>
                <c:pt idx="98">
                  <c:v>67.966666666666669</c:v>
                </c:pt>
                <c:pt idx="99">
                  <c:v>66.86666666666666</c:v>
                </c:pt>
                <c:pt idx="100">
                  <c:v>66.86666666666666</c:v>
                </c:pt>
                <c:pt idx="101">
                  <c:v>68.5</c:v>
                </c:pt>
                <c:pt idx="102">
                  <c:v>66.5625</c:v>
                </c:pt>
                <c:pt idx="103">
                  <c:v>68.21875</c:v>
                </c:pt>
                <c:pt idx="104">
                  <c:v>67.90625</c:v>
                </c:pt>
                <c:pt idx="105">
                  <c:v>68.34375</c:v>
                </c:pt>
                <c:pt idx="106">
                  <c:v>68.34375</c:v>
                </c:pt>
                <c:pt idx="107">
                  <c:v>67.433333333333337</c:v>
                </c:pt>
                <c:pt idx="108">
                  <c:v>67.28125</c:v>
                </c:pt>
                <c:pt idx="109">
                  <c:v>67.46875</c:v>
                </c:pt>
                <c:pt idx="110">
                  <c:v>70.13333333333334</c:v>
                </c:pt>
                <c:pt idx="111">
                  <c:v>64.928571428571431</c:v>
                </c:pt>
                <c:pt idx="112">
                  <c:v>67.714285714285708</c:v>
                </c:pt>
                <c:pt idx="113">
                  <c:v>66.5</c:v>
                </c:pt>
                <c:pt idx="114">
                  <c:v>67.433333333333337</c:v>
                </c:pt>
                <c:pt idx="115">
                  <c:v>68.333333333333329</c:v>
                </c:pt>
                <c:pt idx="116">
                  <c:v>70.0625</c:v>
                </c:pt>
                <c:pt idx="117">
                  <c:v>66.599999999999994</c:v>
                </c:pt>
                <c:pt idx="118">
                  <c:v>66.666666666666671</c:v>
                </c:pt>
                <c:pt idx="119">
                  <c:v>68.5</c:v>
                </c:pt>
                <c:pt idx="120">
                  <c:v>68.5625</c:v>
                </c:pt>
                <c:pt idx="121">
                  <c:v>65.533333333333331</c:v>
                </c:pt>
                <c:pt idx="122">
                  <c:v>68.25</c:v>
                </c:pt>
                <c:pt idx="123">
                  <c:v>63.78125</c:v>
                </c:pt>
                <c:pt idx="124">
                  <c:v>62.5</c:v>
                </c:pt>
                <c:pt idx="125">
                  <c:v>65.8125</c:v>
                </c:pt>
                <c:pt idx="126">
                  <c:v>65.375</c:v>
                </c:pt>
                <c:pt idx="127">
                  <c:v>66.8125</c:v>
                </c:pt>
                <c:pt idx="128">
                  <c:v>64.4375</c:v>
                </c:pt>
                <c:pt idx="129">
                  <c:v>63.53125</c:v>
                </c:pt>
                <c:pt idx="130">
                  <c:v>59.3125</c:v>
                </c:pt>
                <c:pt idx="131">
                  <c:v>59.5625</c:v>
                </c:pt>
                <c:pt idx="132">
                  <c:v>67.17647058823529</c:v>
                </c:pt>
                <c:pt idx="133">
                  <c:v>66.647058823529406</c:v>
                </c:pt>
                <c:pt idx="134">
                  <c:v>65.764705882352942</c:v>
                </c:pt>
                <c:pt idx="135">
                  <c:v>65.470588235294116</c:v>
                </c:pt>
                <c:pt idx="136">
                  <c:v>65.470588235294116</c:v>
                </c:pt>
                <c:pt idx="137">
                  <c:v>64.470588235294116</c:v>
                </c:pt>
                <c:pt idx="138">
                  <c:v>66.82352941176471</c:v>
                </c:pt>
                <c:pt idx="139">
                  <c:v>66.794117647058826</c:v>
                </c:pt>
                <c:pt idx="140">
                  <c:v>67.470588235294116</c:v>
                </c:pt>
                <c:pt idx="141">
                  <c:v>67.21875</c:v>
                </c:pt>
              </c:numCache>
            </c:numRef>
          </c:val>
          <c:smooth val="0"/>
        </c:ser>
        <c:ser>
          <c:idx val="2"/>
          <c:order val="2"/>
          <c:tx>
            <c:strRef>
              <c:f>牙膏!$D$1</c:f>
              <c:strCache>
                <c:ptCount val="1"/>
                <c:pt idx="0">
                  <c:v>量販店</c:v>
                </c:pt>
              </c:strCache>
            </c:strRef>
          </c:tx>
          <c:marker>
            <c:symbol val="none"/>
          </c:marker>
          <c:cat>
            <c:strRef>
              <c:f>牙膏!$A$32:$A$173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牙膏!$D$32:$D$173</c:f>
              <c:numCache>
                <c:formatCode>0.00</c:formatCode>
                <c:ptCount val="142"/>
                <c:pt idx="0">
                  <c:v>58.444444444444443</c:v>
                </c:pt>
                <c:pt idx="1">
                  <c:v>59.722222222222221</c:v>
                </c:pt>
                <c:pt idx="2">
                  <c:v>60.44</c:v>
                </c:pt>
                <c:pt idx="3">
                  <c:v>59.39</c:v>
                </c:pt>
                <c:pt idx="4">
                  <c:v>61.67</c:v>
                </c:pt>
                <c:pt idx="5">
                  <c:v>59.055555555555557</c:v>
                </c:pt>
                <c:pt idx="6">
                  <c:v>61.375</c:v>
                </c:pt>
                <c:pt idx="7">
                  <c:v>58.5</c:v>
                </c:pt>
                <c:pt idx="8">
                  <c:v>60.166666666666664</c:v>
                </c:pt>
                <c:pt idx="9">
                  <c:v>59.055555555555557</c:v>
                </c:pt>
                <c:pt idx="10">
                  <c:v>57.3</c:v>
                </c:pt>
                <c:pt idx="11">
                  <c:v>59.090909090909093</c:v>
                </c:pt>
                <c:pt idx="12">
                  <c:v>61.636363636363633</c:v>
                </c:pt>
                <c:pt idx="13">
                  <c:v>58.666700000000006</c:v>
                </c:pt>
                <c:pt idx="14">
                  <c:v>60.777777777777779</c:v>
                </c:pt>
                <c:pt idx="15">
                  <c:v>56.15</c:v>
                </c:pt>
                <c:pt idx="16">
                  <c:v>55.8125</c:v>
                </c:pt>
                <c:pt idx="17">
                  <c:v>58.3</c:v>
                </c:pt>
                <c:pt idx="18">
                  <c:v>54.45</c:v>
                </c:pt>
                <c:pt idx="19">
                  <c:v>58.15</c:v>
                </c:pt>
                <c:pt idx="20">
                  <c:v>58.95</c:v>
                </c:pt>
                <c:pt idx="21">
                  <c:v>59.1</c:v>
                </c:pt>
                <c:pt idx="22">
                  <c:v>59.6</c:v>
                </c:pt>
                <c:pt idx="23">
                  <c:v>59.4</c:v>
                </c:pt>
                <c:pt idx="24">
                  <c:v>59.9</c:v>
                </c:pt>
                <c:pt idx="25">
                  <c:v>60.65</c:v>
                </c:pt>
                <c:pt idx="26">
                  <c:v>59.870000000000005</c:v>
                </c:pt>
                <c:pt idx="27">
                  <c:v>58.85</c:v>
                </c:pt>
                <c:pt idx="28">
                  <c:v>59.625</c:v>
                </c:pt>
                <c:pt idx="29">
                  <c:v>62.7</c:v>
                </c:pt>
                <c:pt idx="30">
                  <c:v>61.35</c:v>
                </c:pt>
                <c:pt idx="31">
                  <c:v>58.7</c:v>
                </c:pt>
                <c:pt idx="32">
                  <c:v>59.222222222222221</c:v>
                </c:pt>
                <c:pt idx="33">
                  <c:v>61.9</c:v>
                </c:pt>
                <c:pt idx="34">
                  <c:v>61</c:v>
                </c:pt>
                <c:pt idx="35">
                  <c:v>60.7</c:v>
                </c:pt>
                <c:pt idx="36">
                  <c:v>62</c:v>
                </c:pt>
                <c:pt idx="37">
                  <c:v>61.3</c:v>
                </c:pt>
                <c:pt idx="38">
                  <c:v>60.8</c:v>
                </c:pt>
                <c:pt idx="39">
                  <c:v>61.7</c:v>
                </c:pt>
                <c:pt idx="40">
                  <c:v>62.444444444444443</c:v>
                </c:pt>
                <c:pt idx="41">
                  <c:v>61</c:v>
                </c:pt>
                <c:pt idx="42">
                  <c:v>60.7</c:v>
                </c:pt>
                <c:pt idx="43">
                  <c:v>62.95</c:v>
                </c:pt>
                <c:pt idx="44">
                  <c:v>63.85</c:v>
                </c:pt>
                <c:pt idx="45">
                  <c:v>61.85</c:v>
                </c:pt>
                <c:pt idx="46">
                  <c:v>63.65</c:v>
                </c:pt>
                <c:pt idx="47">
                  <c:v>56.8</c:v>
                </c:pt>
                <c:pt idx="48">
                  <c:v>57.3</c:v>
                </c:pt>
                <c:pt idx="49">
                  <c:v>61.15</c:v>
                </c:pt>
                <c:pt idx="50">
                  <c:v>60.3</c:v>
                </c:pt>
                <c:pt idx="51">
                  <c:v>58.45</c:v>
                </c:pt>
                <c:pt idx="52">
                  <c:v>56.73</c:v>
                </c:pt>
                <c:pt idx="53">
                  <c:v>60.25</c:v>
                </c:pt>
                <c:pt idx="54">
                  <c:v>62.6</c:v>
                </c:pt>
                <c:pt idx="55">
                  <c:v>59.15</c:v>
                </c:pt>
                <c:pt idx="56">
                  <c:v>58.6</c:v>
                </c:pt>
                <c:pt idx="57">
                  <c:v>63.9</c:v>
                </c:pt>
                <c:pt idx="58">
                  <c:v>58.8</c:v>
                </c:pt>
                <c:pt idx="59">
                  <c:v>55.45</c:v>
                </c:pt>
                <c:pt idx="60">
                  <c:v>56.1</c:v>
                </c:pt>
                <c:pt idx="61">
                  <c:v>58.9</c:v>
                </c:pt>
                <c:pt idx="62">
                  <c:v>62.15</c:v>
                </c:pt>
                <c:pt idx="63">
                  <c:v>63.5</c:v>
                </c:pt>
                <c:pt idx="64">
                  <c:v>62.73</c:v>
                </c:pt>
                <c:pt idx="65">
                  <c:v>63.4</c:v>
                </c:pt>
                <c:pt idx="66">
                  <c:v>63.722222222222221</c:v>
                </c:pt>
                <c:pt idx="67">
                  <c:v>63.6875</c:v>
                </c:pt>
                <c:pt idx="68">
                  <c:v>64.05</c:v>
                </c:pt>
                <c:pt idx="69">
                  <c:v>62.55</c:v>
                </c:pt>
                <c:pt idx="70">
                  <c:v>64.099999999999994</c:v>
                </c:pt>
                <c:pt idx="71">
                  <c:v>63.8</c:v>
                </c:pt>
                <c:pt idx="72">
                  <c:v>62.8</c:v>
                </c:pt>
                <c:pt idx="73">
                  <c:v>61.6</c:v>
                </c:pt>
                <c:pt idx="74">
                  <c:v>58.65</c:v>
                </c:pt>
                <c:pt idx="75">
                  <c:v>60.3</c:v>
                </c:pt>
                <c:pt idx="76">
                  <c:v>61.400000000000006</c:v>
                </c:pt>
                <c:pt idx="77">
                  <c:v>57.516666666666666</c:v>
                </c:pt>
                <c:pt idx="78">
                  <c:v>55.45</c:v>
                </c:pt>
                <c:pt idx="79">
                  <c:v>60.95</c:v>
                </c:pt>
                <c:pt idx="80">
                  <c:v>60.483333333333334</c:v>
                </c:pt>
                <c:pt idx="81">
                  <c:v>59</c:v>
                </c:pt>
                <c:pt idx="82">
                  <c:v>62.7</c:v>
                </c:pt>
                <c:pt idx="83">
                  <c:v>63.95</c:v>
                </c:pt>
                <c:pt idx="84">
                  <c:v>64.25</c:v>
                </c:pt>
                <c:pt idx="85">
                  <c:v>64.099999999999994</c:v>
                </c:pt>
                <c:pt idx="86">
                  <c:v>58.8</c:v>
                </c:pt>
                <c:pt idx="87">
                  <c:v>55.95</c:v>
                </c:pt>
                <c:pt idx="88">
                  <c:v>58.3</c:v>
                </c:pt>
                <c:pt idx="89">
                  <c:v>62.1</c:v>
                </c:pt>
                <c:pt idx="90">
                  <c:v>64.25</c:v>
                </c:pt>
                <c:pt idx="91">
                  <c:v>53.22966666666666</c:v>
                </c:pt>
                <c:pt idx="92">
                  <c:v>66.95</c:v>
                </c:pt>
                <c:pt idx="93">
                  <c:v>59.5</c:v>
                </c:pt>
                <c:pt idx="94">
                  <c:v>58</c:v>
                </c:pt>
                <c:pt idx="95">
                  <c:v>57.5</c:v>
                </c:pt>
                <c:pt idx="96">
                  <c:v>62.1</c:v>
                </c:pt>
                <c:pt idx="97">
                  <c:v>61.38333333333334</c:v>
                </c:pt>
                <c:pt idx="98">
                  <c:v>62.136363636363633</c:v>
                </c:pt>
                <c:pt idx="99">
                  <c:v>65.318181818181813</c:v>
                </c:pt>
                <c:pt idx="100">
                  <c:v>64.86363636363636</c:v>
                </c:pt>
                <c:pt idx="101">
                  <c:v>59.2</c:v>
                </c:pt>
                <c:pt idx="102">
                  <c:v>60.378787878787875</c:v>
                </c:pt>
                <c:pt idx="103">
                  <c:v>66.090909090909093</c:v>
                </c:pt>
                <c:pt idx="104">
                  <c:v>59.15</c:v>
                </c:pt>
                <c:pt idx="105">
                  <c:v>63.454545454545453</c:v>
                </c:pt>
                <c:pt idx="106">
                  <c:v>66.590909090909093</c:v>
                </c:pt>
                <c:pt idx="107">
                  <c:v>66.36363636363636</c:v>
                </c:pt>
                <c:pt idx="108">
                  <c:v>59.072727272727271</c:v>
                </c:pt>
                <c:pt idx="109">
                  <c:v>60.227272727272727</c:v>
                </c:pt>
                <c:pt idx="110">
                  <c:v>59.015151515151508</c:v>
                </c:pt>
                <c:pt idx="111">
                  <c:v>61.18181818181818</c:v>
                </c:pt>
                <c:pt idx="112">
                  <c:v>63.863636363636367</c:v>
                </c:pt>
                <c:pt idx="113">
                  <c:v>62.590909090909093</c:v>
                </c:pt>
                <c:pt idx="114">
                  <c:v>60.909090909090907</c:v>
                </c:pt>
                <c:pt idx="115">
                  <c:v>67.181818181818187</c:v>
                </c:pt>
                <c:pt idx="116">
                  <c:v>65.954545454545453</c:v>
                </c:pt>
                <c:pt idx="117">
                  <c:v>59.772727272727273</c:v>
                </c:pt>
                <c:pt idx="118">
                  <c:v>57.790909090909096</c:v>
                </c:pt>
                <c:pt idx="119">
                  <c:v>65.88181818181819</c:v>
                </c:pt>
                <c:pt idx="120">
                  <c:v>61.7</c:v>
                </c:pt>
                <c:pt idx="121">
                  <c:v>60.227272727272727</c:v>
                </c:pt>
                <c:pt idx="122">
                  <c:v>66.848484848484858</c:v>
                </c:pt>
                <c:pt idx="123">
                  <c:v>54.136363636363633</c:v>
                </c:pt>
                <c:pt idx="124">
                  <c:v>57.378787878787875</c:v>
                </c:pt>
                <c:pt idx="125">
                  <c:v>67.37878787878789</c:v>
                </c:pt>
                <c:pt idx="126">
                  <c:v>64.290909090909096</c:v>
                </c:pt>
                <c:pt idx="127">
                  <c:v>57.593939393939394</c:v>
                </c:pt>
                <c:pt idx="128">
                  <c:v>53.690909090909095</c:v>
                </c:pt>
                <c:pt idx="129">
                  <c:v>57.227272727272727</c:v>
                </c:pt>
                <c:pt idx="130">
                  <c:v>51.712121212121218</c:v>
                </c:pt>
                <c:pt idx="131">
                  <c:v>51.5</c:v>
                </c:pt>
                <c:pt idx="132">
                  <c:v>55.893939393939398</c:v>
                </c:pt>
                <c:pt idx="133">
                  <c:v>60.909090909090907</c:v>
                </c:pt>
                <c:pt idx="134">
                  <c:v>57.68181818181818</c:v>
                </c:pt>
                <c:pt idx="135">
                  <c:v>60.136363636363633</c:v>
                </c:pt>
                <c:pt idx="136">
                  <c:v>57.272727272727273</c:v>
                </c:pt>
                <c:pt idx="137">
                  <c:v>60.454545454545453</c:v>
                </c:pt>
                <c:pt idx="138">
                  <c:v>62.651515151515156</c:v>
                </c:pt>
                <c:pt idx="139">
                  <c:v>62.515151515151523</c:v>
                </c:pt>
                <c:pt idx="140">
                  <c:v>59.636363636363633</c:v>
                </c:pt>
                <c:pt idx="141">
                  <c:v>55.481818181818177</c:v>
                </c:pt>
              </c:numCache>
            </c:numRef>
          </c:val>
          <c:smooth val="0"/>
        </c:ser>
        <c:dLbls>
          <c:showLegendKey val="0"/>
          <c:showVal val="0"/>
          <c:showCatName val="0"/>
          <c:showSerName val="0"/>
          <c:showPercent val="0"/>
          <c:showBubbleSize val="0"/>
        </c:dLbls>
        <c:marker val="1"/>
        <c:smooth val="0"/>
        <c:axId val="275873152"/>
        <c:axId val="276153472"/>
      </c:lineChart>
      <c:lineChart>
        <c:grouping val="standard"/>
        <c:varyColors val="0"/>
        <c:ser>
          <c:idx val="0"/>
          <c:order val="0"/>
          <c:tx>
            <c:strRef>
              <c:f>牙膏!$B$1</c:f>
              <c:strCache>
                <c:ptCount val="1"/>
                <c:pt idx="0">
                  <c:v>便利店</c:v>
                </c:pt>
              </c:strCache>
            </c:strRef>
          </c:tx>
          <c:spPr>
            <a:ln>
              <a:prstDash val="sysDash"/>
            </a:ln>
          </c:spPr>
          <c:marker>
            <c:symbol val="none"/>
          </c:marker>
          <c:cat>
            <c:strRef>
              <c:f>牙膏!$A$32:$A$173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牙膏!$B$32:$B$173</c:f>
              <c:numCache>
                <c:formatCode>0.00</c:formatCode>
                <c:ptCount val="142"/>
                <c:pt idx="0">
                  <c:v>113.5</c:v>
                </c:pt>
                <c:pt idx="1">
                  <c:v>113.5</c:v>
                </c:pt>
                <c:pt idx="2">
                  <c:v>113.5</c:v>
                </c:pt>
                <c:pt idx="3">
                  <c:v>113.5</c:v>
                </c:pt>
                <c:pt idx="4">
                  <c:v>110.5</c:v>
                </c:pt>
                <c:pt idx="5">
                  <c:v>110.5</c:v>
                </c:pt>
                <c:pt idx="6">
                  <c:v>110.5</c:v>
                </c:pt>
                <c:pt idx="7">
                  <c:v>110.5</c:v>
                </c:pt>
                <c:pt idx="8">
                  <c:v>110.5</c:v>
                </c:pt>
                <c:pt idx="9">
                  <c:v>110.5</c:v>
                </c:pt>
                <c:pt idx="10">
                  <c:v>110.5</c:v>
                </c:pt>
                <c:pt idx="11">
                  <c:v>110.5</c:v>
                </c:pt>
                <c:pt idx="12">
                  <c:v>110.5</c:v>
                </c:pt>
                <c:pt idx="13">
                  <c:v>110.5</c:v>
                </c:pt>
                <c:pt idx="14">
                  <c:v>110.5</c:v>
                </c:pt>
                <c:pt idx="15">
                  <c:v>110.5</c:v>
                </c:pt>
                <c:pt idx="16">
                  <c:v>110.5</c:v>
                </c:pt>
                <c:pt idx="17">
                  <c:v>110.5</c:v>
                </c:pt>
                <c:pt idx="18">
                  <c:v>110.5</c:v>
                </c:pt>
                <c:pt idx="19">
                  <c:v>110.5</c:v>
                </c:pt>
                <c:pt idx="20">
                  <c:v>110.5</c:v>
                </c:pt>
                <c:pt idx="21">
                  <c:v>110.5</c:v>
                </c:pt>
                <c:pt idx="22">
                  <c:v>110.5</c:v>
                </c:pt>
                <c:pt idx="23">
                  <c:v>110.5</c:v>
                </c:pt>
                <c:pt idx="24">
                  <c:v>110.5</c:v>
                </c:pt>
                <c:pt idx="25">
                  <c:v>110.5</c:v>
                </c:pt>
                <c:pt idx="26">
                  <c:v>110.5</c:v>
                </c:pt>
                <c:pt idx="27">
                  <c:v>110.5</c:v>
                </c:pt>
                <c:pt idx="28">
                  <c:v>110.5</c:v>
                </c:pt>
                <c:pt idx="29">
                  <c:v>113.5</c:v>
                </c:pt>
                <c:pt idx="30">
                  <c:v>113.5</c:v>
                </c:pt>
                <c:pt idx="31">
                  <c:v>113.5</c:v>
                </c:pt>
                <c:pt idx="32">
                  <c:v>113.5</c:v>
                </c:pt>
                <c:pt idx="33">
                  <c:v>113.5</c:v>
                </c:pt>
                <c:pt idx="34">
                  <c:v>113.5</c:v>
                </c:pt>
                <c:pt idx="35">
                  <c:v>113.5</c:v>
                </c:pt>
                <c:pt idx="36">
                  <c:v>113.5</c:v>
                </c:pt>
                <c:pt idx="37">
                  <c:v>113.5</c:v>
                </c:pt>
                <c:pt idx="38">
                  <c:v>116</c:v>
                </c:pt>
                <c:pt idx="39">
                  <c:v>116</c:v>
                </c:pt>
                <c:pt idx="40">
                  <c:v>116</c:v>
                </c:pt>
                <c:pt idx="41">
                  <c:v>116</c:v>
                </c:pt>
                <c:pt idx="42">
                  <c:v>116</c:v>
                </c:pt>
                <c:pt idx="43">
                  <c:v>116</c:v>
                </c:pt>
                <c:pt idx="44">
                  <c:v>116</c:v>
                </c:pt>
                <c:pt idx="45">
                  <c:v>116</c:v>
                </c:pt>
                <c:pt idx="46">
                  <c:v>116</c:v>
                </c:pt>
                <c:pt idx="47">
                  <c:v>116</c:v>
                </c:pt>
                <c:pt idx="48">
                  <c:v>116</c:v>
                </c:pt>
                <c:pt idx="49">
                  <c:v>116</c:v>
                </c:pt>
                <c:pt idx="50">
                  <c:v>116</c:v>
                </c:pt>
                <c:pt idx="51">
                  <c:v>119.5</c:v>
                </c:pt>
                <c:pt idx="52">
                  <c:v>116</c:v>
                </c:pt>
                <c:pt idx="53">
                  <c:v>119.5</c:v>
                </c:pt>
                <c:pt idx="54">
                  <c:v>119.5</c:v>
                </c:pt>
                <c:pt idx="55">
                  <c:v>119.5</c:v>
                </c:pt>
                <c:pt idx="56">
                  <c:v>120.5</c:v>
                </c:pt>
                <c:pt idx="57">
                  <c:v>120.5</c:v>
                </c:pt>
                <c:pt idx="58">
                  <c:v>120.5</c:v>
                </c:pt>
                <c:pt idx="59">
                  <c:v>120.5</c:v>
                </c:pt>
                <c:pt idx="60">
                  <c:v>120.5</c:v>
                </c:pt>
                <c:pt idx="61">
                  <c:v>120.5</c:v>
                </c:pt>
                <c:pt idx="62">
                  <c:v>120.5</c:v>
                </c:pt>
                <c:pt idx="63">
                  <c:v>120.5</c:v>
                </c:pt>
                <c:pt idx="64">
                  <c:v>120.5</c:v>
                </c:pt>
                <c:pt idx="65">
                  <c:v>120.5</c:v>
                </c:pt>
                <c:pt idx="66">
                  <c:v>124</c:v>
                </c:pt>
                <c:pt idx="67">
                  <c:v>124</c:v>
                </c:pt>
                <c:pt idx="68">
                  <c:v>124</c:v>
                </c:pt>
                <c:pt idx="69">
                  <c:v>124</c:v>
                </c:pt>
                <c:pt idx="70">
                  <c:v>124</c:v>
                </c:pt>
                <c:pt idx="71">
                  <c:v>124</c:v>
                </c:pt>
                <c:pt idx="72">
                  <c:v>124</c:v>
                </c:pt>
                <c:pt idx="73">
                  <c:v>124</c:v>
                </c:pt>
                <c:pt idx="74">
                  <c:v>124</c:v>
                </c:pt>
                <c:pt idx="75">
                  <c:v>124</c:v>
                </c:pt>
                <c:pt idx="76">
                  <c:v>124</c:v>
                </c:pt>
                <c:pt idx="77">
                  <c:v>124</c:v>
                </c:pt>
                <c:pt idx="78">
                  <c:v>124</c:v>
                </c:pt>
                <c:pt idx="79">
                  <c:v>124</c:v>
                </c:pt>
                <c:pt idx="80">
                  <c:v>124</c:v>
                </c:pt>
                <c:pt idx="81">
                  <c:v>124</c:v>
                </c:pt>
                <c:pt idx="82">
                  <c:v>124</c:v>
                </c:pt>
                <c:pt idx="83">
                  <c:v>124</c:v>
                </c:pt>
                <c:pt idx="84">
                  <c:v>124</c:v>
                </c:pt>
                <c:pt idx="85">
                  <c:v>124</c:v>
                </c:pt>
                <c:pt idx="86">
                  <c:v>126.5</c:v>
                </c:pt>
                <c:pt idx="87">
                  <c:v>126.5</c:v>
                </c:pt>
                <c:pt idx="88">
                  <c:v>126.5</c:v>
                </c:pt>
                <c:pt idx="89">
                  <c:v>126.5</c:v>
                </c:pt>
                <c:pt idx="90">
                  <c:v>126.5</c:v>
                </c:pt>
                <c:pt idx="91">
                  <c:v>126.5</c:v>
                </c:pt>
                <c:pt idx="92">
                  <c:v>126.5</c:v>
                </c:pt>
                <c:pt idx="93">
                  <c:v>126.5</c:v>
                </c:pt>
                <c:pt idx="94">
                  <c:v>126.5</c:v>
                </c:pt>
                <c:pt idx="95">
                  <c:v>126.5</c:v>
                </c:pt>
                <c:pt idx="96">
                  <c:v>126.5</c:v>
                </c:pt>
                <c:pt idx="97">
                  <c:v>126.5</c:v>
                </c:pt>
                <c:pt idx="98">
                  <c:v>126.5</c:v>
                </c:pt>
                <c:pt idx="99">
                  <c:v>126.5</c:v>
                </c:pt>
                <c:pt idx="100">
                  <c:v>126.5</c:v>
                </c:pt>
                <c:pt idx="101">
                  <c:v>126.5</c:v>
                </c:pt>
                <c:pt idx="102">
                  <c:v>126.5</c:v>
                </c:pt>
                <c:pt idx="103">
                  <c:v>126.5</c:v>
                </c:pt>
                <c:pt idx="104">
                  <c:v>126.5</c:v>
                </c:pt>
                <c:pt idx="105">
                  <c:v>126.5</c:v>
                </c:pt>
                <c:pt idx="106">
                  <c:v>126.5</c:v>
                </c:pt>
                <c:pt idx="107">
                  <c:v>126.5</c:v>
                </c:pt>
                <c:pt idx="108">
                  <c:v>126.5</c:v>
                </c:pt>
                <c:pt idx="109">
                  <c:v>126.5</c:v>
                </c:pt>
                <c:pt idx="110">
                  <c:v>126.5</c:v>
                </c:pt>
                <c:pt idx="111">
                  <c:v>126.5</c:v>
                </c:pt>
                <c:pt idx="112">
                  <c:v>126.5</c:v>
                </c:pt>
                <c:pt idx="113">
                  <c:v>126.5</c:v>
                </c:pt>
                <c:pt idx="114">
                  <c:v>126.5</c:v>
                </c:pt>
                <c:pt idx="115">
                  <c:v>126.5</c:v>
                </c:pt>
                <c:pt idx="116">
                  <c:v>126.5</c:v>
                </c:pt>
                <c:pt idx="117">
                  <c:v>126.5</c:v>
                </c:pt>
                <c:pt idx="118">
                  <c:v>126.5</c:v>
                </c:pt>
                <c:pt idx="119">
                  <c:v>126.5</c:v>
                </c:pt>
                <c:pt idx="120">
                  <c:v>126.5</c:v>
                </c:pt>
                <c:pt idx="121">
                  <c:v>126.5</c:v>
                </c:pt>
                <c:pt idx="122">
                  <c:v>126.5</c:v>
                </c:pt>
                <c:pt idx="123">
                  <c:v>126.5</c:v>
                </c:pt>
                <c:pt idx="124">
                  <c:v>126.5</c:v>
                </c:pt>
                <c:pt idx="125">
                  <c:v>126.5</c:v>
                </c:pt>
                <c:pt idx="126">
                  <c:v>126.5</c:v>
                </c:pt>
                <c:pt idx="127">
                  <c:v>126.5</c:v>
                </c:pt>
                <c:pt idx="128">
                  <c:v>126.5</c:v>
                </c:pt>
                <c:pt idx="129">
                  <c:v>126.5</c:v>
                </c:pt>
                <c:pt idx="130">
                  <c:v>126.5</c:v>
                </c:pt>
                <c:pt idx="131">
                  <c:v>126.5</c:v>
                </c:pt>
                <c:pt idx="132">
                  <c:v>126.5</c:v>
                </c:pt>
                <c:pt idx="133">
                  <c:v>126.5</c:v>
                </c:pt>
                <c:pt idx="134">
                  <c:v>126.5</c:v>
                </c:pt>
                <c:pt idx="135">
                  <c:v>126.5</c:v>
                </c:pt>
                <c:pt idx="136">
                  <c:v>126.5</c:v>
                </c:pt>
                <c:pt idx="137">
                  <c:v>126.5</c:v>
                </c:pt>
                <c:pt idx="138">
                  <c:v>126.5</c:v>
                </c:pt>
                <c:pt idx="139">
                  <c:v>126.5</c:v>
                </c:pt>
                <c:pt idx="140">
                  <c:v>126.5</c:v>
                </c:pt>
                <c:pt idx="141">
                  <c:v>126.5</c:v>
                </c:pt>
              </c:numCache>
            </c:numRef>
          </c:val>
          <c:smooth val="0"/>
        </c:ser>
        <c:dLbls>
          <c:showLegendKey val="0"/>
          <c:showVal val="0"/>
          <c:showCatName val="0"/>
          <c:showSerName val="0"/>
          <c:showPercent val="0"/>
          <c:showBubbleSize val="0"/>
        </c:dLbls>
        <c:marker val="1"/>
        <c:smooth val="0"/>
        <c:axId val="276155008"/>
        <c:axId val="276156800"/>
      </c:lineChart>
      <c:catAx>
        <c:axId val="275873152"/>
        <c:scaling>
          <c:orientation val="minMax"/>
        </c:scaling>
        <c:delete val="0"/>
        <c:axPos val="b"/>
        <c:numFmt formatCode="General" sourceLinked="1"/>
        <c:majorTickMark val="in"/>
        <c:minorTickMark val="none"/>
        <c:tickLblPos val="nextTo"/>
        <c:spPr>
          <a:ln>
            <a:solidFill>
              <a:sysClr val="windowText" lastClr="000000"/>
            </a:solidFill>
          </a:ln>
        </c:spPr>
        <c:txPr>
          <a:bodyPr rot="-2700000"/>
          <a:lstStyle/>
          <a:p>
            <a:pPr>
              <a:defRPr>
                <a:latin typeface="Times New Roman" pitchFamily="18" charset="0"/>
                <a:cs typeface="Times New Roman" pitchFamily="18" charset="0"/>
              </a:defRPr>
            </a:pPr>
            <a:endParaRPr lang="zh-TW"/>
          </a:p>
        </c:txPr>
        <c:crossAx val="276153472"/>
        <c:crosses val="autoZero"/>
        <c:auto val="1"/>
        <c:lblAlgn val="ctr"/>
        <c:lblOffset val="100"/>
        <c:tickLblSkip val="5"/>
        <c:tickMarkSkip val="5"/>
        <c:noMultiLvlLbl val="0"/>
      </c:catAx>
      <c:valAx>
        <c:axId val="276153472"/>
        <c:scaling>
          <c:orientation val="minMax"/>
          <c:max val="75"/>
          <c:min val="50"/>
        </c:scaling>
        <c:delete val="0"/>
        <c:axPos val="l"/>
        <c:numFmt formatCode="#,##0.0_);[Red]\(#,##0.0\)" sourceLinked="0"/>
        <c:majorTickMark val="in"/>
        <c:minorTickMark val="none"/>
        <c:tickLblPos val="nextTo"/>
        <c:spPr>
          <a:ln>
            <a:solidFill>
              <a:sysClr val="windowText" lastClr="000000"/>
            </a:solidFill>
          </a:ln>
        </c:spPr>
        <c:txPr>
          <a:bodyPr/>
          <a:lstStyle/>
          <a:p>
            <a:pPr>
              <a:defRPr>
                <a:latin typeface="Times New Roman" pitchFamily="18" charset="0"/>
                <a:cs typeface="Times New Roman" pitchFamily="18" charset="0"/>
              </a:defRPr>
            </a:pPr>
            <a:endParaRPr lang="zh-TW"/>
          </a:p>
        </c:txPr>
        <c:crossAx val="275873152"/>
        <c:crosses val="autoZero"/>
        <c:crossBetween val="between"/>
      </c:valAx>
      <c:catAx>
        <c:axId val="276155008"/>
        <c:scaling>
          <c:orientation val="minMax"/>
        </c:scaling>
        <c:delete val="1"/>
        <c:axPos val="b"/>
        <c:numFmt formatCode="General" sourceLinked="1"/>
        <c:majorTickMark val="out"/>
        <c:minorTickMark val="none"/>
        <c:tickLblPos val="nextTo"/>
        <c:crossAx val="276156800"/>
        <c:crosses val="autoZero"/>
        <c:auto val="1"/>
        <c:lblAlgn val="ctr"/>
        <c:lblOffset val="100"/>
        <c:noMultiLvlLbl val="0"/>
      </c:catAx>
      <c:valAx>
        <c:axId val="276156800"/>
        <c:scaling>
          <c:orientation val="minMax"/>
          <c:max val="130"/>
          <c:min val="110"/>
        </c:scaling>
        <c:delete val="0"/>
        <c:axPos val="r"/>
        <c:numFmt formatCode="#,##0.0_);[Red]\(#,##0.0\)" sourceLinked="0"/>
        <c:majorTickMark val="in"/>
        <c:minorTickMark val="none"/>
        <c:tickLblPos val="nextTo"/>
        <c:spPr>
          <a:ln>
            <a:solidFill>
              <a:sysClr val="windowText" lastClr="000000"/>
            </a:solidFill>
          </a:ln>
        </c:spPr>
        <c:crossAx val="276155008"/>
        <c:crosses val="max"/>
        <c:crossBetween val="between"/>
      </c:valAx>
      <c:spPr>
        <a:noFill/>
        <a:ln w="25400">
          <a:noFill/>
        </a:ln>
      </c:spPr>
    </c:plotArea>
    <c:legend>
      <c:legendPos val="r"/>
      <c:layout>
        <c:manualLayout>
          <c:xMode val="edge"/>
          <c:yMode val="edge"/>
          <c:x val="0.20611641786799531"/>
          <c:y val="2.7247526062392634E-2"/>
          <c:w val="0.64044200675999197"/>
          <c:h val="8.0153717986616843E-2"/>
        </c:manualLayout>
      </c:layout>
      <c:overlay val="0"/>
      <c:txPr>
        <a:bodyPr/>
        <a:lstStyle/>
        <a:p>
          <a:pPr>
            <a:defRPr>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userShapes r:id="rId3"/>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423929098966025E-2"/>
          <c:y val="5.4755043227665709E-2"/>
          <c:w val="0.9070299545890097"/>
          <c:h val="0.72473963972709465"/>
        </c:manualLayout>
      </c:layout>
      <c:lineChart>
        <c:grouping val="standard"/>
        <c:varyColors val="0"/>
        <c:ser>
          <c:idx val="1"/>
          <c:order val="0"/>
          <c:tx>
            <c:strRef>
              <c:f>洗髮精!$B$2</c:f>
              <c:strCache>
                <c:ptCount val="1"/>
                <c:pt idx="0">
                  <c:v>超市－海倫仙度絲</c:v>
                </c:pt>
              </c:strCache>
            </c:strRef>
          </c:tx>
          <c:spPr>
            <a:ln>
              <a:prstDash val="sysDot"/>
            </a:ln>
          </c:spPr>
          <c:marker>
            <c:symbol val="none"/>
          </c:marker>
          <c:cat>
            <c:strRef>
              <c:f>洗髮精!$A$32:$A$173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洗髮精!$B$32:$B$173</c:f>
              <c:numCache>
                <c:formatCode>0.00</c:formatCode>
                <c:ptCount val="142"/>
                <c:pt idx="0">
                  <c:v>149.55555555555554</c:v>
                </c:pt>
                <c:pt idx="1">
                  <c:v>148.33333333333334</c:v>
                </c:pt>
                <c:pt idx="2">
                  <c:v>142.78</c:v>
                </c:pt>
                <c:pt idx="3">
                  <c:v>148</c:v>
                </c:pt>
                <c:pt idx="4">
                  <c:v>146.88999999999999</c:v>
                </c:pt>
                <c:pt idx="5">
                  <c:v>146.88999999999999</c:v>
                </c:pt>
                <c:pt idx="6">
                  <c:v>145.375</c:v>
                </c:pt>
                <c:pt idx="7">
                  <c:v>147.875</c:v>
                </c:pt>
                <c:pt idx="8">
                  <c:v>146.88888888888889</c:v>
                </c:pt>
                <c:pt idx="9">
                  <c:v>149</c:v>
                </c:pt>
                <c:pt idx="10">
                  <c:v>146.77777777777777</c:v>
                </c:pt>
                <c:pt idx="11">
                  <c:v>145.5</c:v>
                </c:pt>
                <c:pt idx="12">
                  <c:v>145.5</c:v>
                </c:pt>
                <c:pt idx="13">
                  <c:v>145.4</c:v>
                </c:pt>
                <c:pt idx="14">
                  <c:v>146.1</c:v>
                </c:pt>
                <c:pt idx="15">
                  <c:v>145.77777777777777</c:v>
                </c:pt>
                <c:pt idx="16">
                  <c:v>146.88888888888889</c:v>
                </c:pt>
                <c:pt idx="17">
                  <c:v>146.88888888888889</c:v>
                </c:pt>
                <c:pt idx="18">
                  <c:v>148</c:v>
                </c:pt>
                <c:pt idx="19">
                  <c:v>148</c:v>
                </c:pt>
                <c:pt idx="20">
                  <c:v>148</c:v>
                </c:pt>
                <c:pt idx="21">
                  <c:v>153.22222222222223</c:v>
                </c:pt>
                <c:pt idx="22">
                  <c:v>156.44444444444446</c:v>
                </c:pt>
                <c:pt idx="23">
                  <c:v>156.44444444444446</c:v>
                </c:pt>
                <c:pt idx="24">
                  <c:v>156.44444444444446</c:v>
                </c:pt>
                <c:pt idx="25">
                  <c:v>156.66666666666666</c:v>
                </c:pt>
                <c:pt idx="26">
                  <c:v>156.66666666666666</c:v>
                </c:pt>
                <c:pt idx="27">
                  <c:v>156.66666666666666</c:v>
                </c:pt>
                <c:pt idx="28">
                  <c:v>157.44444444444446</c:v>
                </c:pt>
                <c:pt idx="29">
                  <c:v>157.6</c:v>
                </c:pt>
                <c:pt idx="30">
                  <c:v>157.6</c:v>
                </c:pt>
                <c:pt idx="31">
                  <c:v>158.1</c:v>
                </c:pt>
                <c:pt idx="32">
                  <c:v>158.1</c:v>
                </c:pt>
                <c:pt idx="33">
                  <c:v>153.1</c:v>
                </c:pt>
                <c:pt idx="34">
                  <c:v>153.1</c:v>
                </c:pt>
                <c:pt idx="35">
                  <c:v>148.1</c:v>
                </c:pt>
                <c:pt idx="36">
                  <c:v>148.1</c:v>
                </c:pt>
                <c:pt idx="37">
                  <c:v>152.1</c:v>
                </c:pt>
                <c:pt idx="38">
                  <c:v>153.6</c:v>
                </c:pt>
                <c:pt idx="39">
                  <c:v>153.6</c:v>
                </c:pt>
                <c:pt idx="40">
                  <c:v>152.4</c:v>
                </c:pt>
                <c:pt idx="41">
                  <c:v>154.4</c:v>
                </c:pt>
                <c:pt idx="42">
                  <c:v>154.4</c:v>
                </c:pt>
                <c:pt idx="43">
                  <c:v>154.4</c:v>
                </c:pt>
                <c:pt idx="44">
                  <c:v>155.6</c:v>
                </c:pt>
                <c:pt idx="45">
                  <c:v>155.6</c:v>
                </c:pt>
                <c:pt idx="46">
                  <c:v>155.6</c:v>
                </c:pt>
                <c:pt idx="47">
                  <c:v>155.6</c:v>
                </c:pt>
                <c:pt idx="48">
                  <c:v>155.6</c:v>
                </c:pt>
                <c:pt idx="49">
                  <c:v>155.6</c:v>
                </c:pt>
                <c:pt idx="50">
                  <c:v>155.6</c:v>
                </c:pt>
                <c:pt idx="51">
                  <c:v>155.22222222222223</c:v>
                </c:pt>
                <c:pt idx="52">
                  <c:v>152.77777777777777</c:v>
                </c:pt>
                <c:pt idx="53">
                  <c:v>162.22</c:v>
                </c:pt>
                <c:pt idx="54">
                  <c:v>162.22222222222223</c:v>
                </c:pt>
                <c:pt idx="55">
                  <c:v>158.44444444444446</c:v>
                </c:pt>
                <c:pt idx="56">
                  <c:v>155.55555555555554</c:v>
                </c:pt>
                <c:pt idx="57">
                  <c:v>155.55555555555554</c:v>
                </c:pt>
                <c:pt idx="58">
                  <c:v>155.55555555555554</c:v>
                </c:pt>
                <c:pt idx="59">
                  <c:v>155.55555555555554</c:v>
                </c:pt>
                <c:pt idx="60">
                  <c:v>155.55555555555554</c:v>
                </c:pt>
                <c:pt idx="61">
                  <c:v>155.55555555555554</c:v>
                </c:pt>
                <c:pt idx="62">
                  <c:v>155.55555555555554</c:v>
                </c:pt>
                <c:pt idx="63">
                  <c:v>155.55555555555554</c:v>
                </c:pt>
                <c:pt idx="64">
                  <c:v>157.9</c:v>
                </c:pt>
                <c:pt idx="65">
                  <c:v>156</c:v>
                </c:pt>
                <c:pt idx="66">
                  <c:v>156</c:v>
                </c:pt>
                <c:pt idx="67">
                  <c:v>156</c:v>
                </c:pt>
                <c:pt idx="68">
                  <c:v>156</c:v>
                </c:pt>
                <c:pt idx="69">
                  <c:v>156</c:v>
                </c:pt>
                <c:pt idx="70">
                  <c:v>156</c:v>
                </c:pt>
                <c:pt idx="71">
                  <c:v>156</c:v>
                </c:pt>
                <c:pt idx="72">
                  <c:v>156</c:v>
                </c:pt>
                <c:pt idx="73">
                  <c:v>156</c:v>
                </c:pt>
                <c:pt idx="74">
                  <c:v>156</c:v>
                </c:pt>
                <c:pt idx="75">
                  <c:v>155.55555555555554</c:v>
                </c:pt>
                <c:pt idx="76">
                  <c:v>155</c:v>
                </c:pt>
                <c:pt idx="77">
                  <c:v>155.55555555555554</c:v>
                </c:pt>
                <c:pt idx="78">
                  <c:v>155.55555555555554</c:v>
                </c:pt>
                <c:pt idx="79">
                  <c:v>155.55555555555554</c:v>
                </c:pt>
                <c:pt idx="80">
                  <c:v>156</c:v>
                </c:pt>
                <c:pt idx="81">
                  <c:v>156</c:v>
                </c:pt>
                <c:pt idx="82">
                  <c:v>156</c:v>
                </c:pt>
                <c:pt idx="83">
                  <c:v>156</c:v>
                </c:pt>
                <c:pt idx="84">
                  <c:v>156</c:v>
                </c:pt>
                <c:pt idx="85">
                  <c:v>156.57142857142858</c:v>
                </c:pt>
                <c:pt idx="86">
                  <c:v>159.75</c:v>
                </c:pt>
                <c:pt idx="87">
                  <c:v>159.75</c:v>
                </c:pt>
                <c:pt idx="88">
                  <c:v>159.75</c:v>
                </c:pt>
                <c:pt idx="89">
                  <c:v>159.75</c:v>
                </c:pt>
                <c:pt idx="90">
                  <c:v>159.75</c:v>
                </c:pt>
                <c:pt idx="91">
                  <c:v>159.75</c:v>
                </c:pt>
                <c:pt idx="92">
                  <c:v>159.75</c:v>
                </c:pt>
                <c:pt idx="93">
                  <c:v>159.75</c:v>
                </c:pt>
                <c:pt idx="94">
                  <c:v>159.75</c:v>
                </c:pt>
                <c:pt idx="95">
                  <c:v>159.75</c:v>
                </c:pt>
                <c:pt idx="96">
                  <c:v>159.75</c:v>
                </c:pt>
                <c:pt idx="97">
                  <c:v>159.75</c:v>
                </c:pt>
                <c:pt idx="98">
                  <c:v>159.75</c:v>
                </c:pt>
                <c:pt idx="99">
                  <c:v>159.75</c:v>
                </c:pt>
                <c:pt idx="100">
                  <c:v>159.75</c:v>
                </c:pt>
                <c:pt idx="101">
                  <c:v>159.75</c:v>
                </c:pt>
                <c:pt idx="102">
                  <c:v>160.77777777777777</c:v>
                </c:pt>
                <c:pt idx="103">
                  <c:v>160.77777777777777</c:v>
                </c:pt>
                <c:pt idx="104">
                  <c:v>160.77777777777777</c:v>
                </c:pt>
                <c:pt idx="105">
                  <c:v>157.11111111111111</c:v>
                </c:pt>
                <c:pt idx="106">
                  <c:v>160.77777777777777</c:v>
                </c:pt>
                <c:pt idx="107">
                  <c:v>160.77777777777777</c:v>
                </c:pt>
                <c:pt idx="108">
                  <c:v>160.77777777777777</c:v>
                </c:pt>
                <c:pt idx="109">
                  <c:v>160.77777777777777</c:v>
                </c:pt>
                <c:pt idx="110">
                  <c:v>165.16666666666666</c:v>
                </c:pt>
                <c:pt idx="111">
                  <c:v>165.16666666666666</c:v>
                </c:pt>
                <c:pt idx="112">
                  <c:v>165.16666666666666</c:v>
                </c:pt>
                <c:pt idx="113">
                  <c:v>165.16666666666666</c:v>
                </c:pt>
                <c:pt idx="114">
                  <c:v>165.16666666666666</c:v>
                </c:pt>
                <c:pt idx="115">
                  <c:v>165.16666666666666</c:v>
                </c:pt>
                <c:pt idx="116">
                  <c:v>165.16666666666666</c:v>
                </c:pt>
                <c:pt idx="117">
                  <c:v>165.16666666666666</c:v>
                </c:pt>
                <c:pt idx="118">
                  <c:v>165.16666666666666</c:v>
                </c:pt>
                <c:pt idx="119">
                  <c:v>165.16666666666666</c:v>
                </c:pt>
                <c:pt idx="120">
                  <c:v>168.33333333333334</c:v>
                </c:pt>
                <c:pt idx="121">
                  <c:v>165.16666666666666</c:v>
                </c:pt>
                <c:pt idx="122">
                  <c:v>165.16666666666666</c:v>
                </c:pt>
                <c:pt idx="123">
                  <c:v>165.16666666666666</c:v>
                </c:pt>
                <c:pt idx="124">
                  <c:v>165.16666666666666</c:v>
                </c:pt>
                <c:pt idx="125">
                  <c:v>165.16666666666666</c:v>
                </c:pt>
                <c:pt idx="126">
                  <c:v>165.16666666666666</c:v>
                </c:pt>
                <c:pt idx="127">
                  <c:v>165.16666666666666</c:v>
                </c:pt>
                <c:pt idx="128">
                  <c:v>165.16666666666666</c:v>
                </c:pt>
                <c:pt idx="129">
                  <c:v>165.16666666666666</c:v>
                </c:pt>
                <c:pt idx="130">
                  <c:v>165.16666666666666</c:v>
                </c:pt>
                <c:pt idx="131">
                  <c:v>165.16666666666666</c:v>
                </c:pt>
                <c:pt idx="132">
                  <c:v>165.16666666666666</c:v>
                </c:pt>
                <c:pt idx="133">
                  <c:v>165.16666666666666</c:v>
                </c:pt>
                <c:pt idx="134">
                  <c:v>165.16666666666666</c:v>
                </c:pt>
                <c:pt idx="135">
                  <c:v>165.16666666666666</c:v>
                </c:pt>
                <c:pt idx="136">
                  <c:v>165.16666666666666</c:v>
                </c:pt>
                <c:pt idx="137">
                  <c:v>165.16666666666666</c:v>
                </c:pt>
                <c:pt idx="138">
                  <c:v>165.16666666666666</c:v>
                </c:pt>
                <c:pt idx="139">
                  <c:v>165.16666666666666</c:v>
                </c:pt>
                <c:pt idx="140">
                  <c:v>164.4</c:v>
                </c:pt>
                <c:pt idx="141">
                  <c:v>165.16666666666666</c:v>
                </c:pt>
              </c:numCache>
            </c:numRef>
          </c:val>
          <c:smooth val="0"/>
        </c:ser>
        <c:ser>
          <c:idx val="3"/>
          <c:order val="1"/>
          <c:tx>
            <c:strRef>
              <c:f>洗髮精!$C$2</c:f>
              <c:strCache>
                <c:ptCount val="1"/>
                <c:pt idx="0">
                  <c:v>超市－多芬</c:v>
                </c:pt>
              </c:strCache>
            </c:strRef>
          </c:tx>
          <c:spPr>
            <a:ln w="57150"/>
          </c:spPr>
          <c:marker>
            <c:symbol val="none"/>
          </c:marker>
          <c:cat>
            <c:strRef>
              <c:f>洗髮精!$A$32:$A$173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洗髮精!$C$32:$C$173</c:f>
              <c:numCache>
                <c:formatCode>0.00</c:formatCode>
                <c:ptCount val="142"/>
                <c:pt idx="0">
                  <c:v>185.33333333333334</c:v>
                </c:pt>
                <c:pt idx="1">
                  <c:v>184.6</c:v>
                </c:pt>
                <c:pt idx="2">
                  <c:v>190.5</c:v>
                </c:pt>
                <c:pt idx="3">
                  <c:v>185.13</c:v>
                </c:pt>
                <c:pt idx="4">
                  <c:v>181.6</c:v>
                </c:pt>
                <c:pt idx="5">
                  <c:v>182.73</c:v>
                </c:pt>
                <c:pt idx="6">
                  <c:v>182.28571428571428</c:v>
                </c:pt>
                <c:pt idx="7">
                  <c:v>185.2</c:v>
                </c:pt>
                <c:pt idx="8">
                  <c:v>186.13333333333333</c:v>
                </c:pt>
                <c:pt idx="9">
                  <c:v>181</c:v>
                </c:pt>
                <c:pt idx="10">
                  <c:v>180.25</c:v>
                </c:pt>
                <c:pt idx="11">
                  <c:v>184</c:v>
                </c:pt>
                <c:pt idx="12">
                  <c:v>184</c:v>
                </c:pt>
                <c:pt idx="13">
                  <c:v>180.25</c:v>
                </c:pt>
                <c:pt idx="14">
                  <c:v>181.94117647058823</c:v>
                </c:pt>
                <c:pt idx="15">
                  <c:v>178.64705882352942</c:v>
                </c:pt>
                <c:pt idx="16">
                  <c:v>179</c:v>
                </c:pt>
                <c:pt idx="17">
                  <c:v>180.76470588235293</c:v>
                </c:pt>
                <c:pt idx="18">
                  <c:v>182.70588235294119</c:v>
                </c:pt>
                <c:pt idx="19">
                  <c:v>183.29411764705881</c:v>
                </c:pt>
                <c:pt idx="20">
                  <c:v>183.11764705882354</c:v>
                </c:pt>
                <c:pt idx="21">
                  <c:v>181.11764705882354</c:v>
                </c:pt>
                <c:pt idx="22">
                  <c:v>177.94444444444446</c:v>
                </c:pt>
                <c:pt idx="23">
                  <c:v>180.29411764705881</c:v>
                </c:pt>
                <c:pt idx="24">
                  <c:v>180.41176470588235</c:v>
                </c:pt>
                <c:pt idx="25">
                  <c:v>175.27777777777777</c:v>
                </c:pt>
                <c:pt idx="26">
                  <c:v>176.94444444444446</c:v>
                </c:pt>
                <c:pt idx="27">
                  <c:v>180.44444444444446</c:v>
                </c:pt>
                <c:pt idx="28">
                  <c:v>180.11111111111111</c:v>
                </c:pt>
                <c:pt idx="29">
                  <c:v>182.11111111111111</c:v>
                </c:pt>
                <c:pt idx="30">
                  <c:v>183.77777777777777</c:v>
                </c:pt>
                <c:pt idx="31">
                  <c:v>182.22222222222223</c:v>
                </c:pt>
                <c:pt idx="32">
                  <c:v>182.11111111111111</c:v>
                </c:pt>
                <c:pt idx="33">
                  <c:v>183.33333333333334</c:v>
                </c:pt>
                <c:pt idx="34">
                  <c:v>178.1764705882353</c:v>
                </c:pt>
                <c:pt idx="35">
                  <c:v>179.22222222222223</c:v>
                </c:pt>
                <c:pt idx="36">
                  <c:v>179.22222222222223</c:v>
                </c:pt>
                <c:pt idx="37">
                  <c:v>180.88888888888889</c:v>
                </c:pt>
                <c:pt idx="38">
                  <c:v>179.44444444444446</c:v>
                </c:pt>
                <c:pt idx="39">
                  <c:v>183</c:v>
                </c:pt>
                <c:pt idx="40">
                  <c:v>183.16666666666666</c:v>
                </c:pt>
                <c:pt idx="41">
                  <c:v>184.11111111111111</c:v>
                </c:pt>
                <c:pt idx="42">
                  <c:v>182.61111111111111</c:v>
                </c:pt>
                <c:pt idx="43">
                  <c:v>177.36111111111111</c:v>
                </c:pt>
                <c:pt idx="44">
                  <c:v>180.27777777777777</c:v>
                </c:pt>
                <c:pt idx="45">
                  <c:v>174.47058823529412</c:v>
                </c:pt>
                <c:pt idx="46">
                  <c:v>178.29411764705881</c:v>
                </c:pt>
                <c:pt idx="47">
                  <c:v>178.83333333333334</c:v>
                </c:pt>
                <c:pt idx="48">
                  <c:v>180.5</c:v>
                </c:pt>
                <c:pt idx="49">
                  <c:v>177.16666666666666</c:v>
                </c:pt>
                <c:pt idx="50">
                  <c:v>177.5</c:v>
                </c:pt>
                <c:pt idx="51">
                  <c:v>174.23529411764707</c:v>
                </c:pt>
                <c:pt idx="52">
                  <c:v>180.38888888888889</c:v>
                </c:pt>
                <c:pt idx="53">
                  <c:v>180.35294117647058</c:v>
                </c:pt>
                <c:pt idx="54">
                  <c:v>176.52941176470588</c:v>
                </c:pt>
                <c:pt idx="55">
                  <c:v>176.52941176470588</c:v>
                </c:pt>
                <c:pt idx="56">
                  <c:v>178.1875</c:v>
                </c:pt>
                <c:pt idx="57">
                  <c:v>174.47058823529412</c:v>
                </c:pt>
                <c:pt idx="58">
                  <c:v>171.22222222222223</c:v>
                </c:pt>
                <c:pt idx="59">
                  <c:v>183.88235294117646</c:v>
                </c:pt>
                <c:pt idx="60">
                  <c:v>183.88235294117646</c:v>
                </c:pt>
                <c:pt idx="61">
                  <c:v>179.73529411764707</c:v>
                </c:pt>
                <c:pt idx="62">
                  <c:v>178.55882352941177</c:v>
                </c:pt>
                <c:pt idx="63">
                  <c:v>179.23529411764707</c:v>
                </c:pt>
                <c:pt idx="64">
                  <c:v>179.44444444444446</c:v>
                </c:pt>
                <c:pt idx="65">
                  <c:v>176.66666666666666</c:v>
                </c:pt>
                <c:pt idx="66">
                  <c:v>177.72222222222223</c:v>
                </c:pt>
                <c:pt idx="67">
                  <c:v>174.94444444444446</c:v>
                </c:pt>
                <c:pt idx="68">
                  <c:v>174.61109999999999</c:v>
                </c:pt>
                <c:pt idx="69">
                  <c:v>173.77777777777777</c:v>
                </c:pt>
                <c:pt idx="70">
                  <c:v>173.22222222222223</c:v>
                </c:pt>
                <c:pt idx="71">
                  <c:v>164.88888888888889</c:v>
                </c:pt>
                <c:pt idx="72">
                  <c:v>161.55555555555554</c:v>
                </c:pt>
                <c:pt idx="73">
                  <c:v>169.94444444444446</c:v>
                </c:pt>
                <c:pt idx="74">
                  <c:v>183.27777777777777</c:v>
                </c:pt>
                <c:pt idx="75">
                  <c:v>184.55555555555554</c:v>
                </c:pt>
                <c:pt idx="76">
                  <c:v>183.1764705882353</c:v>
                </c:pt>
                <c:pt idx="77">
                  <c:v>182.72222222222223</c:v>
                </c:pt>
                <c:pt idx="78">
                  <c:v>183.61111111111111</c:v>
                </c:pt>
                <c:pt idx="79">
                  <c:v>179.33333333333334</c:v>
                </c:pt>
                <c:pt idx="80">
                  <c:v>174.58823529411765</c:v>
                </c:pt>
                <c:pt idx="81">
                  <c:v>174.58823529411765</c:v>
                </c:pt>
                <c:pt idx="82">
                  <c:v>176.41176470588235</c:v>
                </c:pt>
                <c:pt idx="83">
                  <c:v>179.94117647058823</c:v>
                </c:pt>
                <c:pt idx="84">
                  <c:v>178.76470588235293</c:v>
                </c:pt>
                <c:pt idx="85">
                  <c:v>176.41176470588235</c:v>
                </c:pt>
                <c:pt idx="86">
                  <c:v>178.1764705882353</c:v>
                </c:pt>
                <c:pt idx="87">
                  <c:v>178.1764705882353</c:v>
                </c:pt>
                <c:pt idx="88">
                  <c:v>172.29411764705881</c:v>
                </c:pt>
                <c:pt idx="89">
                  <c:v>172.29411764705881</c:v>
                </c:pt>
                <c:pt idx="90">
                  <c:v>174.64705882352942</c:v>
                </c:pt>
                <c:pt idx="91">
                  <c:v>171.94117647058823</c:v>
                </c:pt>
                <c:pt idx="92">
                  <c:v>174.55555555555554</c:v>
                </c:pt>
                <c:pt idx="93">
                  <c:v>174.83333333333334</c:v>
                </c:pt>
                <c:pt idx="94">
                  <c:v>177.29411764705881</c:v>
                </c:pt>
                <c:pt idx="95">
                  <c:v>177.9019607843137</c:v>
                </c:pt>
                <c:pt idx="96">
                  <c:v>175.18518518518516</c:v>
                </c:pt>
                <c:pt idx="97">
                  <c:v>177.23529411764707</c:v>
                </c:pt>
                <c:pt idx="98">
                  <c:v>181.5</c:v>
                </c:pt>
                <c:pt idx="99">
                  <c:v>180.875</c:v>
                </c:pt>
                <c:pt idx="100">
                  <c:v>175.25</c:v>
                </c:pt>
                <c:pt idx="101">
                  <c:v>173.34375</c:v>
                </c:pt>
                <c:pt idx="102">
                  <c:v>178.52941176470588</c:v>
                </c:pt>
                <c:pt idx="103">
                  <c:v>175.88235294117646</c:v>
                </c:pt>
                <c:pt idx="104">
                  <c:v>174.41176470588235</c:v>
                </c:pt>
                <c:pt idx="105">
                  <c:v>165.52941176470588</c:v>
                </c:pt>
                <c:pt idx="106">
                  <c:v>169.41176470588235</c:v>
                </c:pt>
                <c:pt idx="107">
                  <c:v>166</c:v>
                </c:pt>
                <c:pt idx="108">
                  <c:v>180.76470588235293</c:v>
                </c:pt>
                <c:pt idx="109">
                  <c:v>175.11764705882354</c:v>
                </c:pt>
                <c:pt idx="110">
                  <c:v>179.0625</c:v>
                </c:pt>
                <c:pt idx="111">
                  <c:v>183.5</c:v>
                </c:pt>
                <c:pt idx="112">
                  <c:v>183.25</c:v>
                </c:pt>
                <c:pt idx="113">
                  <c:v>176.76470588235293</c:v>
                </c:pt>
                <c:pt idx="114">
                  <c:v>171.8</c:v>
                </c:pt>
                <c:pt idx="115">
                  <c:v>181.9375</c:v>
                </c:pt>
                <c:pt idx="116">
                  <c:v>184.25</c:v>
                </c:pt>
                <c:pt idx="117">
                  <c:v>181.8</c:v>
                </c:pt>
                <c:pt idx="118">
                  <c:v>183.26666666666668</c:v>
                </c:pt>
                <c:pt idx="119">
                  <c:v>180.8125</c:v>
                </c:pt>
                <c:pt idx="120">
                  <c:v>177.125</c:v>
                </c:pt>
                <c:pt idx="121">
                  <c:v>184.73333333333332</c:v>
                </c:pt>
                <c:pt idx="122">
                  <c:v>185.375</c:v>
                </c:pt>
                <c:pt idx="123">
                  <c:v>179.75</c:v>
                </c:pt>
                <c:pt idx="124">
                  <c:v>187.125</c:v>
                </c:pt>
                <c:pt idx="125">
                  <c:v>180.375</c:v>
                </c:pt>
                <c:pt idx="126">
                  <c:v>184.75</c:v>
                </c:pt>
                <c:pt idx="127">
                  <c:v>180</c:v>
                </c:pt>
                <c:pt idx="128">
                  <c:v>176.625</c:v>
                </c:pt>
                <c:pt idx="129">
                  <c:v>165.125</c:v>
                </c:pt>
                <c:pt idx="130">
                  <c:v>185.13333333333333</c:v>
                </c:pt>
                <c:pt idx="131">
                  <c:v>185.375</c:v>
                </c:pt>
                <c:pt idx="132">
                  <c:v>176.05882352941177</c:v>
                </c:pt>
                <c:pt idx="133">
                  <c:v>176</c:v>
                </c:pt>
                <c:pt idx="134">
                  <c:v>177.875</c:v>
                </c:pt>
                <c:pt idx="135">
                  <c:v>184.125</c:v>
                </c:pt>
                <c:pt idx="136">
                  <c:v>178.1875</c:v>
                </c:pt>
                <c:pt idx="137">
                  <c:v>183.75</c:v>
                </c:pt>
                <c:pt idx="138">
                  <c:v>175.375</c:v>
                </c:pt>
                <c:pt idx="139">
                  <c:v>185.6875</c:v>
                </c:pt>
                <c:pt idx="140">
                  <c:v>181.88235294117646</c:v>
                </c:pt>
                <c:pt idx="141">
                  <c:v>180.0625</c:v>
                </c:pt>
              </c:numCache>
            </c:numRef>
          </c:val>
          <c:smooth val="0"/>
        </c:ser>
        <c:ser>
          <c:idx val="2"/>
          <c:order val="2"/>
          <c:tx>
            <c:strRef>
              <c:f>洗髮精!$D$2</c:f>
              <c:strCache>
                <c:ptCount val="1"/>
                <c:pt idx="0">
                  <c:v>量販店－海倫仙度絲</c:v>
                </c:pt>
              </c:strCache>
            </c:strRef>
          </c:tx>
          <c:marker>
            <c:symbol val="none"/>
          </c:marker>
          <c:cat>
            <c:strRef>
              <c:f>洗髮精!$A$32:$A$173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洗髮精!$D$32:$D$173</c:f>
              <c:numCache>
                <c:formatCode>0.00</c:formatCode>
                <c:ptCount val="142"/>
                <c:pt idx="0">
                  <c:v>140.75</c:v>
                </c:pt>
                <c:pt idx="1">
                  <c:v>139.25</c:v>
                </c:pt>
                <c:pt idx="2">
                  <c:v>141.33000000000001</c:v>
                </c:pt>
                <c:pt idx="3">
                  <c:v>141.33000000000001</c:v>
                </c:pt>
                <c:pt idx="4">
                  <c:v>141.33000000000001</c:v>
                </c:pt>
                <c:pt idx="5">
                  <c:v>141.33000000000001</c:v>
                </c:pt>
                <c:pt idx="6">
                  <c:v>129.19999999999999</c:v>
                </c:pt>
                <c:pt idx="7">
                  <c:v>126.5</c:v>
                </c:pt>
                <c:pt idx="8">
                  <c:v>126.5</c:v>
                </c:pt>
                <c:pt idx="9">
                  <c:v>126.5</c:v>
                </c:pt>
                <c:pt idx="10">
                  <c:v>126.5</c:v>
                </c:pt>
                <c:pt idx="11">
                  <c:v>130.75</c:v>
                </c:pt>
                <c:pt idx="12">
                  <c:v>129.75</c:v>
                </c:pt>
                <c:pt idx="13">
                  <c:v>127.25</c:v>
                </c:pt>
                <c:pt idx="14">
                  <c:v>127.25</c:v>
                </c:pt>
                <c:pt idx="15">
                  <c:v>127.25</c:v>
                </c:pt>
                <c:pt idx="16">
                  <c:v>121</c:v>
                </c:pt>
                <c:pt idx="17">
                  <c:v>127.25</c:v>
                </c:pt>
                <c:pt idx="18">
                  <c:v>127.25</c:v>
                </c:pt>
                <c:pt idx="19">
                  <c:v>127.25</c:v>
                </c:pt>
                <c:pt idx="20">
                  <c:v>127.25</c:v>
                </c:pt>
                <c:pt idx="21">
                  <c:v>129.75</c:v>
                </c:pt>
                <c:pt idx="22">
                  <c:v>129.75</c:v>
                </c:pt>
                <c:pt idx="23">
                  <c:v>123.33333333333333</c:v>
                </c:pt>
                <c:pt idx="24">
                  <c:v>137.5</c:v>
                </c:pt>
                <c:pt idx="25">
                  <c:v>137.5</c:v>
                </c:pt>
                <c:pt idx="26">
                  <c:v>137.25</c:v>
                </c:pt>
                <c:pt idx="27">
                  <c:v>135.33333333333334</c:v>
                </c:pt>
                <c:pt idx="28">
                  <c:v>135.33333333333334</c:v>
                </c:pt>
                <c:pt idx="29">
                  <c:v>135.33333333333334</c:v>
                </c:pt>
                <c:pt idx="30">
                  <c:v>119</c:v>
                </c:pt>
                <c:pt idx="31">
                  <c:v>117.5</c:v>
                </c:pt>
                <c:pt idx="32">
                  <c:v>119</c:v>
                </c:pt>
                <c:pt idx="33">
                  <c:v>119</c:v>
                </c:pt>
                <c:pt idx="34">
                  <c:v>119</c:v>
                </c:pt>
                <c:pt idx="35">
                  <c:v>119</c:v>
                </c:pt>
                <c:pt idx="36">
                  <c:v>119</c:v>
                </c:pt>
                <c:pt idx="37">
                  <c:v>119</c:v>
                </c:pt>
                <c:pt idx="38">
                  <c:v>119</c:v>
                </c:pt>
                <c:pt idx="39">
                  <c:v>119</c:v>
                </c:pt>
                <c:pt idx="40">
                  <c:v>119</c:v>
                </c:pt>
                <c:pt idx="41">
                  <c:v>119</c:v>
                </c:pt>
                <c:pt idx="42">
                  <c:v>119</c:v>
                </c:pt>
                <c:pt idx="43">
                  <c:v>119</c:v>
                </c:pt>
                <c:pt idx="44">
                  <c:v>119</c:v>
                </c:pt>
                <c:pt idx="45">
                  <c:v>119</c:v>
                </c:pt>
                <c:pt idx="46">
                  <c:v>119</c:v>
                </c:pt>
                <c:pt idx="47">
                  <c:v>119</c:v>
                </c:pt>
                <c:pt idx="48">
                  <c:v>119</c:v>
                </c:pt>
                <c:pt idx="49">
                  <c:v>119</c:v>
                </c:pt>
                <c:pt idx="50">
                  <c:v>119</c:v>
                </c:pt>
                <c:pt idx="51">
                  <c:v>119</c:v>
                </c:pt>
                <c:pt idx="52">
                  <c:v>119</c:v>
                </c:pt>
                <c:pt idx="53">
                  <c:v>119</c:v>
                </c:pt>
                <c:pt idx="54">
                  <c:v>119</c:v>
                </c:pt>
                <c:pt idx="55">
                  <c:v>120.5</c:v>
                </c:pt>
                <c:pt idx="56">
                  <c:v>120.5</c:v>
                </c:pt>
                <c:pt idx="57">
                  <c:v>120.5</c:v>
                </c:pt>
                <c:pt idx="58">
                  <c:v>120.5</c:v>
                </c:pt>
                <c:pt idx="59">
                  <c:v>120.5</c:v>
                </c:pt>
                <c:pt idx="60">
                  <c:v>120.5</c:v>
                </c:pt>
                <c:pt idx="61">
                  <c:v>120.5</c:v>
                </c:pt>
                <c:pt idx="62">
                  <c:v>120.5</c:v>
                </c:pt>
                <c:pt idx="63">
                  <c:v>120.5</c:v>
                </c:pt>
                <c:pt idx="64">
                  <c:v>120.5</c:v>
                </c:pt>
                <c:pt idx="65">
                  <c:v>120.5</c:v>
                </c:pt>
                <c:pt idx="66">
                  <c:v>120.5</c:v>
                </c:pt>
                <c:pt idx="67">
                  <c:v>120.5</c:v>
                </c:pt>
                <c:pt idx="68">
                  <c:v>120.5</c:v>
                </c:pt>
                <c:pt idx="69">
                  <c:v>120.5</c:v>
                </c:pt>
                <c:pt idx="70">
                  <c:v>120.5</c:v>
                </c:pt>
                <c:pt idx="71">
                  <c:v>120.5</c:v>
                </c:pt>
                <c:pt idx="72">
                  <c:v>120.5</c:v>
                </c:pt>
                <c:pt idx="73">
                  <c:v>120.5</c:v>
                </c:pt>
                <c:pt idx="74">
                  <c:v>120.5</c:v>
                </c:pt>
                <c:pt idx="75">
                  <c:v>120.5</c:v>
                </c:pt>
                <c:pt idx="76">
                  <c:v>120.5</c:v>
                </c:pt>
                <c:pt idx="77">
                  <c:v>120.5</c:v>
                </c:pt>
                <c:pt idx="78">
                  <c:v>120.5</c:v>
                </c:pt>
                <c:pt idx="79">
                  <c:v>120.5</c:v>
                </c:pt>
                <c:pt idx="80">
                  <c:v>120.5</c:v>
                </c:pt>
                <c:pt idx="81">
                  <c:v>120.5</c:v>
                </c:pt>
                <c:pt idx="82">
                  <c:v>120.5</c:v>
                </c:pt>
                <c:pt idx="83">
                  <c:v>120.5</c:v>
                </c:pt>
                <c:pt idx="84">
                  <c:v>120.5</c:v>
                </c:pt>
                <c:pt idx="85">
                  <c:v>120.5</c:v>
                </c:pt>
                <c:pt idx="86">
                  <c:v>120.5</c:v>
                </c:pt>
                <c:pt idx="87">
                  <c:v>120.5</c:v>
                </c:pt>
                <c:pt idx="88">
                  <c:v>120.5</c:v>
                </c:pt>
                <c:pt idx="89">
                  <c:v>120.5</c:v>
                </c:pt>
                <c:pt idx="90">
                  <c:v>120.5</c:v>
                </c:pt>
                <c:pt idx="91">
                  <c:v>120.5</c:v>
                </c:pt>
                <c:pt idx="92">
                  <c:v>120.5</c:v>
                </c:pt>
                <c:pt idx="93">
                  <c:v>120.5</c:v>
                </c:pt>
                <c:pt idx="94">
                  <c:v>120.5</c:v>
                </c:pt>
                <c:pt idx="95">
                  <c:v>120.5</c:v>
                </c:pt>
                <c:pt idx="96">
                  <c:v>120.5</c:v>
                </c:pt>
                <c:pt idx="97">
                  <c:v>120.5</c:v>
                </c:pt>
                <c:pt idx="98">
                  <c:v>120.5</c:v>
                </c:pt>
                <c:pt idx="99">
                  <c:v>120.5</c:v>
                </c:pt>
                <c:pt idx="100">
                  <c:v>120.5</c:v>
                </c:pt>
                <c:pt idx="101">
                  <c:v>120.5</c:v>
                </c:pt>
                <c:pt idx="102">
                  <c:v>120.5</c:v>
                </c:pt>
                <c:pt idx="103">
                  <c:v>120.5</c:v>
                </c:pt>
                <c:pt idx="104">
                  <c:v>120.5</c:v>
                </c:pt>
                <c:pt idx="105">
                  <c:v>120.5</c:v>
                </c:pt>
                <c:pt idx="106">
                  <c:v>120.5</c:v>
                </c:pt>
                <c:pt idx="107">
                  <c:v>120.5</c:v>
                </c:pt>
                <c:pt idx="108">
                  <c:v>120.5</c:v>
                </c:pt>
                <c:pt idx="109">
                  <c:v>120.5</c:v>
                </c:pt>
                <c:pt idx="110">
                  <c:v>120.5</c:v>
                </c:pt>
                <c:pt idx="111">
                  <c:v>120.5</c:v>
                </c:pt>
                <c:pt idx="112">
                  <c:v>116.5</c:v>
                </c:pt>
                <c:pt idx="113">
                  <c:v>116.5</c:v>
                </c:pt>
                <c:pt idx="114">
                  <c:v>116.5</c:v>
                </c:pt>
                <c:pt idx="115">
                  <c:v>116.5</c:v>
                </c:pt>
                <c:pt idx="116">
                  <c:v>116.5</c:v>
                </c:pt>
                <c:pt idx="117">
                  <c:v>120.5</c:v>
                </c:pt>
                <c:pt idx="118">
                  <c:v>129</c:v>
                </c:pt>
                <c:pt idx="119">
                  <c:v>129</c:v>
                </c:pt>
                <c:pt idx="120">
                  <c:v>129</c:v>
                </c:pt>
                <c:pt idx="121">
                  <c:v>129</c:v>
                </c:pt>
                <c:pt idx="122">
                  <c:v>129</c:v>
                </c:pt>
                <c:pt idx="123">
                  <c:v>129</c:v>
                </c:pt>
                <c:pt idx="124">
                  <c:v>129</c:v>
                </c:pt>
                <c:pt idx="125">
                  <c:v>129</c:v>
                </c:pt>
                <c:pt idx="126">
                  <c:v>129</c:v>
                </c:pt>
                <c:pt idx="127">
                  <c:v>129</c:v>
                </c:pt>
                <c:pt idx="128">
                  <c:v>129</c:v>
                </c:pt>
                <c:pt idx="129">
                  <c:v>129</c:v>
                </c:pt>
                <c:pt idx="130">
                  <c:v>129</c:v>
                </c:pt>
                <c:pt idx="131">
                  <c:v>142.33333333333334</c:v>
                </c:pt>
                <c:pt idx="132">
                  <c:v>129</c:v>
                </c:pt>
                <c:pt idx="133">
                  <c:v>129</c:v>
                </c:pt>
                <c:pt idx="134">
                  <c:v>129</c:v>
                </c:pt>
                <c:pt idx="135">
                  <c:v>129</c:v>
                </c:pt>
                <c:pt idx="136">
                  <c:v>129</c:v>
                </c:pt>
                <c:pt idx="137">
                  <c:v>129</c:v>
                </c:pt>
                <c:pt idx="138">
                  <c:v>129</c:v>
                </c:pt>
                <c:pt idx="139">
                  <c:v>142.33333333333334</c:v>
                </c:pt>
                <c:pt idx="140">
                  <c:v>142.33333333333334</c:v>
                </c:pt>
                <c:pt idx="141">
                  <c:v>129</c:v>
                </c:pt>
              </c:numCache>
            </c:numRef>
          </c:val>
          <c:smooth val="0"/>
        </c:ser>
        <c:ser>
          <c:idx val="4"/>
          <c:order val="3"/>
          <c:tx>
            <c:strRef>
              <c:f>洗髮精!$E$2</c:f>
              <c:strCache>
                <c:ptCount val="1"/>
                <c:pt idx="0">
                  <c:v>量販店－多芬</c:v>
                </c:pt>
              </c:strCache>
            </c:strRef>
          </c:tx>
          <c:spPr>
            <a:ln>
              <a:prstDash val="solid"/>
              <a:headEnd type="oval" w="med" len="med"/>
              <a:tailEnd type="oval" w="med" len="med"/>
            </a:ln>
          </c:spPr>
          <c:marker>
            <c:symbol val="none"/>
          </c:marker>
          <c:cat>
            <c:strRef>
              <c:f>洗髮精!$A$32:$A$173</c:f>
              <c:strCache>
                <c:ptCount val="142"/>
                <c:pt idx="0">
                  <c:v>101/1/22</c:v>
                </c:pt>
                <c:pt idx="1">
                  <c:v>101/2/5</c:v>
                </c:pt>
                <c:pt idx="2">
                  <c:v>101/2/19</c:v>
                </c:pt>
                <c:pt idx="3">
                  <c:v>101/3/4</c:v>
                </c:pt>
                <c:pt idx="4">
                  <c:v>101/3/18</c:v>
                </c:pt>
                <c:pt idx="5">
                  <c:v>101/4/1</c:v>
                </c:pt>
                <c:pt idx="6">
                  <c:v>101/4/15</c:v>
                </c:pt>
                <c:pt idx="7">
                  <c:v>101/4/22</c:v>
                </c:pt>
                <c:pt idx="8">
                  <c:v>101/4/29</c:v>
                </c:pt>
                <c:pt idx="9">
                  <c:v>101/5/6</c:v>
                </c:pt>
                <c:pt idx="10">
                  <c:v>101/5/13</c:v>
                </c:pt>
                <c:pt idx="11">
                  <c:v>101/5/20</c:v>
                </c:pt>
                <c:pt idx="12">
                  <c:v>101/5/27</c:v>
                </c:pt>
                <c:pt idx="13">
                  <c:v>101/6/3</c:v>
                </c:pt>
                <c:pt idx="14">
                  <c:v>101/6/10</c:v>
                </c:pt>
                <c:pt idx="15">
                  <c:v>101/6/17</c:v>
                </c:pt>
                <c:pt idx="16">
                  <c:v>101/6/24</c:v>
                </c:pt>
                <c:pt idx="17">
                  <c:v>101/7/1</c:v>
                </c:pt>
                <c:pt idx="18">
                  <c:v>101/7/8</c:v>
                </c:pt>
                <c:pt idx="19">
                  <c:v>101/7/15</c:v>
                </c:pt>
                <c:pt idx="20">
                  <c:v>101/7/22</c:v>
                </c:pt>
                <c:pt idx="21">
                  <c:v>101/7/29</c:v>
                </c:pt>
                <c:pt idx="22">
                  <c:v>101/8/5</c:v>
                </c:pt>
                <c:pt idx="23">
                  <c:v>101/8/12</c:v>
                </c:pt>
                <c:pt idx="24">
                  <c:v>101/8/19</c:v>
                </c:pt>
                <c:pt idx="25">
                  <c:v>101/8/26</c:v>
                </c:pt>
                <c:pt idx="26">
                  <c:v>101/9/2</c:v>
                </c:pt>
                <c:pt idx="27">
                  <c:v>101/9/9</c:v>
                </c:pt>
                <c:pt idx="28">
                  <c:v>101/9/16</c:v>
                </c:pt>
                <c:pt idx="29">
                  <c:v>101/9/23</c:v>
                </c:pt>
                <c:pt idx="30">
                  <c:v>101/9/30</c:v>
                </c:pt>
                <c:pt idx="31">
                  <c:v>101/10/7</c:v>
                </c:pt>
                <c:pt idx="32">
                  <c:v>101/10/14</c:v>
                </c:pt>
                <c:pt idx="33">
                  <c:v>101/10/21</c:v>
                </c:pt>
                <c:pt idx="34">
                  <c:v>101/10/28</c:v>
                </c:pt>
                <c:pt idx="35">
                  <c:v>101/11/4</c:v>
                </c:pt>
                <c:pt idx="36">
                  <c:v>101/11/11</c:v>
                </c:pt>
                <c:pt idx="37">
                  <c:v>101/11/18</c:v>
                </c:pt>
                <c:pt idx="38">
                  <c:v>101/11/25</c:v>
                </c:pt>
                <c:pt idx="39">
                  <c:v>101/12/2</c:v>
                </c:pt>
                <c:pt idx="40">
                  <c:v>101/12/9</c:v>
                </c:pt>
                <c:pt idx="41">
                  <c:v>101/12/16</c:v>
                </c:pt>
                <c:pt idx="42">
                  <c:v>101/12/23</c:v>
                </c:pt>
                <c:pt idx="43">
                  <c:v>101/12/30</c:v>
                </c:pt>
                <c:pt idx="44">
                  <c:v>102/1/7</c:v>
                </c:pt>
                <c:pt idx="45">
                  <c:v>102/1/14</c:v>
                </c:pt>
                <c:pt idx="46">
                  <c:v>102/1/21</c:v>
                </c:pt>
                <c:pt idx="47">
                  <c:v>102/1/28</c:v>
                </c:pt>
                <c:pt idx="48">
                  <c:v>102/2/5</c:v>
                </c:pt>
                <c:pt idx="49">
                  <c:v>102/2/12</c:v>
                </c:pt>
                <c:pt idx="50">
                  <c:v>102/2/19</c:v>
                </c:pt>
                <c:pt idx="51">
                  <c:v>102/2/26</c:v>
                </c:pt>
                <c:pt idx="52">
                  <c:v>102/3/05</c:v>
                </c:pt>
                <c:pt idx="53">
                  <c:v>102/3/11</c:v>
                </c:pt>
                <c:pt idx="54">
                  <c:v>102/3/18</c:v>
                </c:pt>
                <c:pt idx="55">
                  <c:v>102/3/25</c:v>
                </c:pt>
                <c:pt idx="56">
                  <c:v>102/4/1</c:v>
                </c:pt>
                <c:pt idx="57">
                  <c:v>102/4/8</c:v>
                </c:pt>
                <c:pt idx="58">
                  <c:v>102/4/15</c:v>
                </c:pt>
                <c:pt idx="59">
                  <c:v>102/4/22</c:v>
                </c:pt>
                <c:pt idx="60">
                  <c:v>102/4/29</c:v>
                </c:pt>
                <c:pt idx="61">
                  <c:v>102/5/6</c:v>
                </c:pt>
                <c:pt idx="62">
                  <c:v>102/5/13</c:v>
                </c:pt>
                <c:pt idx="63">
                  <c:v>102/5/20</c:v>
                </c:pt>
                <c:pt idx="64">
                  <c:v>102/5/27</c:v>
                </c:pt>
                <c:pt idx="65">
                  <c:v>102/6/3</c:v>
                </c:pt>
                <c:pt idx="66">
                  <c:v>102/6/10</c:v>
                </c:pt>
                <c:pt idx="67">
                  <c:v>102/6/17</c:v>
                </c:pt>
                <c:pt idx="68">
                  <c:v>102/6/24</c:v>
                </c:pt>
                <c:pt idx="69">
                  <c:v>102/7/1</c:v>
                </c:pt>
                <c:pt idx="70">
                  <c:v>102/7/8</c:v>
                </c:pt>
                <c:pt idx="71">
                  <c:v>102/7/15</c:v>
                </c:pt>
                <c:pt idx="72">
                  <c:v>102/7/22</c:v>
                </c:pt>
                <c:pt idx="73">
                  <c:v>102/7/29</c:v>
                </c:pt>
                <c:pt idx="74">
                  <c:v>102/8/5</c:v>
                </c:pt>
                <c:pt idx="75">
                  <c:v>102/8/12</c:v>
                </c:pt>
                <c:pt idx="76">
                  <c:v>102/8/19</c:v>
                </c:pt>
                <c:pt idx="77">
                  <c:v>102/8/26</c:v>
                </c:pt>
                <c:pt idx="78">
                  <c:v>102/9/2</c:v>
                </c:pt>
                <c:pt idx="79">
                  <c:v>102/9/9</c:v>
                </c:pt>
                <c:pt idx="80">
                  <c:v>102/9/16</c:v>
                </c:pt>
                <c:pt idx="81">
                  <c:v>102/9/23</c:v>
                </c:pt>
                <c:pt idx="82">
                  <c:v>102/9/30</c:v>
                </c:pt>
                <c:pt idx="83">
                  <c:v>102/10/7</c:v>
                </c:pt>
                <c:pt idx="84">
                  <c:v>102/10/14</c:v>
                </c:pt>
                <c:pt idx="85">
                  <c:v>102/10/21</c:v>
                </c:pt>
                <c:pt idx="86">
                  <c:v>102/10/28</c:v>
                </c:pt>
                <c:pt idx="87">
                  <c:v>102/11/04</c:v>
                </c:pt>
                <c:pt idx="88">
                  <c:v>102/11/11</c:v>
                </c:pt>
                <c:pt idx="89">
                  <c:v>102/11/18</c:v>
                </c:pt>
                <c:pt idx="90">
                  <c:v>102/11/25</c:v>
                </c:pt>
                <c:pt idx="91">
                  <c:v>102/12/2</c:v>
                </c:pt>
                <c:pt idx="92">
                  <c:v>102/12/9</c:v>
                </c:pt>
                <c:pt idx="93">
                  <c:v>102/12/16</c:v>
                </c:pt>
                <c:pt idx="94">
                  <c:v>102/12/23</c:v>
                </c:pt>
                <c:pt idx="95">
                  <c:v>102/12/30</c:v>
                </c:pt>
                <c:pt idx="96">
                  <c:v>103/1/6</c:v>
                </c:pt>
                <c:pt idx="97">
                  <c:v>103/1/20</c:v>
                </c:pt>
                <c:pt idx="98">
                  <c:v>103/2/10</c:v>
                </c:pt>
                <c:pt idx="99">
                  <c:v>103/2/24</c:v>
                </c:pt>
                <c:pt idx="100">
                  <c:v>103/3/3</c:v>
                </c:pt>
                <c:pt idx="101">
                  <c:v>103/3/17</c:v>
                </c:pt>
                <c:pt idx="102">
                  <c:v>103/4/7</c:v>
                </c:pt>
                <c:pt idx="103">
                  <c:v>103/4/21</c:v>
                </c:pt>
                <c:pt idx="104">
                  <c:v>103/5/5</c:v>
                </c:pt>
                <c:pt idx="105">
                  <c:v>103/5/19</c:v>
                </c:pt>
                <c:pt idx="106">
                  <c:v>103/6/9</c:v>
                </c:pt>
                <c:pt idx="107">
                  <c:v>103/6/23</c:v>
                </c:pt>
                <c:pt idx="108">
                  <c:v>103/7/7</c:v>
                </c:pt>
                <c:pt idx="109">
                  <c:v>103/7/21</c:v>
                </c:pt>
                <c:pt idx="110">
                  <c:v>103/8/4</c:v>
                </c:pt>
                <c:pt idx="111">
                  <c:v>103/8/18</c:v>
                </c:pt>
                <c:pt idx="112">
                  <c:v>103/9/9</c:v>
                </c:pt>
                <c:pt idx="113">
                  <c:v>103/9/22</c:v>
                </c:pt>
                <c:pt idx="114">
                  <c:v>103/10/6</c:v>
                </c:pt>
                <c:pt idx="115">
                  <c:v>103/10/20</c:v>
                </c:pt>
                <c:pt idx="116">
                  <c:v>103/11/3</c:v>
                </c:pt>
                <c:pt idx="117">
                  <c:v>103/11/17</c:v>
                </c:pt>
                <c:pt idx="118">
                  <c:v>103/12/8</c:v>
                </c:pt>
                <c:pt idx="119">
                  <c:v>103/12/22</c:v>
                </c:pt>
                <c:pt idx="120">
                  <c:v>104/1/5</c:v>
                </c:pt>
                <c:pt idx="121">
                  <c:v>104/1/19</c:v>
                </c:pt>
                <c:pt idx="122">
                  <c:v>104/2/2</c:v>
                </c:pt>
                <c:pt idx="123">
                  <c:v>104/2/16</c:v>
                </c:pt>
                <c:pt idx="124">
                  <c:v>104/3/9</c:v>
                </c:pt>
                <c:pt idx="125">
                  <c:v>104/3/23</c:v>
                </c:pt>
                <c:pt idx="126">
                  <c:v>104/4/7</c:v>
                </c:pt>
                <c:pt idx="127">
                  <c:v>104/4/20</c:v>
                </c:pt>
                <c:pt idx="128">
                  <c:v>104/5/11</c:v>
                </c:pt>
                <c:pt idx="129">
                  <c:v>104/5/25</c:v>
                </c:pt>
                <c:pt idx="130">
                  <c:v>104/6/8</c:v>
                </c:pt>
                <c:pt idx="131">
                  <c:v>104/6/15</c:v>
                </c:pt>
                <c:pt idx="132">
                  <c:v>104/7/6</c:v>
                </c:pt>
                <c:pt idx="133">
                  <c:v>104/7/20</c:v>
                </c:pt>
                <c:pt idx="134">
                  <c:v>104/8/3</c:v>
                </c:pt>
                <c:pt idx="135">
                  <c:v>104/8/17</c:v>
                </c:pt>
                <c:pt idx="136">
                  <c:v>104/9/7</c:v>
                </c:pt>
                <c:pt idx="137">
                  <c:v>104/9/21</c:v>
                </c:pt>
                <c:pt idx="138">
                  <c:v>104/10/5</c:v>
                </c:pt>
                <c:pt idx="139">
                  <c:v>104/10/19</c:v>
                </c:pt>
                <c:pt idx="140">
                  <c:v>104/11/9</c:v>
                </c:pt>
                <c:pt idx="141">
                  <c:v>104/11/23</c:v>
                </c:pt>
              </c:strCache>
            </c:strRef>
          </c:cat>
          <c:val>
            <c:numRef>
              <c:f>洗髮精!$E$32:$E$173</c:f>
              <c:numCache>
                <c:formatCode>0.00</c:formatCode>
                <c:ptCount val="142"/>
                <c:pt idx="0">
                  <c:v>174.57142857142858</c:v>
                </c:pt>
                <c:pt idx="1">
                  <c:v>174.57142857142858</c:v>
                </c:pt>
                <c:pt idx="2">
                  <c:v>175.14</c:v>
                </c:pt>
                <c:pt idx="3">
                  <c:v>175</c:v>
                </c:pt>
                <c:pt idx="4">
                  <c:v>175</c:v>
                </c:pt>
                <c:pt idx="5">
                  <c:v>179.29</c:v>
                </c:pt>
                <c:pt idx="6">
                  <c:v>175.5</c:v>
                </c:pt>
                <c:pt idx="7">
                  <c:v>177.25</c:v>
                </c:pt>
                <c:pt idx="8">
                  <c:v>177</c:v>
                </c:pt>
                <c:pt idx="9">
                  <c:v>177.44444444444446</c:v>
                </c:pt>
                <c:pt idx="10">
                  <c:v>177.6</c:v>
                </c:pt>
                <c:pt idx="11">
                  <c:v>179.90909090909091</c:v>
                </c:pt>
                <c:pt idx="12">
                  <c:v>177.09090909090909</c:v>
                </c:pt>
                <c:pt idx="13">
                  <c:v>174.8</c:v>
                </c:pt>
                <c:pt idx="14">
                  <c:v>181.6</c:v>
                </c:pt>
                <c:pt idx="15">
                  <c:v>177.6</c:v>
                </c:pt>
                <c:pt idx="16">
                  <c:v>177.57142857142858</c:v>
                </c:pt>
                <c:pt idx="17">
                  <c:v>178.8</c:v>
                </c:pt>
                <c:pt idx="18">
                  <c:v>175.9</c:v>
                </c:pt>
                <c:pt idx="19">
                  <c:v>175.9</c:v>
                </c:pt>
                <c:pt idx="20">
                  <c:v>174.6</c:v>
                </c:pt>
                <c:pt idx="21">
                  <c:v>176.3</c:v>
                </c:pt>
                <c:pt idx="22">
                  <c:v>175.5</c:v>
                </c:pt>
                <c:pt idx="23">
                  <c:v>175.8</c:v>
                </c:pt>
                <c:pt idx="24">
                  <c:v>175.4</c:v>
                </c:pt>
                <c:pt idx="25">
                  <c:v>173.5</c:v>
                </c:pt>
                <c:pt idx="26">
                  <c:v>173.1</c:v>
                </c:pt>
                <c:pt idx="27">
                  <c:v>171.1</c:v>
                </c:pt>
                <c:pt idx="28">
                  <c:v>174.75</c:v>
                </c:pt>
                <c:pt idx="29">
                  <c:v>173.33333333333334</c:v>
                </c:pt>
                <c:pt idx="30">
                  <c:v>172.45</c:v>
                </c:pt>
                <c:pt idx="31">
                  <c:v>178.11111111111111</c:v>
                </c:pt>
                <c:pt idx="32">
                  <c:v>178.375</c:v>
                </c:pt>
                <c:pt idx="33">
                  <c:v>176.1</c:v>
                </c:pt>
                <c:pt idx="34">
                  <c:v>172.44444444444446</c:v>
                </c:pt>
                <c:pt idx="35">
                  <c:v>175.7</c:v>
                </c:pt>
                <c:pt idx="36">
                  <c:v>176.44444444444446</c:v>
                </c:pt>
                <c:pt idx="37">
                  <c:v>175.3</c:v>
                </c:pt>
                <c:pt idx="38">
                  <c:v>168.7</c:v>
                </c:pt>
                <c:pt idx="39">
                  <c:v>177.6</c:v>
                </c:pt>
                <c:pt idx="40">
                  <c:v>177.6</c:v>
                </c:pt>
                <c:pt idx="41">
                  <c:v>178.2</c:v>
                </c:pt>
                <c:pt idx="42">
                  <c:v>178</c:v>
                </c:pt>
                <c:pt idx="43">
                  <c:v>174.6</c:v>
                </c:pt>
                <c:pt idx="44">
                  <c:v>173.1</c:v>
                </c:pt>
                <c:pt idx="45">
                  <c:v>178.2</c:v>
                </c:pt>
                <c:pt idx="46">
                  <c:v>168.6</c:v>
                </c:pt>
                <c:pt idx="47">
                  <c:v>171.4</c:v>
                </c:pt>
                <c:pt idx="48">
                  <c:v>179.2</c:v>
                </c:pt>
                <c:pt idx="49">
                  <c:v>179.4</c:v>
                </c:pt>
                <c:pt idx="50">
                  <c:v>179.2</c:v>
                </c:pt>
                <c:pt idx="51">
                  <c:v>179.6</c:v>
                </c:pt>
                <c:pt idx="52">
                  <c:v>180.2</c:v>
                </c:pt>
                <c:pt idx="53">
                  <c:v>177.4</c:v>
                </c:pt>
                <c:pt idx="54">
                  <c:v>180.6</c:v>
                </c:pt>
                <c:pt idx="55">
                  <c:v>174.4</c:v>
                </c:pt>
                <c:pt idx="56">
                  <c:v>168.4</c:v>
                </c:pt>
                <c:pt idx="57">
                  <c:v>168.6</c:v>
                </c:pt>
                <c:pt idx="58">
                  <c:v>168</c:v>
                </c:pt>
                <c:pt idx="59">
                  <c:v>169.7</c:v>
                </c:pt>
                <c:pt idx="60">
                  <c:v>172.5</c:v>
                </c:pt>
                <c:pt idx="61">
                  <c:v>166.8</c:v>
                </c:pt>
                <c:pt idx="62">
                  <c:v>165.5</c:v>
                </c:pt>
                <c:pt idx="63">
                  <c:v>165</c:v>
                </c:pt>
                <c:pt idx="64">
                  <c:v>167.4</c:v>
                </c:pt>
                <c:pt idx="65">
                  <c:v>162.69999999999999</c:v>
                </c:pt>
                <c:pt idx="66">
                  <c:v>167.4</c:v>
                </c:pt>
                <c:pt idx="67">
                  <c:v>177.88888888888889</c:v>
                </c:pt>
                <c:pt idx="68">
                  <c:v>180</c:v>
                </c:pt>
                <c:pt idx="69">
                  <c:v>169.9</c:v>
                </c:pt>
                <c:pt idx="70">
                  <c:v>165.9</c:v>
                </c:pt>
                <c:pt idx="71">
                  <c:v>170.2</c:v>
                </c:pt>
                <c:pt idx="72">
                  <c:v>174.2</c:v>
                </c:pt>
                <c:pt idx="73">
                  <c:v>168.3</c:v>
                </c:pt>
                <c:pt idx="74">
                  <c:v>176.1</c:v>
                </c:pt>
                <c:pt idx="75">
                  <c:v>176.3</c:v>
                </c:pt>
                <c:pt idx="76">
                  <c:v>179</c:v>
                </c:pt>
                <c:pt idx="77">
                  <c:v>178.9</c:v>
                </c:pt>
                <c:pt idx="78">
                  <c:v>176.9</c:v>
                </c:pt>
                <c:pt idx="79">
                  <c:v>170.9</c:v>
                </c:pt>
                <c:pt idx="80">
                  <c:v>172.9</c:v>
                </c:pt>
                <c:pt idx="81">
                  <c:v>176.9</c:v>
                </c:pt>
                <c:pt idx="82">
                  <c:v>166.6</c:v>
                </c:pt>
                <c:pt idx="83">
                  <c:v>166.6</c:v>
                </c:pt>
                <c:pt idx="84">
                  <c:v>166.6</c:v>
                </c:pt>
                <c:pt idx="85">
                  <c:v>171.3</c:v>
                </c:pt>
                <c:pt idx="86">
                  <c:v>166.9</c:v>
                </c:pt>
                <c:pt idx="87">
                  <c:v>169.6</c:v>
                </c:pt>
                <c:pt idx="88">
                  <c:v>174.1</c:v>
                </c:pt>
                <c:pt idx="89">
                  <c:v>174.9</c:v>
                </c:pt>
                <c:pt idx="90">
                  <c:v>169.2</c:v>
                </c:pt>
                <c:pt idx="91">
                  <c:v>155.19999999999999</c:v>
                </c:pt>
                <c:pt idx="92">
                  <c:v>161.19999999999999</c:v>
                </c:pt>
                <c:pt idx="93">
                  <c:v>161.19999999999999</c:v>
                </c:pt>
                <c:pt idx="94">
                  <c:v>165.8</c:v>
                </c:pt>
                <c:pt idx="95">
                  <c:v>166.9</c:v>
                </c:pt>
                <c:pt idx="96">
                  <c:v>176.9</c:v>
                </c:pt>
                <c:pt idx="97">
                  <c:v>173.9</c:v>
                </c:pt>
                <c:pt idx="98">
                  <c:v>168.72727272727272</c:v>
                </c:pt>
                <c:pt idx="99">
                  <c:v>166</c:v>
                </c:pt>
                <c:pt idx="100">
                  <c:v>167.45454545454547</c:v>
                </c:pt>
                <c:pt idx="101">
                  <c:v>171.9</c:v>
                </c:pt>
                <c:pt idx="102">
                  <c:v>163.63636363636363</c:v>
                </c:pt>
                <c:pt idx="103">
                  <c:v>157.63636363636363</c:v>
                </c:pt>
                <c:pt idx="104">
                  <c:v>148.9</c:v>
                </c:pt>
                <c:pt idx="105">
                  <c:v>149</c:v>
                </c:pt>
                <c:pt idx="106">
                  <c:v>167.81818181818181</c:v>
                </c:pt>
                <c:pt idx="107">
                  <c:v>151.45454545454547</c:v>
                </c:pt>
                <c:pt idx="108">
                  <c:v>167.27272727272728</c:v>
                </c:pt>
                <c:pt idx="109">
                  <c:v>173.45454545454501</c:v>
                </c:pt>
                <c:pt idx="110">
                  <c:v>176.27272727272728</c:v>
                </c:pt>
                <c:pt idx="111">
                  <c:v>155.81818181818181</c:v>
                </c:pt>
                <c:pt idx="112">
                  <c:v>167.36363636363637</c:v>
                </c:pt>
                <c:pt idx="113">
                  <c:v>180</c:v>
                </c:pt>
                <c:pt idx="114">
                  <c:v>184.27272727272728</c:v>
                </c:pt>
                <c:pt idx="115">
                  <c:v>175.09090909090909</c:v>
                </c:pt>
                <c:pt idx="116">
                  <c:v>182.36363636363637</c:v>
                </c:pt>
                <c:pt idx="117">
                  <c:v>175</c:v>
                </c:pt>
                <c:pt idx="118">
                  <c:v>176.45454545454547</c:v>
                </c:pt>
                <c:pt idx="119">
                  <c:v>175.45454545454547</c:v>
                </c:pt>
                <c:pt idx="120">
                  <c:v>178.63636363636363</c:v>
                </c:pt>
                <c:pt idx="121">
                  <c:v>180.45454545454547</c:v>
                </c:pt>
                <c:pt idx="122">
                  <c:v>177.18181818181819</c:v>
                </c:pt>
                <c:pt idx="123">
                  <c:v>171.27272727272728</c:v>
                </c:pt>
                <c:pt idx="124">
                  <c:v>173.54545454545453</c:v>
                </c:pt>
                <c:pt idx="125">
                  <c:v>168.09090909090909</c:v>
                </c:pt>
                <c:pt idx="126">
                  <c:v>160.09090909090909</c:v>
                </c:pt>
                <c:pt idx="127">
                  <c:v>176.27272727272728</c:v>
                </c:pt>
                <c:pt idx="128">
                  <c:v>173.54545454545453</c:v>
                </c:pt>
                <c:pt idx="129">
                  <c:v>155.81818181818181</c:v>
                </c:pt>
                <c:pt idx="130">
                  <c:v>179.45454545454547</c:v>
                </c:pt>
                <c:pt idx="131">
                  <c:v>180.45454545454547</c:v>
                </c:pt>
                <c:pt idx="132">
                  <c:v>177.36363636363637</c:v>
                </c:pt>
                <c:pt idx="133">
                  <c:v>174.63636363636363</c:v>
                </c:pt>
                <c:pt idx="134">
                  <c:v>176.45454545454547</c:v>
                </c:pt>
                <c:pt idx="135">
                  <c:v>176.45454545454547</c:v>
                </c:pt>
                <c:pt idx="136">
                  <c:v>172.63636363636363</c:v>
                </c:pt>
                <c:pt idx="137">
                  <c:v>176.36363636363637</c:v>
                </c:pt>
                <c:pt idx="138">
                  <c:v>167.36363636363637</c:v>
                </c:pt>
                <c:pt idx="139">
                  <c:v>173.36363636363637</c:v>
                </c:pt>
                <c:pt idx="140">
                  <c:v>174.18181818181819</c:v>
                </c:pt>
                <c:pt idx="141">
                  <c:v>177.81818181818181</c:v>
                </c:pt>
              </c:numCache>
            </c:numRef>
          </c:val>
          <c:smooth val="1"/>
        </c:ser>
        <c:dLbls>
          <c:showLegendKey val="0"/>
          <c:showVal val="0"/>
          <c:showCatName val="0"/>
          <c:showSerName val="0"/>
          <c:showPercent val="0"/>
          <c:showBubbleSize val="0"/>
        </c:dLbls>
        <c:marker val="1"/>
        <c:smooth val="0"/>
        <c:axId val="275266944"/>
        <c:axId val="276235392"/>
      </c:lineChart>
      <c:catAx>
        <c:axId val="275266944"/>
        <c:scaling>
          <c:orientation val="minMax"/>
        </c:scaling>
        <c:delete val="0"/>
        <c:axPos val="b"/>
        <c:numFmt formatCode="General" sourceLinked="1"/>
        <c:majorTickMark val="in"/>
        <c:minorTickMark val="none"/>
        <c:tickLblPos val="nextTo"/>
        <c:spPr>
          <a:ln>
            <a:solidFill>
              <a:sysClr val="windowText" lastClr="000000"/>
            </a:solidFill>
          </a:ln>
        </c:spPr>
        <c:txPr>
          <a:bodyPr rot="-2700000"/>
          <a:lstStyle/>
          <a:p>
            <a:pPr>
              <a:defRPr>
                <a:latin typeface="Times New Roman" pitchFamily="18" charset="0"/>
                <a:cs typeface="Times New Roman" pitchFamily="18" charset="0"/>
              </a:defRPr>
            </a:pPr>
            <a:endParaRPr lang="zh-TW"/>
          </a:p>
        </c:txPr>
        <c:crossAx val="276235392"/>
        <c:crosses val="autoZero"/>
        <c:auto val="1"/>
        <c:lblAlgn val="ctr"/>
        <c:lblOffset val="100"/>
        <c:tickLblSkip val="5"/>
        <c:tickMarkSkip val="5"/>
        <c:noMultiLvlLbl val="1"/>
      </c:catAx>
      <c:valAx>
        <c:axId val="276235392"/>
        <c:scaling>
          <c:orientation val="minMax"/>
          <c:max val="200"/>
          <c:min val="110"/>
        </c:scaling>
        <c:delete val="0"/>
        <c:axPos val="l"/>
        <c:numFmt formatCode="#,##0_);\(#,##0\)" sourceLinked="0"/>
        <c:majorTickMark val="in"/>
        <c:minorTickMark val="none"/>
        <c:tickLblPos val="nextTo"/>
        <c:spPr>
          <a:ln>
            <a:solidFill>
              <a:sysClr val="windowText" lastClr="000000"/>
            </a:solidFill>
          </a:ln>
        </c:spPr>
        <c:txPr>
          <a:bodyPr/>
          <a:lstStyle/>
          <a:p>
            <a:pPr>
              <a:defRPr>
                <a:latin typeface="Times New Roman" pitchFamily="18" charset="0"/>
                <a:cs typeface="Times New Roman" pitchFamily="18" charset="0"/>
              </a:defRPr>
            </a:pPr>
            <a:endParaRPr lang="zh-TW"/>
          </a:p>
        </c:txPr>
        <c:crossAx val="275266944"/>
        <c:crosses val="autoZero"/>
        <c:crossBetween val="between"/>
      </c:valAx>
      <c:spPr>
        <a:noFill/>
        <a:ln w="25400">
          <a:noFill/>
        </a:ln>
      </c:spPr>
    </c:plotArea>
    <c:legend>
      <c:legendPos val="r"/>
      <c:layout>
        <c:manualLayout>
          <c:xMode val="edge"/>
          <c:yMode val="edge"/>
          <c:x val="0.1504472813679355"/>
          <c:y val="1.7213599745118567E-2"/>
          <c:w val="0.756750066005063"/>
          <c:h val="0.13145692048609531"/>
        </c:manualLayout>
      </c:layout>
      <c:overlay val="0"/>
      <c:txPr>
        <a:bodyPr/>
        <a:lstStyle/>
        <a:p>
          <a:pPr>
            <a:defRPr sz="1100">
              <a:latin typeface="標楷體" pitchFamily="65" charset="-120"/>
              <a:ea typeface="標楷體" pitchFamily="65" charset="-120"/>
            </a:defRPr>
          </a:pPr>
          <a:endParaRPr lang="zh-TW"/>
        </a:p>
      </c:txPr>
    </c:legend>
    <c:plotVisOnly val="1"/>
    <c:dispBlanksAs val="gap"/>
    <c:showDLblsOverMax val="0"/>
  </c:chart>
  <c:spPr>
    <a:noFill/>
    <a:ln w="9525">
      <a:noFill/>
    </a:ln>
  </c:spPr>
  <c:externalData r:id="rId2">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6404679232804231"/>
        </c:manualLayout>
      </c:layout>
      <c:lineChart>
        <c:grouping val="standard"/>
        <c:varyColors val="0"/>
        <c:ser>
          <c:idx val="0"/>
          <c:order val="0"/>
          <c:tx>
            <c:v>便利店</c:v>
          </c:tx>
          <c:spPr>
            <a:ln w="28575" cap="rnd">
              <a:solidFill>
                <a:srgbClr val="C00000"/>
              </a:solidFill>
              <a:prstDash val="dash"/>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工作表1!$F$34:$AY$34</c:f>
              <c:numCache>
                <c:formatCode>0.0_);[Red]\(0.0\)</c:formatCode>
                <c:ptCount val="46"/>
                <c:pt idx="0">
                  <c:v>15</c:v>
                </c:pt>
                <c:pt idx="1">
                  <c:v>15</c:v>
                </c:pt>
                <c:pt idx="2">
                  <c:v>15</c:v>
                </c:pt>
                <c:pt idx="3">
                  <c:v>15</c:v>
                </c:pt>
                <c:pt idx="4">
                  <c:v>15</c:v>
                </c:pt>
                <c:pt idx="5">
                  <c:v>15</c:v>
                </c:pt>
                <c:pt idx="6">
                  <c:v>15</c:v>
                </c:pt>
                <c:pt idx="7">
                  <c:v>15</c:v>
                </c:pt>
                <c:pt idx="8">
                  <c:v>15</c:v>
                </c:pt>
                <c:pt idx="9">
                  <c:v>15</c:v>
                </c:pt>
                <c:pt idx="10">
                  <c:v>15</c:v>
                </c:pt>
                <c:pt idx="11">
                  <c:v>15</c:v>
                </c:pt>
                <c:pt idx="12">
                  <c:v>15</c:v>
                </c:pt>
                <c:pt idx="13">
                  <c:v>15</c:v>
                </c:pt>
                <c:pt idx="14">
                  <c:v>16.25</c:v>
                </c:pt>
                <c:pt idx="15">
                  <c:v>16.25</c:v>
                </c:pt>
                <c:pt idx="16">
                  <c:v>16.25</c:v>
                </c:pt>
                <c:pt idx="17">
                  <c:v>16.25</c:v>
                </c:pt>
                <c:pt idx="18">
                  <c:v>15</c:v>
                </c:pt>
                <c:pt idx="19">
                  <c:v>15</c:v>
                </c:pt>
                <c:pt idx="20">
                  <c:v>15</c:v>
                </c:pt>
                <c:pt idx="21">
                  <c:v>15</c:v>
                </c:pt>
                <c:pt idx="22">
                  <c:v>15</c:v>
                </c:pt>
                <c:pt idx="23">
                  <c:v>15</c:v>
                </c:pt>
                <c:pt idx="24">
                  <c:v>15</c:v>
                </c:pt>
                <c:pt idx="25">
                  <c:v>15</c:v>
                </c:pt>
                <c:pt idx="26">
                  <c:v>15</c:v>
                </c:pt>
                <c:pt idx="27">
                  <c:v>15</c:v>
                </c:pt>
                <c:pt idx="28">
                  <c:v>15</c:v>
                </c:pt>
                <c:pt idx="29">
                  <c:v>15</c:v>
                </c:pt>
                <c:pt idx="30">
                  <c:v>15</c:v>
                </c:pt>
                <c:pt idx="31">
                  <c:v>15</c:v>
                </c:pt>
                <c:pt idx="32">
                  <c:v>15</c:v>
                </c:pt>
                <c:pt idx="33">
                  <c:v>15</c:v>
                </c:pt>
                <c:pt idx="34">
                  <c:v>15</c:v>
                </c:pt>
                <c:pt idx="35">
                  <c:v>15</c:v>
                </c:pt>
                <c:pt idx="36">
                  <c:v>15</c:v>
                </c:pt>
                <c:pt idx="37">
                  <c:v>15</c:v>
                </c:pt>
                <c:pt idx="38">
                  <c:v>15</c:v>
                </c:pt>
                <c:pt idx="39">
                  <c:v>15</c:v>
                </c:pt>
                <c:pt idx="40">
                  <c:v>15</c:v>
                </c:pt>
                <c:pt idx="41">
                  <c:v>15</c:v>
                </c:pt>
                <c:pt idx="42">
                  <c:v>15</c:v>
                </c:pt>
                <c:pt idx="43">
                  <c:v>15</c:v>
                </c:pt>
                <c:pt idx="44">
                  <c:v>15</c:v>
                </c:pt>
                <c:pt idx="45">
                  <c:v>15</c:v>
                </c:pt>
              </c:numCache>
            </c:numRef>
          </c:val>
          <c:smooth val="0"/>
        </c:ser>
        <c:ser>
          <c:idx val="1"/>
          <c:order val="1"/>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工作表1!$F$35:$AY$35</c:f>
              <c:numCache>
                <c:formatCode>0.0_);[Red]\(0.0\)</c:formatCode>
                <c:ptCount val="46"/>
                <c:pt idx="0">
                  <c:v>12.529411764705882</c:v>
                </c:pt>
                <c:pt idx="1">
                  <c:v>12.125</c:v>
                </c:pt>
                <c:pt idx="2">
                  <c:v>12.666666666666666</c:v>
                </c:pt>
                <c:pt idx="3">
                  <c:v>12.875</c:v>
                </c:pt>
                <c:pt idx="4">
                  <c:v>12.65625</c:v>
                </c:pt>
                <c:pt idx="5">
                  <c:v>13.1875</c:v>
                </c:pt>
                <c:pt idx="6">
                  <c:v>13.088235294117647</c:v>
                </c:pt>
                <c:pt idx="7">
                  <c:v>12.941176470588236</c:v>
                </c:pt>
                <c:pt idx="8">
                  <c:v>13.029411764705882</c:v>
                </c:pt>
                <c:pt idx="9">
                  <c:v>12.676470588235293</c:v>
                </c:pt>
                <c:pt idx="10">
                  <c:v>12.911764705882353</c:v>
                </c:pt>
                <c:pt idx="11">
                  <c:v>13.0625</c:v>
                </c:pt>
                <c:pt idx="12">
                  <c:v>12.441176470588236</c:v>
                </c:pt>
                <c:pt idx="13">
                  <c:v>12.911764705882353</c:v>
                </c:pt>
                <c:pt idx="14">
                  <c:v>12.75</c:v>
                </c:pt>
                <c:pt idx="15">
                  <c:v>13.4375</c:v>
                </c:pt>
                <c:pt idx="16">
                  <c:v>12.75</c:v>
                </c:pt>
                <c:pt idx="17">
                  <c:v>12.911764705882353</c:v>
                </c:pt>
                <c:pt idx="18">
                  <c:v>12.9375</c:v>
                </c:pt>
                <c:pt idx="19">
                  <c:v>12.823529411764707</c:v>
                </c:pt>
                <c:pt idx="20">
                  <c:v>12.911764705882353</c:v>
                </c:pt>
                <c:pt idx="21">
                  <c:v>13</c:v>
                </c:pt>
                <c:pt idx="22">
                  <c:v>13</c:v>
                </c:pt>
                <c:pt idx="23">
                  <c:v>12.823529411764707</c:v>
                </c:pt>
                <c:pt idx="24">
                  <c:v>12.911764705882353</c:v>
                </c:pt>
                <c:pt idx="25">
                  <c:v>12.96875</c:v>
                </c:pt>
                <c:pt idx="26">
                  <c:v>13.235294117647058</c:v>
                </c:pt>
                <c:pt idx="27">
                  <c:v>13.235294117647058</c:v>
                </c:pt>
                <c:pt idx="28">
                  <c:v>12.823529411764707</c:v>
                </c:pt>
                <c:pt idx="29">
                  <c:v>13</c:v>
                </c:pt>
                <c:pt idx="30">
                  <c:v>12.882352941176471</c:v>
                </c:pt>
                <c:pt idx="31">
                  <c:v>13.235294117647058</c:v>
                </c:pt>
                <c:pt idx="32">
                  <c:v>12.764705882352942</c:v>
                </c:pt>
                <c:pt idx="33">
                  <c:v>13</c:v>
                </c:pt>
                <c:pt idx="34">
                  <c:v>13.117647058823529</c:v>
                </c:pt>
                <c:pt idx="35">
                  <c:v>13.117647058823529</c:v>
                </c:pt>
                <c:pt idx="36">
                  <c:v>12.941176470588236</c:v>
                </c:pt>
                <c:pt idx="37">
                  <c:v>13.117647058823529</c:v>
                </c:pt>
                <c:pt idx="38">
                  <c:v>12.294117647058824</c:v>
                </c:pt>
                <c:pt idx="39">
                  <c:v>12.823529411764707</c:v>
                </c:pt>
                <c:pt idx="40">
                  <c:v>13.176470588235293</c:v>
                </c:pt>
                <c:pt idx="41">
                  <c:v>13</c:v>
                </c:pt>
                <c:pt idx="42">
                  <c:v>12.764705882352942</c:v>
                </c:pt>
                <c:pt idx="43">
                  <c:v>12.882352941176471</c:v>
                </c:pt>
                <c:pt idx="44">
                  <c:v>12.647058823529411</c:v>
                </c:pt>
                <c:pt idx="45">
                  <c:v>12.823529411764707</c:v>
                </c:pt>
              </c:numCache>
            </c:numRef>
          </c:val>
          <c:smooth val="0"/>
        </c:ser>
        <c:ser>
          <c:idx val="2"/>
          <c:order val="2"/>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工作表1!$F$36:$AY$36</c:f>
              <c:numCache>
                <c:formatCode>0.0_);[Red]\(0.0\)</c:formatCode>
                <c:ptCount val="46"/>
                <c:pt idx="0">
                  <c:v>10.746366666666665</c:v>
                </c:pt>
                <c:pt idx="1">
                  <c:v>10.579366666666667</c:v>
                </c:pt>
                <c:pt idx="2">
                  <c:v>10.946033333333334</c:v>
                </c:pt>
                <c:pt idx="3">
                  <c:v>10.946033333333334</c:v>
                </c:pt>
                <c:pt idx="4">
                  <c:v>10.936333333333332</c:v>
                </c:pt>
                <c:pt idx="5">
                  <c:v>11.0793</c:v>
                </c:pt>
                <c:pt idx="6">
                  <c:v>10.311545454545454</c:v>
                </c:pt>
                <c:pt idx="7">
                  <c:v>10.799424242424241</c:v>
                </c:pt>
                <c:pt idx="8">
                  <c:v>10.472966666666666</c:v>
                </c:pt>
                <c:pt idx="9">
                  <c:v>9.7051818181818188</c:v>
                </c:pt>
                <c:pt idx="10">
                  <c:v>9.9779090909090922</c:v>
                </c:pt>
                <c:pt idx="11">
                  <c:v>10.129727272727273</c:v>
                </c:pt>
                <c:pt idx="12">
                  <c:v>10.362757575757575</c:v>
                </c:pt>
                <c:pt idx="13">
                  <c:v>9.7291212121212123</c:v>
                </c:pt>
                <c:pt idx="14">
                  <c:v>9.9109393939393939</c:v>
                </c:pt>
                <c:pt idx="15">
                  <c:v>10.541484848484847</c:v>
                </c:pt>
                <c:pt idx="16">
                  <c:v>10.275757575757575</c:v>
                </c:pt>
                <c:pt idx="17">
                  <c:v>10.274575757575757</c:v>
                </c:pt>
                <c:pt idx="18">
                  <c:v>11.303030303030303</c:v>
                </c:pt>
                <c:pt idx="19">
                  <c:v>10.844848484848484</c:v>
                </c:pt>
                <c:pt idx="20">
                  <c:v>10.848484848484848</c:v>
                </c:pt>
                <c:pt idx="21">
                  <c:v>10.639393939393939</c:v>
                </c:pt>
                <c:pt idx="22">
                  <c:v>10.700000000000001</c:v>
                </c:pt>
                <c:pt idx="23">
                  <c:v>10.66909090909091</c:v>
                </c:pt>
                <c:pt idx="24">
                  <c:v>9.9539393939393932</c:v>
                </c:pt>
                <c:pt idx="25">
                  <c:v>9.7745454545454535</c:v>
                </c:pt>
                <c:pt idx="26">
                  <c:v>10.180636363636363</c:v>
                </c:pt>
                <c:pt idx="27">
                  <c:v>10.271545454545453</c:v>
                </c:pt>
                <c:pt idx="28">
                  <c:v>10.757575757575758</c:v>
                </c:pt>
                <c:pt idx="29">
                  <c:v>11.026969696969696</c:v>
                </c:pt>
                <c:pt idx="30">
                  <c:v>10.51151515151515</c:v>
                </c:pt>
                <c:pt idx="31">
                  <c:v>10.457575757575757</c:v>
                </c:pt>
                <c:pt idx="32">
                  <c:v>10.187575757575758</c:v>
                </c:pt>
                <c:pt idx="33">
                  <c:v>10.308787878787879</c:v>
                </c:pt>
                <c:pt idx="34">
                  <c:v>9.9751515151515164</c:v>
                </c:pt>
                <c:pt idx="35">
                  <c:v>9.8206060606060603</c:v>
                </c:pt>
                <c:pt idx="36">
                  <c:v>9.7266666666666666</c:v>
                </c:pt>
                <c:pt idx="37">
                  <c:v>9.9936363636363623</c:v>
                </c:pt>
                <c:pt idx="38">
                  <c:v>9.699393939393941</c:v>
                </c:pt>
                <c:pt idx="39">
                  <c:v>9.8175757575757583</c:v>
                </c:pt>
                <c:pt idx="40">
                  <c:v>10.202727272727273</c:v>
                </c:pt>
                <c:pt idx="41">
                  <c:v>9.8236363636363642</c:v>
                </c:pt>
                <c:pt idx="42">
                  <c:v>9.99969696969697</c:v>
                </c:pt>
                <c:pt idx="43">
                  <c:v>9.8815151515151527</c:v>
                </c:pt>
                <c:pt idx="44">
                  <c:v>9.917878787878788</c:v>
                </c:pt>
                <c:pt idx="45">
                  <c:v>9.8206363636363641</c:v>
                </c:pt>
              </c:numCache>
            </c:numRef>
          </c:val>
          <c:smooth val="0"/>
        </c:ser>
        <c:dLbls>
          <c:showLegendKey val="0"/>
          <c:showVal val="0"/>
          <c:showCatName val="0"/>
          <c:showSerName val="0"/>
          <c:showPercent val="0"/>
          <c:showBubbleSize val="0"/>
        </c:dLbls>
        <c:marker val="1"/>
        <c:smooth val="0"/>
        <c:axId val="276264064"/>
        <c:axId val="276265600"/>
      </c:lineChart>
      <c:dateAx>
        <c:axId val="276264064"/>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6265600"/>
        <c:crosses val="autoZero"/>
        <c:auto val="1"/>
        <c:lblOffset val="100"/>
        <c:baseTimeUnit val="days"/>
        <c:majorUnit val="1"/>
        <c:majorTimeUnit val="months"/>
      </c:dateAx>
      <c:valAx>
        <c:axId val="276265600"/>
        <c:scaling>
          <c:orientation val="minMax"/>
          <c:min val="6"/>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6264064"/>
        <c:crosses val="autoZero"/>
        <c:crossBetween val="between"/>
      </c:valAx>
      <c:spPr>
        <a:noFill/>
        <a:ln>
          <a:noFill/>
        </a:ln>
        <a:effectLst/>
      </c:spPr>
    </c:plotArea>
    <c:legend>
      <c:legendPos val="b"/>
      <c:layout>
        <c:manualLayout>
          <c:xMode val="edge"/>
          <c:yMode val="edge"/>
          <c:x val="0.30649671355202585"/>
          <c:y val="1.0979583825549878E-2"/>
          <c:w val="0.48347434811387729"/>
          <c:h val="8.2063291654787596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userShapes r:id="rId2"/>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6404679232804231"/>
        </c:manualLayout>
      </c:layout>
      <c:lineChart>
        <c:grouping val="standard"/>
        <c:varyColors val="0"/>
        <c:ser>
          <c:idx val="0"/>
          <c:order val="0"/>
          <c:tx>
            <c:v>便利店</c:v>
          </c:tx>
          <c:spPr>
            <a:ln w="28575" cap="rnd">
              <a:solidFill>
                <a:srgbClr val="C00000"/>
              </a:solidFill>
              <a:prstDash val="dash"/>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工作表1!$F$38:$AY$38</c:f>
              <c:numCache>
                <c:formatCode>0.0_);[Red]\(0.0\)</c:formatCode>
                <c:ptCount val="46"/>
                <c:pt idx="0">
                  <c:v>43.25</c:v>
                </c:pt>
                <c:pt idx="1">
                  <c:v>43.25</c:v>
                </c:pt>
                <c:pt idx="2">
                  <c:v>43.25</c:v>
                </c:pt>
                <c:pt idx="3">
                  <c:v>43.25</c:v>
                </c:pt>
                <c:pt idx="4">
                  <c:v>43.25</c:v>
                </c:pt>
                <c:pt idx="5">
                  <c:v>43.25</c:v>
                </c:pt>
                <c:pt idx="6">
                  <c:v>43.25</c:v>
                </c:pt>
                <c:pt idx="7">
                  <c:v>43.25</c:v>
                </c:pt>
                <c:pt idx="8">
                  <c:v>43.25</c:v>
                </c:pt>
                <c:pt idx="9">
                  <c:v>43.25</c:v>
                </c:pt>
                <c:pt idx="10">
                  <c:v>43.25</c:v>
                </c:pt>
                <c:pt idx="11">
                  <c:v>43.25</c:v>
                </c:pt>
                <c:pt idx="12">
                  <c:v>43.25</c:v>
                </c:pt>
                <c:pt idx="13">
                  <c:v>43.25</c:v>
                </c:pt>
                <c:pt idx="14">
                  <c:v>43.25</c:v>
                </c:pt>
                <c:pt idx="15">
                  <c:v>43.25</c:v>
                </c:pt>
                <c:pt idx="16">
                  <c:v>43.25</c:v>
                </c:pt>
                <c:pt idx="17">
                  <c:v>43.25</c:v>
                </c:pt>
                <c:pt idx="18">
                  <c:v>43.25</c:v>
                </c:pt>
                <c:pt idx="19">
                  <c:v>43.25</c:v>
                </c:pt>
                <c:pt idx="20">
                  <c:v>43.25</c:v>
                </c:pt>
                <c:pt idx="21">
                  <c:v>43.25</c:v>
                </c:pt>
                <c:pt idx="22">
                  <c:v>43.25</c:v>
                </c:pt>
                <c:pt idx="23">
                  <c:v>43.25</c:v>
                </c:pt>
                <c:pt idx="24">
                  <c:v>43.25</c:v>
                </c:pt>
                <c:pt idx="25">
                  <c:v>43.25</c:v>
                </c:pt>
                <c:pt idx="26">
                  <c:v>43.25</c:v>
                </c:pt>
                <c:pt idx="27">
                  <c:v>43.25</c:v>
                </c:pt>
                <c:pt idx="28">
                  <c:v>43.25</c:v>
                </c:pt>
                <c:pt idx="29">
                  <c:v>43.25</c:v>
                </c:pt>
                <c:pt idx="30">
                  <c:v>43.25</c:v>
                </c:pt>
                <c:pt idx="31">
                  <c:v>43.25</c:v>
                </c:pt>
                <c:pt idx="32">
                  <c:v>43.25</c:v>
                </c:pt>
                <c:pt idx="33">
                  <c:v>43.25</c:v>
                </c:pt>
                <c:pt idx="34">
                  <c:v>43.25</c:v>
                </c:pt>
                <c:pt idx="35">
                  <c:v>43.25</c:v>
                </c:pt>
                <c:pt idx="36">
                  <c:v>43.25</c:v>
                </c:pt>
                <c:pt idx="37">
                  <c:v>43.25</c:v>
                </c:pt>
                <c:pt idx="38">
                  <c:v>43.25</c:v>
                </c:pt>
                <c:pt idx="39">
                  <c:v>43.25</c:v>
                </c:pt>
                <c:pt idx="40">
                  <c:v>43.25</c:v>
                </c:pt>
                <c:pt idx="41">
                  <c:v>43.25</c:v>
                </c:pt>
                <c:pt idx="42">
                  <c:v>43.25</c:v>
                </c:pt>
                <c:pt idx="43">
                  <c:v>43.25</c:v>
                </c:pt>
                <c:pt idx="44">
                  <c:v>43.25</c:v>
                </c:pt>
                <c:pt idx="45">
                  <c:v>43.25</c:v>
                </c:pt>
              </c:numCache>
            </c:numRef>
          </c:val>
          <c:smooth val="0"/>
        </c:ser>
        <c:ser>
          <c:idx val="1"/>
          <c:order val="1"/>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工作表1!$F$39:$AY$39</c:f>
              <c:numCache>
                <c:formatCode>0.0_);[Red]\(0.0\)</c:formatCode>
                <c:ptCount val="46"/>
                <c:pt idx="0">
                  <c:v>53.647058823529413</c:v>
                </c:pt>
                <c:pt idx="1">
                  <c:v>51.46875</c:v>
                </c:pt>
                <c:pt idx="2">
                  <c:v>55.43333333333333</c:v>
                </c:pt>
                <c:pt idx="3">
                  <c:v>55.6875</c:v>
                </c:pt>
                <c:pt idx="4">
                  <c:v>55.8125</c:v>
                </c:pt>
                <c:pt idx="5">
                  <c:v>55.0625</c:v>
                </c:pt>
                <c:pt idx="6">
                  <c:v>56.75</c:v>
                </c:pt>
                <c:pt idx="7">
                  <c:v>56.6875</c:v>
                </c:pt>
                <c:pt idx="8">
                  <c:v>56.03125</c:v>
                </c:pt>
                <c:pt idx="9">
                  <c:v>56.96875</c:v>
                </c:pt>
                <c:pt idx="10">
                  <c:v>58.125</c:v>
                </c:pt>
                <c:pt idx="11">
                  <c:v>59.333333333333336</c:v>
                </c:pt>
                <c:pt idx="12">
                  <c:v>58.96875</c:v>
                </c:pt>
                <c:pt idx="13">
                  <c:v>56.90625</c:v>
                </c:pt>
                <c:pt idx="14">
                  <c:v>56</c:v>
                </c:pt>
                <c:pt idx="15">
                  <c:v>56.4</c:v>
                </c:pt>
                <c:pt idx="16">
                  <c:v>59.133333333333333</c:v>
                </c:pt>
                <c:pt idx="17">
                  <c:v>60.5</c:v>
                </c:pt>
                <c:pt idx="18">
                  <c:v>59.466666666666669</c:v>
                </c:pt>
                <c:pt idx="19">
                  <c:v>58.6875</c:v>
                </c:pt>
                <c:pt idx="20">
                  <c:v>58.65625</c:v>
                </c:pt>
                <c:pt idx="21">
                  <c:v>58.93333333333333</c:v>
                </c:pt>
                <c:pt idx="22">
                  <c:v>58.9</c:v>
                </c:pt>
                <c:pt idx="23">
                  <c:v>59</c:v>
                </c:pt>
                <c:pt idx="24">
                  <c:v>59.5625</c:v>
                </c:pt>
                <c:pt idx="25">
                  <c:v>59.2</c:v>
                </c:pt>
                <c:pt idx="26">
                  <c:v>59.666666666666664</c:v>
                </c:pt>
                <c:pt idx="27">
                  <c:v>58.285714285714285</c:v>
                </c:pt>
                <c:pt idx="28">
                  <c:v>58.4</c:v>
                </c:pt>
                <c:pt idx="29">
                  <c:v>58.93333333333333</c:v>
                </c:pt>
                <c:pt idx="30">
                  <c:v>58.0625</c:v>
                </c:pt>
                <c:pt idx="31">
                  <c:v>58.0625</c:v>
                </c:pt>
                <c:pt idx="32">
                  <c:v>58.625</c:v>
                </c:pt>
                <c:pt idx="33">
                  <c:v>58.625</c:v>
                </c:pt>
                <c:pt idx="34">
                  <c:v>59</c:v>
                </c:pt>
                <c:pt idx="35">
                  <c:v>58.93333333333333</c:v>
                </c:pt>
                <c:pt idx="36">
                  <c:v>59</c:v>
                </c:pt>
                <c:pt idx="37">
                  <c:v>58.375</c:v>
                </c:pt>
                <c:pt idx="38">
                  <c:v>58.375</c:v>
                </c:pt>
                <c:pt idx="39">
                  <c:v>58.375</c:v>
                </c:pt>
                <c:pt idx="40">
                  <c:v>59</c:v>
                </c:pt>
                <c:pt idx="41">
                  <c:v>59</c:v>
                </c:pt>
                <c:pt idx="42">
                  <c:v>59.9375</c:v>
                </c:pt>
                <c:pt idx="43">
                  <c:v>59.25</c:v>
                </c:pt>
                <c:pt idx="44">
                  <c:v>59.25</c:v>
                </c:pt>
                <c:pt idx="45">
                  <c:v>57.666666666666664</c:v>
                </c:pt>
              </c:numCache>
            </c:numRef>
          </c:val>
          <c:smooth val="0"/>
        </c:ser>
        <c:ser>
          <c:idx val="2"/>
          <c:order val="2"/>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工作表1!$F$40:$AY$40</c:f>
              <c:numCache>
                <c:formatCode>0.0_);[Red]\(0.0\)</c:formatCode>
                <c:ptCount val="46"/>
                <c:pt idx="0">
                  <c:v>63.4</c:v>
                </c:pt>
                <c:pt idx="1">
                  <c:v>64.900000000000006</c:v>
                </c:pt>
                <c:pt idx="2">
                  <c:v>69.8</c:v>
                </c:pt>
                <c:pt idx="3">
                  <c:v>68</c:v>
                </c:pt>
                <c:pt idx="4">
                  <c:v>71.900000000000006</c:v>
                </c:pt>
                <c:pt idx="5">
                  <c:v>75.555555555555557</c:v>
                </c:pt>
                <c:pt idx="6">
                  <c:v>75</c:v>
                </c:pt>
                <c:pt idx="7">
                  <c:v>72.272727272727266</c:v>
                </c:pt>
                <c:pt idx="8">
                  <c:v>76.555555555555557</c:v>
                </c:pt>
                <c:pt idx="9">
                  <c:v>73.400000000000006</c:v>
                </c:pt>
                <c:pt idx="10">
                  <c:v>75.272727272727266</c:v>
                </c:pt>
                <c:pt idx="11">
                  <c:v>76.454545454545453</c:v>
                </c:pt>
                <c:pt idx="12">
                  <c:v>71.727272727272734</c:v>
                </c:pt>
                <c:pt idx="13">
                  <c:v>72.272727272727266</c:v>
                </c:pt>
                <c:pt idx="14">
                  <c:v>65.36363636363636</c:v>
                </c:pt>
                <c:pt idx="15">
                  <c:v>71.818181818181813</c:v>
                </c:pt>
                <c:pt idx="16">
                  <c:v>76.818181818181813</c:v>
                </c:pt>
                <c:pt idx="17">
                  <c:v>74.727272727272734</c:v>
                </c:pt>
                <c:pt idx="18">
                  <c:v>80.090909090909093</c:v>
                </c:pt>
                <c:pt idx="19">
                  <c:v>78.818181818181813</c:v>
                </c:pt>
                <c:pt idx="20">
                  <c:v>80.63636363636364</c:v>
                </c:pt>
                <c:pt idx="21">
                  <c:v>81.181818181818187</c:v>
                </c:pt>
                <c:pt idx="22">
                  <c:v>80.818181818181813</c:v>
                </c:pt>
                <c:pt idx="23">
                  <c:v>75</c:v>
                </c:pt>
                <c:pt idx="24">
                  <c:v>73.909090909090907</c:v>
                </c:pt>
                <c:pt idx="25">
                  <c:v>69.727272727272734</c:v>
                </c:pt>
                <c:pt idx="26">
                  <c:v>68.63636363636364</c:v>
                </c:pt>
                <c:pt idx="27">
                  <c:v>68.545454545454547</c:v>
                </c:pt>
                <c:pt idx="28">
                  <c:v>72.545454545454547</c:v>
                </c:pt>
                <c:pt idx="29">
                  <c:v>75.090909090909093</c:v>
                </c:pt>
                <c:pt idx="30">
                  <c:v>75.272727272727266</c:v>
                </c:pt>
                <c:pt idx="31">
                  <c:v>76.818181818181813</c:v>
                </c:pt>
                <c:pt idx="32">
                  <c:v>79.454545454545453</c:v>
                </c:pt>
                <c:pt idx="33">
                  <c:v>81.36363636363636</c:v>
                </c:pt>
                <c:pt idx="34">
                  <c:v>81.181818181818187</c:v>
                </c:pt>
                <c:pt idx="35">
                  <c:v>83.1</c:v>
                </c:pt>
                <c:pt idx="36">
                  <c:v>81.454545454545453</c:v>
                </c:pt>
                <c:pt idx="37">
                  <c:v>81.454545454545453</c:v>
                </c:pt>
                <c:pt idx="38">
                  <c:v>80.63636363636364</c:v>
                </c:pt>
                <c:pt idx="39">
                  <c:v>79.36363636363636</c:v>
                </c:pt>
                <c:pt idx="40">
                  <c:v>81.2</c:v>
                </c:pt>
                <c:pt idx="41">
                  <c:v>81</c:v>
                </c:pt>
                <c:pt idx="42">
                  <c:v>79</c:v>
                </c:pt>
                <c:pt idx="43">
                  <c:v>80.272727272727266</c:v>
                </c:pt>
                <c:pt idx="44">
                  <c:v>81.181818181818187</c:v>
                </c:pt>
                <c:pt idx="45">
                  <c:v>80.454545454545453</c:v>
                </c:pt>
              </c:numCache>
            </c:numRef>
          </c:val>
          <c:smooth val="0"/>
        </c:ser>
        <c:dLbls>
          <c:showLegendKey val="0"/>
          <c:showVal val="0"/>
          <c:showCatName val="0"/>
          <c:showSerName val="0"/>
          <c:showPercent val="0"/>
          <c:showBubbleSize val="0"/>
        </c:dLbls>
        <c:marker val="1"/>
        <c:smooth val="0"/>
        <c:axId val="276302848"/>
        <c:axId val="276308736"/>
      </c:lineChart>
      <c:dateAx>
        <c:axId val="276302848"/>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6308736"/>
        <c:crosses val="autoZero"/>
        <c:auto val="1"/>
        <c:lblOffset val="100"/>
        <c:baseTimeUnit val="days"/>
        <c:majorUnit val="1"/>
        <c:majorTimeUnit val="months"/>
      </c:dateAx>
      <c:valAx>
        <c:axId val="276308736"/>
        <c:scaling>
          <c:orientation val="minMax"/>
          <c:min val="6"/>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6302848"/>
        <c:crosses val="autoZero"/>
        <c:crossBetween val="between"/>
      </c:valAx>
      <c:spPr>
        <a:noFill/>
        <a:ln>
          <a:noFill/>
        </a:ln>
        <a:effectLst/>
      </c:spPr>
    </c:plotArea>
    <c:legend>
      <c:legendPos val="b"/>
      <c:layout>
        <c:manualLayout>
          <c:xMode val="edge"/>
          <c:yMode val="edge"/>
          <c:x val="0.30649671355202585"/>
          <c:y val="1.0979583825549878E-2"/>
          <c:w val="0.48347434811387729"/>
          <c:h val="8.2063291654787596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userShapes r:id="rId2"/>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783276450511954E-2"/>
          <c:y val="9.3358807300805757E-2"/>
          <c:w val="0.88143079256731138"/>
          <c:h val="0.69539489382009068"/>
        </c:manualLayout>
      </c:layout>
      <c:lineChart>
        <c:grouping val="standard"/>
        <c:varyColors val="0"/>
        <c:ser>
          <c:idx val="1"/>
          <c:order val="0"/>
          <c:tx>
            <c:v>超市</c:v>
          </c:tx>
          <c:spPr>
            <a:ln w="28575" cap="rnd">
              <a:solidFill>
                <a:srgbClr val="FFC000"/>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工作表1!$F$43:$AY$43</c:f>
              <c:numCache>
                <c:formatCode>0.0_);[Red]\(0.0\)</c:formatCode>
                <c:ptCount val="46"/>
                <c:pt idx="0">
                  <c:v>37</c:v>
                </c:pt>
                <c:pt idx="1">
                  <c:v>37</c:v>
                </c:pt>
                <c:pt idx="2">
                  <c:v>37</c:v>
                </c:pt>
                <c:pt idx="3">
                  <c:v>37</c:v>
                </c:pt>
                <c:pt idx="4">
                  <c:v>37</c:v>
                </c:pt>
                <c:pt idx="5">
                  <c:v>37</c:v>
                </c:pt>
                <c:pt idx="6">
                  <c:v>37</c:v>
                </c:pt>
                <c:pt idx="7">
                  <c:v>37</c:v>
                </c:pt>
                <c:pt idx="8">
                  <c:v>37</c:v>
                </c:pt>
                <c:pt idx="9">
                  <c:v>37</c:v>
                </c:pt>
                <c:pt idx="10">
                  <c:v>37</c:v>
                </c:pt>
                <c:pt idx="11">
                  <c:v>37</c:v>
                </c:pt>
                <c:pt idx="12">
                  <c:v>37</c:v>
                </c:pt>
                <c:pt idx="13">
                  <c:v>37</c:v>
                </c:pt>
                <c:pt idx="14">
                  <c:v>37</c:v>
                </c:pt>
                <c:pt idx="15">
                  <c:v>37</c:v>
                </c:pt>
                <c:pt idx="16">
                  <c:v>37</c:v>
                </c:pt>
                <c:pt idx="17">
                  <c:v>37</c:v>
                </c:pt>
                <c:pt idx="18">
                  <c:v>37</c:v>
                </c:pt>
                <c:pt idx="19">
                  <c:v>37</c:v>
                </c:pt>
                <c:pt idx="20">
                  <c:v>37</c:v>
                </c:pt>
                <c:pt idx="21">
                  <c:v>37</c:v>
                </c:pt>
                <c:pt idx="22">
                  <c:v>37</c:v>
                </c:pt>
                <c:pt idx="23">
                  <c:v>37</c:v>
                </c:pt>
                <c:pt idx="24">
                  <c:v>37</c:v>
                </c:pt>
                <c:pt idx="25">
                  <c:v>37</c:v>
                </c:pt>
                <c:pt idx="26">
                  <c:v>37</c:v>
                </c:pt>
                <c:pt idx="27">
                  <c:v>37</c:v>
                </c:pt>
                <c:pt idx="28">
                  <c:v>37</c:v>
                </c:pt>
                <c:pt idx="29">
                  <c:v>37</c:v>
                </c:pt>
                <c:pt idx="30">
                  <c:v>37</c:v>
                </c:pt>
                <c:pt idx="31">
                  <c:v>37</c:v>
                </c:pt>
                <c:pt idx="32">
                  <c:v>37</c:v>
                </c:pt>
                <c:pt idx="33">
                  <c:v>37</c:v>
                </c:pt>
                <c:pt idx="34">
                  <c:v>37</c:v>
                </c:pt>
                <c:pt idx="35">
                  <c:v>37</c:v>
                </c:pt>
                <c:pt idx="36">
                  <c:v>37</c:v>
                </c:pt>
                <c:pt idx="37">
                  <c:v>37</c:v>
                </c:pt>
                <c:pt idx="38">
                  <c:v>48.25</c:v>
                </c:pt>
                <c:pt idx="39">
                  <c:v>48.25</c:v>
                </c:pt>
                <c:pt idx="40">
                  <c:v>48.25</c:v>
                </c:pt>
                <c:pt idx="41">
                  <c:v>48.25</c:v>
                </c:pt>
                <c:pt idx="42">
                  <c:v>37</c:v>
                </c:pt>
                <c:pt idx="43">
                  <c:v>43.25</c:v>
                </c:pt>
                <c:pt idx="44">
                  <c:v>43.25</c:v>
                </c:pt>
                <c:pt idx="45">
                  <c:v>37</c:v>
                </c:pt>
              </c:numCache>
            </c:numRef>
          </c:val>
          <c:smooth val="0"/>
        </c:ser>
        <c:ser>
          <c:idx val="2"/>
          <c:order val="1"/>
          <c:tx>
            <c:v>量販店</c:v>
          </c:tx>
          <c:spPr>
            <a:ln w="28575" cap="rnd">
              <a:solidFill>
                <a:schemeClr val="accent1"/>
              </a:solidFill>
              <a:round/>
            </a:ln>
            <a:effectLst/>
          </c:spPr>
          <c:marker>
            <c:symbol val="none"/>
          </c:marker>
          <c:cat>
            <c:numRef>
              <c:f>工作表1!$F$1:$AY$1</c:f>
              <c:numCache>
                <c:formatCode>m/d/yyyy</c:formatCode>
                <c:ptCount val="46"/>
                <c:pt idx="0">
                  <c:v>41644</c:v>
                </c:pt>
                <c:pt idx="1">
                  <c:v>41658</c:v>
                </c:pt>
                <c:pt idx="2">
                  <c:v>41679</c:v>
                </c:pt>
                <c:pt idx="3">
                  <c:v>41693</c:v>
                </c:pt>
                <c:pt idx="4">
                  <c:v>41700</c:v>
                </c:pt>
                <c:pt idx="5">
                  <c:v>41714</c:v>
                </c:pt>
                <c:pt idx="6">
                  <c:v>41735</c:v>
                </c:pt>
                <c:pt idx="7">
                  <c:v>41749</c:v>
                </c:pt>
                <c:pt idx="8">
                  <c:v>41763</c:v>
                </c:pt>
                <c:pt idx="9">
                  <c:v>41777</c:v>
                </c:pt>
                <c:pt idx="10">
                  <c:v>41798</c:v>
                </c:pt>
                <c:pt idx="11">
                  <c:v>41812</c:v>
                </c:pt>
                <c:pt idx="12">
                  <c:v>41826</c:v>
                </c:pt>
                <c:pt idx="13">
                  <c:v>41840</c:v>
                </c:pt>
                <c:pt idx="14">
                  <c:v>41854</c:v>
                </c:pt>
                <c:pt idx="15">
                  <c:v>41868</c:v>
                </c:pt>
                <c:pt idx="16">
                  <c:v>41889</c:v>
                </c:pt>
                <c:pt idx="17">
                  <c:v>41903</c:v>
                </c:pt>
                <c:pt idx="18">
                  <c:v>41917</c:v>
                </c:pt>
                <c:pt idx="19">
                  <c:v>41931</c:v>
                </c:pt>
                <c:pt idx="20">
                  <c:v>41945</c:v>
                </c:pt>
                <c:pt idx="21">
                  <c:v>41959</c:v>
                </c:pt>
                <c:pt idx="22">
                  <c:v>41981</c:v>
                </c:pt>
                <c:pt idx="23">
                  <c:v>41995</c:v>
                </c:pt>
                <c:pt idx="24">
                  <c:v>42009</c:v>
                </c:pt>
                <c:pt idx="25">
                  <c:v>42023</c:v>
                </c:pt>
                <c:pt idx="26">
                  <c:v>42037</c:v>
                </c:pt>
                <c:pt idx="27">
                  <c:v>42051</c:v>
                </c:pt>
                <c:pt idx="28">
                  <c:v>42072</c:v>
                </c:pt>
                <c:pt idx="29">
                  <c:v>42086</c:v>
                </c:pt>
                <c:pt idx="30">
                  <c:v>42101</c:v>
                </c:pt>
                <c:pt idx="31">
                  <c:v>42114</c:v>
                </c:pt>
                <c:pt idx="32">
                  <c:v>42135</c:v>
                </c:pt>
                <c:pt idx="33">
                  <c:v>42149</c:v>
                </c:pt>
                <c:pt idx="34">
                  <c:v>42163</c:v>
                </c:pt>
                <c:pt idx="35">
                  <c:v>42170</c:v>
                </c:pt>
                <c:pt idx="36">
                  <c:v>42191</c:v>
                </c:pt>
                <c:pt idx="37">
                  <c:v>42205</c:v>
                </c:pt>
                <c:pt idx="38">
                  <c:v>42219</c:v>
                </c:pt>
                <c:pt idx="39">
                  <c:v>42233</c:v>
                </c:pt>
                <c:pt idx="40">
                  <c:v>42254</c:v>
                </c:pt>
                <c:pt idx="41">
                  <c:v>42268</c:v>
                </c:pt>
                <c:pt idx="42">
                  <c:v>42282</c:v>
                </c:pt>
                <c:pt idx="43">
                  <c:v>42296</c:v>
                </c:pt>
                <c:pt idx="44">
                  <c:v>42317</c:v>
                </c:pt>
                <c:pt idx="45">
                  <c:v>42331</c:v>
                </c:pt>
              </c:numCache>
            </c:numRef>
          </c:cat>
          <c:val>
            <c:numRef>
              <c:f>工作表1!$F$44:$AY$44</c:f>
              <c:numCache>
                <c:formatCode>0.0_);[Red]\(0.0\)</c:formatCode>
                <c:ptCount val="46"/>
                <c:pt idx="0">
                  <c:v>46</c:v>
                </c:pt>
                <c:pt idx="1">
                  <c:v>46</c:v>
                </c:pt>
                <c:pt idx="2">
                  <c:v>45.333333333333336</c:v>
                </c:pt>
                <c:pt idx="3">
                  <c:v>45.333333333333336</c:v>
                </c:pt>
                <c:pt idx="4">
                  <c:v>45.333333333333336</c:v>
                </c:pt>
                <c:pt idx="5">
                  <c:v>45.333333333333336</c:v>
                </c:pt>
                <c:pt idx="6">
                  <c:v>46</c:v>
                </c:pt>
                <c:pt idx="7">
                  <c:v>46</c:v>
                </c:pt>
                <c:pt idx="8">
                  <c:v>46</c:v>
                </c:pt>
                <c:pt idx="9">
                  <c:v>46.25</c:v>
                </c:pt>
                <c:pt idx="10">
                  <c:v>46.25</c:v>
                </c:pt>
                <c:pt idx="11">
                  <c:v>46.25</c:v>
                </c:pt>
                <c:pt idx="12">
                  <c:v>49</c:v>
                </c:pt>
                <c:pt idx="13">
                  <c:v>49</c:v>
                </c:pt>
                <c:pt idx="14">
                  <c:v>52</c:v>
                </c:pt>
                <c:pt idx="15">
                  <c:v>52</c:v>
                </c:pt>
                <c:pt idx="16">
                  <c:v>50.6</c:v>
                </c:pt>
                <c:pt idx="17">
                  <c:v>48.6</c:v>
                </c:pt>
                <c:pt idx="18">
                  <c:v>48.6</c:v>
                </c:pt>
                <c:pt idx="19">
                  <c:v>48.6</c:v>
                </c:pt>
                <c:pt idx="20">
                  <c:v>46.25</c:v>
                </c:pt>
                <c:pt idx="21">
                  <c:v>46.5</c:v>
                </c:pt>
                <c:pt idx="22">
                  <c:v>44</c:v>
                </c:pt>
                <c:pt idx="23">
                  <c:v>44</c:v>
                </c:pt>
                <c:pt idx="24">
                  <c:v>46.5</c:v>
                </c:pt>
                <c:pt idx="25">
                  <c:v>46.5</c:v>
                </c:pt>
                <c:pt idx="26">
                  <c:v>46.5</c:v>
                </c:pt>
                <c:pt idx="27">
                  <c:v>46.5</c:v>
                </c:pt>
                <c:pt idx="28">
                  <c:v>46.5</c:v>
                </c:pt>
                <c:pt idx="29">
                  <c:v>49.5</c:v>
                </c:pt>
                <c:pt idx="30">
                  <c:v>49.5</c:v>
                </c:pt>
                <c:pt idx="31">
                  <c:v>49.5</c:v>
                </c:pt>
                <c:pt idx="32">
                  <c:v>49.5</c:v>
                </c:pt>
                <c:pt idx="33">
                  <c:v>49.5</c:v>
                </c:pt>
                <c:pt idx="34">
                  <c:v>49.5</c:v>
                </c:pt>
                <c:pt idx="35">
                  <c:v>49.5</c:v>
                </c:pt>
                <c:pt idx="36">
                  <c:v>49.5</c:v>
                </c:pt>
                <c:pt idx="37">
                  <c:v>49.5</c:v>
                </c:pt>
                <c:pt idx="38">
                  <c:v>49.5</c:v>
                </c:pt>
                <c:pt idx="39">
                  <c:v>49.5</c:v>
                </c:pt>
                <c:pt idx="40">
                  <c:v>48.5</c:v>
                </c:pt>
                <c:pt idx="41">
                  <c:v>48.5</c:v>
                </c:pt>
                <c:pt idx="42">
                  <c:v>48.5</c:v>
                </c:pt>
                <c:pt idx="43">
                  <c:v>48.5</c:v>
                </c:pt>
                <c:pt idx="44">
                  <c:v>48.5</c:v>
                </c:pt>
                <c:pt idx="45">
                  <c:v>49.5</c:v>
                </c:pt>
              </c:numCache>
            </c:numRef>
          </c:val>
          <c:smooth val="0"/>
        </c:ser>
        <c:dLbls>
          <c:showLegendKey val="0"/>
          <c:showVal val="0"/>
          <c:showCatName val="0"/>
          <c:showSerName val="0"/>
          <c:showPercent val="0"/>
          <c:showBubbleSize val="0"/>
        </c:dLbls>
        <c:marker val="1"/>
        <c:smooth val="0"/>
        <c:axId val="276348288"/>
        <c:axId val="276354176"/>
      </c:lineChart>
      <c:dateAx>
        <c:axId val="276348288"/>
        <c:scaling>
          <c:orientation val="minMax"/>
        </c:scaling>
        <c:delete val="0"/>
        <c:axPos val="b"/>
        <c:numFmt formatCode="m/d/yyyy" sourceLinked="1"/>
        <c:majorTickMark val="in"/>
        <c:minorTickMark val="none"/>
        <c:tickLblPos val="nextTo"/>
        <c:spPr>
          <a:noFill/>
          <a:ln w="9525" cap="flat" cmpd="sng" algn="ctr">
            <a:solidFill>
              <a:schemeClr val="tx1"/>
            </a:solidFill>
            <a:round/>
          </a:ln>
          <a:effectLst/>
        </c:spPr>
        <c:txPr>
          <a:bodyPr rot="-2700000" spcFirstLastPara="1" vertOverflow="ellipsis"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6354176"/>
        <c:crosses val="autoZero"/>
        <c:auto val="1"/>
        <c:lblOffset val="100"/>
        <c:baseTimeUnit val="days"/>
        <c:majorUnit val="1"/>
        <c:majorTimeUnit val="months"/>
      </c:dateAx>
      <c:valAx>
        <c:axId val="276354176"/>
        <c:scaling>
          <c:orientation val="minMax"/>
          <c:min val="10"/>
        </c:scaling>
        <c:delete val="0"/>
        <c:axPos val="l"/>
        <c:majorGridlines>
          <c:spPr>
            <a:ln w="9525" cap="flat" cmpd="sng" algn="ctr">
              <a:noFill/>
              <a:round/>
            </a:ln>
            <a:effectLst/>
          </c:spPr>
        </c:majorGridlines>
        <c:numFmt formatCode="0.0_);[Red]\(0.0\)" sourceLinked="1"/>
        <c:majorTickMark val="in"/>
        <c:minorTickMark val="none"/>
        <c:tickLblPos val="nextTo"/>
        <c:spPr>
          <a:noFill/>
          <a:ln>
            <a:solidFill>
              <a:schemeClr val="tx1"/>
            </a:solid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276348288"/>
        <c:crosses val="autoZero"/>
        <c:crossBetween val="between"/>
      </c:valAx>
      <c:spPr>
        <a:noFill/>
        <a:ln>
          <a:noFill/>
        </a:ln>
        <a:effectLst/>
      </c:spPr>
    </c:plotArea>
    <c:legend>
      <c:legendPos val="b"/>
      <c:layout>
        <c:manualLayout>
          <c:xMode val="edge"/>
          <c:yMode val="edge"/>
          <c:x val="0.30649671355202585"/>
          <c:y val="1.0979583825549878E-2"/>
          <c:w val="0.48347434811387729"/>
          <c:h val="8.2063291654787596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legend>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externalData r:id="rId1">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en-US" altLang="en-US"/>
              <a:t>World</a:t>
            </a:r>
            <a:r>
              <a:rPr lang="en-US" altLang="en-US" baseline="0"/>
              <a:t> Bank Commodities Price Indicies</a:t>
            </a:r>
            <a:endParaRPr lang="en-US" altLang="en-US"/>
          </a:p>
        </c:rich>
      </c:tx>
      <c:overlay val="0"/>
    </c:title>
    <c:autoTitleDeleted val="0"/>
    <c:plotArea>
      <c:layout/>
      <c:lineChart>
        <c:grouping val="standard"/>
        <c:varyColors val="0"/>
        <c:ser>
          <c:idx val="2"/>
          <c:order val="0"/>
          <c:tx>
            <c:strRef>
              <c:f>[food_price_index_nominal_real.xls]工作表1!$B$5</c:f>
              <c:strCache>
                <c:ptCount val="1"/>
                <c:pt idx="0">
                  <c:v>Food</c:v>
                </c:pt>
              </c:strCache>
            </c:strRef>
          </c:tx>
          <c:marker>
            <c:symbol val="none"/>
          </c:marker>
          <c:cat>
            <c:numRef>
              <c:f>[food_price_index_nominal_real.xls]工作表1!$C$2:$O$2</c:f>
              <c:numCache>
                <c:formatCode>General</c:formatCode>
                <c:ptCount val="13"/>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numCache>
            </c:numRef>
          </c:cat>
          <c:val>
            <c:numRef>
              <c:f>[food_price_index_nominal_real.xls]工作表1!$C$5:$O$5</c:f>
              <c:numCache>
                <c:formatCode>General</c:formatCode>
                <c:ptCount val="13"/>
                <c:pt idx="0">
                  <c:v>115.6</c:v>
                </c:pt>
                <c:pt idx="1">
                  <c:v>107.4</c:v>
                </c:pt>
                <c:pt idx="2">
                  <c:v>94.2</c:v>
                </c:pt>
                <c:pt idx="3">
                  <c:v>95.3</c:v>
                </c:pt>
                <c:pt idx="4">
                  <c:v>96.5</c:v>
                </c:pt>
                <c:pt idx="5">
                  <c:v>97.7</c:v>
                </c:pt>
                <c:pt idx="6">
                  <c:v>99</c:v>
                </c:pt>
                <c:pt idx="7">
                  <c:v>100.2</c:v>
                </c:pt>
                <c:pt idx="8">
                  <c:v>101.5</c:v>
                </c:pt>
                <c:pt idx="9">
                  <c:v>102.8</c:v>
                </c:pt>
                <c:pt idx="10">
                  <c:v>104.1</c:v>
                </c:pt>
                <c:pt idx="11">
                  <c:v>105.4</c:v>
                </c:pt>
                <c:pt idx="12">
                  <c:v>106.8</c:v>
                </c:pt>
              </c:numCache>
            </c:numRef>
          </c:val>
          <c:smooth val="0"/>
        </c:ser>
        <c:dLbls>
          <c:showLegendKey val="0"/>
          <c:showVal val="0"/>
          <c:showCatName val="0"/>
          <c:showSerName val="0"/>
          <c:showPercent val="0"/>
          <c:showBubbleSize val="0"/>
        </c:dLbls>
        <c:marker val="1"/>
        <c:smooth val="0"/>
        <c:axId val="276574976"/>
        <c:axId val="276576512"/>
      </c:lineChart>
      <c:catAx>
        <c:axId val="276574976"/>
        <c:scaling>
          <c:orientation val="minMax"/>
        </c:scaling>
        <c:delete val="0"/>
        <c:axPos val="b"/>
        <c:numFmt formatCode="General" sourceLinked="1"/>
        <c:majorTickMark val="none"/>
        <c:minorTickMark val="none"/>
        <c:tickLblPos val="nextTo"/>
        <c:crossAx val="276576512"/>
        <c:crosses val="autoZero"/>
        <c:auto val="1"/>
        <c:lblAlgn val="ctr"/>
        <c:lblOffset val="100"/>
        <c:noMultiLvlLbl val="0"/>
      </c:catAx>
      <c:valAx>
        <c:axId val="276576512"/>
        <c:scaling>
          <c:orientation val="minMax"/>
        </c:scaling>
        <c:delete val="0"/>
        <c:axPos val="l"/>
        <c:majorGridlines/>
        <c:numFmt formatCode="General" sourceLinked="1"/>
        <c:majorTickMark val="none"/>
        <c:minorTickMark val="none"/>
        <c:tickLblPos val="nextTo"/>
        <c:spPr>
          <a:ln w="9525">
            <a:noFill/>
          </a:ln>
        </c:spPr>
        <c:crossAx val="276574976"/>
        <c:crosses val="autoZero"/>
        <c:crossBetween val="between"/>
      </c:valAx>
    </c:plotArea>
    <c:legend>
      <c:legendPos val="b"/>
      <c:overlay val="0"/>
    </c:legend>
    <c:plotVisOnly val="1"/>
    <c:dispBlanksAs val="gap"/>
    <c:showDLblsOverMax val="0"/>
  </c:chart>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0.67722</cdr:x>
      <cdr:y>0.57102</cdr:y>
    </cdr:from>
    <cdr:to>
      <cdr:x>0.85059</cdr:x>
      <cdr:y>0.94907</cdr:y>
    </cdr:to>
    <cdr:sp macro="" textlink="">
      <cdr:nvSpPr>
        <cdr:cNvPr id="2" name="文字方塊 1"/>
        <cdr:cNvSpPr txBox="1"/>
      </cdr:nvSpPr>
      <cdr:spPr>
        <a:xfrm xmlns:a="http://schemas.openxmlformats.org/drawingml/2006/main">
          <a:off x="3571875" y="138112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eaLnBrk="1" hangingPunct="1">
            <a:spcBef>
              <a:spcPct val="0"/>
            </a:spcBef>
            <a:buFontTx/>
            <a:buNone/>
          </a:pPr>
          <a:r>
            <a:rPr lang="zh-TW" altLang="en-US" sz="1100" dirty="0"/>
            <a:t>便利店：三好米 </a:t>
          </a:r>
          <a:r>
            <a:rPr lang="en-US" altLang="zh-TW" sz="1100" dirty="0"/>
            <a:t>2</a:t>
          </a:r>
          <a:r>
            <a:rPr lang="zh-TW" altLang="en-US" sz="1100" dirty="0"/>
            <a:t>公斤</a:t>
          </a:r>
          <a:endParaRPr lang="en-US" altLang="zh-TW" sz="1100" dirty="0"/>
        </a:p>
        <a:p xmlns:a="http://schemas.openxmlformats.org/drawingml/2006/main">
          <a:pPr eaLnBrk="1" hangingPunct="1">
            <a:spcBef>
              <a:spcPct val="0"/>
            </a:spcBef>
            <a:buFontTx/>
            <a:buNone/>
          </a:pPr>
          <a:r>
            <a:rPr lang="zh-TW" altLang="en-US" sz="1100" dirty="0"/>
            <a:t>超市、量販店：三好米 </a:t>
          </a:r>
          <a:r>
            <a:rPr lang="en-US" altLang="zh-TW" sz="1100" dirty="0"/>
            <a:t>4</a:t>
          </a:r>
          <a:r>
            <a:rPr lang="zh-TW" altLang="en-US" sz="1100" dirty="0"/>
            <a:t>公斤</a:t>
          </a:r>
          <a:r>
            <a:rPr lang="en-US" altLang="zh-TW" sz="1100" dirty="0"/>
            <a:t>                           </a:t>
          </a:r>
          <a:endParaRPr lang="zh-TW" altLang="en-US" sz="1100" dirty="0"/>
        </a:p>
        <a:p xmlns:a="http://schemas.openxmlformats.org/drawingml/2006/main">
          <a:endParaRPr lang="zh-TW" altLang="en-US" sz="1100"/>
        </a:p>
      </cdr:txBody>
    </cdr:sp>
  </cdr:relSizeAnchor>
</c:userShapes>
</file>

<file path=word/drawings/drawing2.xml><?xml version="1.0" encoding="utf-8"?>
<c:userShapes xmlns:c="http://schemas.openxmlformats.org/drawingml/2006/chart">
  <cdr:relSizeAnchor xmlns:cdr="http://schemas.openxmlformats.org/drawingml/2006/chartDrawing">
    <cdr:from>
      <cdr:x>0.01146</cdr:x>
      <cdr:y>0</cdr:y>
    </cdr:from>
    <cdr:to>
      <cdr:x>0.13021</cdr:x>
      <cdr:y>0.11458</cdr:y>
    </cdr:to>
    <cdr:sp macro="" textlink="">
      <cdr:nvSpPr>
        <cdr:cNvPr id="2" name="文字方塊 1"/>
        <cdr:cNvSpPr txBox="1"/>
      </cdr:nvSpPr>
      <cdr:spPr>
        <a:xfrm xmlns:a="http://schemas.openxmlformats.org/drawingml/2006/main">
          <a:off x="52395" y="0"/>
          <a:ext cx="542925" cy="25210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latin typeface="微軟正黑體" panose="020B0604030504040204" pitchFamily="34" charset="-120"/>
              <a:ea typeface="微軟正黑體" panose="020B0604030504040204" pitchFamily="34" charset="-120"/>
            </a:rPr>
            <a:t>(</a:t>
          </a:r>
          <a:r>
            <a:rPr lang="zh-TW" altLang="en-US" sz="1100">
              <a:latin typeface="微軟正黑體" panose="020B0604030504040204" pitchFamily="34" charset="-120"/>
              <a:ea typeface="微軟正黑體" panose="020B0604030504040204" pitchFamily="34" charset="-120"/>
            </a:rPr>
            <a:t>毫米</a:t>
          </a:r>
          <a:r>
            <a:rPr lang="en-US" altLang="zh-TW" sz="1100">
              <a:latin typeface="微軟正黑體" panose="020B0604030504040204" pitchFamily="34" charset="-120"/>
              <a:ea typeface="微軟正黑體" panose="020B0604030504040204" pitchFamily="34" charset="-120"/>
            </a:rPr>
            <a:t>)</a:t>
          </a:r>
          <a:endParaRPr lang="zh-TW" altLang="en-US" sz="1100">
            <a:latin typeface="微軟正黑體" panose="020B0604030504040204" pitchFamily="34" charset="-120"/>
            <a:ea typeface="微軟正黑體" panose="020B0604030504040204" pitchFamily="34" charset="-120"/>
          </a:endParaRPr>
        </a:p>
      </cdr:txBody>
    </cdr:sp>
  </cdr:relSizeAnchor>
  <cdr:relSizeAnchor xmlns:cdr="http://schemas.openxmlformats.org/drawingml/2006/chartDrawing">
    <cdr:from>
      <cdr:x>0.92778</cdr:x>
      <cdr:y>0.87847</cdr:y>
    </cdr:from>
    <cdr:to>
      <cdr:x>0.99688</cdr:x>
      <cdr:y>0.97338</cdr:y>
    </cdr:to>
    <cdr:sp macro="" textlink="">
      <cdr:nvSpPr>
        <cdr:cNvPr id="3" name="文字方塊 1"/>
        <cdr:cNvSpPr txBox="1"/>
      </cdr:nvSpPr>
      <cdr:spPr>
        <a:xfrm xmlns:a="http://schemas.openxmlformats.org/drawingml/2006/main">
          <a:off x="4241800" y="2409825"/>
          <a:ext cx="315913" cy="2603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zh-TW" altLang="en-US" sz="1100">
              <a:latin typeface="微軟正黑體" panose="020B0604030504040204" pitchFamily="34" charset="-120"/>
              <a:ea typeface="微軟正黑體" panose="020B0604030504040204" pitchFamily="34" charset="-120"/>
            </a:rPr>
            <a:t>月</a:t>
          </a:r>
        </a:p>
      </cdr:txBody>
    </cdr:sp>
  </cdr:relSizeAnchor>
</c:userShapes>
</file>

<file path=word/drawings/drawing3.xml><?xml version="1.0" encoding="utf-8"?>
<c:userShapes xmlns:c="http://schemas.openxmlformats.org/drawingml/2006/chart">
  <cdr:relSizeAnchor xmlns:cdr="http://schemas.openxmlformats.org/drawingml/2006/chartDrawing">
    <cdr:from>
      <cdr:x>0.78016</cdr:x>
      <cdr:y>0</cdr:y>
    </cdr:from>
    <cdr:to>
      <cdr:x>0.95353</cdr:x>
      <cdr:y>0.37805</cdr:y>
    </cdr:to>
    <cdr:sp macro="" textlink="">
      <cdr:nvSpPr>
        <cdr:cNvPr id="2" name="文字方塊 1"/>
        <cdr:cNvSpPr txBox="1"/>
      </cdr:nvSpPr>
      <cdr:spPr>
        <a:xfrm xmlns:a="http://schemas.openxmlformats.org/drawingml/2006/main">
          <a:off x="4114800" y="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zh-TW" altLang="en-US" sz="1100" dirty="0" smtClean="0">
              <a:latin typeface="標楷體" pitchFamily="65" charset="-120"/>
            </a:rPr>
            <a:t>洗選蛋 </a:t>
          </a:r>
          <a:r>
            <a:rPr lang="en-US" altLang="zh-TW" sz="1100" dirty="0" smtClean="0">
              <a:latin typeface="+mn-lt"/>
            </a:rPr>
            <a:t>10 </a:t>
          </a:r>
          <a:r>
            <a:rPr lang="zh-TW" altLang="en-US" sz="1100" dirty="0" smtClean="0">
              <a:latin typeface="標楷體" pitchFamily="65" charset="-120"/>
            </a:rPr>
            <a:t>粒</a:t>
          </a:r>
        </a:p>
        <a:p xmlns:a="http://schemas.openxmlformats.org/drawingml/2006/main">
          <a:endParaRPr lang="zh-TW" altLang="en-US" sz="1100"/>
        </a:p>
      </cdr:txBody>
    </cdr:sp>
  </cdr:relSizeAnchor>
</c:userShapes>
</file>

<file path=word/drawings/drawing4.xml><?xml version="1.0" encoding="utf-8"?>
<c:userShapes xmlns:c="http://schemas.openxmlformats.org/drawingml/2006/chart">
  <cdr:relSizeAnchor xmlns:cdr="http://schemas.openxmlformats.org/drawingml/2006/chartDrawing">
    <cdr:from>
      <cdr:x>0.0348</cdr:x>
      <cdr:y>0.03938</cdr:y>
    </cdr:from>
    <cdr:to>
      <cdr:x>0.14682</cdr:x>
      <cdr:y>0.13822</cdr:y>
    </cdr:to>
    <cdr:sp macro="" textlink="">
      <cdr:nvSpPr>
        <cdr:cNvPr id="2" name="文字方塊 1"/>
        <cdr:cNvSpPr txBox="1"/>
      </cdr:nvSpPr>
      <cdr:spPr>
        <a:xfrm xmlns:a="http://schemas.openxmlformats.org/drawingml/2006/main">
          <a:off x="170337" y="95251"/>
          <a:ext cx="548362" cy="23905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r>
            <a:rPr lang="en-US" altLang="zh-TW" sz="1000">
              <a:latin typeface="微軟正黑體" panose="020B0604030504040204" pitchFamily="34" charset="-120"/>
              <a:ea typeface="微軟正黑體" panose="020B0604030504040204" pitchFamily="34" charset="-120"/>
            </a:rPr>
            <a:t>(</a:t>
          </a:r>
          <a:r>
            <a:rPr lang="zh-TW" altLang="en-US" sz="1000">
              <a:latin typeface="微軟正黑體" panose="020B0604030504040204" pitchFamily="34" charset="-120"/>
              <a:ea typeface="微軟正黑體" panose="020B0604030504040204" pitchFamily="34" charset="-120"/>
            </a:rPr>
            <a:t>白毛鴨</a:t>
          </a:r>
          <a:r>
            <a:rPr lang="en-US" altLang="zh-TW" sz="1000">
              <a:latin typeface="微軟正黑體" panose="020B0604030504040204" pitchFamily="34" charset="-120"/>
              <a:ea typeface="微軟正黑體" panose="020B0604030504040204" pitchFamily="34" charset="-120"/>
            </a:rPr>
            <a:t>/</a:t>
          </a:r>
          <a:r>
            <a:rPr lang="zh-TW" altLang="en-US" sz="1000">
              <a:latin typeface="微軟正黑體" panose="020B0604030504040204" pitchFamily="34" charset="-120"/>
              <a:ea typeface="微軟正黑體" panose="020B0604030504040204" pitchFamily="34" charset="-120"/>
            </a:rPr>
            <a:t>土雞</a:t>
          </a:r>
          <a:r>
            <a:rPr lang="en-US" altLang="zh-TW" sz="1000">
              <a:latin typeface="微軟正黑體" panose="020B0604030504040204" pitchFamily="34" charset="-120"/>
              <a:ea typeface="微軟正黑體" panose="020B0604030504040204" pitchFamily="34" charset="-120"/>
            </a:rPr>
            <a:t>)</a:t>
          </a:r>
          <a:endParaRPr lang="zh-TW" altLang="en-US" sz="1000">
            <a:latin typeface="微軟正黑體" panose="020B0604030504040204" pitchFamily="34" charset="-120"/>
            <a:ea typeface="微軟正黑體" panose="020B0604030504040204" pitchFamily="34" charset="-120"/>
          </a:endParaRPr>
        </a:p>
      </cdr:txBody>
    </cdr:sp>
  </cdr:relSizeAnchor>
  <cdr:relSizeAnchor xmlns:cdr="http://schemas.openxmlformats.org/drawingml/2006/chartDrawing">
    <cdr:from>
      <cdr:x>0.88798</cdr:x>
      <cdr:y>0.0473</cdr:y>
    </cdr:from>
    <cdr:to>
      <cdr:x>1</cdr:x>
      <cdr:y>0.15347</cdr:y>
    </cdr:to>
    <cdr:sp macro="" textlink="">
      <cdr:nvSpPr>
        <cdr:cNvPr id="3" name="文字方塊 1"/>
        <cdr:cNvSpPr txBox="1"/>
      </cdr:nvSpPr>
      <cdr:spPr>
        <a:xfrm xmlns:a="http://schemas.openxmlformats.org/drawingml/2006/main">
          <a:off x="4303918" y="133350"/>
          <a:ext cx="542946" cy="29935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altLang="zh-TW" sz="1000">
              <a:latin typeface="微軟正黑體" panose="020B0604030504040204" pitchFamily="34" charset="-120"/>
              <a:ea typeface="微軟正黑體" panose="020B0604030504040204" pitchFamily="34" charset="-120"/>
            </a:rPr>
            <a:t>(</a:t>
          </a:r>
          <a:r>
            <a:rPr lang="zh-TW" altLang="en-US" sz="1000">
              <a:latin typeface="微軟正黑體" panose="020B0604030504040204" pitchFamily="34" charset="-120"/>
              <a:ea typeface="微軟正黑體" panose="020B0604030504040204" pitchFamily="34" charset="-120"/>
            </a:rPr>
            <a:t>白肉雞</a:t>
          </a:r>
          <a:r>
            <a:rPr lang="en-US" altLang="zh-TW" sz="1000">
              <a:latin typeface="微軟正黑體" panose="020B0604030504040204" pitchFamily="34" charset="-120"/>
              <a:ea typeface="微軟正黑體" panose="020B0604030504040204" pitchFamily="34" charset="-120"/>
            </a:rPr>
            <a:t>)</a:t>
          </a:r>
          <a:endParaRPr lang="zh-TW" altLang="en-US" sz="1000">
            <a:latin typeface="微軟正黑體" panose="020B0604030504040204" pitchFamily="34" charset="-120"/>
            <a:ea typeface="微軟正黑體" panose="020B0604030504040204" pitchFamily="34" charset="-120"/>
          </a:endParaRPr>
        </a:p>
      </cdr:txBody>
    </cdr:sp>
  </cdr:relSizeAnchor>
  <cdr:relSizeAnchor xmlns:cdr="http://schemas.openxmlformats.org/drawingml/2006/chartDrawing">
    <cdr:from>
      <cdr:x>0.12093</cdr:x>
      <cdr:y>0.6181</cdr:y>
    </cdr:from>
    <cdr:to>
      <cdr:x>0.23295</cdr:x>
      <cdr:y>0.71977</cdr:y>
    </cdr:to>
    <cdr:sp macro="" textlink="">
      <cdr:nvSpPr>
        <cdr:cNvPr id="4" name="文字方塊 1"/>
        <cdr:cNvSpPr txBox="1"/>
      </cdr:nvSpPr>
      <cdr:spPr>
        <a:xfrm xmlns:a="http://schemas.openxmlformats.org/drawingml/2006/main">
          <a:off x="591998" y="1905548"/>
          <a:ext cx="548362" cy="31344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US" altLang="zh-TW" sz="1000">
              <a:latin typeface="微軟正黑體" panose="020B0604030504040204" pitchFamily="34" charset="-120"/>
              <a:ea typeface="微軟正黑體" panose="020B0604030504040204" pitchFamily="34" charset="-120"/>
            </a:rPr>
            <a:t>(</a:t>
          </a:r>
          <a:r>
            <a:rPr lang="zh-TW" altLang="en-US" sz="1000">
              <a:latin typeface="微軟正黑體" panose="020B0604030504040204" pitchFamily="34" charset="-120"/>
              <a:ea typeface="微軟正黑體" panose="020B0604030504040204" pitchFamily="34" charset="-120"/>
            </a:rPr>
            <a:t>元</a:t>
          </a:r>
          <a:r>
            <a:rPr lang="en-US" altLang="zh-TW" sz="1000">
              <a:latin typeface="微軟正黑體" panose="020B0604030504040204" pitchFamily="34" charset="-120"/>
              <a:ea typeface="微軟正黑體" panose="020B0604030504040204" pitchFamily="34" charset="-120"/>
            </a:rPr>
            <a:t>/</a:t>
          </a:r>
          <a:r>
            <a:rPr lang="zh-TW" altLang="en-US" sz="1000">
              <a:latin typeface="微軟正黑體" panose="020B0604030504040204" pitchFamily="34" charset="-120"/>
              <a:ea typeface="微軟正黑體" panose="020B0604030504040204" pitchFamily="34" charset="-120"/>
            </a:rPr>
            <a:t>公斤</a:t>
          </a:r>
          <a:r>
            <a:rPr lang="en-US" altLang="zh-TW" sz="1000">
              <a:latin typeface="微軟正黑體" panose="020B0604030504040204" pitchFamily="34" charset="-120"/>
              <a:ea typeface="微軟正黑體" panose="020B0604030504040204" pitchFamily="34" charset="-120"/>
            </a:rPr>
            <a:t>)</a:t>
          </a:r>
          <a:endParaRPr lang="zh-TW" altLang="en-US" sz="1000">
            <a:latin typeface="微軟正黑體" panose="020B0604030504040204" pitchFamily="34" charset="-120"/>
            <a:ea typeface="微軟正黑體" panose="020B0604030504040204" pitchFamily="34" charset="-120"/>
          </a:endParaRPr>
        </a:p>
      </cdr:txBody>
    </cdr:sp>
  </cdr:relSizeAnchor>
</c:userShapes>
</file>

<file path=word/drawings/drawing5.xml><?xml version="1.0" encoding="utf-8"?>
<c:userShapes xmlns:c="http://schemas.openxmlformats.org/drawingml/2006/chart">
  <cdr:relSizeAnchor xmlns:cdr="http://schemas.openxmlformats.org/drawingml/2006/chartDrawing">
    <cdr:from>
      <cdr:x>0.13031</cdr:x>
      <cdr:y>0.10049</cdr:y>
    </cdr:from>
    <cdr:to>
      <cdr:x>0.28448</cdr:x>
      <cdr:y>0.19771</cdr:y>
    </cdr:to>
    <cdr:sp macro="" textlink="">
      <cdr:nvSpPr>
        <cdr:cNvPr id="2" name="文字方塊 1"/>
        <cdr:cNvSpPr txBox="1"/>
      </cdr:nvSpPr>
      <cdr:spPr>
        <a:xfrm xmlns:a="http://schemas.openxmlformats.org/drawingml/2006/main">
          <a:off x="395952" y="260359"/>
          <a:ext cx="468442" cy="25187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latin typeface="微軟正黑體" panose="020B0604030504040204" pitchFamily="34" charset="-120"/>
              <a:ea typeface="微軟正黑體" panose="020B0604030504040204" pitchFamily="34" charset="-120"/>
            </a:rPr>
            <a:t>(</a:t>
          </a:r>
          <a:r>
            <a:rPr lang="zh-TW" altLang="en-US" sz="1100">
              <a:latin typeface="微軟正黑體" panose="020B0604030504040204" pitchFamily="34" charset="-120"/>
              <a:ea typeface="微軟正黑體" panose="020B0604030504040204" pitchFamily="34" charset="-120"/>
            </a:rPr>
            <a:t>元</a:t>
          </a:r>
          <a:r>
            <a:rPr lang="en-US" altLang="zh-TW" sz="1100">
              <a:latin typeface="微軟正黑體" panose="020B0604030504040204" pitchFamily="34" charset="-120"/>
              <a:ea typeface="微軟正黑體" panose="020B0604030504040204" pitchFamily="34" charset="-120"/>
            </a:rPr>
            <a:t>/</a:t>
          </a:r>
          <a:r>
            <a:rPr lang="zh-TW" altLang="en-US" sz="1100">
              <a:latin typeface="微軟正黑體" panose="020B0604030504040204" pitchFamily="34" charset="-120"/>
              <a:ea typeface="微軟正黑體" panose="020B0604030504040204" pitchFamily="34" charset="-120"/>
            </a:rPr>
            <a:t>台斤</a:t>
          </a:r>
          <a:r>
            <a:rPr lang="en-US" altLang="zh-TW" sz="1100">
              <a:latin typeface="微軟正黑體" panose="020B0604030504040204" pitchFamily="34" charset="-120"/>
              <a:ea typeface="微軟正黑體" panose="020B0604030504040204" pitchFamily="34" charset="-120"/>
            </a:rPr>
            <a:t>)</a:t>
          </a:r>
          <a:endParaRPr lang="zh-TW" altLang="en-US" sz="1100">
            <a:latin typeface="微軟正黑體" panose="020B0604030504040204" pitchFamily="34" charset="-120"/>
            <a:ea typeface="微軟正黑體" panose="020B0604030504040204" pitchFamily="34" charset="-120"/>
          </a:endParaRPr>
        </a:p>
      </cdr:txBody>
    </cdr:sp>
  </cdr:relSizeAnchor>
  <cdr:relSizeAnchor xmlns:cdr="http://schemas.openxmlformats.org/drawingml/2006/chartDrawing">
    <cdr:from>
      <cdr:x>0.91944</cdr:x>
      <cdr:y>0.8831</cdr:y>
    </cdr:from>
    <cdr:to>
      <cdr:x>0.98958</cdr:x>
      <cdr:y>0.98032</cdr:y>
    </cdr:to>
    <cdr:sp macro="" textlink="">
      <cdr:nvSpPr>
        <cdr:cNvPr id="3" name="文字方塊 1"/>
        <cdr:cNvSpPr txBox="1"/>
      </cdr:nvSpPr>
      <cdr:spPr>
        <a:xfrm xmlns:a="http://schemas.openxmlformats.org/drawingml/2006/main">
          <a:off x="4203700" y="2422525"/>
          <a:ext cx="320675" cy="2667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zh-TW" altLang="en-US" sz="1100">
              <a:latin typeface="微軟正黑體" panose="020B0604030504040204" pitchFamily="34" charset="-120"/>
              <a:ea typeface="微軟正黑體" panose="020B0604030504040204" pitchFamily="34" charset="-120"/>
            </a:rPr>
            <a:t>月</a:t>
          </a:r>
        </a:p>
      </cdr:txBody>
    </cdr:sp>
  </cdr:relSizeAnchor>
</c:userShapes>
</file>

<file path=word/drawings/drawing6.xml><?xml version="1.0" encoding="utf-8"?>
<c:userShapes xmlns:c="http://schemas.openxmlformats.org/drawingml/2006/chart">
  <cdr:relSizeAnchor xmlns:cdr="http://schemas.openxmlformats.org/drawingml/2006/chartDrawing">
    <cdr:from>
      <cdr:x>0.14531</cdr:x>
      <cdr:y>0.03819</cdr:y>
    </cdr:from>
    <cdr:to>
      <cdr:x>0.30156</cdr:x>
      <cdr:y>0.13542</cdr:y>
    </cdr:to>
    <cdr:sp macro="" textlink="">
      <cdr:nvSpPr>
        <cdr:cNvPr id="2" name="文字方塊 1"/>
        <cdr:cNvSpPr txBox="1"/>
      </cdr:nvSpPr>
      <cdr:spPr>
        <a:xfrm xmlns:a="http://schemas.openxmlformats.org/drawingml/2006/main">
          <a:off x="427673" y="106412"/>
          <a:ext cx="459878" cy="27092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latin typeface="微軟正黑體" panose="020B0604030504040204" pitchFamily="34" charset="-120"/>
              <a:ea typeface="微軟正黑體" panose="020B0604030504040204" pitchFamily="34" charset="-120"/>
            </a:rPr>
            <a:t>(</a:t>
          </a:r>
          <a:r>
            <a:rPr lang="zh-TW" altLang="en-US" sz="1100">
              <a:latin typeface="微軟正黑體" panose="020B0604030504040204" pitchFamily="34" charset="-120"/>
              <a:ea typeface="微軟正黑體" panose="020B0604030504040204" pitchFamily="34" charset="-120"/>
            </a:rPr>
            <a:t>元</a:t>
          </a:r>
          <a:r>
            <a:rPr lang="en-US" altLang="zh-TW" sz="1100">
              <a:latin typeface="微軟正黑體" panose="020B0604030504040204" pitchFamily="34" charset="-120"/>
              <a:ea typeface="微軟正黑體" panose="020B0604030504040204" pitchFamily="34" charset="-120"/>
            </a:rPr>
            <a:t>/</a:t>
          </a:r>
          <a:r>
            <a:rPr lang="zh-TW" altLang="en-US" sz="1100">
              <a:latin typeface="微軟正黑體" panose="020B0604030504040204" pitchFamily="34" charset="-120"/>
              <a:ea typeface="微軟正黑體" panose="020B0604030504040204" pitchFamily="34" charset="-120"/>
            </a:rPr>
            <a:t>台斤</a:t>
          </a:r>
          <a:r>
            <a:rPr lang="en-US" altLang="zh-TW" sz="1100">
              <a:latin typeface="微軟正黑體" panose="020B0604030504040204" pitchFamily="34" charset="-120"/>
              <a:ea typeface="微軟正黑體" panose="020B0604030504040204" pitchFamily="34" charset="-120"/>
            </a:rPr>
            <a:t>)</a:t>
          </a:r>
          <a:endParaRPr lang="zh-TW" altLang="en-US" sz="1100">
            <a:latin typeface="微軟正黑體" panose="020B0604030504040204" pitchFamily="34" charset="-120"/>
            <a:ea typeface="微軟正黑體" panose="020B0604030504040204" pitchFamily="34" charset="-120"/>
          </a:endParaRPr>
        </a:p>
      </cdr:txBody>
    </cdr:sp>
  </cdr:relSizeAnchor>
  <cdr:relSizeAnchor xmlns:cdr="http://schemas.openxmlformats.org/drawingml/2006/chartDrawing">
    <cdr:from>
      <cdr:x>0.89817</cdr:x>
      <cdr:y>0.83258</cdr:y>
    </cdr:from>
    <cdr:to>
      <cdr:x>0.95788</cdr:x>
      <cdr:y>0.92981</cdr:y>
    </cdr:to>
    <cdr:sp macro="" textlink="">
      <cdr:nvSpPr>
        <cdr:cNvPr id="3" name="文字方塊 1"/>
        <cdr:cNvSpPr txBox="1"/>
      </cdr:nvSpPr>
      <cdr:spPr>
        <a:xfrm xmlns:a="http://schemas.openxmlformats.org/drawingml/2006/main">
          <a:off x="2643502" y="2319880"/>
          <a:ext cx="175769" cy="27092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zh-TW" altLang="en-US" sz="1100">
              <a:latin typeface="微軟正黑體" panose="020B0604030504040204" pitchFamily="34" charset="-120"/>
              <a:ea typeface="微軟正黑體" panose="020B0604030504040204" pitchFamily="34" charset="-120"/>
            </a:rPr>
            <a:t>月</a:t>
          </a:r>
        </a:p>
      </cdr:txBody>
    </cdr:sp>
  </cdr:relSizeAnchor>
</c:userShapes>
</file>

<file path=word/drawings/drawing7.xml><?xml version="1.0" encoding="utf-8"?>
<c:userShapes xmlns:c="http://schemas.openxmlformats.org/drawingml/2006/chart">
  <cdr:relSizeAnchor xmlns:cdr="http://schemas.openxmlformats.org/drawingml/2006/chartDrawing">
    <cdr:from>
      <cdr:x>0.80684</cdr:x>
      <cdr:y>0.82646</cdr:y>
    </cdr:from>
    <cdr:to>
      <cdr:x>0.97607</cdr:x>
      <cdr:y>1</cdr:y>
    </cdr:to>
    <cdr:sp macro="" textlink="">
      <cdr:nvSpPr>
        <cdr:cNvPr id="3" name="文字方塊 1"/>
        <cdr:cNvSpPr txBox="1"/>
      </cdr:nvSpPr>
      <cdr:spPr>
        <a:xfrm xmlns:a="http://schemas.openxmlformats.org/drawingml/2006/main">
          <a:off x="4255012" y="1998971"/>
          <a:ext cx="892464" cy="419744"/>
        </a:xfrm>
        <a:prstGeom xmlns:a="http://schemas.openxmlformats.org/drawingml/2006/main" prst="rect">
          <a:avLst/>
        </a:prstGeom>
        <a:solidFill xmlns:a="http://schemas.openxmlformats.org/drawingml/2006/main">
          <a:schemeClr val="bg1"/>
        </a:solidFill>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altLang="zh-TW" sz="900">
              <a:latin typeface="微軟正黑體" panose="020B0604030504040204" pitchFamily="34" charset="-120"/>
              <a:ea typeface="微軟正黑體" panose="020B0604030504040204" pitchFamily="34" charset="-120"/>
            </a:rPr>
            <a:t>10</a:t>
          </a:r>
          <a:r>
            <a:rPr lang="zh-TW" altLang="en-US" sz="900">
              <a:latin typeface="微軟正黑體" panose="020B0604030504040204" pitchFamily="34" charset="-120"/>
              <a:ea typeface="微軟正黑體" panose="020B0604030504040204" pitchFamily="34" charset="-120"/>
            </a:rPr>
            <a:t>            </a:t>
          </a:r>
          <a:r>
            <a:rPr lang="en-US" altLang="zh-TW" sz="900">
              <a:latin typeface="微軟正黑體" panose="020B0604030504040204" pitchFamily="34" charset="-120"/>
              <a:ea typeface="微軟正黑體" panose="020B0604030504040204" pitchFamily="34" charset="-120"/>
            </a:rPr>
            <a:t>11</a:t>
          </a:r>
          <a:r>
            <a:rPr lang="zh-TW" altLang="en-US" sz="900">
              <a:latin typeface="微軟正黑體" panose="020B0604030504040204" pitchFamily="34" charset="-120"/>
              <a:ea typeface="微軟正黑體" panose="020B0604030504040204" pitchFamily="34" charset="-120"/>
            </a:rPr>
            <a:t>月</a:t>
          </a:r>
        </a:p>
      </cdr:txBody>
    </cdr:sp>
  </cdr:relSizeAnchor>
  <cdr:relSizeAnchor xmlns:cdr="http://schemas.openxmlformats.org/drawingml/2006/chartDrawing">
    <cdr:from>
      <cdr:x>0.10105</cdr:x>
      <cdr:y>0.70455</cdr:y>
    </cdr:from>
    <cdr:to>
      <cdr:x>0.26515</cdr:x>
      <cdr:y>0.83816</cdr:y>
    </cdr:to>
    <cdr:sp macro="" textlink="">
      <cdr:nvSpPr>
        <cdr:cNvPr id="2" name="文字方塊 1"/>
        <cdr:cNvSpPr txBox="1"/>
      </cdr:nvSpPr>
      <cdr:spPr>
        <a:xfrm xmlns:a="http://schemas.openxmlformats.org/drawingml/2006/main">
          <a:off x="532917" y="1704116"/>
          <a:ext cx="865410" cy="32316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en-US" altLang="zh-TW" sz="900" dirty="0">
              <a:latin typeface="微軟正黑體" panose="020B0604030504040204" pitchFamily="34" charset="-120"/>
              <a:ea typeface="微軟正黑體" panose="020B0604030504040204" pitchFamily="34" charset="-120"/>
            </a:rPr>
            <a:t>(</a:t>
          </a:r>
          <a:r>
            <a:rPr lang="zh-TW" altLang="en-US" sz="900" dirty="0">
              <a:latin typeface="微軟正黑體" panose="020B0604030504040204" pitchFamily="34" charset="-120"/>
              <a:ea typeface="微軟正黑體" panose="020B0604030504040204" pitchFamily="34" charset="-120"/>
            </a:rPr>
            <a:t>單位：元</a:t>
          </a:r>
          <a:r>
            <a:rPr lang="en-US" altLang="zh-TW" sz="900" dirty="0">
              <a:latin typeface="微軟正黑體" panose="020B0604030504040204" pitchFamily="34" charset="-120"/>
              <a:ea typeface="微軟正黑體" panose="020B0604030504040204" pitchFamily="34" charset="-120"/>
            </a:rPr>
            <a:t>/</a:t>
          </a:r>
          <a:r>
            <a:rPr lang="zh-TW" altLang="en-US" sz="900" dirty="0">
              <a:latin typeface="微軟正黑體" panose="020B0604030504040204" pitchFamily="34" charset="-120"/>
              <a:ea typeface="微軟正黑體" panose="020B0604030504040204" pitchFamily="34" charset="-120"/>
            </a:rPr>
            <a:t>台斤</a:t>
          </a:r>
          <a:r>
            <a:rPr lang="en-US" altLang="zh-TW" sz="900" dirty="0">
              <a:latin typeface="微軟正黑體" panose="020B0604030504040204" pitchFamily="34" charset="-120"/>
              <a:ea typeface="微軟正黑體" panose="020B0604030504040204" pitchFamily="34" charset="-120"/>
            </a:rPr>
            <a:t>)</a:t>
          </a:r>
          <a:endParaRPr lang="zh-TW" altLang="en-US" sz="900" dirty="0">
            <a:latin typeface="微軟正黑體" panose="020B0604030504040204" pitchFamily="34" charset="-120"/>
            <a:ea typeface="微軟正黑體" panose="020B0604030504040204" pitchFamily="34" charset="-120"/>
          </a:endParaRPr>
        </a:p>
        <a:p xmlns:a="http://schemas.openxmlformats.org/drawingml/2006/main">
          <a:endParaRPr lang="zh-TW" altLang="en-US" sz="900"/>
        </a:p>
      </cdr:txBody>
    </cdr:sp>
  </cdr:relSizeAnchor>
</c:userShapes>
</file>

<file path=word/drawings/drawing8.xml><?xml version="1.0" encoding="utf-8"?>
<c:userShapes xmlns:c="http://schemas.openxmlformats.org/drawingml/2006/chart">
  <cdr:relSizeAnchor xmlns:cdr="http://schemas.openxmlformats.org/drawingml/2006/chartDrawing">
    <cdr:from>
      <cdr:x>0.34493</cdr:x>
      <cdr:y>0</cdr:y>
    </cdr:from>
    <cdr:to>
      <cdr:x>0.5183</cdr:x>
      <cdr:y>0.37805</cdr:y>
    </cdr:to>
    <cdr:sp macro="" textlink="">
      <cdr:nvSpPr>
        <cdr:cNvPr id="2" name="文字方塊 1"/>
        <cdr:cNvSpPr txBox="1"/>
      </cdr:nvSpPr>
      <cdr:spPr>
        <a:xfrm xmlns:a="http://schemas.openxmlformats.org/drawingml/2006/main">
          <a:off x="1819275" y="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eaLnBrk="1" hangingPunct="1">
            <a:defRPr/>
          </a:pPr>
          <a:r>
            <a:rPr lang="zh-TW" altLang="en-US" sz="1100" dirty="0">
              <a:latin typeface="+mn-lt"/>
              <a:ea typeface="標楷體" pitchFamily="65" charset="-120"/>
              <a:cs typeface="+mn-cs"/>
            </a:rPr>
            <a:t>便利店：自有品牌中筋麵粉 </a:t>
          </a:r>
          <a:r>
            <a:rPr lang="en-US" altLang="zh-TW" sz="1100" dirty="0">
              <a:latin typeface="+mn-lt"/>
              <a:ea typeface="標楷體" pitchFamily="65" charset="-120"/>
              <a:cs typeface="+mn-cs"/>
            </a:rPr>
            <a:t>385</a:t>
          </a:r>
          <a:r>
            <a:rPr lang="zh-TW" altLang="en-US" sz="1100" dirty="0">
              <a:latin typeface="+mn-lt"/>
              <a:ea typeface="標楷體" pitchFamily="65" charset="-120"/>
              <a:cs typeface="+mn-cs"/>
            </a:rPr>
            <a:t>公克</a:t>
          </a:r>
          <a:endParaRPr lang="en-US" altLang="zh-TW" sz="1100" dirty="0">
            <a:latin typeface="+mn-lt"/>
            <a:ea typeface="標楷體" pitchFamily="65" charset="-120"/>
            <a:cs typeface="+mn-cs"/>
          </a:endParaRPr>
        </a:p>
        <a:p xmlns:a="http://schemas.openxmlformats.org/drawingml/2006/main">
          <a:pPr eaLnBrk="1" hangingPunct="1">
            <a:defRPr/>
          </a:pPr>
          <a:r>
            <a:rPr lang="zh-TW" altLang="en-US" sz="1100" dirty="0">
              <a:latin typeface="+mn-lt"/>
              <a:ea typeface="標楷體" pitchFamily="65" charset="-120"/>
              <a:cs typeface="+mn-cs"/>
            </a:rPr>
            <a:t>超市、量販店：日正中筋麵粉 </a:t>
          </a:r>
          <a:r>
            <a:rPr lang="en-US" altLang="zh-TW" sz="1100" dirty="0">
              <a:latin typeface="+mn-lt"/>
              <a:ea typeface="標楷體" pitchFamily="65" charset="-120"/>
              <a:cs typeface="+mn-cs"/>
            </a:rPr>
            <a:t>1000</a:t>
          </a:r>
          <a:r>
            <a:rPr lang="zh-TW" altLang="en-US" sz="1100" dirty="0">
              <a:latin typeface="+mn-lt"/>
              <a:ea typeface="標楷體" pitchFamily="65" charset="-120"/>
              <a:cs typeface="+mn-cs"/>
            </a:rPr>
            <a:t>公克</a:t>
          </a:r>
        </a:p>
        <a:p xmlns:a="http://schemas.openxmlformats.org/drawingml/2006/main">
          <a:endParaRPr lang="zh-TW" altLang="en-US" sz="1100"/>
        </a:p>
      </cdr:txBody>
    </cdr:sp>
  </cdr:relSizeAnchor>
  <cdr:relSizeAnchor xmlns:cdr="http://schemas.openxmlformats.org/drawingml/2006/chartDrawing">
    <cdr:from>
      <cdr:x>0</cdr:x>
      <cdr:y>0</cdr:y>
    </cdr:from>
    <cdr:to>
      <cdr:x>0.17337</cdr:x>
      <cdr:y>0.37805</cdr:y>
    </cdr:to>
    <cdr:sp macro="" textlink="">
      <cdr:nvSpPr>
        <cdr:cNvPr id="3" name="文字方塊 2"/>
        <cdr:cNvSpPr txBox="1"/>
      </cdr:nvSpPr>
      <cdr:spPr>
        <a:xfrm xmlns:a="http://schemas.openxmlformats.org/drawingml/2006/main">
          <a:off x="0" y="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ctr">
            <a:spcBef>
              <a:spcPct val="0"/>
            </a:spcBef>
            <a:buFontTx/>
            <a:buNone/>
          </a:pPr>
          <a:r>
            <a:rPr lang="en-US" altLang="zh-TW" sz="1100" dirty="0" smtClean="0">
              <a:latin typeface="+mn-ea"/>
              <a:ea typeface="+mn-ea"/>
            </a:rPr>
            <a:t>(</a:t>
          </a:r>
          <a:r>
            <a:rPr lang="zh-TW" altLang="en-US" sz="1100" dirty="0" smtClean="0">
              <a:latin typeface="+mn-ea"/>
              <a:ea typeface="+mn-ea"/>
            </a:rPr>
            <a:t>超市</a:t>
          </a:r>
          <a:r>
            <a:rPr lang="en-US" altLang="zh-TW" sz="1100" dirty="0" smtClean="0">
              <a:latin typeface="+mn-ea"/>
              <a:ea typeface="+mn-ea"/>
            </a:rPr>
            <a:t>/</a:t>
          </a:r>
          <a:r>
            <a:rPr lang="zh-TW" altLang="en-US" sz="1100" dirty="0" smtClean="0">
              <a:latin typeface="+mn-ea"/>
              <a:ea typeface="+mn-ea"/>
            </a:rPr>
            <a:t>量販店</a:t>
          </a:r>
          <a:r>
            <a:rPr lang="en-US" altLang="zh-TW" sz="1100" dirty="0" smtClean="0">
              <a:latin typeface="+mn-ea"/>
              <a:ea typeface="+mn-ea"/>
            </a:rPr>
            <a:t>)</a:t>
          </a:r>
          <a:endParaRPr lang="zh-TW" altLang="en-US" sz="1100" dirty="0">
            <a:latin typeface="+mn-ea"/>
            <a:ea typeface="+mn-ea"/>
          </a:endParaRPr>
        </a:p>
        <a:p xmlns:a="http://schemas.openxmlformats.org/drawingml/2006/main">
          <a:endParaRPr lang="zh-TW" altLang="en-US" sz="1100">
            <a:latin typeface="+mn-ea"/>
            <a:ea typeface="+mn-ea"/>
          </a:endParaRPr>
        </a:p>
      </cdr:txBody>
    </cdr:sp>
  </cdr:relSizeAnchor>
  <cdr:relSizeAnchor xmlns:cdr="http://schemas.openxmlformats.org/drawingml/2006/chartDrawing">
    <cdr:from>
      <cdr:x>0.87407</cdr:x>
      <cdr:y>0</cdr:y>
    </cdr:from>
    <cdr:to>
      <cdr:x>1</cdr:x>
      <cdr:y>0.37805</cdr:y>
    </cdr:to>
    <cdr:sp macro="" textlink="">
      <cdr:nvSpPr>
        <cdr:cNvPr id="5" name="文字方塊 4"/>
        <cdr:cNvSpPr txBox="1"/>
      </cdr:nvSpPr>
      <cdr:spPr>
        <a:xfrm xmlns:a="http://schemas.openxmlformats.org/drawingml/2006/main">
          <a:off x="4610100" y="0"/>
          <a:ext cx="66421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0.17339</cdr:x>
      <cdr:y>0.37805</cdr:y>
    </cdr:to>
    <cdr:sp macro="" textlink="">
      <cdr:nvSpPr>
        <cdr:cNvPr id="2" name="文字方塊 1"/>
        <cdr:cNvSpPr txBox="1"/>
      </cdr:nvSpPr>
      <cdr:spPr>
        <a:xfrm xmlns:a="http://schemas.openxmlformats.org/drawingml/2006/main">
          <a:off x="-1143000" y="-271462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超市</a:t>
          </a:r>
          <a:r>
            <a:rPr lang="en-US" altLang="zh-TW" sz="1100"/>
            <a:t>/</a:t>
          </a:r>
          <a:r>
            <a:rPr lang="zh-TW" altLang="en-US" sz="1100"/>
            <a:t>量販店</a:t>
          </a:r>
          <a:r>
            <a:rPr lang="en-US" altLang="zh-TW" sz="1100"/>
            <a:t>)</a:t>
          </a:r>
          <a:endParaRPr lang="zh-TW" altLang="en-US" sz="1100"/>
        </a:p>
      </cdr:txBody>
    </cdr:sp>
  </cdr:relSizeAnchor>
  <cdr:relSizeAnchor xmlns:cdr="http://schemas.openxmlformats.org/drawingml/2006/chartDrawing">
    <cdr:from>
      <cdr:x>0.86815</cdr:x>
      <cdr:y>0</cdr:y>
    </cdr:from>
    <cdr:to>
      <cdr:x>1</cdr:x>
      <cdr:y>0.37805</cdr:y>
    </cdr:to>
    <cdr:sp macro="" textlink="">
      <cdr:nvSpPr>
        <cdr:cNvPr id="3" name="文字方塊 2"/>
        <cdr:cNvSpPr txBox="1"/>
      </cdr:nvSpPr>
      <cdr:spPr>
        <a:xfrm xmlns:a="http://schemas.openxmlformats.org/drawingml/2006/main">
          <a:off x="4578350" y="0"/>
          <a:ext cx="695325"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userShapes>
</file>

<file path=word/drawings/drawing10.xml><?xml version="1.0" encoding="utf-8"?>
<c:userShapes xmlns:c="http://schemas.openxmlformats.org/drawingml/2006/chart">
  <cdr:relSizeAnchor xmlns:cdr="http://schemas.openxmlformats.org/drawingml/2006/chartDrawing">
    <cdr:from>
      <cdr:x>0</cdr:x>
      <cdr:y>0</cdr:y>
    </cdr:from>
    <cdr:to>
      <cdr:x>0.17339</cdr:x>
      <cdr:y>0.37805</cdr:y>
    </cdr:to>
    <cdr:sp macro="" textlink="">
      <cdr:nvSpPr>
        <cdr:cNvPr id="2" name="文字方塊 1"/>
        <cdr:cNvSpPr txBox="1"/>
      </cdr:nvSpPr>
      <cdr:spPr>
        <a:xfrm xmlns:a="http://schemas.openxmlformats.org/drawingml/2006/main">
          <a:off x="-914400" y="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超市</a:t>
          </a:r>
          <a:r>
            <a:rPr lang="en-US" altLang="zh-TW" sz="1100"/>
            <a:t>/</a:t>
          </a:r>
          <a:r>
            <a:rPr lang="zh-TW" altLang="en-US" sz="1100"/>
            <a:t>量販店</a:t>
          </a:r>
          <a:r>
            <a:rPr lang="en-US" altLang="zh-TW" sz="1100"/>
            <a:t>)</a:t>
          </a:r>
          <a:endParaRPr lang="zh-TW" altLang="en-US" sz="1100"/>
        </a:p>
      </cdr:txBody>
    </cdr:sp>
  </cdr:relSizeAnchor>
  <cdr:relSizeAnchor xmlns:cdr="http://schemas.openxmlformats.org/drawingml/2006/chartDrawing">
    <cdr:from>
      <cdr:x>0.86996</cdr:x>
      <cdr:y>0</cdr:y>
    </cdr:from>
    <cdr:to>
      <cdr:x>1</cdr:x>
      <cdr:y>0.37805</cdr:y>
    </cdr:to>
    <cdr:sp macro="" textlink="">
      <cdr:nvSpPr>
        <cdr:cNvPr id="3" name="文字方塊 2"/>
        <cdr:cNvSpPr txBox="1"/>
      </cdr:nvSpPr>
      <cdr:spPr>
        <a:xfrm xmlns:a="http://schemas.openxmlformats.org/drawingml/2006/main">
          <a:off x="4587875" y="0"/>
          <a:ext cx="6858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userShapes>
</file>

<file path=word/drawings/drawing11.xml><?xml version="1.0" encoding="utf-8"?>
<c:userShapes xmlns:c="http://schemas.openxmlformats.org/drawingml/2006/chart">
  <cdr:relSizeAnchor xmlns:cdr="http://schemas.openxmlformats.org/drawingml/2006/chartDrawing">
    <cdr:from>
      <cdr:x>0.67525</cdr:x>
      <cdr:y>0.76389</cdr:y>
    </cdr:from>
    <cdr:to>
      <cdr:x>0.78358</cdr:x>
      <cdr:y>0.84722</cdr:y>
    </cdr:to>
    <cdr:sp macro="" textlink="">
      <cdr:nvSpPr>
        <cdr:cNvPr id="2" name="文字方塊 1"/>
        <cdr:cNvSpPr txBox="1"/>
      </cdr:nvSpPr>
      <cdr:spPr>
        <a:xfrm xmlns:a="http://schemas.openxmlformats.org/drawingml/2006/main">
          <a:off x="1595085" y="1680768"/>
          <a:ext cx="255897" cy="183349"/>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en-US" altLang="zh-TW" sz="1000"/>
            <a:t>(</a:t>
          </a:r>
          <a:r>
            <a:rPr lang="zh-TW" altLang="en-US" sz="1000"/>
            <a:t>公噸</a:t>
          </a:r>
          <a:r>
            <a:rPr lang="en-US" altLang="zh-TW" sz="1000"/>
            <a:t>)</a:t>
          </a:r>
          <a:endParaRPr lang="zh-TW" altLang="en-US" sz="1000"/>
        </a:p>
      </cdr:txBody>
    </cdr:sp>
  </cdr:relSizeAnchor>
</c:userShapes>
</file>

<file path=word/drawings/drawing12.xml><?xml version="1.0" encoding="utf-8"?>
<c:userShapes xmlns:c="http://schemas.openxmlformats.org/drawingml/2006/chart">
  <cdr:relSizeAnchor xmlns:cdr="http://schemas.openxmlformats.org/drawingml/2006/chartDrawing">
    <cdr:from>
      <cdr:x>0.18152</cdr:x>
      <cdr:y>0.05396</cdr:y>
    </cdr:from>
    <cdr:to>
      <cdr:x>0.35443</cdr:x>
      <cdr:y>0.14423</cdr:y>
    </cdr:to>
    <cdr:sp macro="" textlink="">
      <cdr:nvSpPr>
        <cdr:cNvPr id="2" name="文字方塊 1"/>
        <cdr:cNvSpPr txBox="1"/>
      </cdr:nvSpPr>
      <cdr:spPr>
        <a:xfrm xmlns:a="http://schemas.openxmlformats.org/drawingml/2006/main">
          <a:off x="477211" y="108453"/>
          <a:ext cx="454563" cy="18142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Calibri"/>
            </a:defRPr>
          </a:lvl1pPr>
          <a:lvl2pPr marL="457200" indent="0">
            <a:defRPr sz="1100">
              <a:latin typeface="Calibri"/>
            </a:defRPr>
          </a:lvl2pPr>
          <a:lvl3pPr marL="914400" indent="0">
            <a:defRPr sz="1100">
              <a:latin typeface="Calibri"/>
            </a:defRPr>
          </a:lvl3pPr>
          <a:lvl4pPr marL="1371600" indent="0">
            <a:defRPr sz="1100">
              <a:latin typeface="Calibri"/>
            </a:defRPr>
          </a:lvl4pPr>
          <a:lvl5pPr marL="1828800" indent="0">
            <a:defRPr sz="1100">
              <a:latin typeface="Calibri"/>
            </a:defRPr>
          </a:lvl5pPr>
          <a:lvl6pPr marL="2286000" indent="0">
            <a:defRPr sz="1100">
              <a:latin typeface="Calibri"/>
            </a:defRPr>
          </a:lvl6pPr>
          <a:lvl7pPr marL="2743200" indent="0">
            <a:defRPr sz="1100">
              <a:latin typeface="Calibri"/>
            </a:defRPr>
          </a:lvl7pPr>
          <a:lvl8pPr marL="3200400" indent="0">
            <a:defRPr sz="1100">
              <a:latin typeface="Calibri"/>
            </a:defRPr>
          </a:lvl8pPr>
          <a:lvl9pPr marL="3657600" indent="0">
            <a:defRPr sz="1100">
              <a:latin typeface="Calibri"/>
            </a:defRPr>
          </a:lvl9pPr>
        </a:lstStyle>
        <a:p xmlns:a="http://schemas.openxmlformats.org/drawingml/2006/main">
          <a:r>
            <a:rPr lang="en-US" altLang="zh-TW" sz="1000"/>
            <a:t>(</a:t>
          </a:r>
          <a:r>
            <a:rPr lang="zh-TW" altLang="en-US" sz="1000"/>
            <a:t>美元</a:t>
          </a:r>
          <a:r>
            <a:rPr lang="en-US" altLang="zh-TW" sz="1000"/>
            <a:t>/</a:t>
          </a:r>
          <a:r>
            <a:rPr lang="zh-TW" altLang="en-US" sz="1000"/>
            <a:t>公噸</a:t>
          </a:r>
          <a:r>
            <a:rPr lang="en-US" altLang="zh-TW" sz="1000"/>
            <a:t>)</a:t>
          </a:r>
          <a:endParaRPr lang="zh-TW" altLang="en-US" sz="1000"/>
        </a:p>
      </cdr:txBody>
    </cdr:sp>
  </cdr:relSizeAnchor>
</c:userShapes>
</file>

<file path=word/drawings/drawing13.xml><?xml version="1.0" encoding="utf-8"?>
<c:userShapes xmlns:c="http://schemas.openxmlformats.org/drawingml/2006/chart">
  <cdr:relSizeAnchor xmlns:cdr="http://schemas.openxmlformats.org/drawingml/2006/chartDrawing">
    <cdr:from>
      <cdr:x>0.01445</cdr:x>
      <cdr:y>0.26385</cdr:y>
    </cdr:from>
    <cdr:to>
      <cdr:x>0.06683</cdr:x>
      <cdr:y>0.6419</cdr:y>
    </cdr:to>
    <cdr:sp macro="" textlink="">
      <cdr:nvSpPr>
        <cdr:cNvPr id="3" name="文字方塊 2"/>
        <cdr:cNvSpPr txBox="1"/>
      </cdr:nvSpPr>
      <cdr:spPr>
        <a:xfrm xmlns:a="http://schemas.openxmlformats.org/drawingml/2006/main">
          <a:off x="76199" y="638175"/>
          <a:ext cx="276225" cy="914400"/>
        </a:xfrm>
        <a:prstGeom xmlns:a="http://schemas.openxmlformats.org/drawingml/2006/main" prst="rect">
          <a:avLst/>
        </a:prstGeom>
      </cdr:spPr>
      <cdr:txBody>
        <a:bodyPr xmlns:a="http://schemas.openxmlformats.org/drawingml/2006/main" vertOverflow="clip" vert="eaVert" wrap="none" rtlCol="0"/>
        <a:lstStyle xmlns:a="http://schemas.openxmlformats.org/drawingml/2006/main"/>
        <a:p xmlns:a="http://schemas.openxmlformats.org/drawingml/2006/main">
          <a:r>
            <a:rPr lang="en-US" altLang="zh-TW" sz="1100"/>
            <a:t>(</a:t>
          </a:r>
          <a:r>
            <a:rPr lang="zh-TW" altLang="en-US" sz="1100"/>
            <a:t>得意的一天</a:t>
          </a:r>
          <a:r>
            <a:rPr lang="en-US" altLang="zh-TW" sz="1100"/>
            <a:t>)</a:t>
          </a:r>
          <a:endParaRPr lang="zh-TW" altLang="en-US" sz="1100"/>
        </a:p>
      </cdr:txBody>
    </cdr:sp>
  </cdr:relSizeAnchor>
  <cdr:relSizeAnchor xmlns:cdr="http://schemas.openxmlformats.org/drawingml/2006/chartDrawing">
    <cdr:from>
      <cdr:x>0.82661</cdr:x>
      <cdr:y>0.29142</cdr:y>
    </cdr:from>
    <cdr:to>
      <cdr:x>1</cdr:x>
      <cdr:y>0.66947</cdr:y>
    </cdr:to>
    <cdr:sp macro="" textlink="">
      <cdr:nvSpPr>
        <cdr:cNvPr id="4" name="文字方塊 3"/>
        <cdr:cNvSpPr txBox="1"/>
      </cdr:nvSpPr>
      <cdr:spPr>
        <a:xfrm xmlns:a="http://schemas.openxmlformats.org/drawingml/2006/main">
          <a:off x="4359275" y="704850"/>
          <a:ext cx="914400" cy="914400"/>
        </a:xfrm>
        <a:prstGeom xmlns:a="http://schemas.openxmlformats.org/drawingml/2006/main" prst="rect">
          <a:avLst/>
        </a:prstGeom>
      </cdr:spPr>
      <cdr:txBody>
        <a:bodyPr xmlns:a="http://schemas.openxmlformats.org/drawingml/2006/main" vertOverflow="clip" vert="eaVert" wrap="none" rtlCol="0"/>
        <a:lstStyle xmlns:a="http://schemas.openxmlformats.org/drawingml/2006/main"/>
        <a:p xmlns:a="http://schemas.openxmlformats.org/drawingml/2006/main">
          <a:r>
            <a:rPr lang="en-US" altLang="zh-TW" sz="1100"/>
            <a:t>(</a:t>
          </a:r>
          <a:r>
            <a:rPr lang="zh-TW" altLang="en-US" sz="1100"/>
            <a:t>統一大豆</a:t>
          </a:r>
          <a:r>
            <a:rPr lang="en-US" altLang="zh-TW" sz="1100"/>
            <a:t>)</a:t>
          </a:r>
          <a:endParaRPr lang="zh-TW" altLang="en-US" sz="1100"/>
        </a:p>
      </cdr:txBody>
    </cdr:sp>
  </cdr:relSizeAnchor>
</c:userShapes>
</file>

<file path=word/drawings/drawing14.xml><?xml version="1.0" encoding="utf-8"?>
<c:userShapes xmlns:c="http://schemas.openxmlformats.org/drawingml/2006/chart">
  <cdr:relSizeAnchor xmlns:cdr="http://schemas.openxmlformats.org/drawingml/2006/chartDrawing">
    <cdr:from>
      <cdr:x>0.01225</cdr:x>
      <cdr:y>0.01633</cdr:y>
    </cdr:from>
    <cdr:to>
      <cdr:x>0.14461</cdr:x>
      <cdr:y>0.11429</cdr:y>
    </cdr:to>
    <cdr:sp macro="" textlink="">
      <cdr:nvSpPr>
        <cdr:cNvPr id="2" name="文字方塊 1"/>
        <cdr:cNvSpPr txBox="1"/>
      </cdr:nvSpPr>
      <cdr:spPr>
        <a:xfrm xmlns:a="http://schemas.openxmlformats.org/drawingml/2006/main">
          <a:off x="56028" y="44824"/>
          <a:ext cx="605118" cy="268941"/>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r>
            <a:rPr lang="en-US" altLang="zh-TW" sz="1100"/>
            <a:t>(</a:t>
          </a:r>
          <a:r>
            <a:rPr lang="zh-TW" altLang="en-US" sz="1100"/>
            <a:t>公噸</a:t>
          </a:r>
          <a:r>
            <a:rPr lang="en-US" altLang="zh-TW" sz="1100"/>
            <a:t>)</a:t>
          </a:r>
          <a:endParaRPr lang="zh-TW" altLang="en-US" sz="1100"/>
        </a:p>
      </cdr:txBody>
    </cdr:sp>
  </cdr:relSizeAnchor>
  <cdr:relSizeAnchor xmlns:cdr="http://schemas.openxmlformats.org/drawingml/2006/chartDrawing">
    <cdr:from>
      <cdr:x>0.91667</cdr:x>
      <cdr:y>0.85992</cdr:y>
    </cdr:from>
    <cdr:to>
      <cdr:x>1</cdr:x>
      <cdr:y>0.94942</cdr:y>
    </cdr:to>
    <cdr:sp macro="" textlink="">
      <cdr:nvSpPr>
        <cdr:cNvPr id="3" name="文字方塊 2"/>
        <cdr:cNvSpPr txBox="1"/>
      </cdr:nvSpPr>
      <cdr:spPr>
        <a:xfrm xmlns:a="http://schemas.openxmlformats.org/drawingml/2006/main">
          <a:off x="4191000" y="2105025"/>
          <a:ext cx="381000" cy="2190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zh-TW" altLang="en-US" sz="1100"/>
            <a:t>月</a:t>
          </a:r>
        </a:p>
      </cdr:txBody>
    </cdr:sp>
  </cdr:relSizeAnchor>
</c:userShapes>
</file>

<file path=word/drawings/drawing15.xml><?xml version="1.0" encoding="utf-8"?>
<c:userShapes xmlns:c="http://schemas.openxmlformats.org/drawingml/2006/chart">
  <cdr:relSizeAnchor xmlns:cdr="http://schemas.openxmlformats.org/drawingml/2006/chartDrawing">
    <cdr:from>
      <cdr:x>0</cdr:x>
      <cdr:y>0</cdr:y>
    </cdr:from>
    <cdr:to>
      <cdr:x>0.17339</cdr:x>
      <cdr:y>0.37805</cdr:y>
    </cdr:to>
    <cdr:sp macro="" textlink="">
      <cdr:nvSpPr>
        <cdr:cNvPr id="2" name="文字方塊 1"/>
        <cdr:cNvSpPr txBox="1"/>
      </cdr:nvSpPr>
      <cdr:spPr>
        <a:xfrm xmlns:a="http://schemas.openxmlformats.org/drawingml/2006/main">
          <a:off x="0" y="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超市</a:t>
          </a:r>
          <a:r>
            <a:rPr lang="en-US" altLang="zh-TW" sz="1100"/>
            <a:t>/</a:t>
          </a:r>
          <a:r>
            <a:rPr lang="zh-TW" altLang="en-US" sz="1100"/>
            <a:t>量販店</a:t>
          </a:r>
          <a:r>
            <a:rPr lang="en-US" altLang="zh-TW" sz="1100"/>
            <a:t>)</a:t>
          </a:r>
          <a:endParaRPr lang="zh-TW" altLang="en-US" sz="1100"/>
        </a:p>
      </cdr:txBody>
    </cdr:sp>
  </cdr:relSizeAnchor>
  <cdr:relSizeAnchor xmlns:cdr="http://schemas.openxmlformats.org/drawingml/2006/chartDrawing">
    <cdr:from>
      <cdr:x>0.87718</cdr:x>
      <cdr:y>0</cdr:y>
    </cdr:from>
    <cdr:to>
      <cdr:x>1</cdr:x>
      <cdr:y>0.37805</cdr:y>
    </cdr:to>
    <cdr:sp macro="" textlink="">
      <cdr:nvSpPr>
        <cdr:cNvPr id="3" name="文字方塊 2"/>
        <cdr:cNvSpPr txBox="1"/>
      </cdr:nvSpPr>
      <cdr:spPr>
        <a:xfrm xmlns:a="http://schemas.openxmlformats.org/drawingml/2006/main">
          <a:off x="4625975" y="0"/>
          <a:ext cx="6477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userShapes>
</file>

<file path=word/drawings/drawing16.xml><?xml version="1.0" encoding="utf-8"?>
<c:userShapes xmlns:c="http://schemas.openxmlformats.org/drawingml/2006/chart">
  <cdr:relSizeAnchor xmlns:cdr="http://schemas.openxmlformats.org/drawingml/2006/chartDrawing">
    <cdr:from>
      <cdr:x>0</cdr:x>
      <cdr:y>0</cdr:y>
    </cdr:from>
    <cdr:to>
      <cdr:x>0.17339</cdr:x>
      <cdr:y>0.37805</cdr:y>
    </cdr:to>
    <cdr:sp macro="" textlink="">
      <cdr:nvSpPr>
        <cdr:cNvPr id="2" name="文字方塊 1"/>
        <cdr:cNvSpPr txBox="1"/>
      </cdr:nvSpPr>
      <cdr:spPr>
        <a:xfrm xmlns:a="http://schemas.openxmlformats.org/drawingml/2006/main">
          <a:off x="0" y="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超市</a:t>
          </a:r>
          <a:r>
            <a:rPr lang="en-US" altLang="zh-TW" sz="1100"/>
            <a:t>/</a:t>
          </a:r>
          <a:r>
            <a:rPr lang="zh-TW" altLang="en-US" sz="1100"/>
            <a:t>量販店</a:t>
          </a:r>
          <a:r>
            <a:rPr lang="en-US" altLang="zh-TW" sz="1100"/>
            <a:t>)</a:t>
          </a:r>
          <a:endParaRPr lang="zh-TW" altLang="en-US" sz="1100"/>
        </a:p>
      </cdr:txBody>
    </cdr:sp>
  </cdr:relSizeAnchor>
  <cdr:relSizeAnchor xmlns:cdr="http://schemas.openxmlformats.org/drawingml/2006/chartDrawing">
    <cdr:from>
      <cdr:x>0.87899</cdr:x>
      <cdr:y>0</cdr:y>
    </cdr:from>
    <cdr:to>
      <cdr:x>1</cdr:x>
      <cdr:y>0.37805</cdr:y>
    </cdr:to>
    <cdr:sp macro="" textlink="">
      <cdr:nvSpPr>
        <cdr:cNvPr id="3" name="文字方塊 2"/>
        <cdr:cNvSpPr txBox="1"/>
      </cdr:nvSpPr>
      <cdr:spPr>
        <a:xfrm xmlns:a="http://schemas.openxmlformats.org/drawingml/2006/main">
          <a:off x="4635500" y="0"/>
          <a:ext cx="638175"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userShapes>
</file>

<file path=word/drawings/drawing17.xml><?xml version="1.0" encoding="utf-8"?>
<c:userShapes xmlns:c="http://schemas.openxmlformats.org/drawingml/2006/chart">
  <cdr:relSizeAnchor xmlns:cdr="http://schemas.openxmlformats.org/drawingml/2006/chartDrawing">
    <cdr:from>
      <cdr:x>0</cdr:x>
      <cdr:y>0</cdr:y>
    </cdr:from>
    <cdr:to>
      <cdr:x>0.13907</cdr:x>
      <cdr:y>0.37805</cdr:y>
    </cdr:to>
    <cdr:sp macro="" textlink="">
      <cdr:nvSpPr>
        <cdr:cNvPr id="2" name="文字方塊 1"/>
        <cdr:cNvSpPr txBox="1"/>
      </cdr:nvSpPr>
      <cdr:spPr>
        <a:xfrm xmlns:a="http://schemas.openxmlformats.org/drawingml/2006/main">
          <a:off x="-1143000" y="0"/>
          <a:ext cx="733425"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量販店</a:t>
          </a:r>
          <a:r>
            <a:rPr lang="en-US" altLang="zh-TW" sz="1100"/>
            <a:t>)</a:t>
          </a:r>
          <a:endParaRPr lang="zh-TW" altLang="en-US" sz="1100"/>
        </a:p>
      </cdr:txBody>
    </cdr:sp>
  </cdr:relSizeAnchor>
  <cdr:relSizeAnchor xmlns:cdr="http://schemas.openxmlformats.org/drawingml/2006/chartDrawing">
    <cdr:from>
      <cdr:x>0.81457</cdr:x>
      <cdr:y>0</cdr:y>
    </cdr:from>
    <cdr:to>
      <cdr:x>1</cdr:x>
      <cdr:y>0.37805</cdr:y>
    </cdr:to>
    <cdr:sp macro="" textlink="">
      <cdr:nvSpPr>
        <cdr:cNvPr id="3" name="文字方塊 2"/>
        <cdr:cNvSpPr txBox="1"/>
      </cdr:nvSpPr>
      <cdr:spPr>
        <a:xfrm xmlns:a="http://schemas.openxmlformats.org/drawingml/2006/main">
          <a:off x="4295776" y="0"/>
          <a:ext cx="977899"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r>
            <a:rPr lang="zh-TW" altLang="en-US" sz="1100"/>
            <a:t>超市</a:t>
          </a:r>
          <a:r>
            <a:rPr lang="en-US" altLang="zh-TW" sz="1100"/>
            <a:t>)</a:t>
          </a:r>
          <a:endParaRPr lang="zh-TW" altLang="en-US" sz="1100"/>
        </a:p>
      </cdr:txBody>
    </cdr:sp>
  </cdr:relSizeAnchor>
</c:userShapes>
</file>

<file path=word/drawings/drawing18.xml><?xml version="1.0" encoding="utf-8"?>
<c:userShapes xmlns:c="http://schemas.openxmlformats.org/drawingml/2006/chart">
  <cdr:relSizeAnchor xmlns:cdr="http://schemas.openxmlformats.org/drawingml/2006/chartDrawing">
    <cdr:from>
      <cdr:x>0.38105</cdr:x>
      <cdr:y>0</cdr:y>
    </cdr:from>
    <cdr:to>
      <cdr:x>1</cdr:x>
      <cdr:y>0.35442</cdr:y>
    </cdr:to>
    <cdr:sp macro="" textlink="">
      <cdr:nvSpPr>
        <cdr:cNvPr id="2" name="文字方塊 1"/>
        <cdr:cNvSpPr txBox="1"/>
      </cdr:nvSpPr>
      <cdr:spPr>
        <a:xfrm xmlns:a="http://schemas.openxmlformats.org/drawingml/2006/main">
          <a:off x="2009774" y="0"/>
          <a:ext cx="3264535" cy="8572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eaLnBrk="1" hangingPunct="1">
            <a:spcBef>
              <a:spcPct val="0"/>
            </a:spcBef>
            <a:buFontTx/>
            <a:buNone/>
          </a:pPr>
          <a:r>
            <a:rPr lang="zh-TW" altLang="en-US" sz="1000" dirty="0"/>
            <a:t>便利店：花王淨柔超濃縮新一匙靈洗衣粉 </a:t>
          </a:r>
          <a:r>
            <a:rPr lang="en-US" altLang="zh-TW" sz="1000" dirty="0"/>
            <a:t>1.1</a:t>
          </a:r>
          <a:r>
            <a:rPr lang="zh-TW" altLang="en-US" sz="1000" dirty="0"/>
            <a:t>公斤</a:t>
          </a:r>
          <a:endParaRPr lang="en-US" altLang="zh-TW" sz="1000" dirty="0"/>
        </a:p>
        <a:p xmlns:a="http://schemas.openxmlformats.org/drawingml/2006/main">
          <a:pPr eaLnBrk="1" hangingPunct="1">
            <a:spcBef>
              <a:spcPct val="0"/>
            </a:spcBef>
            <a:buFontTx/>
            <a:buNone/>
          </a:pPr>
          <a:r>
            <a:rPr lang="zh-TW" altLang="en-US" sz="1000" dirty="0"/>
            <a:t>超市、量販店：花王淨柔超濃縮新一匙靈洗衣粉</a:t>
          </a:r>
          <a:r>
            <a:rPr lang="en-US" altLang="zh-TW" sz="1000" dirty="0"/>
            <a:t>1.9</a:t>
          </a:r>
          <a:r>
            <a:rPr lang="zh-TW" altLang="en-US" sz="1000" dirty="0"/>
            <a:t>公斤</a:t>
          </a:r>
        </a:p>
        <a:p xmlns:a="http://schemas.openxmlformats.org/drawingml/2006/main">
          <a:endParaRPr lang="zh-TW" altLang="en-US" sz="1000"/>
        </a:p>
      </cdr:txBody>
    </cdr:sp>
  </cdr:relSizeAnchor>
</c:userShapes>
</file>

<file path=word/drawings/drawing19.xml><?xml version="1.0" encoding="utf-8"?>
<c:userShapes xmlns:c="http://schemas.openxmlformats.org/drawingml/2006/chart">
  <cdr:relSizeAnchor xmlns:cdr="http://schemas.openxmlformats.org/drawingml/2006/chartDrawing">
    <cdr:from>
      <cdr:x>0</cdr:x>
      <cdr:y>0</cdr:y>
    </cdr:from>
    <cdr:to>
      <cdr:x>0.17337</cdr:x>
      <cdr:y>0.37805</cdr:y>
    </cdr:to>
    <cdr:sp macro="" textlink="">
      <cdr:nvSpPr>
        <cdr:cNvPr id="2" name="文字方塊 1"/>
        <cdr:cNvSpPr txBox="1"/>
      </cdr:nvSpPr>
      <cdr:spPr>
        <a:xfrm xmlns:a="http://schemas.openxmlformats.org/drawingml/2006/main">
          <a:off x="-1143000" y="-96202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超市</a:t>
          </a:r>
          <a:r>
            <a:rPr lang="en-US" altLang="zh-TW" sz="1100"/>
            <a:t>/</a:t>
          </a:r>
          <a:r>
            <a:rPr lang="zh-TW" altLang="en-US" sz="1100"/>
            <a:t>量販店</a:t>
          </a:r>
          <a:r>
            <a:rPr lang="en-US" altLang="zh-TW" sz="1100"/>
            <a:t>)</a:t>
          </a:r>
        </a:p>
      </cdr:txBody>
    </cdr:sp>
  </cdr:relSizeAnchor>
  <cdr:relSizeAnchor xmlns:cdr="http://schemas.openxmlformats.org/drawingml/2006/chartDrawing">
    <cdr:from>
      <cdr:x>0.87178</cdr:x>
      <cdr:y>0</cdr:y>
    </cdr:from>
    <cdr:to>
      <cdr:x>1</cdr:x>
      <cdr:y>0.37805</cdr:y>
    </cdr:to>
    <cdr:sp macro="" textlink="">
      <cdr:nvSpPr>
        <cdr:cNvPr id="3" name="文字方塊 2"/>
        <cdr:cNvSpPr txBox="1"/>
      </cdr:nvSpPr>
      <cdr:spPr>
        <a:xfrm xmlns:a="http://schemas.openxmlformats.org/drawingml/2006/main">
          <a:off x="4598035" y="0"/>
          <a:ext cx="676275"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userShapes>
</file>

<file path=word/drawings/drawing20.xml><?xml version="1.0" encoding="utf-8"?>
<c:userShapes xmlns:c="http://schemas.openxmlformats.org/drawingml/2006/chart">
  <cdr:relSizeAnchor xmlns:cdr="http://schemas.openxmlformats.org/drawingml/2006/chartDrawing">
    <cdr:from>
      <cdr:x>0.65013</cdr:x>
      <cdr:y>0.6419</cdr:y>
    </cdr:from>
    <cdr:to>
      <cdr:x>0.8235</cdr:x>
      <cdr:y>0.75584</cdr:y>
    </cdr:to>
    <cdr:sp macro="" textlink="">
      <cdr:nvSpPr>
        <cdr:cNvPr id="2" name="文字方塊 1"/>
        <cdr:cNvSpPr txBox="1"/>
      </cdr:nvSpPr>
      <cdr:spPr>
        <a:xfrm xmlns:a="http://schemas.openxmlformats.org/drawingml/2006/main">
          <a:off x="3429000" y="1552575"/>
          <a:ext cx="914400" cy="27559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marL="0" marR="0" indent="0" defTabSz="914400" eaLnBrk="1" fontAlgn="auto" latinLnBrk="0" hangingPunct="1">
            <a:lnSpc>
              <a:spcPct val="100000"/>
            </a:lnSpc>
            <a:spcBef>
              <a:spcPts val="0"/>
            </a:spcBef>
            <a:spcAft>
              <a:spcPts val="0"/>
            </a:spcAft>
            <a:buClrTx/>
            <a:buSzTx/>
            <a:buFontTx/>
            <a:buNone/>
            <a:tabLst/>
            <a:defRPr/>
          </a:pPr>
          <a:r>
            <a:rPr lang="zh-TW" altLang="en-US" sz="1100" dirty="0"/>
            <a:t>麗仕香皂 </a:t>
          </a:r>
          <a:r>
            <a:rPr lang="en-US" altLang="zh-TW" sz="1100" dirty="0">
              <a:cs typeface="Times New Roman" panose="02020603050405020304" pitchFamily="18" charset="0"/>
            </a:rPr>
            <a:t>85</a:t>
          </a:r>
          <a:r>
            <a:rPr lang="zh-TW" altLang="en-US" sz="1100" dirty="0">
              <a:cs typeface="Times New Roman" panose="02020603050405020304" pitchFamily="18" charset="0"/>
            </a:rPr>
            <a:t>公克 一塊</a:t>
          </a:r>
        </a:p>
        <a:p xmlns:a="http://schemas.openxmlformats.org/drawingml/2006/main">
          <a:endParaRPr lang="zh-TW" altLang="en-US" sz="1100"/>
        </a:p>
      </cdr:txBody>
    </cdr:sp>
  </cdr:relSizeAnchor>
  <cdr:relSizeAnchor xmlns:cdr="http://schemas.openxmlformats.org/drawingml/2006/chartDrawing">
    <cdr:from>
      <cdr:x>0.87178</cdr:x>
      <cdr:y>0</cdr:y>
    </cdr:from>
    <cdr:to>
      <cdr:x>1</cdr:x>
      <cdr:y>0.37805</cdr:y>
    </cdr:to>
    <cdr:sp macro="" textlink="">
      <cdr:nvSpPr>
        <cdr:cNvPr id="3" name="文字方塊 2"/>
        <cdr:cNvSpPr txBox="1"/>
      </cdr:nvSpPr>
      <cdr:spPr>
        <a:xfrm xmlns:a="http://schemas.openxmlformats.org/drawingml/2006/main">
          <a:off x="4598035" y="-1495425"/>
          <a:ext cx="676275"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dr:relSizeAnchor xmlns:cdr="http://schemas.openxmlformats.org/drawingml/2006/chartDrawing">
    <cdr:from>
      <cdr:x>0</cdr:x>
      <cdr:y>0</cdr:y>
    </cdr:from>
    <cdr:to>
      <cdr:x>0.17337</cdr:x>
      <cdr:y>0.37805</cdr:y>
    </cdr:to>
    <cdr:sp macro="" textlink="">
      <cdr:nvSpPr>
        <cdr:cNvPr id="4" name="文字方塊 3"/>
        <cdr:cNvSpPr txBox="1"/>
      </cdr:nvSpPr>
      <cdr:spPr>
        <a:xfrm xmlns:a="http://schemas.openxmlformats.org/drawingml/2006/main">
          <a:off x="-1143000" y="-149542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超市</a:t>
          </a:r>
          <a:r>
            <a:rPr lang="en-US" altLang="zh-TW" sz="1100"/>
            <a:t>/</a:t>
          </a:r>
          <a:r>
            <a:rPr lang="zh-TW" altLang="en-US" sz="1100"/>
            <a:t>量販店</a:t>
          </a:r>
          <a:r>
            <a:rPr lang="en-US" altLang="zh-TW" sz="1100"/>
            <a:t>)</a:t>
          </a:r>
          <a:endParaRPr lang="zh-TW" altLang="en-US" sz="1100"/>
        </a:p>
      </cdr:txBody>
    </cdr:sp>
  </cdr:relSizeAnchor>
</c:userShapes>
</file>

<file path=word/drawings/drawing21.xml><?xml version="1.0" encoding="utf-8"?>
<c:userShapes xmlns:c="http://schemas.openxmlformats.org/drawingml/2006/chart">
  <cdr:relSizeAnchor xmlns:cdr="http://schemas.openxmlformats.org/drawingml/2006/chartDrawing">
    <cdr:from>
      <cdr:x>0.08849</cdr:x>
      <cdr:y>0.5592</cdr:y>
    </cdr:from>
    <cdr:to>
      <cdr:x>0.26186</cdr:x>
      <cdr:y>0.93725</cdr:y>
    </cdr:to>
    <cdr:sp macro="" textlink="">
      <cdr:nvSpPr>
        <cdr:cNvPr id="2" name="文字方塊 1"/>
        <cdr:cNvSpPr txBox="1"/>
      </cdr:nvSpPr>
      <cdr:spPr>
        <a:xfrm xmlns:a="http://schemas.openxmlformats.org/drawingml/2006/main">
          <a:off x="466725" y="135255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eaLnBrk="1" hangingPunct="1">
            <a:spcBef>
              <a:spcPct val="0"/>
            </a:spcBef>
            <a:buFontTx/>
            <a:buNone/>
          </a:pPr>
          <a:r>
            <a:rPr lang="zh-TW" altLang="en-US" sz="1100" dirty="0"/>
            <a:t>便利店：麗仕沐浴乳</a:t>
          </a:r>
          <a:r>
            <a:rPr lang="en-US" altLang="zh-TW" sz="1100" dirty="0"/>
            <a:t>4</a:t>
          </a:r>
          <a:r>
            <a:rPr lang="en-US" altLang="zh-TW" sz="1100" dirty="0">
              <a:cs typeface="Times New Roman" panose="02020603050405020304" pitchFamily="18" charset="0"/>
            </a:rPr>
            <a:t>00</a:t>
          </a:r>
          <a:r>
            <a:rPr lang="zh-TW" altLang="en-US" sz="1100" dirty="0">
              <a:cs typeface="Times New Roman" panose="02020603050405020304" pitchFamily="18" charset="0"/>
            </a:rPr>
            <a:t>毫升</a:t>
          </a:r>
        </a:p>
        <a:p xmlns:a="http://schemas.openxmlformats.org/drawingml/2006/main">
          <a:pPr eaLnBrk="1" hangingPunct="1">
            <a:spcBef>
              <a:spcPct val="0"/>
            </a:spcBef>
            <a:buFontTx/>
            <a:buNone/>
          </a:pPr>
          <a:r>
            <a:rPr lang="zh-TW" altLang="en-US" sz="1100" dirty="0"/>
            <a:t>超市、量販店：嬌生 </a:t>
          </a:r>
          <a:r>
            <a:rPr lang="en-US" altLang="zh-TW" sz="1100" dirty="0"/>
            <a:t>PH5.5</a:t>
          </a:r>
          <a:r>
            <a:rPr lang="zh-TW" altLang="en-US" sz="1100" dirty="0"/>
            <a:t>沐浴乳 </a:t>
          </a:r>
          <a:r>
            <a:rPr lang="en-US" altLang="zh-TW" sz="1100" dirty="0"/>
            <a:t>1000</a:t>
          </a:r>
          <a:r>
            <a:rPr lang="zh-TW" altLang="en-US" sz="1100" dirty="0"/>
            <a:t>毫升</a:t>
          </a:r>
        </a:p>
        <a:p xmlns:a="http://schemas.openxmlformats.org/drawingml/2006/main">
          <a:endParaRPr lang="zh-TW" altLang="en-US" sz="1100"/>
        </a:p>
      </cdr:txBody>
    </cdr:sp>
  </cdr:relSizeAnchor>
  <cdr:relSizeAnchor xmlns:cdr="http://schemas.openxmlformats.org/drawingml/2006/chartDrawing">
    <cdr:from>
      <cdr:x>0.88442</cdr:x>
      <cdr:y>0</cdr:y>
    </cdr:from>
    <cdr:to>
      <cdr:x>1</cdr:x>
      <cdr:y>0.37805</cdr:y>
    </cdr:to>
    <cdr:sp macro="" textlink="">
      <cdr:nvSpPr>
        <cdr:cNvPr id="3" name="文字方塊 2"/>
        <cdr:cNvSpPr txBox="1"/>
      </cdr:nvSpPr>
      <cdr:spPr>
        <a:xfrm xmlns:a="http://schemas.openxmlformats.org/drawingml/2006/main">
          <a:off x="4664710" y="0"/>
          <a:ext cx="6096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dr:relSizeAnchor xmlns:cdr="http://schemas.openxmlformats.org/drawingml/2006/chartDrawing">
    <cdr:from>
      <cdr:x>0</cdr:x>
      <cdr:y>0</cdr:y>
    </cdr:from>
    <cdr:to>
      <cdr:x>0.17337</cdr:x>
      <cdr:y>0.37805</cdr:y>
    </cdr:to>
    <cdr:sp macro="" textlink="">
      <cdr:nvSpPr>
        <cdr:cNvPr id="4" name="文字方塊 3"/>
        <cdr:cNvSpPr txBox="1"/>
      </cdr:nvSpPr>
      <cdr:spPr>
        <a:xfrm xmlns:a="http://schemas.openxmlformats.org/drawingml/2006/main">
          <a:off x="-1143000" y="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超市</a:t>
          </a:r>
          <a:r>
            <a:rPr lang="en-US" altLang="zh-TW" sz="1100"/>
            <a:t>/</a:t>
          </a:r>
          <a:r>
            <a:rPr lang="zh-TW" altLang="en-US" sz="1100"/>
            <a:t>量販店</a:t>
          </a:r>
          <a:r>
            <a:rPr lang="en-US" altLang="zh-TW" sz="1100"/>
            <a:t>)</a:t>
          </a:r>
          <a:endParaRPr lang="zh-TW" altLang="en-US" sz="1100"/>
        </a:p>
      </cdr:txBody>
    </cdr:sp>
  </cdr:relSizeAnchor>
</c:userShapes>
</file>

<file path=word/drawings/drawing22.xml><?xml version="1.0" encoding="utf-8"?>
<c:userShapes xmlns:c="http://schemas.openxmlformats.org/drawingml/2006/chart">
  <cdr:relSizeAnchor xmlns:cdr="http://schemas.openxmlformats.org/drawingml/2006/chartDrawing">
    <cdr:from>
      <cdr:x>0.12824</cdr:x>
      <cdr:y>0.07876</cdr:y>
    </cdr:from>
    <cdr:to>
      <cdr:x>0.30163</cdr:x>
      <cdr:y>0.45681</cdr:y>
    </cdr:to>
    <cdr:sp macro="" textlink="">
      <cdr:nvSpPr>
        <cdr:cNvPr id="2" name="文字方塊 1"/>
        <cdr:cNvSpPr txBox="1"/>
      </cdr:nvSpPr>
      <cdr:spPr>
        <a:xfrm xmlns:a="http://schemas.openxmlformats.org/drawingml/2006/main">
          <a:off x="676275" y="19050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eaLnBrk="1" hangingPunct="1">
            <a:spcBef>
              <a:spcPct val="0"/>
            </a:spcBef>
            <a:buFontTx/>
            <a:buNone/>
          </a:pPr>
          <a:r>
            <a:rPr lang="zh-TW" altLang="en-US" sz="1000" dirty="0"/>
            <a:t>便利店：高露潔全效牙膏  </a:t>
          </a:r>
          <a:r>
            <a:rPr lang="en-US" altLang="zh-TW" sz="1000" dirty="0"/>
            <a:t>160</a:t>
          </a:r>
          <a:r>
            <a:rPr lang="zh-TW" altLang="en-US" sz="1000" dirty="0"/>
            <a:t>克</a:t>
          </a:r>
          <a:endParaRPr lang="en-US" altLang="zh-TW" sz="1000" dirty="0"/>
        </a:p>
        <a:p xmlns:a="http://schemas.openxmlformats.org/drawingml/2006/main">
          <a:pPr eaLnBrk="1" hangingPunct="1">
            <a:spcBef>
              <a:spcPct val="0"/>
            </a:spcBef>
            <a:buFontTx/>
            <a:buNone/>
          </a:pPr>
          <a:r>
            <a:rPr lang="zh-TW" altLang="en-US" sz="1000" dirty="0"/>
            <a:t>超市、量販店：黑人超氟牙膏 </a:t>
          </a:r>
          <a:r>
            <a:rPr lang="en-US" altLang="zh-TW" sz="1000" dirty="0">
              <a:cs typeface="Times New Roman" panose="02020603050405020304" pitchFamily="18" charset="0"/>
            </a:rPr>
            <a:t>250</a:t>
          </a:r>
          <a:r>
            <a:rPr lang="zh-TW" altLang="en-US" sz="1000" dirty="0">
              <a:cs typeface="Times New Roman" panose="02020603050405020304" pitchFamily="18" charset="0"/>
            </a:rPr>
            <a:t>公克</a:t>
          </a:r>
          <a:endParaRPr lang="en-US" altLang="zh-TW" sz="1000" dirty="0">
            <a:cs typeface="Times New Roman" panose="02020603050405020304" pitchFamily="18" charset="0"/>
          </a:endParaRPr>
        </a:p>
        <a:p xmlns:a="http://schemas.openxmlformats.org/drawingml/2006/main">
          <a:endParaRPr lang="zh-TW" altLang="en-US" sz="1000"/>
        </a:p>
      </cdr:txBody>
    </cdr:sp>
  </cdr:relSizeAnchor>
  <cdr:relSizeAnchor xmlns:cdr="http://schemas.openxmlformats.org/drawingml/2006/chartDrawing">
    <cdr:from>
      <cdr:x>0.87718</cdr:x>
      <cdr:y>0</cdr:y>
    </cdr:from>
    <cdr:to>
      <cdr:x>1</cdr:x>
      <cdr:y>0.37805</cdr:y>
    </cdr:to>
    <cdr:sp macro="" textlink="">
      <cdr:nvSpPr>
        <cdr:cNvPr id="3" name="文字方塊 2"/>
        <cdr:cNvSpPr txBox="1"/>
      </cdr:nvSpPr>
      <cdr:spPr>
        <a:xfrm xmlns:a="http://schemas.openxmlformats.org/drawingml/2006/main">
          <a:off x="4625975" y="0"/>
          <a:ext cx="6477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便利店</a:t>
          </a:r>
          <a:r>
            <a:rPr lang="en-US" altLang="zh-TW" sz="1100"/>
            <a:t>)</a:t>
          </a:r>
          <a:endParaRPr lang="zh-TW" altLang="en-US" sz="1100"/>
        </a:p>
      </cdr:txBody>
    </cdr:sp>
  </cdr:relSizeAnchor>
  <cdr:relSizeAnchor xmlns:cdr="http://schemas.openxmlformats.org/drawingml/2006/chartDrawing">
    <cdr:from>
      <cdr:x>0</cdr:x>
      <cdr:y>0</cdr:y>
    </cdr:from>
    <cdr:to>
      <cdr:x>0.17339</cdr:x>
      <cdr:y>0.37805</cdr:y>
    </cdr:to>
    <cdr:sp macro="" textlink="">
      <cdr:nvSpPr>
        <cdr:cNvPr id="4" name="文字方塊 3"/>
        <cdr:cNvSpPr txBox="1"/>
      </cdr:nvSpPr>
      <cdr:spPr>
        <a:xfrm xmlns:a="http://schemas.openxmlformats.org/drawingml/2006/main">
          <a:off x="0" y="-278130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a:t>(</a:t>
          </a:r>
          <a:r>
            <a:rPr lang="zh-TW" altLang="en-US" sz="1100"/>
            <a:t>超市</a:t>
          </a:r>
          <a:r>
            <a:rPr lang="en-US" altLang="zh-TW" sz="1100"/>
            <a:t>/</a:t>
          </a:r>
          <a:r>
            <a:rPr lang="zh-TW" altLang="en-US" sz="1100"/>
            <a:t>量販店</a:t>
          </a:r>
          <a:r>
            <a:rPr lang="en-US" altLang="zh-TW" sz="1100"/>
            <a:t>)</a:t>
          </a:r>
          <a:endParaRPr lang="zh-TW" altLang="en-US" sz="1100"/>
        </a:p>
      </cdr:txBody>
    </cdr:sp>
  </cdr:relSizeAnchor>
</c:userShapes>
</file>

<file path=word/drawings/drawing23.xml><?xml version="1.0" encoding="utf-8"?>
<c:userShapes xmlns:c="http://schemas.openxmlformats.org/drawingml/2006/chart">
  <cdr:relSizeAnchor xmlns:cdr="http://schemas.openxmlformats.org/drawingml/2006/chartDrawing">
    <cdr:from>
      <cdr:x>0.72418</cdr:x>
      <cdr:y>0.62382</cdr:y>
    </cdr:from>
    <cdr:to>
      <cdr:x>0.89754</cdr:x>
      <cdr:y>1</cdr:y>
    </cdr:to>
    <cdr:sp macro="" textlink="">
      <cdr:nvSpPr>
        <cdr:cNvPr id="2" name="文字方塊 1"/>
        <cdr:cNvSpPr txBox="1"/>
      </cdr:nvSpPr>
      <cdr:spPr>
        <a:xfrm xmlns:a="http://schemas.openxmlformats.org/drawingml/2006/main">
          <a:off x="3819525" y="151638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zh-TW" altLang="en-US" sz="1100">
              <a:latin typeface="Times New Roman" panose="02020603050405020304" pitchFamily="18" charset="0"/>
              <a:ea typeface="標楷體" panose="03000509000000000000" pitchFamily="65" charset="-120"/>
              <a:cs typeface="Times New Roman" panose="02020603050405020304" pitchFamily="18" charset="0"/>
            </a:rPr>
            <a:t>中華豆腐</a:t>
          </a:r>
          <a:r>
            <a:rPr lang="en-US" altLang="zh-TW" sz="1100">
              <a:latin typeface="Times New Roman" panose="02020603050405020304" pitchFamily="18" charset="0"/>
              <a:ea typeface="標楷體" panose="03000509000000000000" pitchFamily="65" charset="-120"/>
              <a:cs typeface="Times New Roman" panose="02020603050405020304" pitchFamily="18" charset="0"/>
            </a:rPr>
            <a:t>300</a:t>
          </a:r>
          <a:r>
            <a:rPr lang="zh-TW" altLang="en-US" sz="1100">
              <a:latin typeface="Times New Roman" panose="02020603050405020304" pitchFamily="18" charset="0"/>
              <a:ea typeface="標楷體" panose="03000509000000000000" pitchFamily="65" charset="-120"/>
              <a:cs typeface="Times New Roman" panose="02020603050405020304" pitchFamily="18" charset="0"/>
            </a:rPr>
            <a:t>公克</a:t>
          </a:r>
        </a:p>
      </cdr:txBody>
    </cdr:sp>
  </cdr:relSizeAnchor>
</c:userShapes>
</file>

<file path=word/drawings/drawing24.xml><?xml version="1.0" encoding="utf-8"?>
<c:userShapes xmlns:c="http://schemas.openxmlformats.org/drawingml/2006/chart">
  <cdr:relSizeAnchor xmlns:cdr="http://schemas.openxmlformats.org/drawingml/2006/chartDrawing">
    <cdr:from>
      <cdr:x>0.77655</cdr:x>
      <cdr:y>0.60031</cdr:y>
    </cdr:from>
    <cdr:to>
      <cdr:x>0.94992</cdr:x>
      <cdr:y>0.97649</cdr:y>
    </cdr:to>
    <cdr:sp macro="" textlink="">
      <cdr:nvSpPr>
        <cdr:cNvPr id="2" name="文字方塊 1"/>
        <cdr:cNvSpPr txBox="1"/>
      </cdr:nvSpPr>
      <cdr:spPr>
        <a:xfrm xmlns:a="http://schemas.openxmlformats.org/drawingml/2006/main">
          <a:off x="4095750" y="145923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zh-TW" altLang="en-US" sz="1100">
              <a:latin typeface="標楷體" panose="03000509000000000000" pitchFamily="65" charset="-120"/>
              <a:ea typeface="標楷體" panose="03000509000000000000" pitchFamily="65" charset="-120"/>
            </a:rPr>
            <a:t>龍口粉絲一包</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物價">
    <a:majorFont>
      <a:latin typeface="Times New Roman"/>
      <a:ea typeface="微軟正黑體"/>
      <a:cs typeface=""/>
    </a:majorFont>
    <a:minorFont>
      <a:latin typeface="Times New Roman"/>
      <a:ea typeface="標楷體"/>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103496-AE12-4CD5-9DCD-BDF65B466B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232</Pages>
  <Words>22095</Words>
  <Characters>125947</Characters>
  <Application>Microsoft Office Word</Application>
  <DocSecurity>0</DocSecurity>
  <Lines>1049</Lines>
  <Paragraphs>295</Paragraphs>
  <ScaleCrop>false</ScaleCrop>
  <Company>CIER</Company>
  <LinksUpToDate>false</LinksUpToDate>
  <CharactersWithSpaces>147747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貳、2009年上半年原物料價格變動情勢</dc:title>
  <dc:creator>626</dc:creator>
  <cp:lastModifiedBy>邱淑惠</cp:lastModifiedBy>
  <cp:revision>3</cp:revision>
  <cp:lastPrinted>2015-12-29T06:40:00Z</cp:lastPrinted>
  <dcterms:created xsi:type="dcterms:W3CDTF">2016-02-17T02:59:00Z</dcterms:created>
  <dcterms:modified xsi:type="dcterms:W3CDTF">2016-03-25T03:20:00Z</dcterms:modified>
</cp:coreProperties>
</file>